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1A26A" w14:textId="37F963A2" w:rsidR="00154AD2" w:rsidRDefault="00C7701C" w:rsidP="00C7701C">
      <w:pPr>
        <w:pStyle w:val="Pagedecouverture"/>
        <w:rPr>
          <w:noProof/>
        </w:rPr>
      </w:pPr>
      <w:bookmarkStart w:id="0" w:name="LW_BM_COVERPAGE"/>
      <w:r>
        <w:rPr>
          <w:noProof/>
        </w:rPr>
        <w:pict w14:anchorId="20A72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1BFAFDD7-8914-4CBF-AE89-B714937F8B97" style="width:455.25pt;height:425.25pt">
            <v:imagedata r:id="rId11" o:title=""/>
          </v:shape>
        </w:pict>
      </w:r>
    </w:p>
    <w:bookmarkEnd w:id="0"/>
    <w:p w14:paraId="0B51AFC5" w14:textId="77777777" w:rsidR="00154AD2" w:rsidRDefault="00154AD2">
      <w:pPr>
        <w:rPr>
          <w:noProof/>
        </w:rPr>
        <w:sectPr w:rsidR="00154AD2" w:rsidSect="00C7701C">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3D5F6175" w14:textId="152E7379" w:rsidR="00154AD2" w:rsidRDefault="007F6BF3">
      <w:pPr>
        <w:pStyle w:val="P68B1DB1-Normal1"/>
        <w:jc w:val="center"/>
        <w:rPr>
          <w:noProof/>
        </w:rPr>
      </w:pPr>
      <w:bookmarkStart w:id="1" w:name="_GoBack"/>
      <w:bookmarkEnd w:id="1"/>
      <w:r>
        <w:rPr>
          <w:noProof/>
        </w:rPr>
        <w:lastRenderedPageBreak/>
        <w:t>ΠΑΡΆΡΤΗΜΑ</w:t>
      </w:r>
    </w:p>
    <w:p w14:paraId="57574ED9" w14:textId="78CF222F" w:rsidR="00154AD2" w:rsidRDefault="007F6BF3">
      <w:pPr>
        <w:pStyle w:val="P68B1DB1-Normal2"/>
        <w:keepNext/>
        <w:tabs>
          <w:tab w:val="num" w:pos="850"/>
        </w:tabs>
        <w:spacing w:before="360" w:after="0" w:line="259" w:lineRule="auto"/>
        <w:ind w:left="850" w:hanging="850"/>
        <w:jc w:val="both"/>
        <w:outlineLvl w:val="0"/>
        <w:rPr>
          <w:rFonts w:eastAsiaTheme="majorEastAsia" w:cs="Times New Roman"/>
          <w:noProof/>
        </w:rPr>
      </w:pPr>
      <w:r>
        <w:rPr>
          <w:noProof/>
        </w:rPr>
        <w:t>ΤΜΉΜΑ 1: ΜΕΤΑΡΡΥΘΜΙΣΕΙΣ ΚΑΙ ΕΠΕΝΔΥΣΕΙΣ ΣΤΟ ΠΛΑΙΣΙΟ ΤΟΥ ΣΧΕΔΙΟΥ ΑΝΑΚΑΜΨΗΣ ΚΑΙ ΑΝΘΕΚΤΙΚΟΤΗΤΑΣ</w:t>
      </w:r>
    </w:p>
    <w:p w14:paraId="4B78C2C2"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72D463D7" w14:textId="77777777" w:rsidR="00154AD2" w:rsidRDefault="007F6BF3">
      <w:pPr>
        <w:pStyle w:val="P68B1DB1-Normal3"/>
        <w:keepNext/>
        <w:spacing w:before="40" w:after="0" w:line="259" w:lineRule="auto"/>
        <w:ind w:left="130" w:firstLine="720"/>
        <w:jc w:val="both"/>
        <w:outlineLvl w:val="1"/>
        <w:rPr>
          <w:rFonts w:eastAsiaTheme="minorEastAsia" w:cs="Times New Roman"/>
          <w:noProof/>
        </w:rPr>
      </w:pPr>
      <w:r>
        <w:rPr>
          <w:noProof/>
        </w:rPr>
        <w:t xml:space="preserve">1. Περιγραφή των μεταρρυθμίσεων και των επενδύσεων </w:t>
      </w:r>
    </w:p>
    <w:p w14:paraId="5907275D" w14:textId="77777777" w:rsidR="00154AD2" w:rsidRDefault="00154AD2">
      <w:pPr>
        <w:keepNext/>
        <w:spacing w:before="40" w:after="0" w:line="259" w:lineRule="auto"/>
        <w:jc w:val="both"/>
        <w:rPr>
          <w:rFonts w:ascii="Times New Roman" w:eastAsiaTheme="minorEastAsia" w:hAnsi="Times New Roman" w:cs="Times New Roman"/>
          <w:i/>
          <w:noProof/>
          <w:sz w:val="24"/>
        </w:rPr>
      </w:pPr>
    </w:p>
    <w:p w14:paraId="027E0929" w14:textId="77777777" w:rsidR="00154AD2" w:rsidRDefault="007F6BF3">
      <w:pPr>
        <w:pStyle w:val="P68B1DB1-Normal3"/>
        <w:keepNext/>
        <w:spacing w:before="40" w:after="0" w:line="259" w:lineRule="auto"/>
        <w:ind w:left="130" w:firstLine="720"/>
        <w:jc w:val="both"/>
        <w:outlineLvl w:val="1"/>
        <w:rPr>
          <w:rFonts w:eastAsiaTheme="minorEastAsia" w:cs="Times New Roman"/>
          <w:noProof/>
        </w:rPr>
      </w:pPr>
      <w:r>
        <w:rPr>
          <w:noProof/>
        </w:rPr>
        <w:t>Α. ΣΥΝΙΣΤΏΣΑ 1: Εθνική Υπηρεσία Υγείας</w:t>
      </w:r>
    </w:p>
    <w:p w14:paraId="38320C5D" w14:textId="409087CF" w:rsidR="00154AD2" w:rsidRDefault="007F6BF3">
      <w:pPr>
        <w:pStyle w:val="P68B1DB1-Normal4"/>
        <w:keepNext/>
        <w:spacing w:before="40" w:after="0" w:line="259" w:lineRule="auto"/>
        <w:jc w:val="both"/>
        <w:rPr>
          <w:rFonts w:eastAsiaTheme="minorEastAsia" w:cs="Times New Roman"/>
          <w:noProof/>
        </w:rPr>
      </w:pPr>
      <w:r>
        <w:rPr>
          <w:noProof/>
        </w:rPr>
        <w:t>Αυτή η συνιστώσα του πορτογαλικού σχεδίου ανάκαμψης και ανθεκτικότητας αντιμετωπίζει διάφορες προκλήσεις που αντιμετωπίζει επί του παρόντος το πορτογαλικό σύστημα υγείας όσον αφορά τις τρέχουσες και εξελισσόμενες ανάγκες υγειονομικής περίθαλψης και το συναφές κόστος. Πρώτον, οι δυσμενείς δημογραφικές τάσεις της Πορτογαλίας — που χαρακτηρίζονται από επιταχυνόμενη γήρανση και επακόλουθες ανάγκες μακροχρόνιας φροντίδας — συμπίπτουν με τις μεταβαλλόμενες μορφές ασθενειών, την αυξανόμενη επιβάρυνση των χρόνιων και εκφυλιστικών ασθενειών, καθώς και τη σταδιακή αύξηση της πολυνοσηρότητας. Δεύτερον, εξακολουθεί να υπάρχει σημαντική θνησιμότητα που μπορεί να αποφευχθεί στην Πορτογαλία και σχετικά μικρός αριθμός ετών υγιούς ζωής στην ηλικία των 65 ετών. Τρίτον, υπάρχει περιθώριο να δοθεί μεγαλύτερη έμφαση στην προαγωγή της υγείας και την πρόληψη των ασθενειών, σε συνδυασμό με την αντιμετώπιση του κατακερματισμού των υπηρεσιών υγειονομικής περίθαλψης και των κενών στην πρόσβαση στην υγειονομική περίθαλψη. Τέταρτον, οι άμεσες πληρωμές για υγειονομική περίθαλψη είναι από τις υψηλότερες στην ΕΕ και η αναφερόμενη οικονομική επιβάρυνση της ιατρικής περίθαλψης είναι σχετικά υψηλή. Τέλος, το Εθνικό Σύστημα Υγείας της Πορτογαλίας αντιμετωπίζει εδώ και αρκετά χρόνια δύσκολη οικονομική κατάσταση. Ειδικότερα, η Πορτογαλία έχει ιστορικό επαναλαμβανόμενων διασώσεων δημόσιων νοσοκομείων από την κυβέρνηση, η οποία δεν κατάφερε να αποφύγει έναν συστηματικό κύκλο χρέους των νοσοκομείων, με αλυσιδωτές επιπτώσεις στις σχέσεις της αλυσίδας εφοδιασμού.</w:t>
      </w:r>
    </w:p>
    <w:p w14:paraId="7311148A" w14:textId="0249E23A" w:rsidR="00154AD2" w:rsidRDefault="007F6BF3">
      <w:pPr>
        <w:pStyle w:val="P68B1DB1-Normal4"/>
        <w:keepNext/>
        <w:spacing w:before="40" w:after="0" w:line="259" w:lineRule="auto"/>
        <w:jc w:val="both"/>
        <w:rPr>
          <w:rFonts w:eastAsia="Times New Roman" w:cs="Times New Roman"/>
          <w:noProof/>
        </w:rPr>
      </w:pPr>
      <w:r>
        <w:rPr>
          <w:noProof/>
        </w:rPr>
        <w:t>Κύριος στόχος της συνιστώσας είναι η ενίσχυση της ικανότητας αντίδρασης του Εθνικού Συστήματος Υγείας της Πορτογαλίας, με σκοπό την αντιμετώπιση των δημογραφικών και επιδημιολογικών αλλαγών στη χώρα, της θεραπευτικής και τεχνολογικής καινοτομίας, καθώς και της τάσης αύξησης της ζήτησης για υγειονομική περίθαλψη και των συναφών δαπανών. Για τον σκοπό αυτό, η συνιστώσα αποσκοπεί στην ενίσχυση του κεντρικού ρόλου των υπηρεσιών πρωτοβάθμιας υγειονομικής περίθαλψης στο πλαίσιο της συνολικής αρχιτεκτονικής του Εθνικού Συστήματος Υγείας, στην αναβάθμιση των υπηρεσιών μακροχρόνιας και ψυχικής υγείας και στην αύξηση της αποδοτικότητας με την ολοκλήρωση της μεταρρύθμισης του μοντέλου διακυβέρνησης των δημόσιων νοσοκομείων και την προώθηση της ψηφιοποίησης των υπηρεσιών υγειονομικής περίθαλψης.</w:t>
      </w:r>
    </w:p>
    <w:p w14:paraId="714DF149" w14:textId="77777777" w:rsidR="00154AD2" w:rsidRDefault="007F6BF3">
      <w:pPr>
        <w:pStyle w:val="P68B1DB1-Normal4"/>
        <w:spacing w:before="40" w:after="120" w:line="259" w:lineRule="auto"/>
        <w:jc w:val="both"/>
        <w:rPr>
          <w:rFonts w:eastAsiaTheme="minorEastAsia" w:cs="Times New Roman"/>
          <w:noProof/>
        </w:rPr>
      </w:pPr>
      <w:r>
        <w:rPr>
          <w:noProof/>
        </w:rPr>
        <w:t>Η συνιστώσα στηρίζει την εφαρμογή της ειδικής ανά χώρα σύστασης για την ενίσχυση του συνολικού ελέγχου των δαπανών, της οικονομικής αποδοτικότητας και της επαρκούς κατάρτισης του προϋπολογισμού, με έμφαση στη βιώσιμη μείωση των καθυστερούμενων οφειλών στα νοσοκομεία (ειδική ανά χώρα σύσταση 1 2019), καθώς και της ειδικής ανά χώρα σύστασης για την ενίσχυση της ανθεκτικότητας του συστήματος υγείας και τη διασφάλιση ισότιμης πρόσβασης σε ποιοτική υγειονομική και μακροχρόνια περίθαλψη (ειδική ανά χώρα σύσταση 1 2020). Η συνιστώσα συμβάλλει επίσης στην εφαρμογή της ειδικής ανά χώρα σύστασης για την εστίαση των επενδύσεων στην πράσινη και την ψηφιακή μετάβαση (ειδική ανά χώρα σύσταση 3 2020).</w:t>
      </w:r>
    </w:p>
    <w:p w14:paraId="562E60CC" w14:textId="5277BFA7" w:rsidR="00154AD2" w:rsidRDefault="007F6BF3">
      <w:pPr>
        <w:pStyle w:val="P68B1DB1-Normal4"/>
        <w:keepNext/>
        <w:spacing w:before="40" w:after="120" w:line="259" w:lineRule="auto"/>
        <w:jc w:val="both"/>
        <w:rPr>
          <w:rFonts w:eastAsiaTheme="minorEastAsia" w:cs="Times New Roman"/>
          <w:b/>
          <w:noProof/>
          <w:u w:val="single"/>
        </w:rPr>
      </w:pPr>
      <w:r>
        <w:rPr>
          <w:noProof/>
        </w:rPr>
        <w:t>Αναμένεται ότι κανένα μέτρο στη συνιστώσα αυτή δεν βλάπτει σημαντικά τους περιβαλλοντικούς στόχους κατά την έννοια του άρθρου 17 του κανονισμού (ΕΕ) 2020/852, λαμβανομένης υπόψη της περιγραφής των μέτρων και των μέτρων μετριασμού που ορίζονται στο σχέδιο σύμφωνα με την τεχνική καθοδήγηση σχετικά με την αρχή της μη πρόκλησης σημαντικής βλάβης (2021/C58/01).</w:t>
      </w:r>
    </w:p>
    <w:p w14:paraId="4C4465E0" w14:textId="77777777" w:rsidR="00154AD2" w:rsidRDefault="007F6BF3">
      <w:pPr>
        <w:pStyle w:val="P68B1DB1-Normal3"/>
        <w:keepNext/>
        <w:spacing w:before="40" w:after="120" w:line="259" w:lineRule="auto"/>
        <w:ind w:left="130" w:firstLine="720"/>
        <w:jc w:val="both"/>
        <w:outlineLvl w:val="1"/>
        <w:rPr>
          <w:rFonts w:eastAsiaTheme="minorEastAsia" w:cs="Times New Roman"/>
          <w:noProof/>
        </w:rPr>
      </w:pPr>
      <w:r>
        <w:rPr>
          <w:noProof/>
        </w:rPr>
        <w:t>Α.1. Περιγραφή των μεταρρυθμίσεων και των επενδύσεων που είναι επιλέξιμες για λήψη μη επιστρεπτέας χρηματοδοτικής στήριξης</w:t>
      </w:r>
    </w:p>
    <w:p w14:paraId="77050E33" w14:textId="77777777"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Μεταρρύθμιση RE-r01: ΜΕΤΑΡΡΥΘΜΙΣΗ ΤΗΣ ΠΡΩΤΟΒΑΘΜΙΑΣ ΦΡΟΝΤΙΔΑΣ ΥΓΕΙΑΣ</w:t>
      </w:r>
    </w:p>
    <w:p w14:paraId="17FEB3D7" w14:textId="77777777" w:rsidR="00154AD2" w:rsidRDefault="007F6BF3">
      <w:pPr>
        <w:pStyle w:val="P68B1DB1-Normal4"/>
        <w:keepNext/>
        <w:spacing w:before="40" w:after="0" w:line="259" w:lineRule="auto"/>
        <w:jc w:val="both"/>
        <w:rPr>
          <w:rFonts w:eastAsiaTheme="minorEastAsia" w:cs="Times New Roman"/>
          <w:noProof/>
          <w:u w:val="single"/>
        </w:rPr>
      </w:pPr>
      <w:r>
        <w:rPr>
          <w:noProof/>
        </w:rPr>
        <w:t>Ο γενικός στόχος της μεταρρύθμισης είναι να ενισχυθεί ο κεντρικός ρόλος των υπηρεσιών πρωτοβάθμιας υγειονομικής περίθαλψης στην κάλυψη των αναγκών υγείας του πληθυσμού στο πλαίσιο της συνολικής αρχιτεκτονικής του Εθνικού Συστήματος Υγείας. Για τον σκοπό αυτό, η μεταρρύθμιση αποσκοπεί στην αντιμετώπιση έξι προτεραιοτήτων: I) ενίσχυση της ικανότητας προσυμπτωματικού ελέγχου και έγκαιρης διάγνωσης, ιδίως των συχνότερων παθολογιών· την ενίσχυση της ικανότητας αντίδρασης της πρωτοβάθμιας περίθαλψης μέσω της δημιουργίας πιο προορατικών κέντρων υγείας με διευρυμένο χαρτοφυλάκιο υπηρεσιών και τομείς παρέμβασης, καθώς και με μεγαλύτερη ενσωμάτωση σε άλλα επίπεδα περίθαλψης, και με την προσαρμογή των διαδικασιών στα ατομικά χαρακτηριστικά κάθε χρήστη και τη σχετική πορεία ζωής, τη μείωση της υψηλής μεταβλητότητας των κλινικών πρακτικών (μεταξύ άλλων όσον αφορά τη συνταγογράφηση εξωνοσοκομειακής φαρμακευτικής αγωγής), τη βελτίωση της κλινικής παραπομπής μεταξύ των διαφόρων επιπέδων υγειονομικής περίθαλψης και την επιδίωξη βελτίωσης της αποτελεσματικότητας μέσω του περιορισμού της αλληλεπικάλυψης των υπηρεσιών ή της παροχής αναποτελεσματικής, ανεπαρκούς ή χαμηλής αξίας περίθαλψης· διόρθωση των περιφερειακών και τοπικών ασυμμετριών όσον αφορά τις εγκαταστάσεις και τον εξοπλισμό που διατίθενται στις υπηρεσίες πρωτοβάθμιας υγειονομικής περίθαλψης· στήριξη των αντιδράσεων σε επίπεδο κοινότητας και δημιουργία προγραμμάτων στήριξης για τους χρήστες και τις οικογένειές τους, με καλύτερη συμμετοχή των πολιτών και των κοινοτήτων, μεταξύ άλλων μέσω της ολοκλήρωσης της μεταβίβασης αρμοδιοτήτων στον τομέα της υγείας από την κεντρική στην τοπική αυτοδιοίκηση· τη βελτίωση των δεξιοτήτων του εργατικού δυναμικού στον τομέα της υγείας, την ενίσχυση της διεπιστημονικής ομαδικής εργασίας και την αύξηση του αριθμού των επαγγελματιών, συμπεριλαμβανομένων των ειδικών· και vi) υλοποίηση της ψηφιακής μετάβασης του Εθνικού Συστήματος Υγείας και αξιοποίηση των δυνατοτήτων του για εκσυγχρονισμό και απλούστευση της χρήσης των υπηρεσιών υγειονομικής περίθαλψης. Με τον τρόπο αυτό, η μεταρρύθμιση αυτή παρέχει ενισχυμένες συνθήκες πλαισίου για τις σχετικές επενδύσεις σε υπηρεσίες πρωτοβάθμιας υγειονομικής περίθαλψης.</w:t>
      </w:r>
    </w:p>
    <w:p w14:paraId="2145F595" w14:textId="182C1721" w:rsidR="00154AD2" w:rsidRDefault="007F6BF3">
      <w:pPr>
        <w:pStyle w:val="P68B1DB1-Normal4"/>
        <w:keepNext/>
        <w:spacing w:before="40" w:after="0" w:line="259" w:lineRule="auto"/>
        <w:jc w:val="both"/>
        <w:rPr>
          <w:rFonts w:eastAsiaTheme="minorEastAsia" w:cs="Times New Roman"/>
          <w:noProof/>
        </w:rPr>
      </w:pPr>
      <w:r>
        <w:rPr>
          <w:noProof/>
        </w:rPr>
        <w:t>Η μεταρρύθμιση συνίσταται στην εφαρμογή διαφόρων νομοθετικών και κανονιστικών μέτρων με σκοπό: I) διεύρυνση των αρμοδιοτήτων και του πεδίου παρέμβασης των ομάδων κέντρων υγείας, καθώς και της τυπολογίας των λειτουργικών μονάδων που τις απαρτίζουν· επανεξέταση του νομικού καθεστώτος για την οργάνωση και τη λειτουργία των λειτουργικών μονάδων, καθώς και του συστήματος κινήτρων που πρέπει να παρέχονται στα στοιχεία που τις απαρτίζουν· ανάπτυξη ενός μέσου διαστρωμάτωσης κινδύνου για τη στήριξη της κλινικής διακυβέρνησης στις λειτουργικές μονάδες των ομάδων κέντρων υγείας· και iv) ολοκλήρωση της μεταβίβασης αρμοδιοτήτων στον τομέα της υγείας από την κεντρική διοίκηση στους δήμους.</w:t>
      </w:r>
    </w:p>
    <w:p w14:paraId="13EB0AA1" w14:textId="77777777" w:rsidR="00154AD2" w:rsidRDefault="007F6BF3">
      <w:pPr>
        <w:pStyle w:val="P68B1DB1-Normal4"/>
        <w:keepNext/>
        <w:spacing w:before="40" w:after="0" w:line="259" w:lineRule="auto"/>
        <w:jc w:val="both"/>
        <w:rPr>
          <w:rFonts w:eastAsiaTheme="minorEastAsia" w:cs="Times New Roman"/>
          <w:noProof/>
        </w:rPr>
      </w:pPr>
      <w:r>
        <w:rPr>
          <w:noProof/>
        </w:rPr>
        <w:t>Το ορόσημο και οι στόχοι που σχετίζονται με την εφαρμογή της μεταρρύθμισης ολοκληρώνονται έως τις 31 Δεκεμβρίου 2023.</w:t>
      </w:r>
    </w:p>
    <w:p w14:paraId="3B03907D" w14:textId="77777777"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Μεταρρύθμιση RE-r02: Μεταρρύθμιση της ψυχικής υγείας</w:t>
      </w:r>
    </w:p>
    <w:p w14:paraId="12CAE8A0" w14:textId="77777777" w:rsidR="00154AD2" w:rsidRDefault="007F6BF3">
      <w:pPr>
        <w:pStyle w:val="P68B1DB1-Normal4"/>
        <w:keepNext/>
        <w:spacing w:before="40" w:after="0" w:line="259" w:lineRule="auto"/>
        <w:jc w:val="both"/>
        <w:rPr>
          <w:rFonts w:eastAsiaTheme="minorEastAsia" w:cs="Times New Roman"/>
          <w:noProof/>
        </w:rPr>
      </w:pPr>
      <w:r>
        <w:rPr>
          <w:noProof/>
        </w:rPr>
        <w:t>Ο πρωταρχικός στόχος αυτής της μεταρρύθμισης είναι η βελτίωση της ψυχικής υγείας στην Πορτογαλία. Για τον σκοπό αυτό, η μεταρρύθμιση διαρθρώνεται γύρω από πέντε άξονες παρέμβασης: I) αποϊδρυματοποίηση ασθενών που διαμένουν σε ψυχιατρικά νοσοκομεία ή σε ιδρύματα του κοινωνικού τομέα· II) ολοκλήρωση της εθνικής κάλυψης των τοπικών υπηρεσιών ψυχικής υγείας, στους τομείς της ενδονοσοκομειακής, εξωνοσοκομειακής και κοινοτικής περίθαλψης· III) επέκταση του εθνικού δικτύου ολοκληρωμένης συνεχούς περίθαλψης, με έμφαση στην ψυχική υγεία· την αναδιοργάνωση των ιατροδικαστικών ψυχιατρικών υπηρεσιών· και v) εφαρμογή των περιφερειακών σχεδίων υγείας για την άνοια.</w:t>
      </w:r>
    </w:p>
    <w:p w14:paraId="0D4AF41B" w14:textId="77777777" w:rsidR="00154AD2" w:rsidRDefault="007F6BF3">
      <w:pPr>
        <w:pStyle w:val="P68B1DB1-Normal4"/>
        <w:keepNext/>
        <w:spacing w:before="40" w:after="0" w:line="259" w:lineRule="auto"/>
        <w:jc w:val="both"/>
        <w:rPr>
          <w:rFonts w:eastAsiaTheme="minorEastAsia" w:cs="Times New Roman"/>
          <w:noProof/>
        </w:rPr>
      </w:pPr>
      <w:r>
        <w:rPr>
          <w:noProof/>
        </w:rPr>
        <w:t>Συγκεκριμένα, η μεταρρύθμιση συνίσταται στην αναθεώρηση του ισχύοντος νόμου για την ψυχική υγεία — ο οποίος θεσπίζει τις γενικές αρχές της πολιτικής για την ψυχική υγεία στην Πορτογαλία και ρυθμίζει την υποχρεωτική ένταξη ατόμων με ψυχικές διαταραχές — και του νομοθετικού διατάγματος για την ψυχική υγεία — το οποίο καθορίζει τις κατευθυντήριες αρχές για την οργάνωση, τη διαχείριση και την αξιολόγηση των υπηρεσιών ψυχικής υγείας. Μεταξύ άλλων, εισάγονται οι ακόλουθες αλλαγές στις εν λόγω νομικές διατάξεις: I) ενσωμάτωση στη νομοθεσία των αρχών της Σύμβασης των Ηνωμένων Εθνών για τα δικαιώματα των ατόμων με αναπηρία· και ii) αύξηση της αυτονομίας και της χρηστής διαχείρισης των τοπικών υπηρεσιών ψυχικής υγείας, μέσω της δημιουργίας ολοκληρωμένων κέντρων ευθύνης. Με τον τρόπο αυτό, η μεταρρύθμιση αυτή θα παράσχει ενισχυμένες συνθήκες-πλαίσιο για τις σχετικές επενδύσεις σε υπηρεσίες ψυχικής υγείας.</w:t>
      </w:r>
    </w:p>
    <w:p w14:paraId="10338A6D" w14:textId="77777777" w:rsidR="00154AD2" w:rsidRDefault="007F6BF3">
      <w:pPr>
        <w:pStyle w:val="P68B1DB1-Normal4"/>
        <w:keepNext/>
        <w:spacing w:before="40" w:after="0" w:line="259" w:lineRule="auto"/>
        <w:jc w:val="both"/>
        <w:rPr>
          <w:rFonts w:eastAsiaTheme="minorEastAsia" w:cs="Times New Roman"/>
          <w:noProof/>
        </w:rPr>
        <w:sectPr w:rsidR="00154AD2" w:rsidSect="00787826">
          <w:headerReference w:type="even" r:id="rId18"/>
          <w:headerReference w:type="default" r:id="rId19"/>
          <w:footerReference w:type="even" r:id="rId20"/>
          <w:footerReference w:type="default" r:id="rId21"/>
          <w:headerReference w:type="first" r:id="rId22"/>
          <w:footerReference w:type="first" r:id="rId23"/>
          <w:pgSz w:w="11907" w:h="16839"/>
          <w:pgMar w:top="1134" w:right="1134" w:bottom="1134" w:left="1134" w:header="567" w:footer="567" w:gutter="0"/>
          <w:cols w:space="720"/>
          <w:docGrid w:linePitch="360"/>
        </w:sectPr>
      </w:pPr>
      <w:r>
        <w:rPr>
          <w:noProof/>
        </w:rPr>
        <w:t>Τα ορόσημα που σχετίζονται με την υλοποίηση της μεταρρύθμισης ολοκληρώνονται έως τις 31 Μαρτίου 2023.</w:t>
      </w:r>
    </w:p>
    <w:p w14:paraId="3F67CEFA" w14:textId="77777777"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Μεταρρύθμιση RE-r03: Ολοκλήρωση της μεταρρύθμισης του μοντέλου διακυβέρνησης των δημόσιων νοσοκομείων</w:t>
      </w:r>
    </w:p>
    <w:p w14:paraId="0C7C138E" w14:textId="77777777" w:rsidR="00154AD2" w:rsidRDefault="007F6BF3">
      <w:pPr>
        <w:pStyle w:val="P68B1DB1-Normal4"/>
        <w:keepNext/>
        <w:spacing w:before="40" w:after="0" w:line="259" w:lineRule="auto"/>
        <w:jc w:val="both"/>
        <w:rPr>
          <w:rFonts w:eastAsiaTheme="minorEastAsia" w:cs="Times New Roman"/>
          <w:noProof/>
        </w:rPr>
      </w:pPr>
      <w:r>
        <w:rPr>
          <w:noProof/>
        </w:rPr>
        <w:t>Πρωταρχικός στόχος της μεταρρύθμισης είναι η αύξηση της αποτελεσματικότητας των νοσοκομείων του Εθνικού Συστήματος Υγείας. Για τον σκοπό αυτό, έχει ως στόχο: I) μεταρρύθμιση της οργάνωσης και της εσωτερικής διαχείρισης των δημόσιων νοσοκομείων· II) αναδιαμόρφωση του νοσοκομειακού δικτύου σύμφωνα με τον προγραμματισμό της δυναμικότητας όσον αφορά τη ζήτηση υπηρεσιών και την προσφορά ανθρώπινων πόρων και υποδομών· τη βελτίωση της συνάρθρωσης με τα άλλα στοιχεία του Εθνικού Συστήματος Υγείας, και συγκεκριμένα με τις υπηρεσίες πρωτοβάθμιας και ψυχικής υγείας, καθώς και με τα δίκτυα παρηγορητικής και ολοκληρωμένης συνεχούς περίθαλψης. συμμετοχή επαγγελματιών του τομέα της υγείας και ενδιάμεσων δομών στη διαχείριση των δημόσιων νοσοκομείων· και v) εστίαση των απαντήσεων στις πραγματικές ανάγκες υγείας και ευημερίας των πολιτών.</w:t>
      </w:r>
    </w:p>
    <w:p w14:paraId="0F06F40C" w14:textId="77777777" w:rsidR="00154AD2" w:rsidRDefault="007F6BF3">
      <w:pPr>
        <w:pStyle w:val="P68B1DB1-Normal4"/>
        <w:keepNext/>
        <w:spacing w:before="40" w:after="0" w:line="259" w:lineRule="auto"/>
        <w:jc w:val="both"/>
        <w:rPr>
          <w:rFonts w:eastAsiaTheme="minorEastAsia" w:cs="Times New Roman"/>
          <w:noProof/>
        </w:rPr>
      </w:pPr>
      <w:r>
        <w:rPr>
          <w:noProof/>
        </w:rPr>
        <w:t>Στις συμβάσεις διαχείρισης περιλαμβάνονται αντικειμενικοί δείκτες μέτρησης για την αξιολόγηση της απόδοσης των διευθυντών νοσοκομείων, αξιολογώντας τόσο την ποιότητα των υπηρεσιών όσο και την οικονομική κατάσταση των δημόσιων νοσοκομείων. Αυτό θα συμβάλει στη διασφάλιση της συνέπειας με τις προτεραιότητες της κυβερνητικής πολιτικής στον τομέα της υγείας και στην πιο προβλέψιμη διαχείριση των νοσοκομειακών πόρων, με αυτονομία σε συνδυασμό με ενισχυμένη παρακολούθηση και λογοδοσία. Η εφαρμογή των ανανεωμένων συμβάσεων διαχείρισης είναι σταδιακή και ιεραρχημένη ανάλογα με το επίπεδο αποτελεσματικότητας, διάστασης και γεωγραφικής κατανομής των δημόσιων νοσοκομείων. Επιπλέον, ενισχύεται ο εποπτικός ρόλος των Υπουργείων Υγείας και Οικονομικών προκειμένου να διασφαλιστεί μια ολοκληρωμένη και συνεκτική προσέγγιση για την αξιολόγηση των επιδόσεων των νοσοκομείων και την έγκαιρη διόρθωση των αποκλίσεων από τους εγκεκριμένους προϋπολογισμούς.</w:t>
      </w:r>
    </w:p>
    <w:p w14:paraId="18CD3273" w14:textId="77777777" w:rsidR="00154AD2" w:rsidRDefault="007F6BF3">
      <w:pPr>
        <w:pStyle w:val="P68B1DB1-Normal4"/>
        <w:keepNext/>
        <w:spacing w:before="40" w:after="0" w:line="259" w:lineRule="auto"/>
        <w:jc w:val="both"/>
        <w:rPr>
          <w:rFonts w:eastAsiaTheme="minorEastAsia" w:cs="Times New Roman"/>
          <w:noProof/>
        </w:rPr>
      </w:pPr>
      <w:r>
        <w:rPr>
          <w:noProof/>
        </w:rPr>
        <w:t>Επιπλέον, ενισχύονται οι κεντρικές αγορές με σκοπό την επίτευξη περαιτέρω εξοικονόμησης αποδοτικότητας, ιδίως με την εφαρμογή των συστάσεων από πρόσφατη ανεξάρτητη αξιολόγηση. Ειδικότερα, οι κεντρικές αγορές πρέπει να διευρυνθούν ώστε να καλύπτουν και τον ιατρικό εξοπλισμό και τα ιατροτεχνολογικά προϊόντα. Επιπλέον, η εσωτερική διαχείριση των δημόσιων νοσοκομείων σχεδιάζεται να βελτιωθεί, ιδίως μέσω της δημιουργίας ολοκληρωμένων κέντρων ευθύνης και της εφαρμογής καθεστώτων αμοιβής βάσει επιδόσεων που εφαρμόζονται στις μονάδες που συνδέονται με τα εν λόγω κέντρα. Παράλληλα, τίθεται σε ισχύ καθεστώς πλήρους αφοσίωσης στο Εθνικό Σύστημα Υγείας για τους επαγγελματίες του τομέα της υγείας.</w:t>
      </w:r>
    </w:p>
    <w:p w14:paraId="13152133" w14:textId="77777777" w:rsidR="00154AD2" w:rsidRDefault="007F6BF3">
      <w:pPr>
        <w:pStyle w:val="P68B1DB1-Normal4"/>
        <w:keepNext/>
        <w:spacing w:before="40" w:after="0" w:line="259" w:lineRule="auto"/>
        <w:jc w:val="both"/>
        <w:rPr>
          <w:rFonts w:eastAsiaTheme="minorEastAsia" w:cs="Times New Roman"/>
          <w:noProof/>
        </w:rPr>
      </w:pPr>
      <w:r>
        <w:rPr>
          <w:noProof/>
        </w:rPr>
        <w:t>Επιπλέον, το μέτρο περιλαμβάνει πρωτοβουλίες για τον επανασχεδιασμό του νοσοκομειακού δικτύου, ώστε να εξασφαλίζεται καλύτερη διάρθρωση μεταξύ των υπηρεσιών. Ειδικότερα, θα αναπτυχθούν περαιτέρω οι αποκρίσεις νοσηλείας κατ’ οίκον, με σκοπό την παροχή νοσοκομειακής περίθαλψης στο σπίτι του ασθενούς, σε στενή σύνδεση με τις υπηρεσίες πρωτοβάθμιας υγειονομικής περίθαλψης, το εθνικό δίκτυο ολοκληρωμένων υπηρεσιών συνεχούς περίθαλψης, τον κοινωνικό τομέα και τις τοπικές κοινότητες. Επιπλέον, ενισχύεται η εργαστηριακή ικανότητα της Εθνικής Υπηρεσίας Υγείας για τη διάγνωση λοιμωδών νοσημάτων και αυξάνεται η ικανότητά της για εντατική ιατρική περίθαλψη.</w:t>
      </w:r>
    </w:p>
    <w:p w14:paraId="2CA75694" w14:textId="77777777" w:rsidR="00154AD2" w:rsidRDefault="007F6BF3">
      <w:pPr>
        <w:pStyle w:val="P68B1DB1-Normal4"/>
        <w:keepNext/>
        <w:spacing w:before="40" w:after="0" w:line="259" w:lineRule="auto"/>
        <w:jc w:val="both"/>
        <w:rPr>
          <w:rFonts w:eastAsiaTheme="minorEastAsia" w:cs="Times New Roman"/>
          <w:noProof/>
        </w:rPr>
      </w:pPr>
      <w:r>
        <w:rPr>
          <w:noProof/>
        </w:rPr>
        <w:t>Η εφαρμογή της μεταρρύθμισης ολοκληρώνεται έως τις 31 Δεκεμβρίου 2025.</w:t>
      </w:r>
    </w:p>
    <w:p w14:paraId="2AB13652" w14:textId="77777777"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Επένδυση RE-C01-i01: Υπηρεσίες πρωτοβάθμιας υγειονομικής περίθαλψης με περισσότερες απαντήσεις</w:t>
      </w:r>
    </w:p>
    <w:p w14:paraId="6B7DB75C" w14:textId="77777777" w:rsidR="00154AD2" w:rsidRDefault="007F6BF3">
      <w:pPr>
        <w:pStyle w:val="P68B1DB1-Normal4"/>
        <w:keepNext/>
        <w:spacing w:before="40" w:after="0" w:line="259" w:lineRule="auto"/>
        <w:jc w:val="both"/>
        <w:rPr>
          <w:rFonts w:eastAsia="Times New Roman" w:cs="Times New Roman"/>
          <w:noProof/>
        </w:rPr>
      </w:pPr>
      <w:r>
        <w:rPr>
          <w:noProof/>
        </w:rPr>
        <w:t>Στόχος της επένδυσης αυτής είναι η επέκταση των υπηρεσιών πρωτοβάθμιας υγειονομικής περίθαλψης και η ενίσχυση του κεντρικού ρόλου των υπηρεσιών πρωτοβάθμιας υγειονομικής περίθαλψης στην κάλυψη των αναγκών υγείας του πληθυσμού στο πλαίσιο της συνολικής αρχιτεκτονικής του Εθνικού Συστήματος Υγείας. Η επένδυση βασίζεται στη μεταρρύθμιση των υπηρεσιών πρωτοβάθμιας υγειονομικής περίθαλψης.</w:t>
      </w:r>
    </w:p>
    <w:p w14:paraId="50F040E1" w14:textId="77777777" w:rsidR="00154AD2" w:rsidRDefault="007F6BF3">
      <w:pPr>
        <w:pStyle w:val="P68B1DB1-Normal4"/>
        <w:keepNext/>
        <w:spacing w:before="40" w:after="0" w:line="259" w:lineRule="auto"/>
        <w:jc w:val="both"/>
        <w:rPr>
          <w:rFonts w:eastAsia="Times New Roman" w:cs="Times New Roman"/>
          <w:noProof/>
        </w:rPr>
      </w:pPr>
      <w:r>
        <w:rPr>
          <w:noProof/>
        </w:rPr>
        <w:t>Η επένδυση περιλαμβάνει τις ακόλουθες πρωτοβουλίες:</w:t>
      </w:r>
    </w:p>
    <w:p w14:paraId="2BF5C657" w14:textId="77777777" w:rsidR="00154AD2" w:rsidRDefault="007F6BF3">
      <w:pPr>
        <w:pStyle w:val="P68B1DB1-Normal4"/>
        <w:keepNext/>
        <w:numPr>
          <w:ilvl w:val="0"/>
          <w:numId w:val="55"/>
        </w:numPr>
        <w:tabs>
          <w:tab w:val="left" w:pos="426"/>
        </w:tabs>
        <w:spacing w:before="40" w:after="160" w:line="259" w:lineRule="auto"/>
        <w:jc w:val="both"/>
        <w:rPr>
          <w:rFonts w:eastAsia="Times New Roman" w:cs="Times New Roman"/>
          <w:noProof/>
        </w:rPr>
      </w:pPr>
      <w:r>
        <w:rPr>
          <w:noProof/>
        </w:rPr>
        <w:t>Πρώτον, διάφορες επιμέρους επενδύσεις βελτιώνουν την πρόσβαση, την ποιότητα και την αποτελεσματικότητα των υπηρεσιών πρωτοβάθμιας υγειονομικής περίθαλψης, συμβάλλοντας έτσι στην ολοκλήρωση της εθνικής κάλυψης των προγραμμάτων προσυμπτωματικού ελέγχου και ενισχύουν την ικανότητα έγκαιρης διάγνωσης. Αυτά περιλαμβάνουν: I) επέκταση του προσυμπτωματικού ελέγχου του καρκίνου σε όλα τα κέντρα υγείας, συμπεριλαμβανομένου του καρκίνου του παχέος εντέρου και του τραχήλου της μήτρας· II) επέκταση του προσυμπτωματικού ελέγχου για διαβητική ρετινοπάθεια σε όλα τα κέντρα υγείας· III) παροχή σε όλα τα κέντρα υγείας της ικανότητας μέτρησης των αντιδρώντων πρωτεϊνών C· εξοπλισμός των ομάδων κέντρων υγείας με σπιρομετρητές για την έγκαιρη διάγνωση, παρακολούθηση και θεραπεία του άσθματος, της χρόνιας αποφρακτικής πνευμονοπάθειας και του καπνίσματος· V) παροχή εξοπλισμού Holter και εξωνοσοκομειακής παρακολούθησης της αρτηριακής πίεσης στις μονάδες υγειονομικής περίθαλψης· VI) επέκταση των επισκέψεων για διαβητικούς πόδια σε όλες τις ομάδες των κέντρων υγείας· VII) έγκριση των ατομικών σχεδίων περίθαλψης για πολύπλοκους και πολύμορφους ασθενείς· τον καθορισμό πρωτοκόλλων παραπομπής στους πλέον επιθυμητούς τομείς περίθαλψης, δηλαδή την οφθαλμολογία, την ωτορινολαρυγγολογία, την ορθοπεδική και την ουρολογία· και ix) ολοκλήρωση του ολοκληρωμένου συστήματος πληροφοριών που διευκολύνει την παραπομπή των ασθενών μεταξύ των επιπέδων υγειονομικής περίθαλψης.</w:t>
      </w:r>
    </w:p>
    <w:p w14:paraId="0EC6BFD7" w14:textId="77777777" w:rsidR="00154AD2" w:rsidRDefault="007F6BF3">
      <w:pPr>
        <w:pStyle w:val="P68B1DB1-Normal4"/>
        <w:keepNext/>
        <w:numPr>
          <w:ilvl w:val="0"/>
          <w:numId w:val="55"/>
        </w:numPr>
        <w:tabs>
          <w:tab w:val="left" w:pos="426"/>
        </w:tabs>
        <w:spacing w:before="40" w:after="160" w:line="259" w:lineRule="auto"/>
        <w:jc w:val="both"/>
        <w:rPr>
          <w:rFonts w:eastAsia="Times New Roman" w:cs="Times New Roman"/>
          <w:noProof/>
        </w:rPr>
      </w:pPr>
      <w:r>
        <w:rPr>
          <w:noProof/>
        </w:rPr>
        <w:t>Δεύτερον, άλλες επιμέρους επενδύσεις στοχεύουν στην επέκταση των τομέων παρέμβασης των ομάδων κέντρων υγείας, αυξάνοντας έτσι την ικανότητα αντίδρασης αυτού του επιπέδου υγειονομικής περίθαλψης και ενισχύοντας την προσφορά ιατρικών ειδικοτήτων μέσω της ενίσχυσης της εξειδικευμένης και ομαδικής εργασίας στις μονάδες υγείας. Αναλυτικότερα, τα εν λόγω μέτρα περιλαμβάνουν: I) την εγκατάσταση οδοντιατρικών γραφείων στα κέντρα υγείας· II) δημιουργία ολοκληρωμένων διαγνωστικών κέντρων (συμπεριλαμβανομένων τουλάχιστον ακτινολογικών και κλινικών αναλύσεων) σε ομάδες κέντρων υγείας· III) δημιουργία υπηρεσιών αποκατάστασης στα κέντρα υγείας (κατάλληλοι φυσικοί χώροι και αποκατάσταση, διεπιστημονικές και διεπιστημονικές ομάδες)· IV) παροχή εξοπλισμού σε όλα τα κέντρα υγείας (σάκος έκτακτης ανάγκης, απινιδωτή και συσκευή παρακολούθησης ζωτικών σημάτων) για την εξειδικευμένη αντιμετώπιση καταστάσεων έκτακτης ανάγκης (βασική υποστήριξη ζωής)· και v) τόνωση της ώθησης του προγράμματος για τη μείωση της ανεπαρκούς και/ή αποτρέψιμης χρήσης των υπηρεσιών επείγουσας υγειονομικής περίθαλψης.</w:t>
      </w:r>
    </w:p>
    <w:p w14:paraId="79BA5279" w14:textId="43FCD498" w:rsidR="00154AD2" w:rsidRDefault="007F6BF3">
      <w:pPr>
        <w:pStyle w:val="P68B1DB1-Normal4"/>
        <w:keepNext/>
        <w:numPr>
          <w:ilvl w:val="0"/>
          <w:numId w:val="55"/>
        </w:numPr>
        <w:tabs>
          <w:tab w:val="left" w:pos="426"/>
        </w:tabs>
        <w:spacing w:before="40" w:after="160" w:line="259" w:lineRule="auto"/>
        <w:jc w:val="both"/>
        <w:rPr>
          <w:rFonts w:eastAsia="Times New Roman" w:cs="Times New Roman"/>
          <w:noProof/>
        </w:rPr>
      </w:pPr>
      <w:r>
        <w:rPr>
          <w:noProof/>
        </w:rPr>
        <w:t>Τρίτον, περαιτέρω επιμέρους επενδύσεις προβλέπουν την αναβάθμιση των εγκαταστάσεων και του εξοπλισμού των κέντρων υγείας, την αύξηση της ενεργειακής απόδοσης, τη διασφάλιση συνθηκών προσβασιμότητας, ποιότητας, άνεσης και ασφάλειας για τους ασθενείς και τους επαγγελματίες, και την προσαρμογή τους σε νέα μοντέλα παροχής υγειονομικής περίθαλψης. Αναλυτικά, τα μέτρα αυτά περιλαμβάνουν, μεταξύ άλλων: I) δημιουργία 124 νέων κέντρων υγείας· II) ανακαίνιση ή προσαρμογή 347 εγκαταστάσεων υγείας για την αύξηση της ενεργειακής απόδοσης, τη συμμόρφωση με τα σχέδια έκτακτης ανάγκης και τη διασφάλιση της προσβασιμότητας, της υγειονομικής ασφάλειας και της άνεσης· και iii) αναβάθμιση του υγειονομικού εξοπλισμού.</w:t>
      </w:r>
    </w:p>
    <w:p w14:paraId="7BFAF513" w14:textId="77777777" w:rsidR="00154AD2" w:rsidRDefault="007F6BF3">
      <w:pPr>
        <w:pStyle w:val="P68B1DB1-Normal4"/>
        <w:keepNext/>
        <w:numPr>
          <w:ilvl w:val="0"/>
          <w:numId w:val="55"/>
        </w:numPr>
        <w:tabs>
          <w:tab w:val="left" w:pos="426"/>
        </w:tabs>
        <w:spacing w:before="40" w:after="160" w:line="259" w:lineRule="auto"/>
        <w:jc w:val="both"/>
        <w:rPr>
          <w:rFonts w:eastAsia="Times New Roman" w:cs="Times New Roman"/>
          <w:noProof/>
        </w:rPr>
      </w:pPr>
      <w:r>
        <w:rPr>
          <w:noProof/>
        </w:rPr>
        <w:t>Τέταρτον, οι πρόσθετες επιμέρους επενδύσεις θα επικεντρωθούν στην ενίσχυση των αντιδράσεων εγγύτητας, με έμφαση στη φροντίδα σε επίπεδο χώρας και κοινότητας, στην παρέμβαση στους πληθυσμούς που διατρέχουν τον μεγαλύτερο κίνδυνο και στην προώθηση της αποϊδρυματοποίησης και της εξωνοσοκομειακής περίθαλψης. Αναλυτικότερα, τα εν λόγω μέτρα περιλαμβάνουν: I) παροχή ηλεκτρικών οχημάτων στα κέντρα υγείας για την υποστήριξη της παροχής φροντίδας κατ’ οίκον· την επέκταση του αριθμού των κινητών μονάδων ώστε να καλύπτει τις περιφέρειες χαμηλής πυκνότητας· III) παροχή τεχνικών προϋποθέσεων στα κέντρα υγείας για τη διενέργεια τηλεμεταδόσεων και τηλεπαρακολούθησης χρόνιων παθήσεων, όπως η καρδιακή ανεπάρκεια· ενίσχυση των κοινοτικών μονάδων φροντίδας και των ομάδων ολοκληρωμένης συνεχούς φροντίδας· σύσταση κοινοτικών ομάδων για την υποστήριξη της παρηγορητικής περίθαλψης σε ομάδες κέντρων υγείας· και vi) δημιουργία προγραμμάτων ψυχοκοινωνικής παρέμβασης σε κοινές ψυχικές ασθένειες (κατάθλιψη και άγχος) σε ομάδες κέντρων υγείας.</w:t>
      </w:r>
    </w:p>
    <w:p w14:paraId="6598C353" w14:textId="351C8CDE" w:rsidR="00154AD2" w:rsidRDefault="007F6BF3">
      <w:pPr>
        <w:pStyle w:val="P68B1DB1-Normal4"/>
        <w:keepNext/>
        <w:tabs>
          <w:tab w:val="left" w:pos="426"/>
        </w:tabs>
        <w:spacing w:before="40" w:after="0" w:line="259" w:lineRule="auto"/>
        <w:jc w:val="both"/>
        <w:rPr>
          <w:rFonts w:eastAsiaTheme="minorEastAsia" w:cs="Times New Roman"/>
          <w:noProof/>
        </w:rPr>
      </w:pPr>
      <w:r>
        <w:rPr>
          <w:noProof/>
        </w:rPr>
        <w:t>Η υλοποίηση της επένδυσης θα ολοκληρωθεί έως τις 30 Ιουνίου 2026.</w:t>
      </w:r>
    </w:p>
    <w:p w14:paraId="2354E762" w14:textId="0B3D6010" w:rsidR="00154AD2" w:rsidRDefault="00154AD2">
      <w:pPr>
        <w:keepNext/>
        <w:tabs>
          <w:tab w:val="left" w:pos="426"/>
        </w:tabs>
        <w:spacing w:before="40" w:after="0" w:line="259" w:lineRule="auto"/>
        <w:jc w:val="both"/>
        <w:rPr>
          <w:rFonts w:ascii="Times New Roman" w:eastAsiaTheme="minorEastAsia" w:hAnsi="Times New Roman" w:cs="Times New Roman"/>
          <w:noProof/>
          <w:sz w:val="24"/>
        </w:rPr>
      </w:pPr>
    </w:p>
    <w:p w14:paraId="4C9B07E6" w14:textId="77777777" w:rsidR="00154AD2" w:rsidRDefault="00154AD2">
      <w:pPr>
        <w:keepNext/>
        <w:tabs>
          <w:tab w:val="left" w:pos="426"/>
        </w:tabs>
        <w:spacing w:before="40" w:after="0" w:line="259" w:lineRule="auto"/>
        <w:jc w:val="both"/>
        <w:rPr>
          <w:rFonts w:ascii="Times New Roman" w:eastAsia="Times New Roman" w:hAnsi="Times New Roman" w:cs="Times New Roman"/>
          <w:noProof/>
          <w:sz w:val="24"/>
        </w:rPr>
      </w:pPr>
    </w:p>
    <w:p w14:paraId="308A36DF" w14:textId="77777777" w:rsidR="00154AD2" w:rsidRDefault="007F6BF3">
      <w:pPr>
        <w:pStyle w:val="P68B1DB1-Normal5"/>
        <w:keepNext/>
        <w:spacing w:before="240" w:after="0" w:line="259" w:lineRule="auto"/>
        <w:ind w:left="851"/>
        <w:jc w:val="both"/>
        <w:outlineLvl w:val="2"/>
        <w:rPr>
          <w:rFonts w:eastAsia="Times New Roman" w:cs="Times New Roman"/>
          <w:noProof/>
        </w:rPr>
      </w:pPr>
      <w:r>
        <w:rPr>
          <w:noProof/>
        </w:rPr>
        <w:t>Επένδυση RE-C01-i02: Εθνικό Δίκτυο Ολοκληρωμένης Συνεχής Φροντίδας και Εθνικό Δίκτυο Παροχής Φροντίδας</w:t>
      </w:r>
    </w:p>
    <w:p w14:paraId="4167DC2F" w14:textId="77777777" w:rsidR="00154AD2" w:rsidRDefault="007F6BF3">
      <w:pPr>
        <w:pStyle w:val="P68B1DB1-Normal4"/>
        <w:keepNext/>
        <w:spacing w:before="40" w:after="0" w:line="259" w:lineRule="auto"/>
        <w:jc w:val="both"/>
        <w:rPr>
          <w:rFonts w:eastAsia="Times New Roman" w:cs="Times New Roman"/>
          <w:noProof/>
        </w:rPr>
      </w:pPr>
      <w:r>
        <w:rPr>
          <w:noProof/>
        </w:rPr>
        <w:t>Στόχος της επένδυσης είναι η αναβάθμιση των εθνικών δικτύων παρηγορητικής και ολοκληρωμένης συνεχούς περίθαλψης, όσον αφορά τόσο την ενδονοσοκομειακή όσο και την εξωνοσοκομειακή περίθαλψη, καθώς και την κατ’ οίκον περίθαλψη. Η επένδυση υποστηρίζεται από τη μεταρρύθμιση της εθνικής στρατηγικής για την ένταξη των ατόμων με αναπηρία που παρουσιάζεται στη συνιστώσα 3 σχετικά με τις κοινωνικές απαντήσεις και αποτελεί μέρος της στρατηγικής αποϊδρυματοποίησης της Πορτογαλίας και της συνολικής προσπάθειας για την αντιμετώπιση των δυσμενών δημογραφικών τάσεων που αντιμετωπίζει η χώρα.</w:t>
      </w:r>
    </w:p>
    <w:p w14:paraId="4876C261" w14:textId="5574ACD9" w:rsidR="00154AD2" w:rsidRDefault="007F6BF3">
      <w:pPr>
        <w:pStyle w:val="P68B1DB1-Normal4"/>
        <w:keepNext/>
        <w:spacing w:before="40" w:after="0" w:line="259" w:lineRule="auto"/>
        <w:jc w:val="both"/>
        <w:rPr>
          <w:rFonts w:eastAsia="Times New Roman" w:cs="Times New Roman"/>
          <w:noProof/>
        </w:rPr>
      </w:pPr>
      <w:r>
        <w:rPr>
          <w:noProof/>
        </w:rPr>
        <w:t>Η επένδυση συνίσταται σε ένα διαρθρωμένο και σταδιακό πρόγραμμα για την παροχή χρηματοδοτικής στήριξης σε φορείς υλοποίησης από τον δημόσιο, τον κοινωνικό ή τον ιδιωτικό τομέα, με σκοπό: I) επέκταση του εθνικού δικτύου ολοκληρωμένης συνεχούς φροντίδας κατά 5 500 κλίνες (είτε σε υφιστάμενες είτε σε νέες μονάδες)· II) δημιουργία μονάδων 20 ημερών για την προώθηση της αυτονομίας, με σκοπό την παρακολούθηση 500 εξωτερικών ασθενών· να συγκροτήσουν 50 κατ’ οίκον ομάδες ολοκληρωμένης συνεχούς περίθαλψης, προκειμένου να ανταποκριθούν σε 1 000 ασθενείς κατ’ οίκον (συμπεριλαμβανομένου του εξοπλισμού και των ηλεκτρικών οχημάτων)· να επεκτείνουν τις ολοκληρωμένες αποκρίσεις στον τομέα της ψυχικής υγείας σε 1 000 θέσεις, σε 50 κατοικίες και κοινωνικοεπαγγελματικές μονάδες (στήριξη για την κατασκευή νέων αποκρίσεων ή επέκταση υφιστάμενων αποκρίσεων)· V) δημιουργία έως 100 θέσεων σε 10 κατ’ οίκον ομάδες υποστήριξης της ψυχικής υγείας (υποστήριξη για την απόκτηση των απαραίτητων υλικών πόρων και ηλεκτρικών οχημάτων για τη δραστηριότητα των ομάδων)· VI) να επεκτείνει το εθνικό δίκτυο για την ανακουφιστική περίθαλψη με 20 μονάδες ενδονοσοκομειακής περίθαλψης χαμηλής πολυπλοκότητας για την ανταπόκριση σε 400 ασθενείς· και vii) δημιουργία έως και 100 θέσεων σε 10 κοινοτικές ομάδες παρηγορητικής φροντίδας (υποστήριξη για την απόκτηση των απαραίτητων υλικών πόρων και ηλεκτρικών οχημάτων για τη δραστηριότητα των ομάδων).</w:t>
      </w:r>
    </w:p>
    <w:p w14:paraId="0F0BCBC6" w14:textId="77777777" w:rsidR="00154AD2" w:rsidRDefault="007F6BF3">
      <w:pPr>
        <w:pStyle w:val="P68B1DB1-Normal4"/>
        <w:keepNext/>
        <w:spacing w:before="40" w:after="0" w:line="259" w:lineRule="auto"/>
        <w:jc w:val="both"/>
        <w:rPr>
          <w:rFonts w:eastAsia="Times New Roman" w:cs="Times New Roman"/>
          <w:noProof/>
        </w:rPr>
      </w:pPr>
      <w:r>
        <w:rPr>
          <w:noProof/>
        </w:rPr>
        <w:t>Η υλοποίηση της επένδυσης θα ολοκληρωθεί έως τις 31 Δεκεμβρίου 2025.</w:t>
      </w:r>
    </w:p>
    <w:p w14:paraId="529517D0" w14:textId="77777777" w:rsidR="00154AD2" w:rsidRDefault="007F6BF3">
      <w:pPr>
        <w:pStyle w:val="P68B1DB1-Normal5"/>
        <w:keepNext/>
        <w:spacing w:before="240" w:after="0" w:line="259" w:lineRule="auto"/>
        <w:ind w:left="851"/>
        <w:jc w:val="both"/>
        <w:outlineLvl w:val="2"/>
        <w:rPr>
          <w:rFonts w:eastAsia="Times New Roman" w:cs="Times New Roman"/>
          <w:noProof/>
        </w:rPr>
      </w:pPr>
      <w:r>
        <w:rPr>
          <w:noProof/>
        </w:rPr>
        <w:t>Επένδυση RE-C01-i03: Ολοκλήρωση της μεταρρύθμισης της ψυχικής υγείας και εφαρμογή της στρατηγικής για την άνοια</w:t>
      </w:r>
    </w:p>
    <w:p w14:paraId="3CBF58D6" w14:textId="77777777" w:rsidR="00154AD2" w:rsidRDefault="007F6BF3">
      <w:pPr>
        <w:pStyle w:val="P68B1DB1-Normal4"/>
        <w:keepNext/>
        <w:spacing w:before="40" w:after="0" w:line="259" w:lineRule="auto"/>
        <w:jc w:val="both"/>
        <w:rPr>
          <w:rFonts w:eastAsia="Times New Roman" w:cs="Times New Roman"/>
          <w:noProof/>
        </w:rPr>
      </w:pPr>
      <w:r>
        <w:rPr>
          <w:noProof/>
        </w:rPr>
        <w:t>Στόχος της επένδυσης είναι η στήριξη της υλοποίησης της μεταρρύθμισης των υπηρεσιών ψυχικής υγείας, συμβάλλοντας έτσι στην επέκταση και ενίσχυση της ικανότητας αντίδρασης του Εθνικού Συστήματος Υγείας στον τομέα της ψυχικής υγείας.</w:t>
      </w:r>
    </w:p>
    <w:p w14:paraId="13BFCE28" w14:textId="77777777" w:rsidR="00154AD2" w:rsidRDefault="007F6BF3">
      <w:pPr>
        <w:pStyle w:val="P68B1DB1-Normal4"/>
        <w:keepNext/>
        <w:spacing w:before="40" w:after="0" w:line="259" w:lineRule="auto"/>
        <w:jc w:val="both"/>
        <w:rPr>
          <w:rFonts w:eastAsia="Times New Roman" w:cs="Times New Roman"/>
          <w:noProof/>
        </w:rPr>
      </w:pPr>
      <w:r>
        <w:rPr>
          <w:noProof/>
        </w:rPr>
        <w:t>Η επένδυση συνίσταται σε συμπληρωματικές επιμέρους επενδύσεις σε εγκαταστάσεις, δομές και ανθρώπινους πόρους, και συγκεκριμένα: I) δημιουργία υπηρεσιών στέγασης στην κοινότητα που επιτρέπουν την αποϊδρυματοποίηση ασθενών που διαμένουν σε ψυχιατρικά νοσοκομεία ή στον κοινωνικό τομέα, οι οποίοι δεν επωφελούνται από την προσφορά του εθνικού δικτύου ολοκληρωμένης συνεχούς περίθαλψης, συμπεριλαμβανομένης της αύξησης κατά 500 θέσεις ψυχιατρικής περίθαλψης στο εθνικό δίκτυο ολοκληρωμένης συνεχούς περίθαλψης στον τομέα της ψυχικής υγείας· κατασκευή τεσσάρων μονάδων ενδονοσοκομειακής περίθαλψης σε γενικά νοσοκομεία, με εξάλειψη της οξείας στέγασης σε ψυχιατρικά νοσοκομεία· δημιουργία 15 ολοκληρωμένων κέντρων ευθύνης για την υπέρβαση των εμποδίων στην παροχή εξωνοσοκομειακής περίθαλψης, με μεγαλύτερο βαθμό αυτονομίας και λογοδοσίας· IV) ανακαίνιση 20 υφιστάμενων εγκαταστάσεων τοπικών υπηρεσιών ψυχικής υγείας· V) σχηματισμός 40 κοινοτικών ομάδων ψυχικής υγείας· VI) επανασχεδιασμός, επέκταση και ανακαίνιση των υπηρεσιών ιατροδικαστικής ψυχιατρικής· και vii) ανάπτυξη δράσεων ευαισθητοποίησης και κατάρτισης για την «ανάπτυξη των διαδρομών των ασθενών» στο πλαίσιο της άνοιας.</w:t>
      </w:r>
    </w:p>
    <w:p w14:paraId="405481CA" w14:textId="728AE455" w:rsidR="00154AD2" w:rsidRDefault="007F6BF3">
      <w:pPr>
        <w:pStyle w:val="P68B1DB1-Normal4"/>
        <w:keepNext/>
        <w:spacing w:before="40" w:after="0" w:line="259" w:lineRule="auto"/>
        <w:jc w:val="both"/>
        <w:rPr>
          <w:rFonts w:eastAsia="Times New Roman" w:cs="Times New Roman"/>
          <w:noProof/>
        </w:rPr>
      </w:pPr>
      <w:r>
        <w:rPr>
          <w:noProof/>
        </w:rPr>
        <w:t>Η υλοποίηση της επένδυσης θα ολοκληρωθεί έως τις 31 Δεκεμβρίου 2025.</w:t>
      </w:r>
    </w:p>
    <w:p w14:paraId="556692A7" w14:textId="5B150195" w:rsidR="00154AD2" w:rsidRDefault="00154AD2">
      <w:pPr>
        <w:keepNext/>
        <w:spacing w:before="40" w:after="0" w:line="259" w:lineRule="auto"/>
        <w:jc w:val="both"/>
        <w:rPr>
          <w:rFonts w:ascii="Times New Roman" w:eastAsia="Times New Roman" w:hAnsi="Times New Roman" w:cs="Times New Roman"/>
          <w:noProof/>
          <w:sz w:val="24"/>
        </w:rPr>
      </w:pPr>
    </w:p>
    <w:p w14:paraId="4FEAA711" w14:textId="77777777" w:rsidR="00154AD2" w:rsidRDefault="00154AD2">
      <w:pPr>
        <w:keepNext/>
        <w:spacing w:before="40" w:after="0" w:line="259" w:lineRule="auto"/>
        <w:jc w:val="both"/>
        <w:rPr>
          <w:rFonts w:ascii="Times New Roman" w:eastAsia="Times New Roman" w:hAnsi="Times New Roman" w:cs="Times New Roman"/>
          <w:noProof/>
          <w:sz w:val="24"/>
        </w:rPr>
      </w:pPr>
    </w:p>
    <w:p w14:paraId="0503F123" w14:textId="15B27731" w:rsidR="00154AD2" w:rsidRDefault="007F6BF3">
      <w:pPr>
        <w:pStyle w:val="P68B1DB1-Normal5"/>
        <w:keepNext/>
        <w:spacing w:before="240" w:after="0" w:line="259" w:lineRule="auto"/>
        <w:ind w:left="851"/>
        <w:jc w:val="both"/>
        <w:outlineLvl w:val="2"/>
        <w:rPr>
          <w:rFonts w:eastAsia="Times New Roman" w:cs="Times New Roman"/>
          <w:noProof/>
        </w:rPr>
      </w:pPr>
      <w:r>
        <w:rPr>
          <w:noProof/>
        </w:rPr>
        <w:t>Επένδυση RE-C01-i04: Κατασκευή νοσοκομείου Ανατολικής Λισαβόνας και εξοπλισμός νοσοκομείων στη Λισαβόνα και Vale do Tejo</w:t>
      </w:r>
    </w:p>
    <w:p w14:paraId="03467B86" w14:textId="790B987B" w:rsidR="00154AD2" w:rsidRDefault="007F6BF3">
      <w:pPr>
        <w:pStyle w:val="P68B1DB1-Normal4"/>
        <w:keepNext/>
        <w:spacing w:before="40" w:after="0" w:line="259" w:lineRule="auto"/>
        <w:jc w:val="both"/>
        <w:rPr>
          <w:rFonts w:eastAsia="Times New Roman" w:cs="Times New Roman"/>
          <w:noProof/>
        </w:rPr>
      </w:pPr>
      <w:r>
        <w:rPr>
          <w:noProof/>
        </w:rPr>
        <w:t>Στόχος της επένδυσης είναι να ολοκληρωθεί η κατασκευή μέρους του προγραμματισμένου νοσοκομείου της Ανατολικής Λισαβόνας και να εξοπλιστούν τα νοσοκομεία της Λισαβόνας και του Vale do Tejo, ενισχύοντας έτσι το νοσοκομειακό δίκτυο και την παροχή νοσοκομειακής περίθαλψης σε μια πυκνοκατοικημένη περιοχή όπου η ζήτηση για υπηρεσίες υγειονομικής περίθαλψης είναι σημαντική. Αυτό έχει ως στόχο να εξασφαλίσει καλύτερη πρόσβαση στην υγειονομική περίθαλψη για σημαντικό μέρος του πληθυσμού και να συμβάλει στη μείωση των ανισοτήτων και στην κοινωνική συνοχή στην περιοχή.</w:t>
      </w:r>
    </w:p>
    <w:p w14:paraId="119C3D2D" w14:textId="68C14379" w:rsidR="00154AD2" w:rsidRDefault="007F6BF3">
      <w:pPr>
        <w:pStyle w:val="P68B1DB1-Normal4"/>
        <w:keepNext/>
        <w:spacing w:before="40" w:after="0" w:line="259" w:lineRule="auto"/>
        <w:jc w:val="both"/>
        <w:rPr>
          <w:rFonts w:eastAsia="Times New Roman" w:cs="Times New Roman"/>
          <w:noProof/>
        </w:rPr>
      </w:pPr>
      <w:r>
        <w:rPr>
          <w:noProof/>
        </w:rPr>
        <w:t>Η επένδυση συνίσταται σε:</w:t>
      </w:r>
    </w:p>
    <w:p w14:paraId="25F5E9CC" w14:textId="7585701E" w:rsidR="00154AD2" w:rsidRDefault="007F6BF3">
      <w:pPr>
        <w:pStyle w:val="ListParagraph"/>
        <w:numPr>
          <w:ilvl w:val="0"/>
          <w:numId w:val="72"/>
        </w:numPr>
        <w:spacing w:before="40" w:after="0"/>
        <w:rPr>
          <w:rFonts w:eastAsia="Times New Roman"/>
          <w:noProof/>
        </w:rPr>
      </w:pPr>
      <w:r>
        <w:rPr>
          <w:noProof/>
        </w:rPr>
        <w:t xml:space="preserve"> την κατασκευή τμήματος του Νοσοκομείου Ανατολικής Λισαβόνας, δηλαδή i) του πύργου Poente, ο οποίος είναι ένας από τους πέντε πύργους του κτιρίου του κύριου νοσοκομείου, ii) της ανέγερσης στο οικόπεδο Β, το οποίο είναι αφιερωμένο, μεταξύ άλλων, σε διοικητικούς τομείς, στην Ψυχική Υγεία, τη Φυσική Ιατρική και την Αποκατάσταση, και iii) της ανέγερσης στο οικόπεδο Γ, το οποίο είναι αφιερωμένο, μεταξύ άλλων, στην Έρευνα και την Εκπαίδευση, </w:t>
      </w:r>
    </w:p>
    <w:p w14:paraId="7C5B0F72" w14:textId="2D36EDF8" w:rsidR="00154AD2" w:rsidRDefault="007F6BF3">
      <w:pPr>
        <w:pStyle w:val="ListParagraph"/>
        <w:numPr>
          <w:ilvl w:val="0"/>
          <w:numId w:val="72"/>
        </w:numPr>
        <w:spacing w:before="40" w:after="0"/>
        <w:rPr>
          <w:rFonts w:eastAsia="Times New Roman"/>
          <w:noProof/>
        </w:rPr>
      </w:pPr>
      <w:r>
        <w:rPr>
          <w:noProof/>
        </w:rPr>
        <w:t xml:space="preserve">την αγορά εξοπλισμού που θα εγκατασταθεί στο Νοσοκομείο Ανατολικής Λισαβόνας και στο νέο νοσοκομείο της Σίντρα και </w:t>
      </w:r>
    </w:p>
    <w:p w14:paraId="4C6CEAA9" w14:textId="7DDA0E9B" w:rsidR="00154AD2" w:rsidRDefault="007F6BF3">
      <w:pPr>
        <w:pStyle w:val="ListParagraph"/>
        <w:numPr>
          <w:ilvl w:val="0"/>
          <w:numId w:val="72"/>
        </w:numPr>
        <w:spacing w:before="40" w:after="0"/>
        <w:rPr>
          <w:rFonts w:eastAsia="Times New Roman"/>
          <w:noProof/>
        </w:rPr>
      </w:pPr>
      <w:r>
        <w:rPr>
          <w:noProof/>
        </w:rPr>
        <w:t>αγορά βαρέος ιατρικού εξοπλισμού που θα εγκατασταθεί σε νοσοκομεία της περιφέρειας της Λισαβόνας και του Vale do Tejo.</w:t>
      </w:r>
    </w:p>
    <w:p w14:paraId="41FD72CF" w14:textId="14FAD427" w:rsidR="00154AD2" w:rsidRDefault="007F6BF3">
      <w:pPr>
        <w:pStyle w:val="P68B1DB1-Normal4"/>
        <w:spacing w:before="40" w:after="0"/>
        <w:ind w:left="420"/>
        <w:rPr>
          <w:rFonts w:eastAsia="Times New Roman" w:cs="Times New Roman"/>
          <w:noProof/>
        </w:rPr>
      </w:pPr>
      <w:r>
        <w:rPr>
          <w:noProof/>
        </w:rPr>
        <w:t>Ο εξοπλισμός που θα εγκατασταθεί στο Νοσοκομείο Ανατολικής Λισαβόνας και στο νέο νοσοκομείο της Σίντρα περιλαμβάνει: I) κλινικός, ιατρικός και υψηλής τεχνολογίας εξοπλισμός· II) γενικός εξοπλισμός, συμπεριλαμβανομένων των ειδικών επίπλων· και iii) εξοπλισμό πληροφορικής.</w:t>
      </w:r>
    </w:p>
    <w:p w14:paraId="6CDC5B0F" w14:textId="21852E7C" w:rsidR="00154AD2" w:rsidRDefault="007F6BF3">
      <w:pPr>
        <w:pStyle w:val="P68B1DB1-Normal4"/>
        <w:spacing w:before="40" w:after="0"/>
        <w:ind w:left="420"/>
        <w:rPr>
          <w:rFonts w:eastAsia="Times New Roman" w:cs="Times New Roman"/>
          <w:noProof/>
        </w:rPr>
        <w:sectPr w:rsidR="00154AD2" w:rsidSect="00787826">
          <w:headerReference w:type="even" r:id="rId24"/>
          <w:headerReference w:type="default" r:id="rId25"/>
          <w:footerReference w:type="even" r:id="rId26"/>
          <w:footerReference w:type="default" r:id="rId27"/>
          <w:headerReference w:type="first" r:id="rId28"/>
          <w:footerReference w:type="first" r:id="rId29"/>
          <w:pgSz w:w="11907" w:h="16839"/>
          <w:pgMar w:top="1134" w:right="1134" w:bottom="1134" w:left="1134" w:header="567" w:footer="567" w:gutter="0"/>
          <w:cols w:space="720"/>
          <w:docGrid w:linePitch="360"/>
        </w:sectPr>
      </w:pPr>
      <w:r>
        <w:rPr>
          <w:noProof/>
        </w:rPr>
        <w:t>Η υλοποίηση της επένδυσης θα ολοκληρωθεί έως τις 30 Ιουνίου 2026.</w:t>
      </w:r>
    </w:p>
    <w:p w14:paraId="5E298467" w14:textId="77777777" w:rsidR="00154AD2" w:rsidRDefault="00154AD2">
      <w:pPr>
        <w:spacing w:before="40" w:after="0"/>
        <w:ind w:left="420"/>
        <w:rPr>
          <w:rFonts w:ascii="Times New Roman" w:eastAsia="Times New Roman" w:hAnsi="Times New Roman" w:cs="Times New Roman"/>
          <w:noProof/>
          <w:sz w:val="24"/>
        </w:rPr>
      </w:pPr>
    </w:p>
    <w:p w14:paraId="65A51627" w14:textId="77777777" w:rsidR="00154AD2" w:rsidRDefault="00154AD2">
      <w:pPr>
        <w:spacing w:before="40" w:after="0"/>
        <w:ind w:left="420"/>
        <w:rPr>
          <w:rFonts w:ascii="Times New Roman" w:eastAsia="Times New Roman" w:hAnsi="Times New Roman" w:cs="Times New Roman"/>
          <w:noProof/>
          <w:sz w:val="24"/>
        </w:rPr>
      </w:pPr>
    </w:p>
    <w:p w14:paraId="222CB904" w14:textId="77777777" w:rsidR="00154AD2" w:rsidRDefault="00154AD2">
      <w:pPr>
        <w:spacing w:before="40" w:after="0"/>
        <w:ind w:left="420"/>
        <w:rPr>
          <w:rFonts w:ascii="Times New Roman" w:eastAsia="Times New Roman" w:hAnsi="Times New Roman" w:cs="Times New Roman"/>
          <w:noProof/>
          <w:sz w:val="24"/>
        </w:rPr>
      </w:pPr>
    </w:p>
    <w:p w14:paraId="79B3BC9F" w14:textId="77777777" w:rsidR="00154AD2" w:rsidRDefault="007F6BF3">
      <w:pPr>
        <w:pStyle w:val="P68B1DB1-Normal5"/>
        <w:keepNext/>
        <w:spacing w:before="240" w:after="0" w:line="259" w:lineRule="auto"/>
        <w:ind w:left="851"/>
        <w:jc w:val="both"/>
        <w:outlineLvl w:val="2"/>
        <w:rPr>
          <w:rFonts w:eastAsia="Times New Roman" w:cs="Times New Roman"/>
          <w:noProof/>
        </w:rPr>
      </w:pPr>
      <w:r>
        <w:rPr>
          <w:noProof/>
        </w:rPr>
        <w:t>Επένδυση RE-C01-i05-RAM: Ενίσχυση της περιφερειακής υπηρεσίας υγείας της Μαδέρας</w:t>
      </w:r>
    </w:p>
    <w:p w14:paraId="7F581BEA" w14:textId="77777777" w:rsidR="00154AD2" w:rsidRDefault="007F6BF3">
      <w:pPr>
        <w:pStyle w:val="P68B1DB1-Normal4"/>
        <w:keepNext/>
        <w:spacing w:before="40" w:after="0" w:line="259" w:lineRule="auto"/>
        <w:jc w:val="both"/>
        <w:rPr>
          <w:rFonts w:eastAsia="Times New Roman" w:cs="Times New Roman"/>
          <w:noProof/>
        </w:rPr>
      </w:pPr>
      <w:r>
        <w:rPr>
          <w:noProof/>
        </w:rPr>
        <w:t>Στόχος της επένδυσης αυτής είναι η υλοποίηση του στρατηγικού σχεδίου για το περιφερειακό σύστημα υγείας της αυτόνομης περιφέρειας της Μαδέρας και της περιφερειακής στρατηγικής για την προαγωγή της ψυχικής υγείας.</w:t>
      </w:r>
    </w:p>
    <w:p w14:paraId="7233DF75" w14:textId="75A994D0" w:rsidR="00154AD2" w:rsidRDefault="007F6BF3">
      <w:pPr>
        <w:pStyle w:val="P68B1DB1-Normal4"/>
        <w:keepNext/>
        <w:spacing w:before="40" w:after="0" w:line="259" w:lineRule="auto"/>
        <w:jc w:val="both"/>
        <w:rPr>
          <w:rFonts w:eastAsia="Times New Roman" w:cs="Times New Roman"/>
          <w:noProof/>
        </w:rPr>
      </w:pPr>
      <w:r>
        <w:rPr>
          <w:noProof/>
        </w:rPr>
        <w:t>Η επένδυση συνίσταται σε δύο επιμέρους επενδύσεις. Πρώτον, περιλαμβάνει επιμέρους επένδυση για την επέκταση, την ανάπτυξη και τη βελτίωση του περιφερειακού δικτύου ολοκληρωμένης συνεχούς φροντίδας, μεταξύ άλλων με την ανακαίνιση και την επέκταση του αριθμού των θέσεων σε όλες τις τυπολογίες τους σύμφωνα με την αρχή της αποϊδρυματοποίησης, σε συνεργασία με τον ιδιωτικό και τον κοινωνικό τομέα, και σε περιοχές που χαρακτηρίζονται από οξύτερη δημογραφική γήρανση και/ή λιγότερο εγκατεστημένη δυναμικότητα. Δεύτερον, περιλαμβάνει επίσης επιμέρους επένδυση για την ενίσχυση της ικανότητας αντίδρασης στον τομέα της ψυχικής υγείας και της άνοιας που συνδέεται με τη γήρανση, συμπεριλαμβανομένης της αναβάθμισης των υποδομών και του εξοπλισμού σε εγκαταστάσεις νοσοκομειακής και πρωτοβάθμιας περίθαλψης, της παροχής νέων χώρων για κατ’ οίκον νοσηλεία και ημερήσιες νοσοκομειακές υπηρεσίες, καθώς και της σύστασης κοινοτικών ομάδων ψυχικής υγείας.</w:t>
      </w:r>
    </w:p>
    <w:p w14:paraId="4B108AA8" w14:textId="77777777" w:rsidR="00154AD2" w:rsidRDefault="007F6BF3">
      <w:pPr>
        <w:pStyle w:val="P68B1DB1-Normal4"/>
        <w:keepNext/>
        <w:spacing w:before="40" w:after="0" w:line="259" w:lineRule="auto"/>
        <w:jc w:val="both"/>
        <w:rPr>
          <w:rFonts w:eastAsia="Times New Roman" w:cs="Times New Roman"/>
          <w:noProof/>
        </w:rPr>
      </w:pPr>
      <w:r>
        <w:rPr>
          <w:noProof/>
        </w:rPr>
        <w:t>Η υλοποίηση της επένδυσης θα ολοκληρωθεί έως τις 30 Ιουνίου 2026.</w:t>
      </w:r>
    </w:p>
    <w:p w14:paraId="54A4324F" w14:textId="77777777" w:rsidR="00154AD2" w:rsidRDefault="007F6BF3">
      <w:pPr>
        <w:pStyle w:val="P68B1DB1-Normal5"/>
        <w:keepNext/>
        <w:spacing w:before="240" w:after="0" w:line="259" w:lineRule="auto"/>
        <w:ind w:left="851"/>
        <w:jc w:val="both"/>
        <w:outlineLvl w:val="2"/>
        <w:rPr>
          <w:rFonts w:eastAsia="Times New Roman" w:cs="Times New Roman"/>
          <w:noProof/>
        </w:rPr>
      </w:pPr>
      <w:r>
        <w:rPr>
          <w:noProof/>
        </w:rPr>
        <w:t>Επένδυση RE-C01-i06: Μετάβαση στην ψηφιακή υγεία</w:t>
      </w:r>
    </w:p>
    <w:p w14:paraId="3A2AF464" w14:textId="77777777" w:rsidR="00154AD2" w:rsidRDefault="007F6BF3">
      <w:pPr>
        <w:pStyle w:val="P68B1DB1-Normal4"/>
        <w:keepNext/>
        <w:spacing w:before="40" w:after="0" w:line="259" w:lineRule="auto"/>
        <w:jc w:val="both"/>
        <w:rPr>
          <w:rFonts w:eastAsia="Times New Roman" w:cs="Times New Roman"/>
          <w:noProof/>
        </w:rPr>
      </w:pPr>
      <w:r>
        <w:rPr>
          <w:noProof/>
        </w:rPr>
        <w:t>Αυτός ο στόχος της επένδυσης είναι η αντιμετώπιση των σημείων συμφόρησης που εμποδίζουν την ψηφιακή μετάβαση στο Εθνικό Σύστημα Υγείας, συμπεριλαμβανομένης της έλλειψης κατάλληλου υλισμικού και λογισμικού στη διάθεση των εργαζομένων στον τομέα της υγειονομικής περίθαλψης, η ενίσχυση της τυποποίησης των συστημάτων πληροφοριών στο Εθνικό Σύστημα Υγείας και η βελτίωση της εμπειρίας των χρηστών και της πρόσβασης σε δεδομένα.</w:t>
      </w:r>
    </w:p>
    <w:p w14:paraId="1CEE6531" w14:textId="77777777" w:rsidR="00154AD2" w:rsidRDefault="007F6BF3">
      <w:pPr>
        <w:pStyle w:val="P68B1DB1-Normal4"/>
        <w:keepNext/>
        <w:spacing w:before="40" w:after="0" w:line="259" w:lineRule="auto"/>
        <w:jc w:val="both"/>
        <w:rPr>
          <w:rFonts w:eastAsia="Times New Roman" w:cs="Times New Roman"/>
          <w:noProof/>
        </w:rPr>
      </w:pPr>
      <w:r>
        <w:rPr>
          <w:noProof/>
        </w:rPr>
        <w:t>Η επένδυση αποτελείται από τέσσερις επιμέρους επενδύσεις. Πρώτον, το δίκτυο δεδομένων υγείας ενισχύεται, με σκοπό τη βελτίωση της ποιότητας των υπηρεσιών και της ανθεκτικότητας των συστημάτων πληροφορικής που είναι διαθέσιμα στο Εθνικό Σύστημα Υγείας, διευκολύνοντας τη χρήση δεδομένων σε συστήματα υποστήριξης αποφάσεων, διασφαλίζοντας τη διαλειτουργικότητα μεταξύ των διαφόρων συστημάτων πληροφοριών και τη συμμόρφωση με τις κατάλληλες αρχές ασφάλειας. Δεύτερον, η επικοινωνία μεταξύ πολιτών και μονάδων υγείας απλουστεύεται, τυποποιείται και ψηφιοποιείται μέσω ηλεκτρονικών εργαλείων, όπως μια πλατφόρμα με επίκεντρο τον πολίτη και εργαλεία τηλευγείας για την αύξηση της πρόσβασης στην υγειονομική περίθαλψη. Τρίτον, αναβαθμισμένα και διαλειτουργικά εργαλεία που διατίθενται στους επαγγελματίες του τομέα της υγείας (π.χ. πλατφόρμες τηλεπαρακολούθησης και τηλεαποκατάστασης, και συστήματα που ενισχύουν τη φορητότητα των δεδομένων μεταξύ πρωτοβάθμιας περίθαλψης, νοσοκομείων και ολοκληρωμένων εγκαταστάσεων συνεχούς περίθαλψης) και σχετική κατάρτιση σε ψηφιακές δεξιότητες. Τέταρτον, προωθείται η ψηφιοποίηση των κλινικών μητρώων, με σκοπό την εκτέλεση δραστηριοτήτων παρακολούθησης των επιδόσεων του Εθνικού Συστήματος Υγείας.</w:t>
      </w:r>
    </w:p>
    <w:p w14:paraId="00ACB982" w14:textId="05BED5B2" w:rsidR="00154AD2" w:rsidRDefault="007F6BF3">
      <w:pPr>
        <w:pStyle w:val="P68B1DB1-Normal4"/>
        <w:keepNext/>
        <w:spacing w:before="40" w:after="0" w:line="259" w:lineRule="auto"/>
        <w:jc w:val="both"/>
        <w:rPr>
          <w:rFonts w:eastAsia="Times New Roman" w:cs="Times New Roman"/>
          <w:noProof/>
        </w:rPr>
      </w:pPr>
      <w:r>
        <w:rPr>
          <w:noProof/>
        </w:rPr>
        <w:t>Η υλοποίηση της επένδυσης θα ολοκληρωθεί έως τις 30 Ιουνίου 2025.</w:t>
      </w:r>
    </w:p>
    <w:p w14:paraId="7D55663F" w14:textId="77777777"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Επένδυση RE-C01-i07-RAM: Ψηφιοποίηση της Περιφερειακής Υπηρεσίας Υγείας της Μαδέρας</w:t>
      </w:r>
    </w:p>
    <w:p w14:paraId="50407DAA" w14:textId="6CE36D09" w:rsidR="00154AD2" w:rsidRDefault="007F6BF3">
      <w:pPr>
        <w:pStyle w:val="P68B1DB1-Normal4"/>
        <w:keepNext/>
        <w:spacing w:before="40" w:after="0" w:line="259" w:lineRule="auto"/>
        <w:jc w:val="both"/>
        <w:rPr>
          <w:rFonts w:eastAsia="Times New Roman" w:cs="Times New Roman"/>
          <w:noProof/>
        </w:rPr>
      </w:pPr>
      <w:r>
        <w:rPr>
          <w:noProof/>
        </w:rPr>
        <w:t>Στόχος της επένδυσης αυτής είναι η προώθηση της ψηφιοποίησης της περιφερειακής υπηρεσίας υγείας της Μαδέρας, μέσω της ανάπτυξης ψηφιακών τεχνολογιών για τη στήριξη της ποιότητας και της αποδοτικότητας των υπηρεσιών υγειονομικής περίθαλψης, και της ενδυνάμωσης των επαγγελματιών του τομέα της υγείας και των πολιτών.</w:t>
      </w:r>
    </w:p>
    <w:p w14:paraId="5521D506" w14:textId="0518B0F6" w:rsidR="00154AD2" w:rsidRDefault="007F6BF3">
      <w:pPr>
        <w:pStyle w:val="P68B1DB1-Normal4"/>
        <w:keepNext/>
        <w:spacing w:before="40" w:after="0" w:line="259" w:lineRule="auto"/>
        <w:jc w:val="both"/>
        <w:rPr>
          <w:rFonts w:eastAsia="Times New Roman" w:cs="Times New Roman"/>
          <w:noProof/>
        </w:rPr>
      </w:pPr>
      <w:r>
        <w:rPr>
          <w:noProof/>
        </w:rPr>
        <w:t>Η επένδυση συνίσταται σε διάφορα έργα, μεταξύ των οποίων: εφαρμογή ψηφιακών τεχνολογιών για την υποστήριξη της παρακολούθησης των ασθενών, την εντατικοποίηση των ραντεβού τηλευγείας και την τηλεπαρακολούθηση της κατάστασης της υγείας των πολιτών· ενίσχυση των ψηφιακών τεχνολογιών και της τεχνητής νοημοσύνης για την επιδημιολογική επιτήρηση· την αύξηση της ψηφιοποίησης της υγείας και τη βελτίωση της διαλειτουργικότητας των συστημάτων πληροφοριών· βελτίωση της πρόσβασης των πολιτών σε πληροφορίες και υπηρεσίες υγείας με ψηφιακά μέσα· και v) κατάρτιση των πολιτών και των ενδιαφερόμενων μερών ώστε να χρησιμοποιούν τους πόρους ψηφιακής υγείας στον τομέα της υγείας.</w:t>
      </w:r>
    </w:p>
    <w:p w14:paraId="4184B02B" w14:textId="548FE233" w:rsidR="00154AD2" w:rsidRDefault="007F6BF3">
      <w:pPr>
        <w:pStyle w:val="P68B1DB1-Normal4"/>
        <w:keepNext/>
        <w:spacing w:before="40" w:after="0" w:line="259" w:lineRule="auto"/>
        <w:jc w:val="both"/>
        <w:rPr>
          <w:rFonts w:eastAsia="Times New Roman" w:cs="Times New Roman"/>
          <w:noProof/>
        </w:rPr>
      </w:pPr>
      <w:r>
        <w:rPr>
          <w:noProof/>
        </w:rPr>
        <w:t>Η υλοποίηση της επένδυσης θα ολοκληρωθεί έως τις 31 Δεκεμβρίου 2024.</w:t>
      </w:r>
    </w:p>
    <w:p w14:paraId="36606E5C" w14:textId="77777777" w:rsidR="00154AD2" w:rsidRDefault="007F6BF3">
      <w:pPr>
        <w:pStyle w:val="P68B1DB1-Normal5"/>
        <w:keepNext/>
        <w:spacing w:before="240" w:after="0" w:line="259" w:lineRule="auto"/>
        <w:ind w:left="851"/>
        <w:jc w:val="both"/>
        <w:outlineLvl w:val="2"/>
        <w:rPr>
          <w:rFonts w:eastAsia="Times New Roman" w:cs="Times New Roman"/>
          <w:noProof/>
        </w:rPr>
      </w:pPr>
      <w:r>
        <w:rPr>
          <w:noProof/>
        </w:rPr>
        <w:t>Επένδυση RE-C01-i08-RAA: Ψηφιακό Νοσοκομείο Αζορών</w:t>
      </w:r>
    </w:p>
    <w:p w14:paraId="2C7694B1" w14:textId="77777777" w:rsidR="00154AD2" w:rsidRDefault="007F6BF3">
      <w:pPr>
        <w:pStyle w:val="P68B1DB1-Normal4"/>
        <w:keepNext/>
        <w:spacing w:before="40" w:after="0" w:line="259" w:lineRule="auto"/>
        <w:jc w:val="both"/>
        <w:rPr>
          <w:rFonts w:eastAsia="Times New Roman" w:cs="Times New Roman"/>
          <w:noProof/>
        </w:rPr>
      </w:pPr>
      <w:r>
        <w:rPr>
          <w:noProof/>
        </w:rPr>
        <w:t>Στόχος της επένδυσης είναι η κλιμάκωση της παροχής υγειονομικής περίθαλψης και η εξασφάλιση καλύτερης πρόσβασης στην υγειονομική περίθαλψη στις Αζόρες, μέσω της ψηφιοποίησης των περιφερειακών υπηρεσιών υγείας τους.</w:t>
      </w:r>
    </w:p>
    <w:p w14:paraId="5C3318E6" w14:textId="77777777" w:rsidR="00154AD2" w:rsidRDefault="007F6BF3">
      <w:pPr>
        <w:pStyle w:val="P68B1DB1-Normal4"/>
        <w:keepNext/>
        <w:spacing w:before="40" w:after="0" w:line="259" w:lineRule="auto"/>
        <w:jc w:val="both"/>
        <w:rPr>
          <w:rFonts w:eastAsia="Times New Roman" w:cs="Times New Roman"/>
          <w:noProof/>
        </w:rPr>
      </w:pPr>
      <w:r>
        <w:rPr>
          <w:noProof/>
        </w:rPr>
        <w:t>Η επένδυση συνίσταται στη δημιουργία ηλεκτρονικού μητρώου υγείας για κάθε πολίτη, στην αύξηση της διαλειτουργικότητας των πληροφοριακών συστημάτων ώστε να καταστεί δυνατή η ανταλλαγή κλινικών πληροφοριών μεταξύ των επαγγελματιών του τομέα της υγείας, στη βελτίωση της προσβασιμότητας της υγειονομικής περίθαλψης στα πιο απομονωμένα νησιά χωρίς νοσοκομείο με τη διενέργεια επισκέψεων τηλεϊατρικής, καθώς και στην παροχή του απαραίτητου υλισμικού, λογισμικού και πληροφοριακών συστημάτων.</w:t>
      </w:r>
    </w:p>
    <w:p w14:paraId="2F4F1E26" w14:textId="77777777" w:rsidR="00154AD2" w:rsidRDefault="007F6BF3">
      <w:pPr>
        <w:pStyle w:val="P68B1DB1-Normal4"/>
        <w:keepNext/>
        <w:spacing w:before="40" w:after="0" w:line="259" w:lineRule="auto"/>
        <w:jc w:val="both"/>
        <w:rPr>
          <w:rFonts w:eastAsia="Times New Roman" w:cs="Times New Roman"/>
          <w:noProof/>
        </w:rPr>
      </w:pPr>
      <w:r>
        <w:rPr>
          <w:noProof/>
        </w:rPr>
        <w:t>Η υλοποίηση της επένδυσης θα ολοκληρωθεί έως τις 30 Σεπτεμβρίου 2025.</w:t>
      </w:r>
    </w:p>
    <w:p w14:paraId="0944758B" w14:textId="77777777" w:rsidR="00154AD2" w:rsidRDefault="007F6BF3">
      <w:pPr>
        <w:pStyle w:val="P68B1DB1-Normal5"/>
        <w:keepNext/>
        <w:spacing w:before="240" w:after="0" w:line="259" w:lineRule="auto"/>
        <w:ind w:left="851"/>
        <w:jc w:val="both"/>
        <w:outlineLvl w:val="2"/>
        <w:rPr>
          <w:rFonts w:eastAsia="Times New Roman" w:cs="Times New Roman"/>
          <w:noProof/>
        </w:rPr>
      </w:pPr>
      <w:r>
        <w:rPr>
          <w:noProof/>
        </w:rPr>
        <w:t>Επένδυση RE-C01-i09: Καθολικό σύστημα υποστήριξης της ενεργού ζωής</w:t>
      </w:r>
    </w:p>
    <w:p w14:paraId="225E11E4" w14:textId="77777777" w:rsidR="00154AD2" w:rsidRDefault="007F6BF3">
      <w:pPr>
        <w:pStyle w:val="P68B1DB1-Normal4"/>
        <w:keepNext/>
        <w:spacing w:before="40" w:after="0" w:line="259" w:lineRule="auto"/>
        <w:jc w:val="both"/>
        <w:rPr>
          <w:rFonts w:eastAsia="Times New Roman" w:cs="Times New Roman"/>
          <w:noProof/>
        </w:rPr>
      </w:pPr>
      <w:r>
        <w:rPr>
          <w:noProof/>
        </w:rPr>
        <w:t>Στόχος της επένδυσης είναι η προώθηση της σωματικής και συναισθηματικής ευεξίας στην Πορτογαλία μέσω της αύξησης των χαμηλών επιπέδων άσκησης σωματικής άσκησης στη χώρα και της συμβολής στην καλύτερη πρόληψη των ασθενειών και στη διαχείριση της επιβάρυνσης από τις μη μεταδοτικές νόσους.</w:t>
      </w:r>
    </w:p>
    <w:p w14:paraId="0DE11ABE" w14:textId="77777777" w:rsidR="00154AD2" w:rsidRDefault="007F6BF3">
      <w:pPr>
        <w:pStyle w:val="P68B1DB1-Normal4"/>
        <w:keepNext/>
        <w:spacing w:before="40" w:after="0" w:line="259" w:lineRule="auto"/>
        <w:jc w:val="both"/>
        <w:rPr>
          <w:rFonts w:eastAsia="Times New Roman" w:cs="Times New Roman"/>
          <w:noProof/>
        </w:rPr>
      </w:pPr>
      <w:r>
        <w:rPr>
          <w:noProof/>
        </w:rPr>
        <w:t>Η επένδυση συνίσταται σε: I) εθνική εκστρατεία και τεχνολογική πλατφόρμα για την προώθηση της σωματικής άσκησης, την αύξηση των γνώσεων των πολιτών σχετικά με τα οφέλη της τακτικής σωματικής άσκησης σε όλες τις ηλικίες, τη συνταγογράφηση ασκήσεων ανάλογα με τις ικανότητές τους και την ενθάρρυνση της υιοθέτησης υγιέστερων τρόπων ζωής· II) επέκταση του σχολικού αθλητισμού στην κοινότητα μέσω της προώθησης της ενεργού κινητικότητας, από τις νεότερες ηλικίες και καθ’ όλη τη διάρκεια της ζωής, καθώς και του αθλητισμού στο οικογενειακό πλαίσιο, ως μέσου προώθησης της επιτυχίας των σπουδαστών και ενός υγιέστερου τρόπου ζωής· και iii) ενθάρρυνση της άσκησης σωματικής άσκησης στον χώρο εργασίας, προώθηση της εφαρμογής μέτρων και προγραμμάτων, καθώς και παροχή χώρων και εξοπλισμού για την άσκηση της σωματικής άσκησης.</w:t>
      </w:r>
    </w:p>
    <w:p w14:paraId="0FCBA65F" w14:textId="77777777" w:rsidR="00154AD2" w:rsidRDefault="007F6BF3">
      <w:pPr>
        <w:pStyle w:val="P68B1DB1-Normal4"/>
        <w:keepNext/>
        <w:spacing w:before="40" w:after="0" w:line="259" w:lineRule="auto"/>
        <w:jc w:val="both"/>
        <w:rPr>
          <w:rFonts w:eastAsia="Times New Roman" w:cs="Times New Roman"/>
          <w:noProof/>
        </w:rPr>
      </w:pPr>
      <w:r>
        <w:rPr>
          <w:noProof/>
        </w:rPr>
        <w:t>Η υλοποίηση της επένδυσης θα ολοκληρωθεί έως τις 30 Σεπτεμβρίου 2025.</w:t>
      </w:r>
    </w:p>
    <w:p w14:paraId="7D908420" w14:textId="0634E12D" w:rsidR="00154AD2" w:rsidRDefault="007F6BF3">
      <w:pPr>
        <w:pStyle w:val="P68B1DB1-Normal5"/>
        <w:keepNext/>
        <w:spacing w:before="240" w:after="0" w:line="259" w:lineRule="auto"/>
        <w:ind w:left="851"/>
        <w:jc w:val="both"/>
        <w:outlineLvl w:val="2"/>
        <w:rPr>
          <w:rFonts w:eastAsia="Times New Roman" w:cs="Times New Roman"/>
          <w:noProof/>
        </w:rPr>
      </w:pPr>
      <w:bookmarkStart w:id="2" w:name="_Toc137472436"/>
      <w:r>
        <w:rPr>
          <w:noProof/>
        </w:rPr>
        <w:t xml:space="preserve">Επένδυση RE-C01-i10: </w:t>
      </w:r>
      <w:bookmarkEnd w:id="2"/>
      <w:r>
        <w:rPr>
          <w:noProof/>
        </w:rPr>
        <w:t>Πρόγραμμα εκσυγχρονισμού της τεχνολογίας NHS</w:t>
      </w:r>
    </w:p>
    <w:p w14:paraId="2C29C380" w14:textId="183EDF89" w:rsidR="00154AD2" w:rsidRDefault="007F6BF3">
      <w:pPr>
        <w:pStyle w:val="P68B1DB1-Normal4"/>
        <w:keepNext/>
        <w:spacing w:before="40" w:after="0" w:line="259" w:lineRule="auto"/>
        <w:jc w:val="both"/>
        <w:rPr>
          <w:rFonts w:eastAsia="Times New Roman" w:cs="Times New Roman"/>
          <w:noProof/>
        </w:rPr>
      </w:pPr>
      <w:r>
        <w:rPr>
          <w:noProof/>
        </w:rPr>
        <w:t>Στόχος της επένδυσης αυτής είναι η βελτίωση του τεχνολογικού πάρκου του Εθνικού Συστήματος Υγείας (ΕΣΥ) που συμβάλλει στη βελτίωση των υπηρεσιών υγειονομικής περίθαλψης.</w:t>
      </w:r>
    </w:p>
    <w:p w14:paraId="593DD359" w14:textId="13C9F938" w:rsidR="00154AD2" w:rsidRDefault="007F6BF3">
      <w:pPr>
        <w:pStyle w:val="P68B1DB1-Normal4"/>
        <w:keepNext/>
        <w:spacing w:before="40" w:after="0" w:line="259" w:lineRule="auto"/>
        <w:jc w:val="both"/>
        <w:rPr>
          <w:rFonts w:eastAsia="Times New Roman" w:cs="Times New Roman"/>
          <w:noProof/>
        </w:rPr>
      </w:pPr>
      <w:r>
        <w:rPr>
          <w:noProof/>
        </w:rPr>
        <w:t xml:space="preserve">Η επένδυση αυτή εξασφαλίζει την αγορά βαρέος ιατρικού εξοπλισμού για τα νοσοκομεία του ΕΣΥ, με βάση έκθεση εγκεκριμένη από το Υπουργείο Υγείας στην οποία προσδιορίζονται οι ανάγκες εξοπλισμού των νοσοκομείων αυτών, εντός των ακόλουθων κατηγοριών: συστήματα αγγειογραφίας, σαρωτές υπολογιστικής τομογραφίας μονής εκπομπής φωτονίων, σαρωτές τομογραφίας εκπομπής ποσιτρονίων, συστήματα απεικόνισης μαγνητικού συντονισμού, σαρωτές υπολογιστικής τομογραφίας, γραμμικοί επιταχυντές και χειρουργικά ρομπότ. </w:t>
      </w:r>
    </w:p>
    <w:p w14:paraId="7E32F4AC" w14:textId="77777777" w:rsidR="00154AD2" w:rsidRDefault="007F6BF3">
      <w:pPr>
        <w:pStyle w:val="P68B1DB1-Normal4"/>
        <w:keepNext/>
        <w:spacing w:before="40" w:after="0" w:line="259" w:lineRule="auto"/>
        <w:jc w:val="both"/>
        <w:rPr>
          <w:rFonts w:eastAsia="Times New Roman" w:cs="Times New Roman"/>
          <w:noProof/>
        </w:rPr>
      </w:pPr>
      <w:r>
        <w:rPr>
          <w:noProof/>
        </w:rPr>
        <w:t>Από την επένδυση εξαιρούνται τα νοσοκομεία του ΕΣΥ και των μονάδων πρωτοβάθμιας υγειονομικής περίθαλψης του ΕΣΥ που λαμβάνουν χρηματοδότηση στο πλαίσιο των επενδύσεων RE-C01-i04 και RE-C01-i01 αντίστοιχα.</w:t>
      </w:r>
    </w:p>
    <w:p w14:paraId="03E16FDC" w14:textId="77777777" w:rsidR="00154AD2" w:rsidRDefault="007F6BF3">
      <w:pPr>
        <w:pStyle w:val="P68B1DB1-Normal4"/>
        <w:keepNext/>
        <w:spacing w:before="40" w:after="0" w:line="259" w:lineRule="auto"/>
        <w:jc w:val="both"/>
        <w:rPr>
          <w:rFonts w:eastAsia="Times New Roman" w:cs="Times New Roman"/>
          <w:noProof/>
        </w:rPr>
      </w:pPr>
      <w:r>
        <w:rPr>
          <w:noProof/>
        </w:rPr>
        <w:t>Η υλοποίηση της επένδυσης θα ολοκληρωθεί έως τις 30 Ιουνίου 2026.</w:t>
      </w:r>
    </w:p>
    <w:p w14:paraId="3F70E244" w14:textId="77777777" w:rsidR="00154AD2" w:rsidRDefault="00154AD2">
      <w:pPr>
        <w:keepNext/>
        <w:spacing w:before="40" w:after="0" w:line="259" w:lineRule="auto"/>
        <w:jc w:val="both"/>
        <w:rPr>
          <w:rFonts w:ascii="Times New Roman" w:eastAsia="Times New Roman" w:hAnsi="Times New Roman" w:cs="Times New Roman"/>
          <w:noProof/>
          <w:sz w:val="24"/>
        </w:rPr>
      </w:pPr>
    </w:p>
    <w:p w14:paraId="6B39DFAD"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3A4E8AF1" w14:textId="512DF5C1" w:rsidR="00154AD2" w:rsidRDefault="00154AD2">
      <w:pPr>
        <w:keepNext/>
        <w:spacing w:before="40" w:after="0" w:line="259" w:lineRule="auto"/>
        <w:jc w:val="both"/>
        <w:rPr>
          <w:rFonts w:ascii="Times New Roman" w:eastAsiaTheme="minorEastAsia" w:hAnsi="Times New Roman" w:cs="Times New Roman"/>
          <w:noProof/>
          <w:sz w:val="24"/>
        </w:rPr>
        <w:sectPr w:rsidR="00154AD2" w:rsidSect="00CA5ACC">
          <w:headerReference w:type="even" r:id="rId30"/>
          <w:headerReference w:type="default" r:id="rId31"/>
          <w:footerReference w:type="even" r:id="rId32"/>
          <w:footerReference w:type="default" r:id="rId33"/>
          <w:headerReference w:type="first" r:id="rId34"/>
          <w:footerReference w:type="first" r:id="rId35"/>
          <w:type w:val="continuous"/>
          <w:pgSz w:w="11907" w:h="16839"/>
          <w:pgMar w:top="1134" w:right="1134" w:bottom="1134" w:left="1134" w:header="567" w:footer="567" w:gutter="0"/>
          <w:cols w:space="720"/>
          <w:docGrid w:linePitch="360"/>
        </w:sectPr>
      </w:pPr>
    </w:p>
    <w:p w14:paraId="723522AE"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7B8052F6" w14:textId="4383A929" w:rsidR="00154AD2" w:rsidRDefault="007F6BF3">
      <w:pPr>
        <w:pStyle w:val="P68B1DB1-Normal3"/>
        <w:keepNext/>
        <w:spacing w:before="40" w:after="0" w:line="259" w:lineRule="auto"/>
        <w:ind w:left="130" w:firstLine="720"/>
        <w:jc w:val="both"/>
        <w:outlineLvl w:val="1"/>
        <w:rPr>
          <w:rFonts w:eastAsiaTheme="minorEastAsia" w:cs="Times New Roman"/>
          <w:noProof/>
        </w:rPr>
      </w:pPr>
      <w:r>
        <w:rPr>
          <w:noProof/>
        </w:rPr>
        <w:t>Α.2. Ορόσημα, στόχοι, δείκτες και χρονοδιάγραμμα για την παρακολούθηση και την υλοποίηση της μη επιστρεπτέας χρηματοδοτικής στήριξης</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992"/>
        <w:gridCol w:w="1843"/>
        <w:gridCol w:w="1418"/>
        <w:gridCol w:w="1164"/>
        <w:gridCol w:w="962"/>
        <w:gridCol w:w="805"/>
        <w:gridCol w:w="9"/>
        <w:gridCol w:w="824"/>
        <w:gridCol w:w="901"/>
        <w:gridCol w:w="3981"/>
      </w:tblGrid>
      <w:tr w:rsidR="00154AD2" w14:paraId="7B628CE4" w14:textId="77777777">
        <w:trPr>
          <w:trHeight w:val="910"/>
          <w:tblHeader/>
        </w:trPr>
        <w:tc>
          <w:tcPr>
            <w:tcW w:w="1135" w:type="dxa"/>
            <w:vMerge w:val="restart"/>
            <w:shd w:val="clear" w:color="auto" w:fill="BDD6EE"/>
            <w:noWrap/>
            <w:vAlign w:val="center"/>
            <w:hideMark/>
          </w:tcPr>
          <w:p w14:paraId="43757383" w14:textId="77777777" w:rsidR="00154AD2" w:rsidRDefault="007F6BF3">
            <w:pPr>
              <w:pStyle w:val="P68B1DB1-Normal6"/>
              <w:spacing w:after="0" w:line="240" w:lineRule="auto"/>
              <w:jc w:val="center"/>
              <w:rPr>
                <w:rFonts w:eastAsia="Times New Roman" w:cs="Times New Roman"/>
                <w:noProof/>
              </w:rPr>
            </w:pPr>
            <w:r>
              <w:rPr>
                <w:noProof/>
              </w:rPr>
              <w:t>Αύξων αριθμός</w:t>
            </w:r>
          </w:p>
        </w:tc>
        <w:tc>
          <w:tcPr>
            <w:tcW w:w="1276" w:type="dxa"/>
            <w:vMerge w:val="restart"/>
            <w:shd w:val="clear" w:color="auto" w:fill="BDD6EE"/>
            <w:noWrap/>
            <w:vAlign w:val="center"/>
            <w:hideMark/>
          </w:tcPr>
          <w:p w14:paraId="0BDD4AC0" w14:textId="77777777" w:rsidR="00154AD2" w:rsidRDefault="007F6BF3">
            <w:pPr>
              <w:pStyle w:val="P68B1DB1-Normal6"/>
              <w:spacing w:after="0" w:line="240" w:lineRule="auto"/>
              <w:jc w:val="center"/>
              <w:rPr>
                <w:rFonts w:eastAsia="Times New Roman" w:cs="Times New Roman"/>
                <w:noProof/>
              </w:rPr>
            </w:pPr>
            <w:r>
              <w:rPr>
                <w:noProof/>
              </w:rPr>
              <w:t>Μέτρο (Μεταρρύθμιση ή Επενδύσεις)</w:t>
            </w:r>
          </w:p>
        </w:tc>
        <w:tc>
          <w:tcPr>
            <w:tcW w:w="992" w:type="dxa"/>
            <w:vMerge w:val="restart"/>
            <w:shd w:val="clear" w:color="auto" w:fill="BDD6EE"/>
            <w:noWrap/>
            <w:vAlign w:val="center"/>
            <w:hideMark/>
          </w:tcPr>
          <w:p w14:paraId="43895947" w14:textId="12E1DEA9" w:rsidR="00154AD2" w:rsidRDefault="007F6BF3">
            <w:pPr>
              <w:pStyle w:val="P68B1DB1-Normal6"/>
              <w:spacing w:after="0" w:line="240" w:lineRule="auto"/>
              <w:jc w:val="center"/>
              <w:rPr>
                <w:rFonts w:eastAsia="Times New Roman" w:cs="Times New Roman"/>
                <w:noProof/>
              </w:rPr>
            </w:pPr>
            <w:r>
              <w:rPr>
                <w:noProof/>
              </w:rPr>
              <w:t>Ορόσημο/Στόχος</w:t>
            </w:r>
          </w:p>
        </w:tc>
        <w:tc>
          <w:tcPr>
            <w:tcW w:w="1843" w:type="dxa"/>
            <w:vMerge w:val="restart"/>
            <w:shd w:val="clear" w:color="auto" w:fill="BDD6EE"/>
            <w:noWrap/>
            <w:vAlign w:val="center"/>
            <w:hideMark/>
          </w:tcPr>
          <w:p w14:paraId="0732D51C" w14:textId="77777777" w:rsidR="00154AD2" w:rsidRDefault="007F6BF3">
            <w:pPr>
              <w:pStyle w:val="P68B1DB1-Normal6"/>
              <w:spacing w:after="0" w:line="240" w:lineRule="auto"/>
              <w:jc w:val="center"/>
              <w:rPr>
                <w:rFonts w:eastAsia="Times New Roman" w:cs="Times New Roman"/>
                <w:noProof/>
              </w:rPr>
            </w:pPr>
            <w:r>
              <w:rPr>
                <w:noProof/>
              </w:rPr>
              <w:t>Όνομα</w:t>
            </w:r>
          </w:p>
        </w:tc>
        <w:tc>
          <w:tcPr>
            <w:tcW w:w="1418" w:type="dxa"/>
            <w:vMerge w:val="restart"/>
            <w:shd w:val="clear" w:color="auto" w:fill="BDD6EE"/>
            <w:noWrap/>
            <w:vAlign w:val="center"/>
            <w:hideMark/>
          </w:tcPr>
          <w:p w14:paraId="44263E41" w14:textId="77777777" w:rsidR="00154AD2" w:rsidRDefault="007F6BF3">
            <w:pPr>
              <w:pStyle w:val="P68B1DB1-Normal6"/>
              <w:spacing w:after="0" w:line="240" w:lineRule="auto"/>
              <w:jc w:val="center"/>
              <w:rPr>
                <w:rFonts w:eastAsia="Times New Roman" w:cs="Times New Roman"/>
                <w:noProof/>
              </w:rPr>
            </w:pPr>
            <w:r>
              <w:rPr>
                <w:noProof/>
              </w:rPr>
              <w:t>Ποιοτικοί δείκτες (για τα ορόσημα)</w:t>
            </w:r>
          </w:p>
        </w:tc>
        <w:tc>
          <w:tcPr>
            <w:tcW w:w="2940" w:type="dxa"/>
            <w:gridSpan w:val="4"/>
            <w:shd w:val="clear" w:color="auto" w:fill="BDD6EE"/>
            <w:noWrap/>
            <w:vAlign w:val="center"/>
            <w:hideMark/>
          </w:tcPr>
          <w:p w14:paraId="0A2F2E77" w14:textId="77777777" w:rsidR="00154AD2" w:rsidRDefault="007F6BF3">
            <w:pPr>
              <w:pStyle w:val="P68B1DB1-Normal6"/>
              <w:spacing w:after="0" w:line="240" w:lineRule="auto"/>
              <w:jc w:val="center"/>
              <w:rPr>
                <w:rFonts w:eastAsia="Times New Roman" w:cs="Times New Roman"/>
                <w:noProof/>
              </w:rPr>
            </w:pPr>
            <w:r>
              <w:rPr>
                <w:noProof/>
              </w:rPr>
              <w:t>Ποσοτικοί δείκτες (για τους στόχους)</w:t>
            </w:r>
          </w:p>
        </w:tc>
        <w:tc>
          <w:tcPr>
            <w:tcW w:w="1725" w:type="dxa"/>
            <w:gridSpan w:val="2"/>
            <w:shd w:val="clear" w:color="auto" w:fill="BDD6EE"/>
            <w:noWrap/>
            <w:vAlign w:val="center"/>
            <w:hideMark/>
          </w:tcPr>
          <w:p w14:paraId="4F163F74" w14:textId="77777777" w:rsidR="00154AD2" w:rsidRDefault="007F6BF3">
            <w:pPr>
              <w:pStyle w:val="P68B1DB1-Normal6"/>
              <w:spacing w:after="0" w:line="240" w:lineRule="auto"/>
              <w:jc w:val="center"/>
              <w:rPr>
                <w:rFonts w:eastAsia="Times New Roman" w:cs="Times New Roman"/>
                <w:noProof/>
              </w:rPr>
            </w:pPr>
            <w:r>
              <w:rPr>
                <w:noProof/>
              </w:rPr>
              <w:t>Ενδεικτικό χρονοδιάγραμμα ολοκλήρωσης</w:t>
            </w:r>
          </w:p>
        </w:tc>
        <w:tc>
          <w:tcPr>
            <w:tcW w:w="3981" w:type="dxa"/>
            <w:vMerge w:val="restart"/>
            <w:shd w:val="clear" w:color="auto" w:fill="BDD6EE"/>
            <w:noWrap/>
            <w:vAlign w:val="center"/>
            <w:hideMark/>
          </w:tcPr>
          <w:p w14:paraId="238D3622" w14:textId="77777777" w:rsidR="00154AD2" w:rsidRDefault="007F6BF3">
            <w:pPr>
              <w:pStyle w:val="P68B1DB1-Normal6"/>
              <w:spacing w:after="0" w:line="240" w:lineRule="auto"/>
              <w:jc w:val="center"/>
              <w:rPr>
                <w:rFonts w:eastAsia="Times New Roman" w:cs="Times New Roman"/>
                <w:noProof/>
              </w:rPr>
            </w:pPr>
            <w:r>
              <w:rPr>
                <w:noProof/>
              </w:rPr>
              <w:t>Περιγραφή και σαφής ορισμός κάθε ορόσημου και στόχου</w:t>
            </w:r>
          </w:p>
        </w:tc>
      </w:tr>
      <w:tr w:rsidR="00154AD2" w14:paraId="775EA2A6" w14:textId="77777777">
        <w:trPr>
          <w:trHeight w:val="300"/>
          <w:tblHeader/>
        </w:trPr>
        <w:tc>
          <w:tcPr>
            <w:tcW w:w="1135" w:type="dxa"/>
            <w:vMerge/>
            <w:vAlign w:val="center"/>
            <w:hideMark/>
          </w:tcPr>
          <w:p w14:paraId="0EC3FF2B" w14:textId="77777777" w:rsidR="00154AD2" w:rsidRDefault="00154AD2">
            <w:pPr>
              <w:spacing w:after="0" w:line="240" w:lineRule="auto"/>
              <w:rPr>
                <w:rFonts w:ascii="Times New Roman" w:eastAsia="Times New Roman" w:hAnsi="Times New Roman" w:cs="Times New Roman"/>
                <w:b/>
                <w:noProof/>
                <w:sz w:val="18"/>
              </w:rPr>
            </w:pPr>
          </w:p>
        </w:tc>
        <w:tc>
          <w:tcPr>
            <w:tcW w:w="1276" w:type="dxa"/>
            <w:vMerge/>
            <w:vAlign w:val="center"/>
            <w:hideMark/>
          </w:tcPr>
          <w:p w14:paraId="1020BD4F" w14:textId="77777777" w:rsidR="00154AD2" w:rsidRDefault="00154AD2">
            <w:pPr>
              <w:spacing w:after="0" w:line="240" w:lineRule="auto"/>
              <w:rPr>
                <w:rFonts w:ascii="Times New Roman" w:eastAsia="Times New Roman" w:hAnsi="Times New Roman" w:cs="Times New Roman"/>
                <w:b/>
                <w:noProof/>
                <w:sz w:val="18"/>
              </w:rPr>
            </w:pPr>
          </w:p>
        </w:tc>
        <w:tc>
          <w:tcPr>
            <w:tcW w:w="992" w:type="dxa"/>
            <w:vMerge/>
            <w:noWrap/>
            <w:vAlign w:val="center"/>
            <w:hideMark/>
          </w:tcPr>
          <w:p w14:paraId="530B4B60" w14:textId="4C0DADAB" w:rsidR="00154AD2" w:rsidRDefault="00154AD2">
            <w:pPr>
              <w:spacing w:after="0" w:line="240" w:lineRule="auto"/>
              <w:jc w:val="center"/>
              <w:rPr>
                <w:rFonts w:ascii="Times New Roman" w:eastAsia="Times New Roman" w:hAnsi="Times New Roman" w:cs="Times New Roman"/>
                <w:b/>
                <w:noProof/>
                <w:sz w:val="18"/>
              </w:rPr>
            </w:pPr>
          </w:p>
        </w:tc>
        <w:tc>
          <w:tcPr>
            <w:tcW w:w="1843" w:type="dxa"/>
            <w:vMerge/>
            <w:vAlign w:val="center"/>
            <w:hideMark/>
          </w:tcPr>
          <w:p w14:paraId="73578D3F" w14:textId="77777777" w:rsidR="00154AD2" w:rsidRDefault="00154AD2">
            <w:pPr>
              <w:spacing w:after="0" w:line="240" w:lineRule="auto"/>
              <w:rPr>
                <w:rFonts w:ascii="Times New Roman" w:eastAsia="Times New Roman" w:hAnsi="Times New Roman" w:cs="Times New Roman"/>
                <w:b/>
                <w:noProof/>
                <w:sz w:val="18"/>
              </w:rPr>
            </w:pPr>
          </w:p>
        </w:tc>
        <w:tc>
          <w:tcPr>
            <w:tcW w:w="1418" w:type="dxa"/>
            <w:vMerge/>
            <w:vAlign w:val="center"/>
            <w:hideMark/>
          </w:tcPr>
          <w:p w14:paraId="00D28EE5" w14:textId="77777777" w:rsidR="00154AD2" w:rsidRDefault="00154AD2">
            <w:pPr>
              <w:spacing w:after="0" w:line="240" w:lineRule="auto"/>
              <w:rPr>
                <w:rFonts w:ascii="Times New Roman" w:eastAsia="Times New Roman" w:hAnsi="Times New Roman" w:cs="Times New Roman"/>
                <w:b/>
                <w:noProof/>
                <w:sz w:val="18"/>
              </w:rPr>
            </w:pPr>
          </w:p>
        </w:tc>
        <w:tc>
          <w:tcPr>
            <w:tcW w:w="1164" w:type="dxa"/>
            <w:shd w:val="clear" w:color="auto" w:fill="BDD6EE"/>
            <w:noWrap/>
            <w:vAlign w:val="center"/>
            <w:hideMark/>
          </w:tcPr>
          <w:p w14:paraId="28C094F9" w14:textId="77777777" w:rsidR="00154AD2" w:rsidRDefault="007F6BF3">
            <w:pPr>
              <w:pStyle w:val="P68B1DB1-Normal6"/>
              <w:spacing w:after="0" w:line="240" w:lineRule="auto"/>
              <w:jc w:val="center"/>
              <w:rPr>
                <w:rFonts w:eastAsia="Times New Roman" w:cs="Times New Roman"/>
                <w:noProof/>
              </w:rPr>
            </w:pPr>
            <w:r>
              <w:rPr>
                <w:noProof/>
              </w:rPr>
              <w:t>Μονάδα μέτρησης</w:t>
            </w:r>
          </w:p>
        </w:tc>
        <w:tc>
          <w:tcPr>
            <w:tcW w:w="962" w:type="dxa"/>
            <w:shd w:val="clear" w:color="auto" w:fill="BDD6EE"/>
            <w:noWrap/>
            <w:vAlign w:val="center"/>
            <w:hideMark/>
          </w:tcPr>
          <w:p w14:paraId="7F1FED9F" w14:textId="77777777" w:rsidR="00154AD2" w:rsidRDefault="007F6BF3">
            <w:pPr>
              <w:pStyle w:val="P68B1DB1-Normal6"/>
              <w:spacing w:after="0" w:line="240" w:lineRule="auto"/>
              <w:jc w:val="center"/>
              <w:rPr>
                <w:rFonts w:eastAsia="Times New Roman" w:cs="Times New Roman"/>
                <w:noProof/>
              </w:rPr>
            </w:pPr>
            <w:r>
              <w:rPr>
                <w:noProof/>
              </w:rPr>
              <w:t>Γραμμή βάσης</w:t>
            </w:r>
          </w:p>
        </w:tc>
        <w:tc>
          <w:tcPr>
            <w:tcW w:w="805" w:type="dxa"/>
            <w:shd w:val="clear" w:color="auto" w:fill="BDD6EE"/>
            <w:noWrap/>
            <w:vAlign w:val="center"/>
            <w:hideMark/>
          </w:tcPr>
          <w:p w14:paraId="06EBD7F3" w14:textId="77777777" w:rsidR="00154AD2" w:rsidRDefault="007F6BF3">
            <w:pPr>
              <w:pStyle w:val="P68B1DB1-Normal6"/>
              <w:spacing w:after="0" w:line="240" w:lineRule="auto"/>
              <w:jc w:val="center"/>
              <w:rPr>
                <w:rFonts w:eastAsia="Times New Roman" w:cs="Times New Roman"/>
                <w:noProof/>
              </w:rPr>
            </w:pPr>
            <w:r>
              <w:rPr>
                <w:noProof/>
              </w:rPr>
              <w:t>Στόχοι</w:t>
            </w:r>
          </w:p>
        </w:tc>
        <w:tc>
          <w:tcPr>
            <w:tcW w:w="833" w:type="dxa"/>
            <w:gridSpan w:val="2"/>
            <w:shd w:val="clear" w:color="auto" w:fill="BDD6EE"/>
            <w:noWrap/>
            <w:vAlign w:val="center"/>
            <w:hideMark/>
          </w:tcPr>
          <w:p w14:paraId="20C845CB" w14:textId="77777777" w:rsidR="00154AD2" w:rsidRDefault="007F6BF3">
            <w:pPr>
              <w:pStyle w:val="P68B1DB1-Normal6"/>
              <w:spacing w:after="0" w:line="240" w:lineRule="auto"/>
              <w:jc w:val="center"/>
              <w:rPr>
                <w:rFonts w:eastAsia="Times New Roman" w:cs="Times New Roman"/>
                <w:noProof/>
              </w:rPr>
            </w:pPr>
            <w:r>
              <w:rPr>
                <w:noProof/>
              </w:rPr>
              <w:t>Ε</w:t>
            </w:r>
          </w:p>
        </w:tc>
        <w:tc>
          <w:tcPr>
            <w:tcW w:w="901" w:type="dxa"/>
            <w:shd w:val="clear" w:color="auto" w:fill="BDD6EE"/>
            <w:noWrap/>
            <w:vAlign w:val="center"/>
            <w:hideMark/>
          </w:tcPr>
          <w:p w14:paraId="3E2A3F48" w14:textId="77777777" w:rsidR="00154AD2" w:rsidRDefault="007F6BF3">
            <w:pPr>
              <w:pStyle w:val="P68B1DB1-Normal6"/>
              <w:spacing w:after="0" w:line="240" w:lineRule="auto"/>
              <w:jc w:val="center"/>
              <w:rPr>
                <w:rFonts w:eastAsia="Times New Roman" w:cs="Times New Roman"/>
                <w:noProof/>
              </w:rPr>
            </w:pPr>
            <w:r>
              <w:rPr>
                <w:noProof/>
              </w:rPr>
              <w:t>Έτος</w:t>
            </w:r>
          </w:p>
        </w:tc>
        <w:tc>
          <w:tcPr>
            <w:tcW w:w="3981" w:type="dxa"/>
            <w:vMerge/>
            <w:vAlign w:val="center"/>
            <w:hideMark/>
          </w:tcPr>
          <w:p w14:paraId="75CA9262" w14:textId="77777777" w:rsidR="00154AD2" w:rsidRDefault="00154AD2">
            <w:pPr>
              <w:spacing w:after="0" w:line="240" w:lineRule="auto"/>
              <w:rPr>
                <w:rFonts w:ascii="Times New Roman" w:eastAsia="Times New Roman" w:hAnsi="Times New Roman" w:cs="Times New Roman"/>
                <w:b/>
                <w:noProof/>
                <w:sz w:val="18"/>
              </w:rPr>
            </w:pPr>
          </w:p>
        </w:tc>
      </w:tr>
      <w:tr w:rsidR="00154AD2" w14:paraId="121D32D4" w14:textId="77777777">
        <w:trPr>
          <w:trHeight w:val="1270"/>
        </w:trPr>
        <w:tc>
          <w:tcPr>
            <w:tcW w:w="1135" w:type="dxa"/>
            <w:shd w:val="clear" w:color="auto" w:fill="C4EFCE"/>
            <w:noWrap/>
            <w:vAlign w:val="center"/>
            <w:hideMark/>
          </w:tcPr>
          <w:p w14:paraId="0492ADA0" w14:textId="77777777" w:rsidR="00154AD2" w:rsidRDefault="007F6BF3">
            <w:pPr>
              <w:pStyle w:val="P68B1DB1-Normal7"/>
              <w:spacing w:after="0" w:line="240" w:lineRule="auto"/>
              <w:jc w:val="center"/>
              <w:rPr>
                <w:rFonts w:eastAsia="Times New Roman" w:cs="Calibri"/>
                <w:noProof/>
              </w:rPr>
            </w:pPr>
            <w:r>
              <w:rPr>
                <w:noProof/>
              </w:rPr>
              <w:t>1.1</w:t>
            </w:r>
          </w:p>
        </w:tc>
        <w:tc>
          <w:tcPr>
            <w:tcW w:w="1276" w:type="dxa"/>
            <w:shd w:val="clear" w:color="auto" w:fill="C4EFCE"/>
            <w:noWrap/>
            <w:vAlign w:val="center"/>
            <w:hideMark/>
          </w:tcPr>
          <w:p w14:paraId="0A1B7539" w14:textId="77777777" w:rsidR="00154AD2" w:rsidRDefault="007F6BF3">
            <w:pPr>
              <w:pStyle w:val="P68B1DB1-Normal8"/>
              <w:spacing w:after="0" w:line="240" w:lineRule="auto"/>
              <w:jc w:val="center"/>
              <w:rPr>
                <w:rFonts w:eastAsia="Times New Roman" w:cs="Calibri"/>
                <w:noProof/>
              </w:rPr>
            </w:pPr>
            <w:r>
              <w:rPr>
                <w:noProof/>
              </w:rPr>
              <w:t>RE-C01-r01</w:t>
            </w:r>
          </w:p>
        </w:tc>
        <w:tc>
          <w:tcPr>
            <w:tcW w:w="992" w:type="dxa"/>
            <w:shd w:val="clear" w:color="auto" w:fill="C4EFCE"/>
            <w:noWrap/>
            <w:vAlign w:val="center"/>
            <w:hideMark/>
          </w:tcPr>
          <w:p w14:paraId="5A6CB19F" w14:textId="77777777" w:rsidR="00154AD2" w:rsidRDefault="007F6BF3">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16E6F728" w14:textId="77777777" w:rsidR="00154AD2" w:rsidRDefault="007F6BF3">
            <w:pPr>
              <w:pStyle w:val="P68B1DB1-Normal8"/>
              <w:spacing w:after="0" w:line="240" w:lineRule="auto"/>
              <w:jc w:val="center"/>
              <w:rPr>
                <w:rFonts w:eastAsia="Times New Roman" w:cs="Calibri"/>
                <w:noProof/>
              </w:rPr>
            </w:pPr>
            <w:r>
              <w:rPr>
                <w:noProof/>
              </w:rPr>
              <w:t>Έναρξη ισχύος νομικών πράξεων στον τομέα της πρωτοβάθμιας υγειονομικής περίθαλψης</w:t>
            </w:r>
          </w:p>
        </w:tc>
        <w:tc>
          <w:tcPr>
            <w:tcW w:w="1418" w:type="dxa"/>
            <w:shd w:val="clear" w:color="auto" w:fill="C4EFCE"/>
            <w:noWrap/>
            <w:vAlign w:val="center"/>
            <w:hideMark/>
          </w:tcPr>
          <w:p w14:paraId="35A47D91" w14:textId="77777777" w:rsidR="00154AD2" w:rsidRDefault="007F6BF3">
            <w:pPr>
              <w:pStyle w:val="P68B1DB1-Normal8"/>
              <w:spacing w:after="0" w:line="240" w:lineRule="auto"/>
              <w:jc w:val="center"/>
              <w:rPr>
                <w:rFonts w:eastAsia="Times New Roman" w:cs="Calibri"/>
                <w:noProof/>
              </w:rPr>
            </w:pPr>
            <w:r>
              <w:rPr>
                <w:noProof/>
              </w:rPr>
              <w:t>Έναρξη ισχύος των αναθεωρημένων νομικών πράξεων</w:t>
            </w:r>
          </w:p>
        </w:tc>
        <w:tc>
          <w:tcPr>
            <w:tcW w:w="1164" w:type="dxa"/>
            <w:shd w:val="clear" w:color="auto" w:fill="C4EFCE"/>
            <w:noWrap/>
            <w:vAlign w:val="center"/>
            <w:hideMark/>
          </w:tcPr>
          <w:p w14:paraId="0271FAD2" w14:textId="77777777" w:rsidR="00154AD2" w:rsidRDefault="007F6BF3">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69B00747" w14:textId="77777777" w:rsidR="00154AD2" w:rsidRDefault="007F6BF3">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21142975" w14:textId="77777777" w:rsidR="00154AD2" w:rsidRDefault="007F6BF3">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1D871EE2"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901" w:type="dxa"/>
            <w:shd w:val="clear" w:color="auto" w:fill="C4EFCE"/>
            <w:noWrap/>
            <w:vAlign w:val="center"/>
            <w:hideMark/>
          </w:tcPr>
          <w:p w14:paraId="63B8927A" w14:textId="77777777" w:rsidR="00154AD2" w:rsidRDefault="007F6BF3">
            <w:pPr>
              <w:pStyle w:val="P68B1DB1-Normal8"/>
              <w:spacing w:after="0" w:line="240" w:lineRule="auto"/>
              <w:jc w:val="center"/>
              <w:rPr>
                <w:rFonts w:eastAsia="Times New Roman" w:cs="Calibri"/>
                <w:noProof/>
              </w:rPr>
            </w:pPr>
            <w:r>
              <w:rPr>
                <w:noProof/>
              </w:rPr>
              <w:t>2023</w:t>
            </w:r>
          </w:p>
        </w:tc>
        <w:tc>
          <w:tcPr>
            <w:tcW w:w="3981" w:type="dxa"/>
            <w:shd w:val="clear" w:color="auto" w:fill="C4EFCE"/>
            <w:noWrap/>
            <w:vAlign w:val="center"/>
            <w:hideMark/>
          </w:tcPr>
          <w:p w14:paraId="3AD82C03" w14:textId="77777777" w:rsidR="00154AD2" w:rsidRDefault="007F6BF3">
            <w:pPr>
              <w:pStyle w:val="P68B1DB1-Normal8"/>
              <w:spacing w:after="0" w:line="240" w:lineRule="auto"/>
              <w:jc w:val="both"/>
              <w:rPr>
                <w:rFonts w:eastAsia="Times New Roman" w:cs="Calibri"/>
                <w:noProof/>
              </w:rPr>
            </w:pPr>
            <w:r>
              <w:rPr>
                <w:noProof/>
              </w:rPr>
              <w:t>Αναθεώρηση των νομικών πράξεων στον τομέα της πρωτοβάθμιας υγειονομικής περίθαλψης, και συγκεκριμένα: I) τη νομοθεσία στην οποία βασίζονται οι λειτουργικές μονάδες των κέντρων πρωτοβάθμιας υγειονομικής περίθαλψης (συμπεριλαμβανομένων του νομοθετικού διατάγματος αριθ. 73/2017 για τις οικογενειακές μονάδες υγείας του υποδείγματος Β, του κυβερνητικού διατάγματος αριθ. 1368/2007, των κανόνων και του μοντέλου αμοιβής των οικογενειακών μονάδων υγείας του υποδείγματος Β και της σχετικής νομικής πράξης, καθώς και των νομικών πράξεων στις οποίες βασίζεται η λειτουργία άλλων τύπων μονάδων πρωτοβάθμιας υγειονομικής περίθαλψης)· και ii) τη νομοθεσία στην οποία βασίζονται οι ομάδες κέντρων υγείας (συμπεριλαμβανομένων των νομικών πράξεων στις οποίες βασίζονται οι ομάδες κέντρων υγείας, δηλαδή του νομοθετικού διατάγματος αριθ. 28/2008).</w:t>
            </w:r>
          </w:p>
        </w:tc>
      </w:tr>
      <w:tr w:rsidR="00154AD2" w14:paraId="50205165" w14:textId="77777777">
        <w:trPr>
          <w:trHeight w:val="1270"/>
        </w:trPr>
        <w:tc>
          <w:tcPr>
            <w:tcW w:w="1135" w:type="dxa"/>
            <w:shd w:val="clear" w:color="auto" w:fill="C4EFCE"/>
            <w:noWrap/>
            <w:vAlign w:val="center"/>
            <w:hideMark/>
          </w:tcPr>
          <w:p w14:paraId="0533AA4A" w14:textId="77777777" w:rsidR="00154AD2" w:rsidRDefault="007F6BF3">
            <w:pPr>
              <w:pStyle w:val="P68B1DB1-Normal7"/>
              <w:spacing w:after="0" w:line="240" w:lineRule="auto"/>
              <w:jc w:val="center"/>
              <w:rPr>
                <w:rFonts w:eastAsia="Times New Roman" w:cs="Calibri"/>
                <w:noProof/>
              </w:rPr>
            </w:pPr>
            <w:r>
              <w:rPr>
                <w:noProof/>
              </w:rPr>
              <w:t>1.2</w:t>
            </w:r>
          </w:p>
        </w:tc>
        <w:tc>
          <w:tcPr>
            <w:tcW w:w="1276" w:type="dxa"/>
            <w:shd w:val="clear" w:color="auto" w:fill="C4EFCE"/>
            <w:noWrap/>
            <w:vAlign w:val="center"/>
            <w:hideMark/>
          </w:tcPr>
          <w:p w14:paraId="2A187FFF" w14:textId="77777777" w:rsidR="00154AD2" w:rsidRDefault="007F6BF3">
            <w:pPr>
              <w:pStyle w:val="P68B1DB1-Normal8"/>
              <w:spacing w:after="0" w:line="240" w:lineRule="auto"/>
              <w:jc w:val="center"/>
              <w:rPr>
                <w:rFonts w:eastAsia="Times New Roman" w:cs="Calibri"/>
                <w:noProof/>
              </w:rPr>
            </w:pPr>
            <w:r>
              <w:rPr>
                <w:noProof/>
              </w:rPr>
              <w:t>RE-C01-r01</w:t>
            </w:r>
          </w:p>
        </w:tc>
        <w:tc>
          <w:tcPr>
            <w:tcW w:w="992" w:type="dxa"/>
            <w:shd w:val="clear" w:color="auto" w:fill="C4EFCE"/>
            <w:noWrap/>
            <w:vAlign w:val="center"/>
            <w:hideMark/>
          </w:tcPr>
          <w:p w14:paraId="08F32C70" w14:textId="77777777" w:rsidR="00154AD2" w:rsidRDefault="007F6BF3">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73FC6D25" w14:textId="77777777" w:rsidR="00154AD2" w:rsidRDefault="007F6BF3">
            <w:pPr>
              <w:pStyle w:val="P68B1DB1-Normal8"/>
              <w:spacing w:after="0" w:line="240" w:lineRule="auto"/>
              <w:jc w:val="center"/>
              <w:rPr>
                <w:rFonts w:eastAsia="Times New Roman" w:cs="Calibri"/>
                <w:noProof/>
              </w:rPr>
            </w:pPr>
            <w:r>
              <w:rPr>
                <w:noProof/>
              </w:rPr>
              <w:t>Παροχή πρόσβασης στο μέσο διαστρωμάτωσης κινδύνου για την υποστήριξη της κλινικής διακυβέρνησης στις λειτουργικές μονάδες των ομάδων κέντρων υγείας</w:t>
            </w:r>
          </w:p>
        </w:tc>
        <w:tc>
          <w:tcPr>
            <w:tcW w:w="1418" w:type="dxa"/>
            <w:shd w:val="clear" w:color="auto" w:fill="C4EFCE"/>
            <w:noWrap/>
            <w:vAlign w:val="center"/>
            <w:hideMark/>
          </w:tcPr>
          <w:p w14:paraId="35F427F1" w14:textId="77777777" w:rsidR="00154AD2" w:rsidRDefault="007F6BF3">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72AD19FF"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62" w:type="dxa"/>
            <w:shd w:val="clear" w:color="auto" w:fill="C4EFCE"/>
            <w:noWrap/>
            <w:vAlign w:val="center"/>
            <w:hideMark/>
          </w:tcPr>
          <w:p w14:paraId="75CB367B" w14:textId="77777777" w:rsidR="00154AD2" w:rsidRDefault="007F6BF3">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0FF60DCA" w14:textId="77777777" w:rsidR="00154AD2" w:rsidRDefault="007F6BF3">
            <w:pPr>
              <w:pStyle w:val="P68B1DB1-Normal8"/>
              <w:spacing w:after="0" w:line="240" w:lineRule="auto"/>
              <w:jc w:val="center"/>
              <w:rPr>
                <w:rFonts w:eastAsia="Times New Roman" w:cs="Calibri"/>
                <w:noProof/>
              </w:rPr>
            </w:pPr>
            <w:r>
              <w:rPr>
                <w:noProof/>
              </w:rPr>
              <w:t>1 000</w:t>
            </w:r>
          </w:p>
        </w:tc>
        <w:tc>
          <w:tcPr>
            <w:tcW w:w="833" w:type="dxa"/>
            <w:gridSpan w:val="2"/>
            <w:shd w:val="clear" w:color="auto" w:fill="C4EFCE"/>
            <w:noWrap/>
            <w:vAlign w:val="center"/>
            <w:hideMark/>
          </w:tcPr>
          <w:p w14:paraId="6D7BB0A8"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901" w:type="dxa"/>
            <w:shd w:val="clear" w:color="auto" w:fill="C4EFCE"/>
            <w:noWrap/>
            <w:vAlign w:val="center"/>
            <w:hideMark/>
          </w:tcPr>
          <w:p w14:paraId="3D3518AA" w14:textId="77777777" w:rsidR="00154AD2" w:rsidRDefault="007F6BF3">
            <w:pPr>
              <w:pStyle w:val="P68B1DB1-Normal8"/>
              <w:spacing w:after="0" w:line="240" w:lineRule="auto"/>
              <w:jc w:val="center"/>
              <w:rPr>
                <w:rFonts w:eastAsia="Times New Roman" w:cs="Calibri"/>
                <w:noProof/>
              </w:rPr>
            </w:pPr>
            <w:r>
              <w:rPr>
                <w:noProof/>
              </w:rPr>
              <w:t>2023</w:t>
            </w:r>
          </w:p>
        </w:tc>
        <w:tc>
          <w:tcPr>
            <w:tcW w:w="3981" w:type="dxa"/>
            <w:shd w:val="clear" w:color="auto" w:fill="C4EFCE"/>
            <w:noWrap/>
            <w:vAlign w:val="center"/>
            <w:hideMark/>
          </w:tcPr>
          <w:p w14:paraId="39000082" w14:textId="77777777" w:rsidR="00154AD2" w:rsidRDefault="007F6BF3">
            <w:pPr>
              <w:pStyle w:val="P68B1DB1-Normal8"/>
              <w:spacing w:after="0" w:line="240" w:lineRule="auto"/>
              <w:jc w:val="both"/>
              <w:rPr>
                <w:rFonts w:eastAsia="Times New Roman" w:cs="Calibri"/>
                <w:noProof/>
              </w:rPr>
            </w:pPr>
            <w:r>
              <w:rPr>
                <w:noProof/>
              </w:rPr>
              <w:t>Αριθμός λειτουργικών μονάδων των κέντρων υγείας που λαμβάνουν πρόσβαση στις πληροφορίες από το μέσο διαστρωμάτωσης κινδύνου που καλύπτει εγγεγραμμένους χρήστες. Το μέσο διαστρωμάτωσης κινδύνου επιτρέπει την προληπτική παρέμβαση σε πληθυσμούς με υψηλότερο κλινικό κίνδυνο και κοινωνική ευπάθεια, διασφαλίζοντας προγράμματα προσυμπτωματικού ελέγχου και έγκαιρης διάγνωσης με βάση τον πληθυσμό σε ολόκληρη τη χώρα, καθώς και έγκαιρη θεραπεία και κατάλληλη παρακολούθηση των χρηστών που πάσχουν από τις συχνότερες παθήσεις (καρδιαγγειακές παθήσεις, διαβήτης, καρκίνος, αναπνευστικό, ψυχικό και οστεοαρθρικό).</w:t>
            </w:r>
          </w:p>
        </w:tc>
      </w:tr>
      <w:tr w:rsidR="00154AD2" w14:paraId="10D6008A" w14:textId="77777777">
        <w:trPr>
          <w:trHeight w:val="1123"/>
        </w:trPr>
        <w:tc>
          <w:tcPr>
            <w:tcW w:w="1135" w:type="dxa"/>
            <w:shd w:val="clear" w:color="auto" w:fill="C4EFCE"/>
            <w:noWrap/>
            <w:vAlign w:val="center"/>
            <w:hideMark/>
          </w:tcPr>
          <w:p w14:paraId="02DF6530" w14:textId="77777777" w:rsidR="00154AD2" w:rsidRDefault="007F6BF3">
            <w:pPr>
              <w:pStyle w:val="P68B1DB1-Normal7"/>
              <w:spacing w:after="0" w:line="240" w:lineRule="auto"/>
              <w:jc w:val="center"/>
              <w:rPr>
                <w:rFonts w:eastAsia="Times New Roman" w:cs="Calibri"/>
                <w:noProof/>
              </w:rPr>
            </w:pPr>
            <w:r>
              <w:rPr>
                <w:noProof/>
              </w:rPr>
              <w:t>1.3</w:t>
            </w:r>
          </w:p>
        </w:tc>
        <w:tc>
          <w:tcPr>
            <w:tcW w:w="1276" w:type="dxa"/>
            <w:shd w:val="clear" w:color="auto" w:fill="C4EFCE"/>
            <w:noWrap/>
            <w:vAlign w:val="center"/>
            <w:hideMark/>
          </w:tcPr>
          <w:p w14:paraId="4F399F94" w14:textId="77777777" w:rsidR="00154AD2" w:rsidRDefault="007F6BF3">
            <w:pPr>
              <w:pStyle w:val="P68B1DB1-Normal8"/>
              <w:spacing w:after="0" w:line="240" w:lineRule="auto"/>
              <w:jc w:val="center"/>
              <w:rPr>
                <w:rFonts w:eastAsia="Times New Roman" w:cs="Calibri"/>
                <w:noProof/>
              </w:rPr>
            </w:pPr>
            <w:r>
              <w:rPr>
                <w:noProof/>
              </w:rPr>
              <w:t>RE-C01-r01</w:t>
            </w:r>
          </w:p>
        </w:tc>
        <w:tc>
          <w:tcPr>
            <w:tcW w:w="992" w:type="dxa"/>
            <w:shd w:val="clear" w:color="auto" w:fill="C4EFCE"/>
            <w:noWrap/>
            <w:vAlign w:val="center"/>
            <w:hideMark/>
          </w:tcPr>
          <w:p w14:paraId="70ABD2FF" w14:textId="77777777" w:rsidR="00154AD2" w:rsidRDefault="007F6BF3">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0ACA7681" w14:textId="77777777" w:rsidR="00154AD2" w:rsidRDefault="007F6BF3">
            <w:pPr>
              <w:pStyle w:val="P68B1DB1-Normal8"/>
              <w:spacing w:after="0" w:line="240" w:lineRule="auto"/>
              <w:jc w:val="center"/>
              <w:rPr>
                <w:rFonts w:eastAsia="Times New Roman" w:cs="Calibri"/>
                <w:noProof/>
              </w:rPr>
            </w:pPr>
            <w:r>
              <w:rPr>
                <w:noProof/>
              </w:rPr>
              <w:t>Ολοκλήρωση της διαδικασίας αποκέντρωσης των αρμοδιοτήτων στον τομέα της υγείας στους δήμους</w:t>
            </w:r>
          </w:p>
        </w:tc>
        <w:tc>
          <w:tcPr>
            <w:tcW w:w="1418" w:type="dxa"/>
            <w:shd w:val="clear" w:color="auto" w:fill="C4EFCE"/>
            <w:noWrap/>
            <w:vAlign w:val="center"/>
            <w:hideMark/>
          </w:tcPr>
          <w:p w14:paraId="1430DBB4" w14:textId="77777777" w:rsidR="00154AD2" w:rsidRDefault="007F6BF3">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31693BA5"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62" w:type="dxa"/>
            <w:shd w:val="clear" w:color="auto" w:fill="C4EFCE"/>
            <w:noWrap/>
            <w:vAlign w:val="center"/>
            <w:hideMark/>
          </w:tcPr>
          <w:p w14:paraId="2D21E5B6" w14:textId="77777777" w:rsidR="00154AD2" w:rsidRDefault="007F6BF3">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08763683" w14:textId="77777777" w:rsidR="00154AD2" w:rsidRDefault="007F6BF3">
            <w:pPr>
              <w:pStyle w:val="P68B1DB1-Normal8"/>
              <w:spacing w:after="0" w:line="240" w:lineRule="auto"/>
              <w:jc w:val="center"/>
              <w:rPr>
                <w:rFonts w:eastAsia="Times New Roman" w:cs="Calibri"/>
                <w:noProof/>
              </w:rPr>
            </w:pPr>
            <w:r>
              <w:rPr>
                <w:noProof/>
              </w:rPr>
              <w:t>201</w:t>
            </w:r>
          </w:p>
        </w:tc>
        <w:tc>
          <w:tcPr>
            <w:tcW w:w="833" w:type="dxa"/>
            <w:gridSpan w:val="2"/>
            <w:shd w:val="clear" w:color="auto" w:fill="C4EFCE"/>
            <w:noWrap/>
            <w:vAlign w:val="center"/>
            <w:hideMark/>
          </w:tcPr>
          <w:p w14:paraId="3A15E654"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901" w:type="dxa"/>
            <w:shd w:val="clear" w:color="auto" w:fill="C4EFCE"/>
            <w:noWrap/>
            <w:vAlign w:val="center"/>
            <w:hideMark/>
          </w:tcPr>
          <w:p w14:paraId="7531FAD5" w14:textId="77777777" w:rsidR="00154AD2" w:rsidRDefault="007F6BF3">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1970A0D0" w14:textId="5F4E6DC1" w:rsidR="00154AD2" w:rsidRDefault="007F6BF3">
            <w:pPr>
              <w:pStyle w:val="P68B1DB1-Normal8"/>
              <w:spacing w:after="0" w:line="240" w:lineRule="auto"/>
              <w:jc w:val="both"/>
              <w:rPr>
                <w:rFonts w:eastAsia="Times New Roman" w:cs="Calibri"/>
                <w:noProof/>
              </w:rPr>
            </w:pPr>
            <w:r>
              <w:rPr>
                <w:noProof/>
              </w:rPr>
              <w:t xml:space="preserve">Αριθμός νέων δήμων στους οποίους έχει ολοκληρωθεί η διαδικασία αποκέντρωσης των αρμοδιοτήτων στον τομέα της υγείας, σύμφωνα με το νομοθετικό διάταγμα αριθ. 23/2019, της 30 Ιανουαρίου, με την υπογραφή ανακοίνωσης μεταβίβασης από το Υπουργείο Υγείας, τις περιφερειακές υγειονομικές διοικήσεις και τους δήμους. Η μεταβίβαση αρμοδιοτήτων καλύπτει συγκεκριμένα: I) τη συμμετοχή των δήμων στις αποφάσεις σχεδιασμού, διαχείρισης και επενδύσεων των μονάδων πρωτοβάθμιας υγειονομικής περίθαλψης και των τμημάτων παρέμβασης σε εθιστικές συμπεριφορές και εξαρτήσεις, ιδίως στην κατασκευή, τον εξοπλισμό και τη συντήρησή τους· II) διαχείριση, συντήρηση και συντήρηση άλλου εξοπλισμού που σχετίζεται με την πρωτοβάθμια υγειονομική περίθαλψη· διαχείριση των εργαζομένων στον τομέα της υγειονομικής περίθαλψης στην κατηγορία του επιχειρησιακού βοηθού των λειτουργικών μονάδων των ομάδων κέντρων υγείας και των τμημάτων παρέμβασης σε εθιστικές συμπεριφορές και εξαρτήσεις που ενσωματώνουν το Εθνικό Σύστημα Υγείας· διαχείριση υπηρεσιών υλικοτεχνικής υποστήριξης ομάδων κέντρων υγείας. </w:t>
            </w:r>
          </w:p>
        </w:tc>
      </w:tr>
      <w:tr w:rsidR="00154AD2" w14:paraId="52519A96" w14:textId="77777777">
        <w:trPr>
          <w:trHeight w:val="640"/>
        </w:trPr>
        <w:tc>
          <w:tcPr>
            <w:tcW w:w="1135" w:type="dxa"/>
            <w:shd w:val="clear" w:color="auto" w:fill="C4EFCE"/>
            <w:noWrap/>
            <w:vAlign w:val="center"/>
            <w:hideMark/>
          </w:tcPr>
          <w:p w14:paraId="7CDF71B7" w14:textId="77777777" w:rsidR="00154AD2" w:rsidRDefault="007F6BF3">
            <w:pPr>
              <w:pStyle w:val="P68B1DB1-Normal7"/>
              <w:spacing w:after="0" w:line="240" w:lineRule="auto"/>
              <w:jc w:val="center"/>
              <w:rPr>
                <w:rFonts w:eastAsia="Times New Roman" w:cs="Calibri"/>
                <w:noProof/>
              </w:rPr>
            </w:pPr>
            <w:r>
              <w:rPr>
                <w:noProof/>
              </w:rPr>
              <w:t>1.4</w:t>
            </w:r>
          </w:p>
        </w:tc>
        <w:tc>
          <w:tcPr>
            <w:tcW w:w="1276" w:type="dxa"/>
            <w:shd w:val="clear" w:color="auto" w:fill="C4EFCE"/>
            <w:noWrap/>
            <w:vAlign w:val="center"/>
            <w:hideMark/>
          </w:tcPr>
          <w:p w14:paraId="231A738A" w14:textId="77777777" w:rsidR="00154AD2" w:rsidRDefault="007F6BF3">
            <w:pPr>
              <w:pStyle w:val="P68B1DB1-Normal8"/>
              <w:spacing w:after="0" w:line="240" w:lineRule="auto"/>
              <w:jc w:val="center"/>
              <w:rPr>
                <w:rFonts w:eastAsia="Times New Roman" w:cs="Calibri"/>
                <w:noProof/>
              </w:rPr>
            </w:pPr>
            <w:r>
              <w:rPr>
                <w:noProof/>
              </w:rPr>
              <w:t>RE-C01-r02</w:t>
            </w:r>
          </w:p>
        </w:tc>
        <w:tc>
          <w:tcPr>
            <w:tcW w:w="992" w:type="dxa"/>
            <w:shd w:val="clear" w:color="auto" w:fill="C4EFCE"/>
            <w:noWrap/>
            <w:vAlign w:val="center"/>
            <w:hideMark/>
          </w:tcPr>
          <w:p w14:paraId="48CF4AED" w14:textId="77777777" w:rsidR="00154AD2" w:rsidRDefault="007F6BF3">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537A3F1D" w14:textId="77777777" w:rsidR="00154AD2" w:rsidRDefault="007F6BF3">
            <w:pPr>
              <w:pStyle w:val="P68B1DB1-Normal8"/>
              <w:spacing w:after="0" w:line="240" w:lineRule="auto"/>
              <w:jc w:val="center"/>
              <w:rPr>
                <w:rFonts w:eastAsia="Times New Roman" w:cs="Calibri"/>
                <w:noProof/>
              </w:rPr>
            </w:pPr>
            <w:r>
              <w:rPr>
                <w:noProof/>
              </w:rPr>
              <w:t>Έναρξη ισχύος του νέου νομοθετικού διατάγματος για την ψυχική υγεία, το οποίο καθορίζει τις αρχές για την οργάνωση των υπηρεσιών ψυχικής υγείας</w:t>
            </w:r>
          </w:p>
        </w:tc>
        <w:tc>
          <w:tcPr>
            <w:tcW w:w="1418" w:type="dxa"/>
            <w:shd w:val="clear" w:color="auto" w:fill="C4EFCE"/>
            <w:noWrap/>
            <w:vAlign w:val="center"/>
            <w:hideMark/>
          </w:tcPr>
          <w:p w14:paraId="13D40D49" w14:textId="77777777" w:rsidR="00154AD2" w:rsidRDefault="007F6BF3">
            <w:pPr>
              <w:pStyle w:val="P68B1DB1-Normal8"/>
              <w:spacing w:after="0" w:line="240" w:lineRule="auto"/>
              <w:jc w:val="center"/>
              <w:rPr>
                <w:rFonts w:eastAsia="Times New Roman" w:cs="Calibri"/>
                <w:noProof/>
              </w:rPr>
            </w:pPr>
            <w:r>
              <w:rPr>
                <w:noProof/>
              </w:rPr>
              <w:t>Έναρξη ισχύος του νέου νομοθετικού διατάγματος για την ψυχική υγεία</w:t>
            </w:r>
          </w:p>
        </w:tc>
        <w:tc>
          <w:tcPr>
            <w:tcW w:w="1164" w:type="dxa"/>
            <w:shd w:val="clear" w:color="auto" w:fill="C4EFCE"/>
            <w:noWrap/>
            <w:vAlign w:val="center"/>
            <w:hideMark/>
          </w:tcPr>
          <w:p w14:paraId="490E6384" w14:textId="77777777" w:rsidR="00154AD2" w:rsidRDefault="007F6BF3">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480C890F" w14:textId="77777777" w:rsidR="00154AD2" w:rsidRDefault="007F6BF3">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23F2D094" w14:textId="77777777" w:rsidR="00154AD2" w:rsidRDefault="007F6BF3">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35388639"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901" w:type="dxa"/>
            <w:shd w:val="clear" w:color="auto" w:fill="C4EFCE"/>
            <w:noWrap/>
            <w:vAlign w:val="center"/>
            <w:hideMark/>
          </w:tcPr>
          <w:p w14:paraId="548204FC" w14:textId="77777777" w:rsidR="00154AD2" w:rsidRDefault="007F6BF3">
            <w:pPr>
              <w:pStyle w:val="P68B1DB1-Normal8"/>
              <w:spacing w:after="0" w:line="240" w:lineRule="auto"/>
              <w:jc w:val="center"/>
              <w:rPr>
                <w:rFonts w:eastAsia="Times New Roman" w:cs="Calibri"/>
                <w:noProof/>
              </w:rPr>
            </w:pPr>
            <w:r>
              <w:rPr>
                <w:noProof/>
              </w:rPr>
              <w:t>2021</w:t>
            </w:r>
          </w:p>
        </w:tc>
        <w:tc>
          <w:tcPr>
            <w:tcW w:w="3981" w:type="dxa"/>
            <w:shd w:val="clear" w:color="auto" w:fill="C4EFCE"/>
            <w:noWrap/>
            <w:vAlign w:val="center"/>
            <w:hideMark/>
          </w:tcPr>
          <w:p w14:paraId="1B060DF1" w14:textId="77777777" w:rsidR="00154AD2" w:rsidRDefault="007F6BF3">
            <w:pPr>
              <w:pStyle w:val="P68B1DB1-Normal8"/>
              <w:spacing w:after="0" w:line="240" w:lineRule="auto"/>
              <w:jc w:val="both"/>
              <w:rPr>
                <w:rFonts w:eastAsia="Times New Roman" w:cs="Calibri"/>
                <w:noProof/>
              </w:rPr>
            </w:pPr>
            <w:r>
              <w:rPr>
                <w:noProof/>
              </w:rPr>
              <w:t>Το νέο νομοθετικό διάταγμα αντικατοπτρίζει τις προτάσεις τροποποιήσεων που υπέβαλε η ομάδα εργασίας που συστάθηκε με το κυβερνητικό διάταγμα αριθ. 6324/2020, της 15 Ιουνίου, όπως τροποποιήθηκε με το κυβερνητικό διάταγμα αριθ. 11485/2020, της 20 Νοεμβρίου, με σκοπό τον καθορισμό των αρχών για την οργάνωση των υπηρεσιών ψυχικής υγείας.</w:t>
            </w:r>
          </w:p>
        </w:tc>
      </w:tr>
      <w:tr w:rsidR="00154AD2" w14:paraId="5A9C21C0" w14:textId="77777777">
        <w:trPr>
          <w:trHeight w:val="1966"/>
        </w:trPr>
        <w:tc>
          <w:tcPr>
            <w:tcW w:w="1135" w:type="dxa"/>
            <w:shd w:val="clear" w:color="auto" w:fill="C4EFCE"/>
            <w:noWrap/>
            <w:vAlign w:val="center"/>
            <w:hideMark/>
          </w:tcPr>
          <w:p w14:paraId="1FA443A3" w14:textId="77777777" w:rsidR="00154AD2" w:rsidRDefault="007F6BF3">
            <w:pPr>
              <w:pStyle w:val="P68B1DB1-Normal7"/>
              <w:spacing w:after="0" w:line="240" w:lineRule="auto"/>
              <w:jc w:val="center"/>
              <w:rPr>
                <w:rFonts w:eastAsia="Times New Roman" w:cs="Calibri"/>
                <w:noProof/>
              </w:rPr>
            </w:pPr>
            <w:r>
              <w:rPr>
                <w:noProof/>
              </w:rPr>
              <w:t>1.5</w:t>
            </w:r>
          </w:p>
        </w:tc>
        <w:tc>
          <w:tcPr>
            <w:tcW w:w="1276" w:type="dxa"/>
            <w:shd w:val="clear" w:color="auto" w:fill="C4EFCE"/>
            <w:noWrap/>
            <w:vAlign w:val="center"/>
            <w:hideMark/>
          </w:tcPr>
          <w:p w14:paraId="7BC38134" w14:textId="77777777" w:rsidR="00154AD2" w:rsidRDefault="007F6BF3">
            <w:pPr>
              <w:pStyle w:val="P68B1DB1-Normal8"/>
              <w:spacing w:after="0" w:line="240" w:lineRule="auto"/>
              <w:jc w:val="center"/>
              <w:rPr>
                <w:rFonts w:eastAsia="Times New Roman" w:cs="Calibri"/>
                <w:noProof/>
              </w:rPr>
            </w:pPr>
            <w:r>
              <w:rPr>
                <w:noProof/>
              </w:rPr>
              <w:t>RE-C01-r02</w:t>
            </w:r>
          </w:p>
        </w:tc>
        <w:tc>
          <w:tcPr>
            <w:tcW w:w="992" w:type="dxa"/>
            <w:shd w:val="clear" w:color="auto" w:fill="C4EFCE"/>
            <w:noWrap/>
            <w:vAlign w:val="center"/>
            <w:hideMark/>
          </w:tcPr>
          <w:p w14:paraId="1640A28D" w14:textId="77777777" w:rsidR="00154AD2" w:rsidRDefault="007F6BF3">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48A8BC09" w14:textId="77777777" w:rsidR="00154AD2" w:rsidRDefault="007F6BF3">
            <w:pPr>
              <w:pStyle w:val="P68B1DB1-Normal8"/>
              <w:spacing w:after="0" w:line="240" w:lineRule="auto"/>
              <w:jc w:val="center"/>
              <w:rPr>
                <w:rFonts w:eastAsia="Times New Roman" w:cs="Calibri"/>
                <w:noProof/>
              </w:rPr>
            </w:pPr>
            <w:r>
              <w:rPr>
                <w:noProof/>
              </w:rPr>
              <w:t>Έναρξη ισχύος του νέου νόμου για την ψυχική υγεία, ο οποίος θεσπίζει τις αρχές σχετικά με τα δικαιώματα των ατόμων με ψυχική ασθένεια και ρυθμίζει την υποχρεωτική νοσηλεία ή θεραπεία</w:t>
            </w:r>
          </w:p>
        </w:tc>
        <w:tc>
          <w:tcPr>
            <w:tcW w:w="1418" w:type="dxa"/>
            <w:shd w:val="clear" w:color="auto" w:fill="C4EFCE"/>
            <w:noWrap/>
            <w:vAlign w:val="center"/>
            <w:hideMark/>
          </w:tcPr>
          <w:p w14:paraId="0C4283AF" w14:textId="77777777" w:rsidR="00154AD2" w:rsidRDefault="007F6BF3">
            <w:pPr>
              <w:pStyle w:val="P68B1DB1-Normal8"/>
              <w:spacing w:after="0" w:line="240" w:lineRule="auto"/>
              <w:jc w:val="center"/>
              <w:rPr>
                <w:rFonts w:eastAsia="Times New Roman" w:cs="Calibri"/>
                <w:noProof/>
              </w:rPr>
            </w:pPr>
            <w:r>
              <w:rPr>
                <w:noProof/>
              </w:rPr>
              <w:t>Έναρξη ισχύος του νέου νόμου για την ψυχική υγεία</w:t>
            </w:r>
          </w:p>
        </w:tc>
        <w:tc>
          <w:tcPr>
            <w:tcW w:w="1164" w:type="dxa"/>
            <w:shd w:val="clear" w:color="auto" w:fill="C4EFCE"/>
            <w:noWrap/>
            <w:vAlign w:val="center"/>
            <w:hideMark/>
          </w:tcPr>
          <w:p w14:paraId="6EC27EF4" w14:textId="77777777" w:rsidR="00154AD2" w:rsidRDefault="007F6BF3">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368D4131" w14:textId="77777777" w:rsidR="00154AD2" w:rsidRDefault="007F6BF3">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640AB3AA" w14:textId="77777777" w:rsidR="00154AD2" w:rsidRDefault="007F6BF3">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099B69D0"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901" w:type="dxa"/>
            <w:shd w:val="clear" w:color="auto" w:fill="C4EFCE"/>
            <w:noWrap/>
            <w:vAlign w:val="center"/>
            <w:hideMark/>
          </w:tcPr>
          <w:p w14:paraId="2A36F701" w14:textId="77777777" w:rsidR="00154AD2" w:rsidRDefault="007F6BF3">
            <w:pPr>
              <w:pStyle w:val="P68B1DB1-Normal8"/>
              <w:spacing w:after="0" w:line="240" w:lineRule="auto"/>
              <w:jc w:val="center"/>
              <w:rPr>
                <w:rFonts w:eastAsia="Times New Roman" w:cs="Calibri"/>
                <w:noProof/>
              </w:rPr>
            </w:pPr>
            <w:r>
              <w:rPr>
                <w:noProof/>
              </w:rPr>
              <w:t>2023</w:t>
            </w:r>
          </w:p>
        </w:tc>
        <w:tc>
          <w:tcPr>
            <w:tcW w:w="3981" w:type="dxa"/>
            <w:shd w:val="clear" w:color="auto" w:fill="C4EFCE"/>
            <w:noWrap/>
            <w:vAlign w:val="center"/>
            <w:hideMark/>
          </w:tcPr>
          <w:p w14:paraId="19AE9BCF" w14:textId="77777777" w:rsidR="00154AD2" w:rsidRDefault="007F6BF3">
            <w:pPr>
              <w:pStyle w:val="P68B1DB1-Normal8"/>
              <w:spacing w:after="0" w:line="240" w:lineRule="auto"/>
              <w:jc w:val="both"/>
              <w:rPr>
                <w:rFonts w:eastAsia="Times New Roman" w:cs="Calibri"/>
                <w:noProof/>
              </w:rPr>
            </w:pPr>
            <w:r>
              <w:rPr>
                <w:noProof/>
              </w:rPr>
              <w:t>Ο νέος νόμος για την ψυχική υγεία αντικατοπτρίζει τις προτάσεις τροποποίησης που υπέβαλε η ομάδα εργασίας που συστάθηκε με το κυβερνητικό διάταγμα αριθ. 6324/2020, της 15 Ιουνίου, όπως τροποποιήθηκε με το κυβερνητικό διάταγμα αριθ. 11485/2020, της 20 Νοεμβρίου, με σκοπό τον καθορισμό των αρχών σχετικά με τα δικαιώματα των ατόμων που πάσχουν από ψυχικές ασθένειες και τη ρύθμιση της υποχρεωτικής νοσηλείας ή θεραπείας.</w:t>
            </w:r>
          </w:p>
        </w:tc>
      </w:tr>
      <w:tr w:rsidR="00154AD2" w14:paraId="30477D5B" w14:textId="77777777">
        <w:trPr>
          <w:trHeight w:val="850"/>
        </w:trPr>
        <w:tc>
          <w:tcPr>
            <w:tcW w:w="1135" w:type="dxa"/>
            <w:shd w:val="clear" w:color="auto" w:fill="C4EFCE"/>
            <w:noWrap/>
            <w:vAlign w:val="center"/>
            <w:hideMark/>
          </w:tcPr>
          <w:p w14:paraId="32C79C84" w14:textId="77777777" w:rsidR="00154AD2" w:rsidRDefault="007F6BF3">
            <w:pPr>
              <w:pStyle w:val="P68B1DB1-Normal7"/>
              <w:spacing w:after="0" w:line="240" w:lineRule="auto"/>
              <w:jc w:val="center"/>
              <w:rPr>
                <w:rFonts w:eastAsia="Times New Roman" w:cs="Calibri"/>
                <w:noProof/>
              </w:rPr>
            </w:pPr>
            <w:r>
              <w:rPr>
                <w:noProof/>
              </w:rPr>
              <w:t>1.6</w:t>
            </w:r>
          </w:p>
        </w:tc>
        <w:tc>
          <w:tcPr>
            <w:tcW w:w="1276" w:type="dxa"/>
            <w:shd w:val="clear" w:color="auto" w:fill="C4EFCE"/>
            <w:noWrap/>
            <w:vAlign w:val="center"/>
            <w:hideMark/>
          </w:tcPr>
          <w:p w14:paraId="2ECC3EA8" w14:textId="77777777" w:rsidR="00154AD2" w:rsidRDefault="007F6BF3">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6C8C908A" w14:textId="77777777" w:rsidR="00154AD2" w:rsidRDefault="007F6BF3">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6791F258" w14:textId="77777777" w:rsidR="00154AD2" w:rsidRDefault="007F6BF3">
            <w:pPr>
              <w:pStyle w:val="P68B1DB1-Normal8"/>
              <w:spacing w:after="0" w:line="240" w:lineRule="auto"/>
              <w:jc w:val="center"/>
              <w:rPr>
                <w:rFonts w:eastAsia="Times New Roman" w:cs="Calibri"/>
                <w:noProof/>
              </w:rPr>
            </w:pPr>
            <w:r>
              <w:rPr>
                <w:noProof/>
              </w:rPr>
              <w:t xml:space="preserve">Έναρξη ισχύος του νέου υποδείγματος σύμβασης διαχείρισης </w:t>
            </w:r>
          </w:p>
        </w:tc>
        <w:tc>
          <w:tcPr>
            <w:tcW w:w="1418" w:type="dxa"/>
            <w:shd w:val="clear" w:color="auto" w:fill="C4EFCE"/>
            <w:noWrap/>
            <w:vAlign w:val="center"/>
            <w:hideMark/>
          </w:tcPr>
          <w:p w14:paraId="650B0FAE" w14:textId="77777777" w:rsidR="00154AD2" w:rsidRDefault="007F6BF3">
            <w:pPr>
              <w:pStyle w:val="P68B1DB1-Normal8"/>
              <w:spacing w:after="0" w:line="240" w:lineRule="auto"/>
              <w:jc w:val="center"/>
              <w:rPr>
                <w:rFonts w:eastAsia="Times New Roman" w:cs="Calibri"/>
                <w:noProof/>
              </w:rPr>
            </w:pPr>
            <w:r>
              <w:rPr>
                <w:noProof/>
              </w:rPr>
              <w:t>Έναρξη ισχύος του νέου υποδείγματος σύμβασης διαχείρισης</w:t>
            </w:r>
          </w:p>
        </w:tc>
        <w:tc>
          <w:tcPr>
            <w:tcW w:w="1164" w:type="dxa"/>
            <w:shd w:val="clear" w:color="auto" w:fill="C4EFCE"/>
            <w:noWrap/>
            <w:vAlign w:val="center"/>
            <w:hideMark/>
          </w:tcPr>
          <w:p w14:paraId="74656DC2" w14:textId="77777777" w:rsidR="00154AD2" w:rsidRDefault="007F6BF3">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7230ACBA" w14:textId="77777777" w:rsidR="00154AD2" w:rsidRDefault="007F6BF3">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505F4225" w14:textId="77777777" w:rsidR="00154AD2" w:rsidRDefault="007F6BF3">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717978E7"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901" w:type="dxa"/>
            <w:shd w:val="clear" w:color="auto" w:fill="C4EFCE"/>
            <w:noWrap/>
            <w:vAlign w:val="center"/>
            <w:hideMark/>
          </w:tcPr>
          <w:p w14:paraId="5C203299" w14:textId="77777777" w:rsidR="00154AD2" w:rsidRDefault="007F6BF3">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5A41FB03" w14:textId="77777777" w:rsidR="00154AD2" w:rsidRDefault="007F6BF3">
            <w:pPr>
              <w:pStyle w:val="P68B1DB1-Normal8"/>
              <w:spacing w:after="0" w:line="240" w:lineRule="auto"/>
              <w:jc w:val="both"/>
              <w:rPr>
                <w:rFonts w:eastAsia="Times New Roman" w:cs="Calibri"/>
                <w:noProof/>
              </w:rPr>
            </w:pPr>
            <w:r>
              <w:rPr>
                <w:noProof/>
              </w:rPr>
              <w:t>Έναρξη ισχύος, μέσω κοινής έγκρισης από τα Υπουργεία Υγείας και Οικονομικών, του νέου υποδείγματος σύμβασης διαχείρισης. Το νέο υπόδειγμα τηρείται από όλες τις μελλοντικές συμβάσεις διαχείρισης που θα υπογραφούν από όλους τους δημόσιους διαχειριστές κρατικών επιχειρήσεων στο σύστημα υγείας, προκειμένου να ενισχυθεί η λογοδοσία και να ενθαρρυνθούν πρακτικές διαχείρισης βάσει επιδόσεων.</w:t>
            </w:r>
          </w:p>
        </w:tc>
      </w:tr>
      <w:tr w:rsidR="00154AD2" w14:paraId="62CE5DDB" w14:textId="77777777">
        <w:trPr>
          <w:trHeight w:val="556"/>
        </w:trPr>
        <w:tc>
          <w:tcPr>
            <w:tcW w:w="1135" w:type="dxa"/>
            <w:shd w:val="clear" w:color="auto" w:fill="C4EFCE"/>
            <w:noWrap/>
            <w:vAlign w:val="center"/>
            <w:hideMark/>
          </w:tcPr>
          <w:p w14:paraId="41A0C8AD" w14:textId="77777777" w:rsidR="00154AD2" w:rsidRDefault="007F6BF3">
            <w:pPr>
              <w:pStyle w:val="P68B1DB1-Normal7"/>
              <w:spacing w:after="0" w:line="240" w:lineRule="auto"/>
              <w:jc w:val="center"/>
              <w:rPr>
                <w:rFonts w:eastAsia="Times New Roman" w:cs="Calibri"/>
                <w:noProof/>
              </w:rPr>
            </w:pPr>
            <w:r>
              <w:rPr>
                <w:noProof/>
              </w:rPr>
              <w:t>1.7</w:t>
            </w:r>
          </w:p>
        </w:tc>
        <w:tc>
          <w:tcPr>
            <w:tcW w:w="1276" w:type="dxa"/>
            <w:shd w:val="clear" w:color="auto" w:fill="C4EFCE"/>
            <w:noWrap/>
            <w:vAlign w:val="center"/>
            <w:hideMark/>
          </w:tcPr>
          <w:p w14:paraId="503F6CAA" w14:textId="77777777" w:rsidR="00154AD2" w:rsidRDefault="007F6BF3">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2C388B1A" w14:textId="77777777" w:rsidR="00154AD2" w:rsidRDefault="007F6BF3">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103D3A04" w14:textId="77777777" w:rsidR="00154AD2" w:rsidRDefault="007F6BF3">
            <w:pPr>
              <w:pStyle w:val="P68B1DB1-Normal8"/>
              <w:spacing w:after="0" w:line="240" w:lineRule="auto"/>
              <w:jc w:val="center"/>
              <w:rPr>
                <w:rFonts w:eastAsia="Times New Roman" w:cs="Calibri"/>
                <w:noProof/>
              </w:rPr>
            </w:pPr>
            <w:r>
              <w:rPr>
                <w:noProof/>
              </w:rPr>
              <w:t>Έναρξη ισχύος του νέου διαχειριστικού λογιστικού σχεδίου του Εθνικού Συστήματος Υγείας</w:t>
            </w:r>
          </w:p>
        </w:tc>
        <w:tc>
          <w:tcPr>
            <w:tcW w:w="1418" w:type="dxa"/>
            <w:shd w:val="clear" w:color="auto" w:fill="C4EFCE"/>
            <w:noWrap/>
            <w:vAlign w:val="center"/>
            <w:hideMark/>
          </w:tcPr>
          <w:p w14:paraId="17E76F91" w14:textId="77777777" w:rsidR="00154AD2" w:rsidRDefault="007F6BF3">
            <w:pPr>
              <w:pStyle w:val="P68B1DB1-Normal8"/>
              <w:spacing w:after="0" w:line="240" w:lineRule="auto"/>
              <w:jc w:val="center"/>
              <w:rPr>
                <w:rFonts w:eastAsia="Times New Roman" w:cs="Calibri"/>
                <w:noProof/>
              </w:rPr>
            </w:pPr>
            <w:r>
              <w:rPr>
                <w:noProof/>
              </w:rPr>
              <w:t>Έναρξη ισχύος του νέου διαχειριστικού λογιστικού σχεδίου</w:t>
            </w:r>
          </w:p>
        </w:tc>
        <w:tc>
          <w:tcPr>
            <w:tcW w:w="1164" w:type="dxa"/>
            <w:shd w:val="clear" w:color="auto" w:fill="C4EFCE"/>
            <w:noWrap/>
            <w:vAlign w:val="center"/>
            <w:hideMark/>
          </w:tcPr>
          <w:p w14:paraId="24AFC56D" w14:textId="77777777" w:rsidR="00154AD2" w:rsidRDefault="007F6BF3">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06359F79" w14:textId="77777777" w:rsidR="00154AD2" w:rsidRDefault="007F6BF3">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52339343" w14:textId="77777777" w:rsidR="00154AD2" w:rsidRDefault="007F6BF3">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1FA554EC"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901" w:type="dxa"/>
            <w:shd w:val="clear" w:color="auto" w:fill="C4EFCE"/>
            <w:noWrap/>
            <w:vAlign w:val="center"/>
            <w:hideMark/>
          </w:tcPr>
          <w:p w14:paraId="24B7A493" w14:textId="77777777" w:rsidR="00154AD2" w:rsidRDefault="007F6BF3">
            <w:pPr>
              <w:pStyle w:val="P68B1DB1-Normal8"/>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34314FC7" w14:textId="77777777" w:rsidR="00154AD2" w:rsidRDefault="007F6BF3">
            <w:pPr>
              <w:pStyle w:val="P68B1DB1-Normal8"/>
              <w:spacing w:after="0" w:line="240" w:lineRule="auto"/>
              <w:jc w:val="both"/>
              <w:rPr>
                <w:rFonts w:eastAsia="Times New Roman" w:cs="Calibri"/>
                <w:noProof/>
              </w:rPr>
            </w:pPr>
            <w:r>
              <w:rPr>
                <w:noProof/>
              </w:rPr>
              <w:t>Κατάρτιση διαχειριστικού λογιστικού σχεδίου για την Εθνική Υπηρεσία Υγείας, με σκοπό τη συλλογή, σε εθνικό επίπεδο, πληροφοριών για το κόστος, τα εισοδήματα και τα αποτελέσματα των νοσοκομειακών υπηρεσιών, βελτιώνοντας έτσι την κατανομή των πόρων στο Εθνικό Σύστημα Υγείας, τη συγκριτική αξιολόγηση και τον εντοπισμό τομέων βελτίωσης της λειτουργικής αποτελεσματικότητας των φορέων υγείας. Το νέο διαχειριστικό λογιστικό σχέδιο διαδίδεται μέσω κανονιστικής εγκυκλίου από την κεντρική διοίκηση του συστήματος υγείας.</w:t>
            </w:r>
          </w:p>
        </w:tc>
      </w:tr>
      <w:tr w:rsidR="00154AD2" w14:paraId="32CD0FC0" w14:textId="77777777">
        <w:trPr>
          <w:trHeight w:val="509"/>
        </w:trPr>
        <w:tc>
          <w:tcPr>
            <w:tcW w:w="1135" w:type="dxa"/>
            <w:shd w:val="clear" w:color="auto" w:fill="C4EFCE"/>
            <w:noWrap/>
            <w:vAlign w:val="center"/>
            <w:hideMark/>
          </w:tcPr>
          <w:p w14:paraId="21F38F39" w14:textId="77777777" w:rsidR="00154AD2" w:rsidRDefault="007F6BF3">
            <w:pPr>
              <w:pStyle w:val="P68B1DB1-Normal7"/>
              <w:spacing w:after="0" w:line="240" w:lineRule="auto"/>
              <w:jc w:val="center"/>
              <w:rPr>
                <w:rFonts w:eastAsia="Times New Roman" w:cs="Calibri"/>
                <w:noProof/>
              </w:rPr>
            </w:pPr>
            <w:r>
              <w:rPr>
                <w:noProof/>
              </w:rPr>
              <w:t>1.8</w:t>
            </w:r>
          </w:p>
        </w:tc>
        <w:tc>
          <w:tcPr>
            <w:tcW w:w="1276" w:type="dxa"/>
            <w:shd w:val="clear" w:color="auto" w:fill="C4EFCE"/>
            <w:noWrap/>
            <w:vAlign w:val="center"/>
            <w:hideMark/>
          </w:tcPr>
          <w:p w14:paraId="17CA506E" w14:textId="77777777" w:rsidR="00154AD2" w:rsidRDefault="007F6BF3">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477C53D1" w14:textId="77777777" w:rsidR="00154AD2" w:rsidRDefault="007F6BF3">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07A85A30" w14:textId="77777777" w:rsidR="00154AD2" w:rsidRDefault="007F6BF3">
            <w:pPr>
              <w:pStyle w:val="P68B1DB1-Normal8"/>
              <w:spacing w:after="0" w:line="240" w:lineRule="auto"/>
              <w:jc w:val="center"/>
              <w:rPr>
                <w:rFonts w:eastAsia="Times New Roman" w:cs="Calibri"/>
                <w:noProof/>
              </w:rPr>
            </w:pPr>
            <w:r>
              <w:rPr>
                <w:noProof/>
              </w:rPr>
              <w:t>Δημιουργία νέων Ολοκληρωμένων Κέντρων Ευθύνης στα Νοσοκομεία του Εθνικού Συστήματος Υγείας</w:t>
            </w:r>
          </w:p>
        </w:tc>
        <w:tc>
          <w:tcPr>
            <w:tcW w:w="1418" w:type="dxa"/>
            <w:shd w:val="clear" w:color="auto" w:fill="C4EFCE"/>
            <w:noWrap/>
            <w:vAlign w:val="center"/>
            <w:hideMark/>
          </w:tcPr>
          <w:p w14:paraId="60988E12" w14:textId="77777777" w:rsidR="00154AD2" w:rsidRDefault="007F6BF3">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578F2FF0"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62" w:type="dxa"/>
            <w:shd w:val="clear" w:color="auto" w:fill="C4EFCE"/>
            <w:noWrap/>
            <w:vAlign w:val="center"/>
            <w:hideMark/>
          </w:tcPr>
          <w:p w14:paraId="2B2EFD81" w14:textId="77777777" w:rsidR="00154AD2" w:rsidRDefault="007F6BF3">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44C0063E" w14:textId="77777777" w:rsidR="00154AD2" w:rsidRDefault="007F6BF3">
            <w:pPr>
              <w:pStyle w:val="P68B1DB1-Normal8"/>
              <w:spacing w:after="0" w:line="240" w:lineRule="auto"/>
              <w:jc w:val="center"/>
              <w:rPr>
                <w:rFonts w:eastAsia="Times New Roman" w:cs="Calibri"/>
                <w:noProof/>
              </w:rPr>
            </w:pPr>
            <w:r>
              <w:rPr>
                <w:noProof/>
              </w:rPr>
              <w:t>10</w:t>
            </w:r>
          </w:p>
        </w:tc>
        <w:tc>
          <w:tcPr>
            <w:tcW w:w="833" w:type="dxa"/>
            <w:gridSpan w:val="2"/>
            <w:shd w:val="clear" w:color="auto" w:fill="C4EFCE"/>
            <w:noWrap/>
            <w:vAlign w:val="center"/>
            <w:hideMark/>
          </w:tcPr>
          <w:p w14:paraId="15BC6433"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901" w:type="dxa"/>
            <w:shd w:val="clear" w:color="auto" w:fill="C4EFCE"/>
            <w:noWrap/>
            <w:vAlign w:val="center"/>
            <w:hideMark/>
          </w:tcPr>
          <w:p w14:paraId="775CACAD" w14:textId="77777777" w:rsidR="00154AD2" w:rsidRDefault="007F6BF3">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395952DF" w14:textId="77777777" w:rsidR="00154AD2" w:rsidRDefault="007F6BF3">
            <w:pPr>
              <w:pStyle w:val="P68B1DB1-Normal8"/>
              <w:spacing w:after="0" w:line="240" w:lineRule="auto"/>
              <w:jc w:val="both"/>
              <w:rPr>
                <w:rFonts w:eastAsia="Times New Roman" w:cs="Calibri"/>
                <w:noProof/>
              </w:rPr>
            </w:pPr>
            <w:r>
              <w:rPr>
                <w:noProof/>
              </w:rPr>
              <w:t>Δημιουργία νέων Ολοκληρωμένων Κέντρων Ευθύνης στα Νοσοκομεία του Εθνικού Συστήματος Υγείας με σκοπό: I) βελτίωση της πρόσβασης, καθώς και της ποιότητας και της αποτελεσματικότητας στην παροχή υπηρεσιών υγειονομικής περίθαλψης· II) ενίσχυση της κλινικής διακυβέρνησης, της αυτονομίας και της λογοδοσίας των υπηρεσιών υγειονομικής περίθαλψης· να ενθαρρύνουν τους επαγγελματίες του τομέα της υγείας να συνεχίσουν να εργάζονται σε δημόσια νοσοκομεία· να μοιράζονται τους κινδύνους και τα οφέλη μεταξύ των υπηρεσιών υγειονομικής περίθαλψης και των νοσοκομείων· V) εκτιμά την αποστολή κάθε υπηρεσίας υγειονομικής περίθαλψης και νοσοκομείου στο περιφερειακό και εθνικό πλαίσιο του Εθνικού Συστήματος Υγείας.</w:t>
            </w:r>
          </w:p>
        </w:tc>
      </w:tr>
      <w:tr w:rsidR="00154AD2" w14:paraId="1939BFC6" w14:textId="77777777">
        <w:trPr>
          <w:trHeight w:val="1270"/>
        </w:trPr>
        <w:tc>
          <w:tcPr>
            <w:tcW w:w="1135" w:type="dxa"/>
            <w:shd w:val="clear" w:color="auto" w:fill="C4EFCE"/>
            <w:noWrap/>
            <w:vAlign w:val="center"/>
            <w:hideMark/>
          </w:tcPr>
          <w:p w14:paraId="3C32EC3C" w14:textId="77777777" w:rsidR="00154AD2" w:rsidRDefault="007F6BF3">
            <w:pPr>
              <w:pStyle w:val="P68B1DB1-Normal7"/>
              <w:spacing w:after="0" w:line="240" w:lineRule="auto"/>
              <w:jc w:val="center"/>
              <w:rPr>
                <w:rFonts w:eastAsia="Times New Roman" w:cs="Calibri"/>
                <w:noProof/>
              </w:rPr>
            </w:pPr>
            <w:r>
              <w:rPr>
                <w:noProof/>
              </w:rPr>
              <w:t>1.9</w:t>
            </w:r>
          </w:p>
        </w:tc>
        <w:tc>
          <w:tcPr>
            <w:tcW w:w="1276" w:type="dxa"/>
            <w:shd w:val="clear" w:color="auto" w:fill="C4EFCE"/>
            <w:noWrap/>
            <w:vAlign w:val="center"/>
            <w:hideMark/>
          </w:tcPr>
          <w:p w14:paraId="089D7CDD" w14:textId="77777777" w:rsidR="00154AD2" w:rsidRDefault="007F6BF3">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1CCBCD34" w14:textId="77777777" w:rsidR="00154AD2" w:rsidRDefault="007F6BF3">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518C1018" w14:textId="77777777" w:rsidR="00154AD2" w:rsidRDefault="007F6BF3">
            <w:pPr>
              <w:pStyle w:val="P68B1DB1-Normal8"/>
              <w:spacing w:after="0" w:line="240" w:lineRule="auto"/>
              <w:jc w:val="center"/>
              <w:rPr>
                <w:rFonts w:eastAsia="Times New Roman" w:cs="Calibri"/>
                <w:noProof/>
              </w:rPr>
            </w:pPr>
            <w:r>
              <w:rPr>
                <w:noProof/>
              </w:rPr>
              <w:t>Δημιουργία νέων Ολοκληρωμένων Κέντρων Ευθύνης στα Νοσοκομεία του Εθνικού Συστήματος Υγείας</w:t>
            </w:r>
          </w:p>
        </w:tc>
        <w:tc>
          <w:tcPr>
            <w:tcW w:w="1418" w:type="dxa"/>
            <w:shd w:val="clear" w:color="auto" w:fill="C4EFCE"/>
            <w:noWrap/>
            <w:vAlign w:val="center"/>
            <w:hideMark/>
          </w:tcPr>
          <w:p w14:paraId="05523826" w14:textId="77777777" w:rsidR="00154AD2" w:rsidRDefault="007F6BF3">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3E40AB99"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62" w:type="dxa"/>
            <w:shd w:val="clear" w:color="auto" w:fill="C4EFCE"/>
            <w:noWrap/>
            <w:vAlign w:val="center"/>
            <w:hideMark/>
          </w:tcPr>
          <w:p w14:paraId="5203E359" w14:textId="77777777" w:rsidR="00154AD2" w:rsidRDefault="007F6BF3">
            <w:pPr>
              <w:pStyle w:val="P68B1DB1-Normal8"/>
              <w:spacing w:after="0" w:line="240" w:lineRule="auto"/>
              <w:jc w:val="center"/>
              <w:rPr>
                <w:rFonts w:eastAsia="Times New Roman" w:cs="Calibri"/>
                <w:noProof/>
              </w:rPr>
            </w:pPr>
            <w:r>
              <w:rPr>
                <w:noProof/>
              </w:rPr>
              <w:t>10</w:t>
            </w:r>
          </w:p>
        </w:tc>
        <w:tc>
          <w:tcPr>
            <w:tcW w:w="805" w:type="dxa"/>
            <w:shd w:val="clear" w:color="auto" w:fill="C4EFCE"/>
            <w:noWrap/>
            <w:vAlign w:val="center"/>
            <w:hideMark/>
          </w:tcPr>
          <w:p w14:paraId="7A35B435" w14:textId="77777777" w:rsidR="00154AD2" w:rsidRDefault="007F6BF3">
            <w:pPr>
              <w:pStyle w:val="P68B1DB1-Normal8"/>
              <w:spacing w:after="0" w:line="240" w:lineRule="auto"/>
              <w:jc w:val="center"/>
              <w:rPr>
                <w:rFonts w:eastAsia="Times New Roman" w:cs="Calibri"/>
                <w:noProof/>
              </w:rPr>
            </w:pPr>
            <w:r>
              <w:rPr>
                <w:noProof/>
              </w:rPr>
              <w:t>25</w:t>
            </w:r>
          </w:p>
        </w:tc>
        <w:tc>
          <w:tcPr>
            <w:tcW w:w="833" w:type="dxa"/>
            <w:gridSpan w:val="2"/>
            <w:shd w:val="clear" w:color="auto" w:fill="C4EFCE"/>
            <w:noWrap/>
            <w:vAlign w:val="center"/>
            <w:hideMark/>
          </w:tcPr>
          <w:p w14:paraId="794F3E26"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901" w:type="dxa"/>
            <w:shd w:val="clear" w:color="auto" w:fill="C4EFCE"/>
            <w:noWrap/>
            <w:vAlign w:val="center"/>
            <w:hideMark/>
          </w:tcPr>
          <w:p w14:paraId="70104365" w14:textId="77777777" w:rsidR="00154AD2" w:rsidRDefault="007F6BF3">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3AF662D1" w14:textId="77777777" w:rsidR="00154AD2" w:rsidRDefault="007F6BF3">
            <w:pPr>
              <w:pStyle w:val="P68B1DB1-Normal8"/>
              <w:spacing w:after="0" w:line="240" w:lineRule="auto"/>
              <w:jc w:val="both"/>
              <w:rPr>
                <w:rFonts w:eastAsia="Times New Roman" w:cs="Calibri"/>
                <w:noProof/>
              </w:rPr>
            </w:pPr>
            <w:r>
              <w:rPr>
                <w:noProof/>
              </w:rPr>
              <w:t>Δημιουργία νέων Ολοκληρωμένων Κέντρων Ευθύνης στα Νοσοκομεία του Εθνικού Συστήματος Υγείας με σκοπό: I) βελτίωση της πρόσβασης, καθώς και της ποιότητας και της αποτελεσματικότητας στην παροχή υπηρεσιών υγειονομικής περίθαλψης· II) ενίσχυση της κλινικής διακυβέρνησης, της αυτονομίας και της λογοδοσίας των υπηρεσιών υγειονομικής περίθαλψης· να ενθαρρύνουν τους επαγγελματίες του τομέα της υγείας να συνεχίσουν να εργάζονται σε δημόσια νοσοκομεία· να μοιράζονται τους κινδύνους και τα οφέλη μεταξύ των υπηρεσιών υγειονομικής περίθαλψης και των νοσοκομείων· V) εκτιμά την αποστολή κάθε υπηρεσίας υγειονομικής περίθαλψης και νοσοκομείου στο περιφερειακό και εθνικό πλαίσιο του Εθνικού Συστήματος Υγείας.</w:t>
            </w:r>
          </w:p>
        </w:tc>
      </w:tr>
      <w:tr w:rsidR="00154AD2" w14:paraId="42C580F2" w14:textId="77777777">
        <w:trPr>
          <w:trHeight w:val="1270"/>
        </w:trPr>
        <w:tc>
          <w:tcPr>
            <w:tcW w:w="1135" w:type="dxa"/>
            <w:shd w:val="clear" w:color="auto" w:fill="C4EFCE"/>
            <w:noWrap/>
            <w:vAlign w:val="center"/>
            <w:hideMark/>
          </w:tcPr>
          <w:p w14:paraId="577ECC38" w14:textId="77777777" w:rsidR="00154AD2" w:rsidRDefault="007F6BF3">
            <w:pPr>
              <w:pStyle w:val="P68B1DB1-Normal7"/>
              <w:spacing w:after="0" w:line="240" w:lineRule="auto"/>
              <w:jc w:val="center"/>
              <w:rPr>
                <w:rFonts w:eastAsia="Times New Roman" w:cs="Calibri"/>
                <w:noProof/>
              </w:rPr>
            </w:pPr>
            <w:r>
              <w:rPr>
                <w:noProof/>
              </w:rPr>
              <w:t>1.10</w:t>
            </w:r>
          </w:p>
        </w:tc>
        <w:tc>
          <w:tcPr>
            <w:tcW w:w="1276" w:type="dxa"/>
            <w:shd w:val="clear" w:color="auto" w:fill="C4EFCE"/>
            <w:noWrap/>
            <w:vAlign w:val="center"/>
            <w:hideMark/>
          </w:tcPr>
          <w:p w14:paraId="366D7083" w14:textId="77777777" w:rsidR="00154AD2" w:rsidRDefault="007F6BF3">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1F822836" w14:textId="77777777" w:rsidR="00154AD2" w:rsidRDefault="007F6BF3">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5F4D5231" w14:textId="77777777" w:rsidR="00154AD2" w:rsidRDefault="007F6BF3">
            <w:pPr>
              <w:pStyle w:val="P68B1DB1-Normal8"/>
              <w:spacing w:after="0" w:line="240" w:lineRule="auto"/>
              <w:jc w:val="center"/>
              <w:rPr>
                <w:rFonts w:eastAsia="Times New Roman" w:cs="Calibri"/>
                <w:noProof/>
              </w:rPr>
            </w:pPr>
            <w:r>
              <w:rPr>
                <w:noProof/>
              </w:rPr>
              <w:t>Ενίσχυση των αποκρίσεων κατ’ οίκον νοσηλείας στα νοσοκομεία της Εθνικής Υπηρεσίας Υγείας</w:t>
            </w:r>
          </w:p>
        </w:tc>
        <w:tc>
          <w:tcPr>
            <w:tcW w:w="1418" w:type="dxa"/>
            <w:shd w:val="clear" w:color="auto" w:fill="C4EFCE"/>
            <w:noWrap/>
            <w:vAlign w:val="center"/>
            <w:hideMark/>
          </w:tcPr>
          <w:p w14:paraId="345712F2" w14:textId="77777777" w:rsidR="00154AD2" w:rsidRDefault="007F6BF3">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0B7E8C08"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62" w:type="dxa"/>
            <w:shd w:val="clear" w:color="auto" w:fill="C4EFCE"/>
            <w:noWrap/>
            <w:vAlign w:val="center"/>
            <w:hideMark/>
          </w:tcPr>
          <w:p w14:paraId="10CED8A4" w14:textId="77777777" w:rsidR="00154AD2" w:rsidRDefault="007F6BF3">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6A59B4DD" w14:textId="77777777" w:rsidR="00154AD2" w:rsidRDefault="007F6BF3">
            <w:pPr>
              <w:pStyle w:val="P68B1DB1-Normal8"/>
              <w:spacing w:after="0" w:line="240" w:lineRule="auto"/>
              <w:jc w:val="center"/>
              <w:rPr>
                <w:rFonts w:eastAsia="Times New Roman" w:cs="Calibri"/>
                <w:noProof/>
              </w:rPr>
            </w:pPr>
            <w:r>
              <w:rPr>
                <w:noProof/>
              </w:rPr>
              <w:t>5 000</w:t>
            </w:r>
          </w:p>
        </w:tc>
        <w:tc>
          <w:tcPr>
            <w:tcW w:w="833" w:type="dxa"/>
            <w:gridSpan w:val="2"/>
            <w:shd w:val="clear" w:color="auto" w:fill="C4EFCE"/>
            <w:noWrap/>
            <w:vAlign w:val="center"/>
            <w:hideMark/>
          </w:tcPr>
          <w:p w14:paraId="0E7C5F59"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901" w:type="dxa"/>
            <w:shd w:val="clear" w:color="auto" w:fill="C4EFCE"/>
            <w:noWrap/>
            <w:vAlign w:val="center"/>
            <w:hideMark/>
          </w:tcPr>
          <w:p w14:paraId="5462A3BC" w14:textId="77777777" w:rsidR="00154AD2" w:rsidRDefault="007F6BF3">
            <w:pPr>
              <w:pStyle w:val="P68B1DB1-Normal8"/>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67304B4C" w14:textId="77777777" w:rsidR="00154AD2" w:rsidRDefault="007F6BF3">
            <w:pPr>
              <w:pStyle w:val="P68B1DB1-Normal8"/>
              <w:spacing w:after="0" w:line="240" w:lineRule="auto"/>
              <w:jc w:val="both"/>
              <w:rPr>
                <w:rFonts w:eastAsia="Times New Roman" w:cs="Calibri"/>
                <w:noProof/>
              </w:rPr>
            </w:pPr>
            <w:r>
              <w:rPr>
                <w:noProof/>
              </w:rPr>
              <w:t>Αύξηση της ικανότητας ανταπόκρισης στην κατ’ οίκον νοσηλεία, επιτρέποντας την παροχή, κατ’ οίκον, υπηρεσιών υγειονομικής περίθαλψης με διαφοροποίηση, πολυπλοκότητα και ένταση σε επίπεδο νοσοκομείου, για περιορισμένο χρονικό διάστημα, σε στενή σύνδεση με τις υπηρεσίες πρωτοβάθμιας υγειονομικής περίθαλψης, το εθνικό δίκτυο ολοκληρωμένης συνεχούς περίθαλψης, τον κοινωνικό τομέα και την ευρύτερη κοινότητα, όπως μετράται με βάση τον αριθμό των νέων περιστατικών κατ’ οίκον νοσηλείας (που ορίζονται ως ένα σύνολο περίθαλψης που παρέχεται κατά τη διάρκεια της περιόδου κατά την οποία ο ασθενής τελεί υπό την ευθύνη της μονάδας κατ’ οίκον νοσηλείας, η οποία διαρκεί αδιαλείπτως από την ημερομηνία εισαγωγής έως την ημερομηνία εξόδου, εκτός από την ημέρα εξόδου).</w:t>
            </w:r>
          </w:p>
        </w:tc>
      </w:tr>
      <w:tr w:rsidR="00154AD2" w14:paraId="1699988C" w14:textId="77777777">
        <w:trPr>
          <w:trHeight w:val="548"/>
        </w:trPr>
        <w:tc>
          <w:tcPr>
            <w:tcW w:w="1135" w:type="dxa"/>
            <w:shd w:val="clear" w:color="auto" w:fill="C4EFCE"/>
            <w:noWrap/>
            <w:vAlign w:val="center"/>
            <w:hideMark/>
          </w:tcPr>
          <w:p w14:paraId="2DF091B1" w14:textId="77777777" w:rsidR="00154AD2" w:rsidRDefault="007F6BF3">
            <w:pPr>
              <w:pStyle w:val="P68B1DB1-Normal7"/>
              <w:spacing w:after="0" w:line="240" w:lineRule="auto"/>
              <w:jc w:val="center"/>
              <w:rPr>
                <w:rFonts w:eastAsia="Times New Roman" w:cs="Calibri"/>
                <w:noProof/>
              </w:rPr>
            </w:pPr>
            <w:r>
              <w:rPr>
                <w:noProof/>
              </w:rPr>
              <w:t>1.11</w:t>
            </w:r>
          </w:p>
        </w:tc>
        <w:tc>
          <w:tcPr>
            <w:tcW w:w="1276" w:type="dxa"/>
            <w:shd w:val="clear" w:color="auto" w:fill="C4EFCE"/>
            <w:noWrap/>
            <w:vAlign w:val="center"/>
            <w:hideMark/>
          </w:tcPr>
          <w:p w14:paraId="0111FB9C" w14:textId="77777777" w:rsidR="00154AD2" w:rsidRDefault="007F6BF3">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29EE4E04" w14:textId="77777777" w:rsidR="00154AD2" w:rsidRDefault="007F6BF3">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3633A7BA" w14:textId="77777777" w:rsidR="00154AD2" w:rsidRDefault="007F6BF3">
            <w:pPr>
              <w:pStyle w:val="P68B1DB1-Normal8"/>
              <w:spacing w:after="0" w:line="240" w:lineRule="auto"/>
              <w:jc w:val="center"/>
              <w:rPr>
                <w:rFonts w:eastAsia="Times New Roman" w:cs="Calibri"/>
                <w:noProof/>
              </w:rPr>
            </w:pPr>
            <w:r>
              <w:rPr>
                <w:noProof/>
              </w:rPr>
              <w:t>Έναρξη ισχύος του σχεδίου δράσης για την ενίσχυση των κεντρικών μηχανισμών αγοράς φαρμάκων</w:t>
            </w:r>
          </w:p>
        </w:tc>
        <w:tc>
          <w:tcPr>
            <w:tcW w:w="1418" w:type="dxa"/>
            <w:shd w:val="clear" w:color="auto" w:fill="C4EFCE"/>
            <w:noWrap/>
            <w:vAlign w:val="center"/>
            <w:hideMark/>
          </w:tcPr>
          <w:p w14:paraId="76B6595B" w14:textId="77777777" w:rsidR="00154AD2" w:rsidRDefault="007F6BF3">
            <w:pPr>
              <w:pStyle w:val="P68B1DB1-Normal8"/>
              <w:spacing w:after="0" w:line="240" w:lineRule="auto"/>
              <w:jc w:val="center"/>
              <w:rPr>
                <w:rFonts w:eastAsia="Times New Roman" w:cs="Calibri"/>
                <w:noProof/>
              </w:rPr>
            </w:pPr>
            <w:r>
              <w:rPr>
                <w:noProof/>
              </w:rPr>
              <w:t>Έναρξη ισχύος του σχεδίου δράσης για την ενίσχυση των κεντρικών μηχανισμών αγοράς φαρμάκων</w:t>
            </w:r>
          </w:p>
        </w:tc>
        <w:tc>
          <w:tcPr>
            <w:tcW w:w="1164" w:type="dxa"/>
            <w:shd w:val="clear" w:color="auto" w:fill="C4EFCE"/>
            <w:noWrap/>
            <w:vAlign w:val="center"/>
            <w:hideMark/>
          </w:tcPr>
          <w:p w14:paraId="4C8EE4DB" w14:textId="77777777" w:rsidR="00154AD2" w:rsidRDefault="007F6BF3">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20EE7582" w14:textId="77777777" w:rsidR="00154AD2" w:rsidRDefault="007F6BF3">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771ECECB" w14:textId="77777777" w:rsidR="00154AD2" w:rsidRDefault="007F6BF3">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73F04864"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901" w:type="dxa"/>
            <w:shd w:val="clear" w:color="auto" w:fill="C4EFCE"/>
            <w:noWrap/>
            <w:vAlign w:val="center"/>
            <w:hideMark/>
          </w:tcPr>
          <w:p w14:paraId="64160DE6" w14:textId="77777777" w:rsidR="00154AD2" w:rsidRDefault="007F6BF3">
            <w:pPr>
              <w:pStyle w:val="P68B1DB1-Normal8"/>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3D202E36" w14:textId="77777777" w:rsidR="00154AD2" w:rsidRDefault="007F6BF3">
            <w:pPr>
              <w:pStyle w:val="P68B1DB1-Normal8"/>
              <w:spacing w:after="0" w:line="240" w:lineRule="auto"/>
              <w:jc w:val="both"/>
              <w:rPr>
                <w:rFonts w:eastAsia="Times New Roman" w:cs="Calibri"/>
                <w:noProof/>
              </w:rPr>
            </w:pPr>
            <w:r>
              <w:rPr>
                <w:noProof/>
              </w:rPr>
              <w:t>Έναρξη ισχύος του σχεδίου δράσης για την ενίσχυση των κεντρικών μηχανισμών αγοράς φαρμάκων, για την εφαρμογή των συστάσεων της ανεξάρτητης αξιολόγησης της κεντρικής προμήθειας φαρμάκων στην Πορτογαλία, η οποία διενεργήθηκε από το Αυστριακό Εθνικό Ινστιτούτο Δημόσιας Υγείας στο πλαίσιο του Προγράμματος Στήριξης Διαρθρωτικών Μεταρρυθμίσεων.</w:t>
            </w:r>
          </w:p>
        </w:tc>
      </w:tr>
      <w:tr w:rsidR="00154AD2" w14:paraId="240E4FD9" w14:textId="77777777">
        <w:trPr>
          <w:trHeight w:val="430"/>
        </w:trPr>
        <w:tc>
          <w:tcPr>
            <w:tcW w:w="1135" w:type="dxa"/>
            <w:shd w:val="clear" w:color="auto" w:fill="C4EFCE"/>
            <w:noWrap/>
            <w:vAlign w:val="center"/>
            <w:hideMark/>
          </w:tcPr>
          <w:p w14:paraId="1D7DFEEA" w14:textId="77777777" w:rsidR="00154AD2" w:rsidRDefault="007F6BF3">
            <w:pPr>
              <w:pStyle w:val="P68B1DB1-Normal7"/>
              <w:spacing w:after="0" w:line="240" w:lineRule="auto"/>
              <w:jc w:val="center"/>
              <w:rPr>
                <w:rFonts w:eastAsia="Times New Roman" w:cs="Calibri"/>
                <w:noProof/>
              </w:rPr>
            </w:pPr>
            <w:r>
              <w:rPr>
                <w:noProof/>
              </w:rPr>
              <w:t>1.12</w:t>
            </w:r>
          </w:p>
        </w:tc>
        <w:tc>
          <w:tcPr>
            <w:tcW w:w="1276" w:type="dxa"/>
            <w:shd w:val="clear" w:color="auto" w:fill="C4EFCE"/>
            <w:noWrap/>
            <w:vAlign w:val="center"/>
            <w:hideMark/>
          </w:tcPr>
          <w:p w14:paraId="05A91880" w14:textId="77777777" w:rsidR="00154AD2" w:rsidRDefault="007F6BF3">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431D9089" w14:textId="77777777" w:rsidR="00154AD2" w:rsidRDefault="007F6BF3">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603EADC9" w14:textId="5ED57581" w:rsidR="00154AD2" w:rsidRDefault="007F6BF3">
            <w:pPr>
              <w:pStyle w:val="P68B1DB1-Normal8"/>
              <w:spacing w:after="0" w:line="240" w:lineRule="auto"/>
              <w:jc w:val="center"/>
              <w:rPr>
                <w:rFonts w:eastAsia="Times New Roman" w:cs="Calibri"/>
                <w:noProof/>
              </w:rPr>
            </w:pPr>
            <w:r>
              <w:rPr>
                <w:noProof/>
              </w:rPr>
              <w:t>Έναρξη ισχύος του νέου καθεστώτος εργασίας με αφοσίωση στο Εθνικό Σύστημα Υγείας</w:t>
            </w:r>
          </w:p>
        </w:tc>
        <w:tc>
          <w:tcPr>
            <w:tcW w:w="1418" w:type="dxa"/>
            <w:shd w:val="clear" w:color="auto" w:fill="C4EFCE"/>
            <w:noWrap/>
            <w:vAlign w:val="center"/>
            <w:hideMark/>
          </w:tcPr>
          <w:p w14:paraId="5F9DE5F0" w14:textId="3E09C163" w:rsidR="00154AD2" w:rsidRDefault="007F6BF3">
            <w:pPr>
              <w:pStyle w:val="P68B1DB1-Normal8"/>
              <w:spacing w:after="0" w:line="240" w:lineRule="auto"/>
              <w:jc w:val="center"/>
              <w:rPr>
                <w:rFonts w:eastAsia="Times New Roman" w:cs="Calibri"/>
                <w:noProof/>
              </w:rPr>
            </w:pPr>
            <w:r>
              <w:rPr>
                <w:noProof/>
              </w:rPr>
              <w:t>Έναρξη ισχύος του νέου καθεστώτος πλήρους απασχόλησης</w:t>
            </w:r>
          </w:p>
        </w:tc>
        <w:tc>
          <w:tcPr>
            <w:tcW w:w="1164" w:type="dxa"/>
            <w:shd w:val="clear" w:color="auto" w:fill="C4EFCE"/>
            <w:noWrap/>
            <w:vAlign w:val="center"/>
            <w:hideMark/>
          </w:tcPr>
          <w:p w14:paraId="478B13EF" w14:textId="77777777" w:rsidR="00154AD2" w:rsidRDefault="007F6BF3">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3D88994E" w14:textId="77777777" w:rsidR="00154AD2" w:rsidRDefault="007F6BF3">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3C6E2B3D" w14:textId="77777777" w:rsidR="00154AD2" w:rsidRDefault="007F6BF3">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697D9E32"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901" w:type="dxa"/>
            <w:shd w:val="clear" w:color="auto" w:fill="C4EFCE"/>
            <w:noWrap/>
            <w:vAlign w:val="center"/>
            <w:hideMark/>
          </w:tcPr>
          <w:p w14:paraId="132AD89B" w14:textId="77777777" w:rsidR="00154AD2" w:rsidRDefault="007F6BF3">
            <w:pPr>
              <w:pStyle w:val="P68B1DB1-Normal8"/>
              <w:spacing w:after="0" w:line="240" w:lineRule="auto"/>
              <w:jc w:val="center"/>
              <w:rPr>
                <w:rFonts w:eastAsia="Times New Roman" w:cs="Calibri"/>
                <w:noProof/>
              </w:rPr>
            </w:pPr>
            <w:r>
              <w:rPr>
                <w:noProof/>
              </w:rPr>
              <w:t>2023</w:t>
            </w:r>
          </w:p>
        </w:tc>
        <w:tc>
          <w:tcPr>
            <w:tcW w:w="3981" w:type="dxa"/>
            <w:shd w:val="clear" w:color="auto" w:fill="C4EFCE"/>
            <w:noWrap/>
            <w:vAlign w:val="center"/>
            <w:hideMark/>
          </w:tcPr>
          <w:p w14:paraId="6DC4701F" w14:textId="174CBF8B" w:rsidR="00154AD2" w:rsidRDefault="007F6BF3">
            <w:pPr>
              <w:pStyle w:val="P68B1DB1-Normal8"/>
              <w:spacing w:after="0" w:line="240" w:lineRule="auto"/>
              <w:jc w:val="both"/>
              <w:rPr>
                <w:rFonts w:eastAsia="Times New Roman" w:cs="Calibri"/>
                <w:noProof/>
              </w:rPr>
            </w:pPr>
            <w:r>
              <w:rPr>
                <w:noProof/>
              </w:rPr>
              <w:t>Νέο καθεστώς πλήρους αφοσίωσης για τους επαγγελματίες του τομέα της υγείας στο Εθνικό Σύστημα Υγείας, με την ενσωμάτωση κατάλληλων μηχανισμών για την οργάνωση του χρόνου εργασίας και των πινάκων αμοιβών.</w:t>
            </w:r>
          </w:p>
        </w:tc>
      </w:tr>
      <w:tr w:rsidR="00154AD2" w14:paraId="00BADC6F" w14:textId="77777777">
        <w:trPr>
          <w:trHeight w:val="640"/>
        </w:trPr>
        <w:tc>
          <w:tcPr>
            <w:tcW w:w="1135" w:type="dxa"/>
            <w:shd w:val="clear" w:color="auto" w:fill="C4EFCE"/>
            <w:noWrap/>
            <w:vAlign w:val="center"/>
            <w:hideMark/>
          </w:tcPr>
          <w:p w14:paraId="5419F19A" w14:textId="77777777" w:rsidR="00154AD2" w:rsidRDefault="007F6BF3">
            <w:pPr>
              <w:pStyle w:val="P68B1DB1-Normal7"/>
              <w:spacing w:after="0" w:line="240" w:lineRule="auto"/>
              <w:jc w:val="center"/>
              <w:rPr>
                <w:rFonts w:eastAsia="Times New Roman" w:cs="Calibri"/>
                <w:noProof/>
              </w:rPr>
            </w:pPr>
            <w:r>
              <w:rPr>
                <w:noProof/>
              </w:rPr>
              <w:t>1.13</w:t>
            </w:r>
          </w:p>
        </w:tc>
        <w:tc>
          <w:tcPr>
            <w:tcW w:w="1276" w:type="dxa"/>
            <w:shd w:val="clear" w:color="auto" w:fill="C4EFCE"/>
            <w:noWrap/>
            <w:vAlign w:val="center"/>
            <w:hideMark/>
          </w:tcPr>
          <w:p w14:paraId="02567C83" w14:textId="77777777" w:rsidR="00154AD2" w:rsidRDefault="007F6BF3">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4AF35FB7" w14:textId="77777777" w:rsidR="00154AD2" w:rsidRDefault="007F6BF3">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75ABDD2D" w14:textId="77777777" w:rsidR="00154AD2" w:rsidRDefault="007F6BF3">
            <w:pPr>
              <w:pStyle w:val="P68B1DB1-Normal8"/>
              <w:spacing w:after="0" w:line="240" w:lineRule="auto"/>
              <w:jc w:val="center"/>
              <w:rPr>
                <w:rFonts w:eastAsia="Times New Roman" w:cs="Calibri"/>
                <w:noProof/>
              </w:rPr>
            </w:pPr>
            <w:r>
              <w:rPr>
                <w:noProof/>
              </w:rPr>
              <w:t>Έναρξη ισχύος των όρων για την αναφορά επεισοδίων έκτακτης ανάγκης που ελέγχονται σε λευκό, μπλε ή πράσινο στις υπηρεσίες έκτακτης ανάγκης σε νοσοκομεία για άλλους τύπους υπηρεσιών υγειονομικής περίθαλψης, συμπεριλαμβανομένων των υπηρεσιών πρωτοβάθμιας υγειονομικής περίθαλψης</w:t>
            </w:r>
          </w:p>
        </w:tc>
        <w:tc>
          <w:tcPr>
            <w:tcW w:w="1418" w:type="dxa"/>
            <w:shd w:val="clear" w:color="auto" w:fill="C4EFCE"/>
            <w:noWrap/>
            <w:vAlign w:val="center"/>
            <w:hideMark/>
          </w:tcPr>
          <w:p w14:paraId="5D50F531" w14:textId="77777777" w:rsidR="00154AD2" w:rsidRDefault="007F6BF3">
            <w:pPr>
              <w:pStyle w:val="P68B1DB1-Normal8"/>
              <w:spacing w:after="0" w:line="240" w:lineRule="auto"/>
              <w:jc w:val="center"/>
              <w:rPr>
                <w:rFonts w:eastAsia="Times New Roman" w:cs="Calibri"/>
                <w:noProof/>
              </w:rPr>
            </w:pPr>
            <w:r>
              <w:rPr>
                <w:noProof/>
              </w:rPr>
              <w:t xml:space="preserve">Έναρξη ισχύος των όρων αναφοράς επεισοδίων έκτακτης ανάγκης </w:t>
            </w:r>
          </w:p>
        </w:tc>
        <w:tc>
          <w:tcPr>
            <w:tcW w:w="1164" w:type="dxa"/>
            <w:shd w:val="clear" w:color="auto" w:fill="C4EFCE"/>
            <w:noWrap/>
            <w:vAlign w:val="center"/>
            <w:hideMark/>
          </w:tcPr>
          <w:p w14:paraId="05DB3DBC" w14:textId="77777777" w:rsidR="00154AD2" w:rsidRDefault="007F6BF3">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46DBFC1C" w14:textId="77777777" w:rsidR="00154AD2" w:rsidRDefault="007F6BF3">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00639B76" w14:textId="77777777" w:rsidR="00154AD2" w:rsidRDefault="007F6BF3">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084FB6D1"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901" w:type="dxa"/>
            <w:shd w:val="clear" w:color="auto" w:fill="C4EFCE"/>
            <w:noWrap/>
            <w:vAlign w:val="center"/>
            <w:hideMark/>
          </w:tcPr>
          <w:p w14:paraId="75252533" w14:textId="77777777" w:rsidR="00154AD2" w:rsidRDefault="007F6BF3">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2D11035D" w14:textId="77777777" w:rsidR="00154AD2" w:rsidRDefault="007F6BF3">
            <w:pPr>
              <w:pStyle w:val="P68B1DB1-Normal8"/>
              <w:spacing w:after="0" w:line="240" w:lineRule="auto"/>
              <w:jc w:val="both"/>
              <w:rPr>
                <w:rFonts w:eastAsia="Times New Roman" w:cs="Calibri"/>
                <w:noProof/>
              </w:rPr>
            </w:pPr>
            <w:r>
              <w:rPr>
                <w:noProof/>
              </w:rPr>
              <w:t>Έναρξη ισχύος των διαδικασιών και των διοικητικών κανόνων της διαδικασίας παραπομπής για χρήστες με επεισόδια έκτακτης ανάγκης που ελέγχονται σε λευκό, μπλε ή πράσινο στις νοσοκομειακές υπηρεσίες έκτακτης ανάγκης για άλλα είδη υγειονομικής περίθαλψης, δηλαδή για υπηρεσίες πρωτοβάθμιας υγειονομικής περίθαλψης, με άμεσο προγραμματισμό των ραντεβού.</w:t>
            </w:r>
          </w:p>
        </w:tc>
      </w:tr>
      <w:tr w:rsidR="00154AD2" w14:paraId="38EF775A" w14:textId="77777777">
        <w:trPr>
          <w:trHeight w:val="850"/>
        </w:trPr>
        <w:tc>
          <w:tcPr>
            <w:tcW w:w="1135" w:type="dxa"/>
            <w:shd w:val="clear" w:color="auto" w:fill="C4EFCE"/>
            <w:noWrap/>
            <w:vAlign w:val="center"/>
            <w:hideMark/>
          </w:tcPr>
          <w:p w14:paraId="1BA7330B" w14:textId="77777777" w:rsidR="00154AD2" w:rsidRDefault="007F6BF3">
            <w:pPr>
              <w:pStyle w:val="P68B1DB1-Normal7"/>
              <w:spacing w:after="0" w:line="240" w:lineRule="auto"/>
              <w:jc w:val="center"/>
              <w:rPr>
                <w:rFonts w:eastAsia="Times New Roman" w:cs="Calibri"/>
                <w:noProof/>
              </w:rPr>
            </w:pPr>
            <w:r>
              <w:rPr>
                <w:noProof/>
              </w:rPr>
              <w:t>1.14</w:t>
            </w:r>
          </w:p>
        </w:tc>
        <w:tc>
          <w:tcPr>
            <w:tcW w:w="1276" w:type="dxa"/>
            <w:shd w:val="clear" w:color="auto" w:fill="C4EFCE"/>
            <w:noWrap/>
            <w:vAlign w:val="center"/>
            <w:hideMark/>
          </w:tcPr>
          <w:p w14:paraId="785DE09F" w14:textId="77777777" w:rsidR="00154AD2" w:rsidRDefault="007F6BF3">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447F1EDF" w14:textId="77777777" w:rsidR="00154AD2" w:rsidRDefault="007F6BF3">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5BD030D8" w14:textId="77777777" w:rsidR="00154AD2" w:rsidRDefault="007F6BF3">
            <w:pPr>
              <w:pStyle w:val="P68B1DB1-Normal8"/>
              <w:spacing w:after="0" w:line="240" w:lineRule="auto"/>
              <w:jc w:val="center"/>
              <w:rPr>
                <w:rFonts w:eastAsia="Times New Roman" w:cs="Calibri"/>
                <w:noProof/>
              </w:rPr>
            </w:pPr>
            <w:r>
              <w:rPr>
                <w:noProof/>
              </w:rPr>
              <w:t>Δημιουργία νέων μονάδων υγείας</w:t>
            </w:r>
          </w:p>
        </w:tc>
        <w:tc>
          <w:tcPr>
            <w:tcW w:w="1418" w:type="dxa"/>
            <w:shd w:val="clear" w:color="auto" w:fill="C4EFCE"/>
            <w:noWrap/>
            <w:vAlign w:val="center"/>
            <w:hideMark/>
          </w:tcPr>
          <w:p w14:paraId="5CEEB485" w14:textId="77777777" w:rsidR="00154AD2" w:rsidRDefault="007F6BF3">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4C903B4A"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62" w:type="dxa"/>
            <w:shd w:val="clear" w:color="auto" w:fill="C4EFCE"/>
            <w:noWrap/>
            <w:vAlign w:val="center"/>
            <w:hideMark/>
          </w:tcPr>
          <w:p w14:paraId="543F7214" w14:textId="77777777" w:rsidR="00154AD2" w:rsidRDefault="007F6BF3">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21084E32" w14:textId="77777777" w:rsidR="00154AD2" w:rsidRDefault="007F6BF3">
            <w:pPr>
              <w:pStyle w:val="P68B1DB1-Normal8"/>
              <w:spacing w:after="0" w:line="240" w:lineRule="auto"/>
              <w:jc w:val="center"/>
              <w:rPr>
                <w:rFonts w:eastAsia="Times New Roman" w:cs="Calibri"/>
                <w:noProof/>
              </w:rPr>
            </w:pPr>
            <w:r>
              <w:rPr>
                <w:noProof/>
              </w:rPr>
              <w:t>20</w:t>
            </w:r>
          </w:p>
        </w:tc>
        <w:tc>
          <w:tcPr>
            <w:tcW w:w="833" w:type="dxa"/>
            <w:gridSpan w:val="2"/>
            <w:shd w:val="clear" w:color="auto" w:fill="C4EFCE"/>
            <w:noWrap/>
            <w:vAlign w:val="center"/>
            <w:hideMark/>
          </w:tcPr>
          <w:p w14:paraId="56ACA157"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901" w:type="dxa"/>
            <w:shd w:val="clear" w:color="auto" w:fill="C4EFCE"/>
            <w:noWrap/>
            <w:vAlign w:val="center"/>
            <w:hideMark/>
          </w:tcPr>
          <w:p w14:paraId="37B663E4" w14:textId="765D0365" w:rsidR="00154AD2" w:rsidRDefault="007F6BF3">
            <w:pPr>
              <w:pStyle w:val="P68B1DB1-Normal8"/>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6B230122" w14:textId="695839F7" w:rsidR="00154AD2" w:rsidRDefault="007F6BF3">
            <w:pPr>
              <w:pStyle w:val="P68B1DB1-Normal8"/>
              <w:spacing w:after="0" w:line="240" w:lineRule="auto"/>
              <w:jc w:val="both"/>
              <w:rPr>
                <w:rFonts w:eastAsia="Times New Roman" w:cs="Calibri"/>
                <w:noProof/>
              </w:rPr>
            </w:pPr>
            <w:r>
              <w:rPr>
                <w:noProof/>
              </w:rPr>
              <w:t>Αριθμός νέων μονάδων υγείας που κατασκευάστηκαν, διασφαλίζοντας την προσβασιμότητα, την ποιότητα, την άνεση και την ασφάλεια για τους χρήστες και τους επαγγελματίες του τομέα της υγείας, και προσαρμόζοντάς τις σε νέα μοντέλα υγειονομικής περίθαλψης. Οι νέες μονάδες κατασκευάζονται για την αντικατάσταση ακατάλληλων κτιρίων και τα νέα κτίρια έχουν ζήτηση πρωτογενούς ενέργειας τουλάχιστον 20 % χαμηλότερη από τις απαιτήσεις των κτιρίων με σχεδόν μηδενική κατανάλωση ενέργειας.</w:t>
            </w:r>
          </w:p>
        </w:tc>
      </w:tr>
      <w:tr w:rsidR="00154AD2" w14:paraId="73A0E506" w14:textId="77777777">
        <w:trPr>
          <w:trHeight w:val="850"/>
        </w:trPr>
        <w:tc>
          <w:tcPr>
            <w:tcW w:w="1135" w:type="dxa"/>
            <w:shd w:val="clear" w:color="auto" w:fill="C4EFCE"/>
            <w:noWrap/>
            <w:vAlign w:val="center"/>
            <w:hideMark/>
          </w:tcPr>
          <w:p w14:paraId="55C2973A" w14:textId="77777777" w:rsidR="00154AD2" w:rsidRDefault="007F6BF3">
            <w:pPr>
              <w:pStyle w:val="P68B1DB1-Normal7"/>
              <w:spacing w:after="0" w:line="240" w:lineRule="auto"/>
              <w:jc w:val="center"/>
              <w:rPr>
                <w:rFonts w:eastAsia="Times New Roman" w:cs="Calibri"/>
                <w:noProof/>
              </w:rPr>
            </w:pPr>
            <w:r>
              <w:rPr>
                <w:noProof/>
              </w:rPr>
              <w:t>1.15</w:t>
            </w:r>
          </w:p>
        </w:tc>
        <w:tc>
          <w:tcPr>
            <w:tcW w:w="1276" w:type="dxa"/>
            <w:shd w:val="clear" w:color="auto" w:fill="C4EFCE"/>
            <w:noWrap/>
            <w:vAlign w:val="center"/>
            <w:hideMark/>
          </w:tcPr>
          <w:p w14:paraId="25307C9D" w14:textId="77777777" w:rsidR="00154AD2" w:rsidRDefault="007F6BF3">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50296621" w14:textId="77777777" w:rsidR="00154AD2" w:rsidRDefault="007F6BF3">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5F3FEAAF" w14:textId="77777777" w:rsidR="00154AD2" w:rsidRDefault="007F6BF3">
            <w:pPr>
              <w:pStyle w:val="P68B1DB1-Normal8"/>
              <w:spacing w:after="0" w:line="240" w:lineRule="auto"/>
              <w:jc w:val="center"/>
              <w:rPr>
                <w:rFonts w:eastAsia="Times New Roman" w:cs="Calibri"/>
                <w:noProof/>
              </w:rPr>
            </w:pPr>
            <w:r>
              <w:rPr>
                <w:noProof/>
              </w:rPr>
              <w:t>Δημιουργία νέων μονάδων υγείας</w:t>
            </w:r>
          </w:p>
        </w:tc>
        <w:tc>
          <w:tcPr>
            <w:tcW w:w="1418" w:type="dxa"/>
            <w:shd w:val="clear" w:color="auto" w:fill="C4EFCE"/>
            <w:noWrap/>
            <w:vAlign w:val="center"/>
            <w:hideMark/>
          </w:tcPr>
          <w:p w14:paraId="321B2E97" w14:textId="77777777" w:rsidR="00154AD2" w:rsidRDefault="007F6BF3">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57D729BA"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62" w:type="dxa"/>
            <w:shd w:val="clear" w:color="auto" w:fill="C4EFCE"/>
            <w:noWrap/>
            <w:vAlign w:val="center"/>
            <w:hideMark/>
          </w:tcPr>
          <w:p w14:paraId="74689A5C" w14:textId="77777777" w:rsidR="00154AD2" w:rsidRDefault="007F6BF3">
            <w:pPr>
              <w:pStyle w:val="P68B1DB1-Normal8"/>
              <w:spacing w:after="0" w:line="240" w:lineRule="auto"/>
              <w:jc w:val="center"/>
              <w:rPr>
                <w:rFonts w:eastAsia="Times New Roman" w:cs="Calibri"/>
                <w:noProof/>
              </w:rPr>
            </w:pPr>
            <w:r>
              <w:rPr>
                <w:noProof/>
              </w:rPr>
              <w:t>20</w:t>
            </w:r>
          </w:p>
        </w:tc>
        <w:tc>
          <w:tcPr>
            <w:tcW w:w="805" w:type="dxa"/>
            <w:shd w:val="clear" w:color="auto" w:fill="C4EFCE"/>
            <w:noWrap/>
            <w:vAlign w:val="center"/>
            <w:hideMark/>
          </w:tcPr>
          <w:p w14:paraId="6BF6BACC" w14:textId="78B4B7BB" w:rsidR="00154AD2" w:rsidRDefault="007F6BF3">
            <w:pPr>
              <w:pStyle w:val="P68B1DB1-Normal8"/>
              <w:spacing w:after="0" w:line="240" w:lineRule="auto"/>
              <w:jc w:val="center"/>
              <w:rPr>
                <w:rFonts w:eastAsia="Times New Roman" w:cs="Calibri"/>
                <w:noProof/>
              </w:rPr>
            </w:pPr>
            <w:r>
              <w:rPr>
                <w:noProof/>
              </w:rPr>
              <w:t>124</w:t>
            </w:r>
          </w:p>
        </w:tc>
        <w:tc>
          <w:tcPr>
            <w:tcW w:w="833" w:type="dxa"/>
            <w:gridSpan w:val="2"/>
            <w:shd w:val="clear" w:color="auto" w:fill="C4EFCE"/>
            <w:noWrap/>
            <w:vAlign w:val="center"/>
            <w:hideMark/>
          </w:tcPr>
          <w:p w14:paraId="73691C37"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901" w:type="dxa"/>
            <w:shd w:val="clear" w:color="auto" w:fill="C4EFCE"/>
            <w:noWrap/>
            <w:vAlign w:val="center"/>
            <w:hideMark/>
          </w:tcPr>
          <w:p w14:paraId="226C70C7" w14:textId="77777777" w:rsidR="00154AD2" w:rsidRDefault="007F6BF3">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352F5371" w14:textId="47F97C91" w:rsidR="00154AD2" w:rsidRDefault="007F6BF3">
            <w:pPr>
              <w:pStyle w:val="P68B1DB1-Normal8"/>
              <w:spacing w:after="0" w:line="240" w:lineRule="auto"/>
              <w:jc w:val="both"/>
              <w:rPr>
                <w:rFonts w:eastAsia="Times New Roman" w:cs="Calibri"/>
                <w:noProof/>
              </w:rPr>
            </w:pPr>
            <w:r>
              <w:rPr>
                <w:noProof/>
              </w:rPr>
              <w:t>Αριθμός νέων μονάδων υγείας που κατασκευάστηκαν, διασφαλίζοντας την προσβασιμότητα, την ποιότητα, την άνεση και την ασφάλεια για τους χρήστες και τους επαγγελματίες του τομέα της υγείας, και προσαρμόζοντάς τις σε νέα μοντέλα υγειονομικής περίθαλψης. Οι νέες μονάδες κατασκευάζονται για την αντικατάσταση ακατάλληλων κτιρίων και τα νέα κτίρια έχουν ζήτηση πρωτογενούς ενέργειας τουλάχιστον 20 % χαμηλότερη από τις απαιτήσεις των κτιρίων με σχεδόν μηδενική κατανάλωση ενέργειας.</w:t>
            </w:r>
          </w:p>
        </w:tc>
      </w:tr>
      <w:tr w:rsidR="00154AD2" w14:paraId="230D0958" w14:textId="77777777">
        <w:trPr>
          <w:trHeight w:val="1060"/>
        </w:trPr>
        <w:tc>
          <w:tcPr>
            <w:tcW w:w="1135" w:type="dxa"/>
            <w:shd w:val="clear" w:color="auto" w:fill="C4EFCE"/>
            <w:noWrap/>
            <w:vAlign w:val="center"/>
            <w:hideMark/>
          </w:tcPr>
          <w:p w14:paraId="7E7F0240" w14:textId="77777777" w:rsidR="00154AD2" w:rsidRDefault="007F6BF3">
            <w:pPr>
              <w:pStyle w:val="P68B1DB1-Normal7"/>
              <w:spacing w:after="0" w:line="240" w:lineRule="auto"/>
              <w:jc w:val="center"/>
              <w:rPr>
                <w:rFonts w:eastAsia="Times New Roman" w:cs="Calibri"/>
                <w:noProof/>
              </w:rPr>
            </w:pPr>
            <w:r>
              <w:rPr>
                <w:noProof/>
              </w:rPr>
              <w:t>1.16</w:t>
            </w:r>
          </w:p>
        </w:tc>
        <w:tc>
          <w:tcPr>
            <w:tcW w:w="1276" w:type="dxa"/>
            <w:shd w:val="clear" w:color="auto" w:fill="C4EFCE"/>
            <w:noWrap/>
            <w:vAlign w:val="center"/>
            <w:hideMark/>
          </w:tcPr>
          <w:p w14:paraId="698640D1" w14:textId="77777777" w:rsidR="00154AD2" w:rsidRDefault="007F6BF3">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5E717D99" w14:textId="77777777" w:rsidR="00154AD2" w:rsidRDefault="007F6BF3">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42EC3118" w14:textId="77777777" w:rsidR="00154AD2" w:rsidRDefault="007F6BF3">
            <w:pPr>
              <w:pStyle w:val="P68B1DB1-Normal8"/>
              <w:spacing w:after="0" w:line="240" w:lineRule="auto"/>
              <w:jc w:val="center"/>
              <w:rPr>
                <w:rFonts w:eastAsia="Times New Roman" w:cs="Calibri"/>
                <w:noProof/>
              </w:rPr>
            </w:pPr>
            <w:r>
              <w:rPr>
                <w:noProof/>
              </w:rPr>
              <w:t>Ολοκλήρωση της εθνικής κάλυψης των προγραμμάτων προσυμπτωματικού ελέγχου και έγκαιρης διάγνωσης στην πρωτοβάθμια υγειονομική περίθαλψη</w:t>
            </w:r>
          </w:p>
        </w:tc>
        <w:tc>
          <w:tcPr>
            <w:tcW w:w="1418" w:type="dxa"/>
            <w:shd w:val="clear" w:color="auto" w:fill="C4EFCE"/>
            <w:noWrap/>
            <w:vAlign w:val="center"/>
            <w:hideMark/>
          </w:tcPr>
          <w:p w14:paraId="7A244FBD" w14:textId="77777777" w:rsidR="00154AD2" w:rsidRDefault="007F6BF3">
            <w:pPr>
              <w:pStyle w:val="P68B1DB1-Normal8"/>
              <w:spacing w:after="0" w:line="240" w:lineRule="auto"/>
              <w:jc w:val="center"/>
              <w:rPr>
                <w:rFonts w:eastAsia="Times New Roman" w:cs="Calibri"/>
                <w:noProof/>
              </w:rPr>
            </w:pPr>
            <w:r>
              <w:rPr>
                <w:noProof/>
              </w:rPr>
              <w:t>Έκθεση σχετικά με την ολοκλήρωση της κάλυψης των προγραμμάτων προσυμπτωματικού ελέγχου και έγκαιρης διάγνωσης στην πρωτοβάθμια υγειονομική περίθαλψη</w:t>
            </w:r>
          </w:p>
        </w:tc>
        <w:tc>
          <w:tcPr>
            <w:tcW w:w="1164" w:type="dxa"/>
            <w:shd w:val="clear" w:color="auto" w:fill="C4EFCE"/>
            <w:noWrap/>
            <w:vAlign w:val="center"/>
            <w:hideMark/>
          </w:tcPr>
          <w:p w14:paraId="5E1406AF" w14:textId="77777777" w:rsidR="00154AD2" w:rsidRDefault="007F6BF3">
            <w:pPr>
              <w:pStyle w:val="P68B1DB1-Normal9"/>
              <w:spacing w:after="0" w:line="240" w:lineRule="auto"/>
              <w:rPr>
                <w:rFonts w:eastAsia="Times New Roman" w:cs="Calibri"/>
                <w:noProof/>
              </w:rPr>
            </w:pPr>
            <w:r>
              <w:rPr>
                <w:noProof/>
              </w:rPr>
              <w:t> </w:t>
            </w:r>
          </w:p>
        </w:tc>
        <w:tc>
          <w:tcPr>
            <w:tcW w:w="962" w:type="dxa"/>
            <w:shd w:val="clear" w:color="auto" w:fill="C4EFCE"/>
            <w:noWrap/>
            <w:vAlign w:val="center"/>
            <w:hideMark/>
          </w:tcPr>
          <w:p w14:paraId="41515FAF" w14:textId="77777777" w:rsidR="00154AD2" w:rsidRDefault="007F6BF3">
            <w:pPr>
              <w:pStyle w:val="P68B1DB1-Normal9"/>
              <w:spacing w:after="0" w:line="240" w:lineRule="auto"/>
              <w:rPr>
                <w:rFonts w:eastAsia="Times New Roman" w:cs="Calibri"/>
                <w:noProof/>
              </w:rPr>
            </w:pPr>
            <w:r>
              <w:rPr>
                <w:noProof/>
              </w:rPr>
              <w:t> </w:t>
            </w:r>
          </w:p>
        </w:tc>
        <w:tc>
          <w:tcPr>
            <w:tcW w:w="805" w:type="dxa"/>
            <w:shd w:val="clear" w:color="auto" w:fill="C4EFCE"/>
            <w:noWrap/>
            <w:vAlign w:val="center"/>
            <w:hideMark/>
          </w:tcPr>
          <w:p w14:paraId="69D09CEE" w14:textId="77777777" w:rsidR="00154AD2" w:rsidRDefault="007F6BF3">
            <w:pPr>
              <w:pStyle w:val="P68B1DB1-Normal9"/>
              <w:spacing w:after="0" w:line="240" w:lineRule="auto"/>
              <w:rPr>
                <w:rFonts w:eastAsia="Times New Roman" w:cs="Calibri"/>
                <w:noProof/>
              </w:rPr>
            </w:pPr>
            <w:r>
              <w:rPr>
                <w:noProof/>
              </w:rPr>
              <w:t> </w:t>
            </w:r>
          </w:p>
        </w:tc>
        <w:tc>
          <w:tcPr>
            <w:tcW w:w="833" w:type="dxa"/>
            <w:gridSpan w:val="2"/>
            <w:shd w:val="clear" w:color="auto" w:fill="C4EFCE"/>
            <w:noWrap/>
            <w:vAlign w:val="center"/>
            <w:hideMark/>
          </w:tcPr>
          <w:p w14:paraId="032146EF"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901" w:type="dxa"/>
            <w:shd w:val="clear" w:color="auto" w:fill="C4EFCE"/>
            <w:noWrap/>
            <w:vAlign w:val="center"/>
            <w:hideMark/>
          </w:tcPr>
          <w:p w14:paraId="2EAAE497" w14:textId="77777777" w:rsidR="00154AD2" w:rsidRDefault="007F6BF3">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6D103D50" w14:textId="77777777" w:rsidR="00154AD2" w:rsidRDefault="007F6BF3">
            <w:pPr>
              <w:pStyle w:val="P68B1DB1-Normal8"/>
              <w:spacing w:after="0" w:line="240" w:lineRule="auto"/>
              <w:jc w:val="both"/>
              <w:rPr>
                <w:rFonts w:eastAsia="Times New Roman" w:cs="Calibri"/>
                <w:noProof/>
              </w:rPr>
            </w:pPr>
            <w:r>
              <w:rPr>
                <w:noProof/>
              </w:rPr>
              <w:t>Η υλοποίηση αυτού του ορόσημου περιλαμβάνει: I) εισαγωγή του προσυμπτωματικού ελέγχου του τραχήλου της μήτρας στα κέντρα υγείας· II) εισαγωγή προσυμπτωματικού και ορθού προσυμπτωματικού ελέγχου στα κέντρα υγείας· III) εισαγωγή προσυμπτωματικού ελέγχου για διαβητική ρετινοπάθεια σε 300 κέντρα υγείας· IV) εισαγωγή εξετάσεων Holter και εξωνοσοκομειακής παρακολούθησης της αρτηριακής πίεσης σε λειτουργικές μονάδες· V) εισαγωγή διαγνωστικών και θεραπευτικών εργαλείων για το άσθμα, τη χρόνια αποφρακτική πνευμονοπάθεια και το κάπνισμα (σπιρόμετρα) στα κέντρα υγείας· και vi) εισαγωγή της δοσολογίας C-αντιδρώσας πρωτεΐνης στα κέντρα υγείας.</w:t>
            </w:r>
          </w:p>
        </w:tc>
      </w:tr>
      <w:tr w:rsidR="00154AD2" w14:paraId="4D2FC373" w14:textId="77777777">
        <w:trPr>
          <w:trHeight w:val="1270"/>
        </w:trPr>
        <w:tc>
          <w:tcPr>
            <w:tcW w:w="1135" w:type="dxa"/>
            <w:shd w:val="clear" w:color="auto" w:fill="C4EFCE"/>
            <w:noWrap/>
            <w:vAlign w:val="center"/>
            <w:hideMark/>
          </w:tcPr>
          <w:p w14:paraId="462C425F" w14:textId="77777777" w:rsidR="00154AD2" w:rsidRDefault="007F6BF3">
            <w:pPr>
              <w:pStyle w:val="P68B1DB1-Normal7"/>
              <w:spacing w:after="0" w:line="240" w:lineRule="auto"/>
              <w:jc w:val="center"/>
              <w:rPr>
                <w:rFonts w:eastAsia="Times New Roman" w:cs="Calibri"/>
                <w:noProof/>
              </w:rPr>
            </w:pPr>
            <w:r>
              <w:rPr>
                <w:noProof/>
              </w:rPr>
              <w:t>1.17</w:t>
            </w:r>
          </w:p>
        </w:tc>
        <w:tc>
          <w:tcPr>
            <w:tcW w:w="1276" w:type="dxa"/>
            <w:shd w:val="clear" w:color="auto" w:fill="C4EFCE"/>
            <w:noWrap/>
            <w:vAlign w:val="center"/>
            <w:hideMark/>
          </w:tcPr>
          <w:p w14:paraId="2AFB0257" w14:textId="77777777" w:rsidR="00154AD2" w:rsidRDefault="007F6BF3">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7A95968C" w14:textId="77777777" w:rsidR="00154AD2" w:rsidRDefault="007F6BF3">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57BD7BFC" w14:textId="77777777" w:rsidR="00154AD2" w:rsidRDefault="007F6BF3">
            <w:pPr>
              <w:pStyle w:val="P68B1DB1-Normal8"/>
              <w:spacing w:after="0" w:line="240" w:lineRule="auto"/>
              <w:jc w:val="center"/>
              <w:rPr>
                <w:rFonts w:eastAsia="Times New Roman" w:cs="Calibri"/>
                <w:noProof/>
              </w:rPr>
            </w:pPr>
            <w:r>
              <w:rPr>
                <w:noProof/>
              </w:rPr>
              <w:t>Αύξηση της ικανότητας αντίδρασης των κέντρων πρωτοβάθμιας υγείας και επέκταση των τομέων παρέμβασής τους</w:t>
            </w:r>
          </w:p>
        </w:tc>
        <w:tc>
          <w:tcPr>
            <w:tcW w:w="1418" w:type="dxa"/>
            <w:shd w:val="clear" w:color="auto" w:fill="C4EFCE"/>
            <w:noWrap/>
            <w:vAlign w:val="center"/>
            <w:hideMark/>
          </w:tcPr>
          <w:p w14:paraId="1B4A4798" w14:textId="77777777" w:rsidR="00154AD2" w:rsidRDefault="007F6BF3">
            <w:pPr>
              <w:pStyle w:val="P68B1DB1-Normal8"/>
              <w:spacing w:after="0" w:line="240" w:lineRule="auto"/>
              <w:jc w:val="center"/>
              <w:rPr>
                <w:rFonts w:eastAsia="Times New Roman" w:cs="Calibri"/>
                <w:noProof/>
              </w:rPr>
            </w:pPr>
            <w:r>
              <w:rPr>
                <w:noProof/>
              </w:rPr>
              <w:t>ΕΚΘΕΣΗ σχετικά με την αύξηση της ικανότητας αντίδρασης των κέντρων πρωτοβάθμιας υγείας και την επέκταση των τομέων παρέμβασής τους</w:t>
            </w:r>
          </w:p>
        </w:tc>
        <w:tc>
          <w:tcPr>
            <w:tcW w:w="1164" w:type="dxa"/>
            <w:shd w:val="clear" w:color="auto" w:fill="C4EFCE"/>
            <w:noWrap/>
            <w:vAlign w:val="center"/>
            <w:hideMark/>
          </w:tcPr>
          <w:p w14:paraId="0BA94BEB" w14:textId="77777777" w:rsidR="00154AD2" w:rsidRDefault="007F6BF3">
            <w:pPr>
              <w:pStyle w:val="P68B1DB1-Normal9"/>
              <w:spacing w:after="0" w:line="240" w:lineRule="auto"/>
              <w:rPr>
                <w:rFonts w:eastAsia="Times New Roman" w:cs="Calibri"/>
                <w:noProof/>
              </w:rPr>
            </w:pPr>
            <w:r>
              <w:rPr>
                <w:noProof/>
              </w:rPr>
              <w:t> </w:t>
            </w:r>
          </w:p>
        </w:tc>
        <w:tc>
          <w:tcPr>
            <w:tcW w:w="962" w:type="dxa"/>
            <w:shd w:val="clear" w:color="auto" w:fill="C4EFCE"/>
            <w:noWrap/>
            <w:vAlign w:val="center"/>
            <w:hideMark/>
          </w:tcPr>
          <w:p w14:paraId="78D22499" w14:textId="77777777" w:rsidR="00154AD2" w:rsidRDefault="007F6BF3">
            <w:pPr>
              <w:pStyle w:val="P68B1DB1-Normal9"/>
              <w:spacing w:after="0" w:line="240" w:lineRule="auto"/>
              <w:rPr>
                <w:rFonts w:eastAsia="Times New Roman" w:cs="Calibri"/>
                <w:noProof/>
              </w:rPr>
            </w:pPr>
            <w:r>
              <w:rPr>
                <w:noProof/>
              </w:rPr>
              <w:t> </w:t>
            </w:r>
          </w:p>
        </w:tc>
        <w:tc>
          <w:tcPr>
            <w:tcW w:w="805" w:type="dxa"/>
            <w:shd w:val="clear" w:color="auto" w:fill="C4EFCE"/>
            <w:noWrap/>
            <w:vAlign w:val="center"/>
            <w:hideMark/>
          </w:tcPr>
          <w:p w14:paraId="30D3048F" w14:textId="77777777" w:rsidR="00154AD2" w:rsidRDefault="007F6BF3">
            <w:pPr>
              <w:pStyle w:val="P68B1DB1-Normal9"/>
              <w:spacing w:after="0" w:line="240" w:lineRule="auto"/>
              <w:rPr>
                <w:rFonts w:eastAsia="Times New Roman" w:cs="Calibri"/>
                <w:noProof/>
              </w:rPr>
            </w:pPr>
            <w:r>
              <w:rPr>
                <w:noProof/>
              </w:rPr>
              <w:t> </w:t>
            </w:r>
          </w:p>
        </w:tc>
        <w:tc>
          <w:tcPr>
            <w:tcW w:w="833" w:type="dxa"/>
            <w:gridSpan w:val="2"/>
            <w:shd w:val="clear" w:color="auto" w:fill="C4EFCE"/>
            <w:noWrap/>
            <w:vAlign w:val="center"/>
            <w:hideMark/>
          </w:tcPr>
          <w:p w14:paraId="2A62A8E8"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901" w:type="dxa"/>
            <w:shd w:val="clear" w:color="auto" w:fill="C4EFCE"/>
            <w:noWrap/>
            <w:vAlign w:val="center"/>
            <w:hideMark/>
          </w:tcPr>
          <w:p w14:paraId="25F6A6A6" w14:textId="77777777" w:rsidR="00154AD2" w:rsidRDefault="007F6BF3">
            <w:pPr>
              <w:pStyle w:val="P68B1DB1-Normal8"/>
              <w:spacing w:after="0" w:line="240" w:lineRule="auto"/>
              <w:jc w:val="both"/>
              <w:rPr>
                <w:rFonts w:eastAsia="Times New Roman" w:cs="Calibri"/>
                <w:noProof/>
              </w:rPr>
            </w:pPr>
            <w:r>
              <w:rPr>
                <w:noProof/>
              </w:rPr>
              <w:t>2026</w:t>
            </w:r>
          </w:p>
        </w:tc>
        <w:tc>
          <w:tcPr>
            <w:tcW w:w="3981" w:type="dxa"/>
            <w:shd w:val="clear" w:color="auto" w:fill="C4EFCE"/>
            <w:noWrap/>
            <w:vAlign w:val="center"/>
            <w:hideMark/>
          </w:tcPr>
          <w:p w14:paraId="0263E408" w14:textId="14BC938F" w:rsidR="00154AD2" w:rsidRDefault="007F6BF3">
            <w:pPr>
              <w:pStyle w:val="P68B1DB1-Normal8"/>
              <w:spacing w:after="0" w:line="240" w:lineRule="auto"/>
              <w:jc w:val="both"/>
              <w:rPr>
                <w:rFonts w:eastAsia="Times New Roman" w:cs="Calibri"/>
                <w:noProof/>
              </w:rPr>
            </w:pPr>
            <w:r>
              <w:rPr>
                <w:noProof/>
              </w:rPr>
              <w:t>Η υλοποίηση αυτού του ορόσημου περιλαμβάνει: I) επέκταση των διαβητικών επισκέψεων στα πόδια στις ομάδες των κέντρων υγείας· II) δημιουργία οδοντιατρικών γραφείων στα κέντρα υγείας· δημιουργία ολοκληρωμένων διαγνωστικών κέντρων (με χαμηλής πολυπλοκότητας συμπληρωματικά μέσα διάγνωσης και θεραπείας, ακτινοσκοπικής και κλινικής ανάλυσης) σε ομάδες κέντρων υγείας· δημιουργία γραφείων μετακίνησης και αποκατάστασης σε ομάδες κέντρων υγείας· V) παροχή εξοπλισμού (σάκος έκτακτης ανάγκης, απινιδωτής και σύστημα παρακολούθησης ζωτικών σημάτων) για εξειδικευμένη αντίδραση σε καταστάσεις έκτακτης ανάγκης (βασική υποστήριξη ζωής) στα κέντρα υγείας· VI) πρωτόκολλα παραπομπής στους πιο επιθυμητούς τομείς περίθαλψης, δηλαδή οφθαλμολογία, ωτορινολαρυγγολογία, ορθοπεδική και ουρολογία.</w:t>
            </w:r>
          </w:p>
        </w:tc>
      </w:tr>
      <w:tr w:rsidR="00154AD2" w14:paraId="38332BEC" w14:textId="77777777">
        <w:trPr>
          <w:trHeight w:val="1256"/>
        </w:trPr>
        <w:tc>
          <w:tcPr>
            <w:tcW w:w="1135" w:type="dxa"/>
            <w:shd w:val="clear" w:color="auto" w:fill="C4EFCE"/>
            <w:noWrap/>
            <w:vAlign w:val="center"/>
            <w:hideMark/>
          </w:tcPr>
          <w:p w14:paraId="3C69E3A1" w14:textId="77777777" w:rsidR="00154AD2" w:rsidRDefault="007F6BF3">
            <w:pPr>
              <w:pStyle w:val="P68B1DB1-Normal7"/>
              <w:spacing w:after="0" w:line="240" w:lineRule="auto"/>
              <w:jc w:val="center"/>
              <w:rPr>
                <w:rFonts w:eastAsia="Times New Roman" w:cs="Calibri"/>
                <w:noProof/>
              </w:rPr>
            </w:pPr>
            <w:r>
              <w:rPr>
                <w:noProof/>
              </w:rPr>
              <w:t>1.18</w:t>
            </w:r>
          </w:p>
        </w:tc>
        <w:tc>
          <w:tcPr>
            <w:tcW w:w="1276" w:type="dxa"/>
            <w:shd w:val="clear" w:color="auto" w:fill="C4EFCE"/>
            <w:noWrap/>
            <w:vAlign w:val="center"/>
            <w:hideMark/>
          </w:tcPr>
          <w:p w14:paraId="454E6198" w14:textId="77777777" w:rsidR="00154AD2" w:rsidRDefault="007F6BF3">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6B02D058" w14:textId="77777777" w:rsidR="00154AD2" w:rsidRDefault="007F6BF3">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65FFAEC9" w14:textId="77777777" w:rsidR="00154AD2" w:rsidRDefault="007F6BF3">
            <w:pPr>
              <w:pStyle w:val="P68B1DB1-Normal8"/>
              <w:spacing w:after="0" w:line="240" w:lineRule="auto"/>
              <w:jc w:val="center"/>
              <w:rPr>
                <w:rFonts w:eastAsia="Times New Roman" w:cs="Calibri"/>
                <w:noProof/>
              </w:rPr>
            </w:pPr>
            <w:r>
              <w:rPr>
                <w:noProof/>
              </w:rPr>
              <w:t>Ανακαίνιση εγκαταστάσεων και εξοπλισμού υγείας για τη διασφάλιση της προσβασιμότητας, της ποιότητας και των συνθηκών ασφάλειας στα πρωτοβάθμια κέντρα υγείας</w:t>
            </w:r>
          </w:p>
        </w:tc>
        <w:tc>
          <w:tcPr>
            <w:tcW w:w="1418" w:type="dxa"/>
            <w:shd w:val="clear" w:color="auto" w:fill="C4EFCE"/>
            <w:noWrap/>
            <w:vAlign w:val="center"/>
            <w:hideMark/>
          </w:tcPr>
          <w:p w14:paraId="1CE147BD" w14:textId="77777777" w:rsidR="00154AD2" w:rsidRDefault="007F6BF3">
            <w:pPr>
              <w:pStyle w:val="P68B1DB1-Normal8"/>
              <w:spacing w:after="0" w:line="240" w:lineRule="auto"/>
              <w:jc w:val="center"/>
              <w:rPr>
                <w:rFonts w:eastAsia="Times New Roman" w:cs="Calibri"/>
                <w:noProof/>
              </w:rPr>
            </w:pPr>
            <w:r>
              <w:rPr>
                <w:noProof/>
              </w:rPr>
              <w:t>Έκθεση σχετικά με την ανακαίνιση των εγκαταστάσεων και του εξοπλισμού υγείας</w:t>
            </w:r>
          </w:p>
        </w:tc>
        <w:tc>
          <w:tcPr>
            <w:tcW w:w="1164" w:type="dxa"/>
            <w:shd w:val="clear" w:color="auto" w:fill="C4EFCE"/>
            <w:noWrap/>
            <w:vAlign w:val="center"/>
            <w:hideMark/>
          </w:tcPr>
          <w:p w14:paraId="0989D4A9" w14:textId="77777777" w:rsidR="00154AD2" w:rsidRDefault="007F6BF3">
            <w:pPr>
              <w:pStyle w:val="P68B1DB1-Normal9"/>
              <w:spacing w:after="0" w:line="240" w:lineRule="auto"/>
              <w:rPr>
                <w:rFonts w:eastAsia="Times New Roman" w:cs="Calibri"/>
                <w:noProof/>
              </w:rPr>
            </w:pPr>
            <w:r>
              <w:rPr>
                <w:noProof/>
              </w:rPr>
              <w:t> </w:t>
            </w:r>
          </w:p>
        </w:tc>
        <w:tc>
          <w:tcPr>
            <w:tcW w:w="962" w:type="dxa"/>
            <w:shd w:val="clear" w:color="auto" w:fill="C4EFCE"/>
            <w:noWrap/>
            <w:vAlign w:val="center"/>
            <w:hideMark/>
          </w:tcPr>
          <w:p w14:paraId="07B01750" w14:textId="77777777" w:rsidR="00154AD2" w:rsidRDefault="007F6BF3">
            <w:pPr>
              <w:pStyle w:val="P68B1DB1-Normal9"/>
              <w:spacing w:after="0" w:line="240" w:lineRule="auto"/>
              <w:rPr>
                <w:rFonts w:eastAsia="Times New Roman" w:cs="Calibri"/>
                <w:noProof/>
              </w:rPr>
            </w:pPr>
            <w:r>
              <w:rPr>
                <w:noProof/>
              </w:rPr>
              <w:t> </w:t>
            </w:r>
          </w:p>
        </w:tc>
        <w:tc>
          <w:tcPr>
            <w:tcW w:w="805" w:type="dxa"/>
            <w:shd w:val="clear" w:color="auto" w:fill="C4EFCE"/>
            <w:noWrap/>
            <w:vAlign w:val="center"/>
            <w:hideMark/>
          </w:tcPr>
          <w:p w14:paraId="097B0938" w14:textId="77777777" w:rsidR="00154AD2" w:rsidRDefault="007F6BF3">
            <w:pPr>
              <w:pStyle w:val="P68B1DB1-Normal9"/>
              <w:spacing w:after="0" w:line="240" w:lineRule="auto"/>
              <w:rPr>
                <w:rFonts w:eastAsia="Times New Roman" w:cs="Calibri"/>
                <w:noProof/>
              </w:rPr>
            </w:pPr>
            <w:r>
              <w:rPr>
                <w:noProof/>
              </w:rPr>
              <w:t> </w:t>
            </w:r>
          </w:p>
        </w:tc>
        <w:tc>
          <w:tcPr>
            <w:tcW w:w="833" w:type="dxa"/>
            <w:gridSpan w:val="2"/>
            <w:shd w:val="clear" w:color="auto" w:fill="C4EFCE"/>
            <w:noWrap/>
            <w:vAlign w:val="center"/>
            <w:hideMark/>
          </w:tcPr>
          <w:p w14:paraId="501D62D0"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901" w:type="dxa"/>
            <w:shd w:val="clear" w:color="auto" w:fill="C4EFCE"/>
            <w:noWrap/>
            <w:vAlign w:val="center"/>
            <w:hideMark/>
          </w:tcPr>
          <w:p w14:paraId="1264AB9E" w14:textId="77777777" w:rsidR="00154AD2" w:rsidRDefault="007F6BF3">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3B188F03" w14:textId="514EFA7B" w:rsidR="00154AD2" w:rsidRDefault="007F6BF3">
            <w:pPr>
              <w:pStyle w:val="P68B1DB1-Normal8"/>
              <w:spacing w:after="0" w:line="240" w:lineRule="auto"/>
              <w:jc w:val="both"/>
              <w:rPr>
                <w:rFonts w:eastAsia="Times New Roman" w:cs="Calibri"/>
                <w:noProof/>
              </w:rPr>
            </w:pPr>
            <w:r>
              <w:rPr>
                <w:noProof/>
              </w:rPr>
              <w:t>Η υλοποίηση αυτού του ορόσημου περιλαμβάνει: I) ανακαίνιση ή προσαρμογή 347 εγκαταστάσεων υγείας για την αύξηση της ενεργειακής απόδοσης, τη συμμόρφωση με τα σχέδια έκτακτης ανάγκης και/ή τη διασφάλιση της προσβασιμότητας, της ασφάλειας και της άνεσης για τους χρήστες και τους επαγγελματίες του τομέα της υγείας, εκ των οποίων η επιχορήγηση ύψους τουλάχιστον 170 838 136 EUR αφορά ανακαίνιση ενεργειακής απόδοσης, και η επιχορήγηση ύψους τουλάχιστον 13 046 589 EUR αφορά ανακαίνιση ενεργειακής απόδοσης για την επίτευξη, κατά μέσο όρο, τουλάχιστον μεσαίας κλίμακας ανακαίνισης, όπως ορίζεται στη σύσταση της Επιτροπής για την ανακαίνιση κτιρίων (ΕΕ) 2019/786 (οι απαιτήσεις για τη βελτίωση της ενεργειακής απόδοσης των κτιρίων ενσωματώνονται στις διαδικασίες σύναψης δημόσιων συμβάσεων και διασφαλίζονται στη συγγραφή υποχρεώσεων)· και ii) εκσυγχρονισμός του εξοπλισμού (συμπεριλαμβανομένων, μεταξύ άλλων, του βασικού κλινικού εξοπλισμού, του εξοπλισμού τεχνολογίας των πληροφοριών και των επικοινωνιών, του εξοπλισμού ενεργειακής απόδοσης και του εξοπλισμού ασφαλείας).</w:t>
            </w:r>
          </w:p>
        </w:tc>
      </w:tr>
      <w:tr w:rsidR="00154AD2" w14:paraId="454852B5" w14:textId="77777777">
        <w:trPr>
          <w:trHeight w:val="640"/>
        </w:trPr>
        <w:tc>
          <w:tcPr>
            <w:tcW w:w="1135" w:type="dxa"/>
            <w:shd w:val="clear" w:color="auto" w:fill="C4EFCE"/>
            <w:noWrap/>
            <w:vAlign w:val="center"/>
            <w:hideMark/>
          </w:tcPr>
          <w:p w14:paraId="1E28E1AA" w14:textId="77777777" w:rsidR="00154AD2" w:rsidRDefault="007F6BF3">
            <w:pPr>
              <w:pStyle w:val="P68B1DB1-Normal7"/>
              <w:spacing w:after="0" w:line="240" w:lineRule="auto"/>
              <w:jc w:val="center"/>
              <w:rPr>
                <w:rFonts w:eastAsia="Times New Roman" w:cs="Calibri"/>
                <w:noProof/>
              </w:rPr>
            </w:pPr>
            <w:r>
              <w:rPr>
                <w:noProof/>
              </w:rPr>
              <w:t>1.19</w:t>
            </w:r>
          </w:p>
        </w:tc>
        <w:tc>
          <w:tcPr>
            <w:tcW w:w="1276" w:type="dxa"/>
            <w:shd w:val="clear" w:color="auto" w:fill="C4EFCE"/>
            <w:noWrap/>
            <w:vAlign w:val="center"/>
            <w:hideMark/>
          </w:tcPr>
          <w:p w14:paraId="216603F0" w14:textId="77777777" w:rsidR="00154AD2" w:rsidRDefault="007F6BF3">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61B1C51C" w14:textId="77777777" w:rsidR="00154AD2" w:rsidRDefault="007F6BF3">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7BE3A27A" w14:textId="77777777" w:rsidR="00154AD2" w:rsidRDefault="007F6BF3">
            <w:pPr>
              <w:pStyle w:val="P68B1DB1-Normal8"/>
              <w:spacing w:after="0" w:line="240" w:lineRule="auto"/>
              <w:jc w:val="center"/>
              <w:rPr>
                <w:rFonts w:eastAsia="Times New Roman" w:cs="Calibri"/>
                <w:noProof/>
              </w:rPr>
            </w:pPr>
            <w:r>
              <w:rPr>
                <w:noProof/>
              </w:rPr>
              <w:t>Ενίσχυση των παρεμβάσεων σε επίπεδο τοπικής κοινότητας, κατ’ οίκον και σε επίπεδο κοινότητας</w:t>
            </w:r>
          </w:p>
        </w:tc>
        <w:tc>
          <w:tcPr>
            <w:tcW w:w="1418" w:type="dxa"/>
            <w:shd w:val="clear" w:color="auto" w:fill="C4EFCE"/>
            <w:noWrap/>
            <w:vAlign w:val="center"/>
            <w:hideMark/>
          </w:tcPr>
          <w:p w14:paraId="66DD2452" w14:textId="77777777" w:rsidR="00154AD2" w:rsidRDefault="007F6BF3">
            <w:pPr>
              <w:pStyle w:val="P68B1DB1-Normal8"/>
              <w:spacing w:after="0" w:line="240" w:lineRule="auto"/>
              <w:jc w:val="center"/>
              <w:rPr>
                <w:rFonts w:eastAsia="Times New Roman" w:cs="Calibri"/>
                <w:noProof/>
              </w:rPr>
            </w:pPr>
            <w:r>
              <w:rPr>
                <w:noProof/>
              </w:rPr>
              <w:t>ΕΚΘΕΣΗ σχετικά με την ενίσχυση των παρεμβάσεων σε επίπεδο τοπικής κοινότητας, κατ’ οίκον και σε επίπεδο κοινότητας</w:t>
            </w:r>
          </w:p>
        </w:tc>
        <w:tc>
          <w:tcPr>
            <w:tcW w:w="1164" w:type="dxa"/>
            <w:shd w:val="clear" w:color="auto" w:fill="C4EFCE"/>
            <w:noWrap/>
            <w:vAlign w:val="center"/>
            <w:hideMark/>
          </w:tcPr>
          <w:p w14:paraId="4CC73D52" w14:textId="77777777" w:rsidR="00154AD2" w:rsidRDefault="007F6BF3">
            <w:pPr>
              <w:pStyle w:val="P68B1DB1-Normal9"/>
              <w:spacing w:after="0" w:line="240" w:lineRule="auto"/>
              <w:rPr>
                <w:rFonts w:eastAsia="Times New Roman" w:cs="Calibri"/>
                <w:noProof/>
              </w:rPr>
            </w:pPr>
            <w:r>
              <w:rPr>
                <w:noProof/>
              </w:rPr>
              <w:t> </w:t>
            </w:r>
          </w:p>
        </w:tc>
        <w:tc>
          <w:tcPr>
            <w:tcW w:w="962" w:type="dxa"/>
            <w:shd w:val="clear" w:color="auto" w:fill="C4EFCE"/>
            <w:noWrap/>
            <w:vAlign w:val="center"/>
            <w:hideMark/>
          </w:tcPr>
          <w:p w14:paraId="12886356" w14:textId="77777777" w:rsidR="00154AD2" w:rsidRDefault="007F6BF3">
            <w:pPr>
              <w:pStyle w:val="P68B1DB1-Normal9"/>
              <w:spacing w:after="0" w:line="240" w:lineRule="auto"/>
              <w:rPr>
                <w:rFonts w:eastAsia="Times New Roman" w:cs="Calibri"/>
                <w:noProof/>
              </w:rPr>
            </w:pPr>
            <w:r>
              <w:rPr>
                <w:noProof/>
              </w:rPr>
              <w:t> </w:t>
            </w:r>
          </w:p>
        </w:tc>
        <w:tc>
          <w:tcPr>
            <w:tcW w:w="805" w:type="dxa"/>
            <w:shd w:val="clear" w:color="auto" w:fill="C4EFCE"/>
            <w:noWrap/>
            <w:vAlign w:val="center"/>
            <w:hideMark/>
          </w:tcPr>
          <w:p w14:paraId="155786FA" w14:textId="77777777" w:rsidR="00154AD2" w:rsidRDefault="007F6BF3">
            <w:pPr>
              <w:pStyle w:val="P68B1DB1-Normal9"/>
              <w:spacing w:after="0" w:line="240" w:lineRule="auto"/>
              <w:rPr>
                <w:rFonts w:eastAsia="Times New Roman" w:cs="Calibri"/>
                <w:noProof/>
              </w:rPr>
            </w:pPr>
            <w:r>
              <w:rPr>
                <w:noProof/>
              </w:rPr>
              <w:t> </w:t>
            </w:r>
          </w:p>
        </w:tc>
        <w:tc>
          <w:tcPr>
            <w:tcW w:w="833" w:type="dxa"/>
            <w:gridSpan w:val="2"/>
            <w:shd w:val="clear" w:color="auto" w:fill="C4EFCE"/>
            <w:noWrap/>
            <w:vAlign w:val="center"/>
            <w:hideMark/>
          </w:tcPr>
          <w:p w14:paraId="59E1E927"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901" w:type="dxa"/>
            <w:shd w:val="clear" w:color="auto" w:fill="C4EFCE"/>
            <w:noWrap/>
            <w:vAlign w:val="center"/>
            <w:hideMark/>
          </w:tcPr>
          <w:p w14:paraId="4ABA702F" w14:textId="77777777" w:rsidR="00154AD2" w:rsidRDefault="007F6BF3">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6D6E8DF1" w14:textId="77777777" w:rsidR="00154AD2" w:rsidRDefault="007F6BF3">
            <w:pPr>
              <w:pStyle w:val="P68B1DB1-Normal8"/>
              <w:spacing w:after="0" w:line="240" w:lineRule="auto"/>
              <w:jc w:val="both"/>
              <w:rPr>
                <w:rFonts w:eastAsia="Times New Roman" w:cs="Calibri"/>
                <w:noProof/>
              </w:rPr>
            </w:pPr>
            <w:r>
              <w:rPr>
                <w:noProof/>
              </w:rPr>
              <w:t>Η υλοποίηση αυτού του ορόσημου περιλαμβάνει: παροχή τουλάχιστον 770 ηλεκτρικών οχημάτων για την υποστήριξη της παροχής κατ’ οίκον περίθαλψης από τα κέντρα υγείας· και ii) αύξηση του αριθμού των νέων κινητών μονάδων κατά τουλάχιστον 34 επιπλέον, ώστε να καλύπτονται οι περιφέρειες χαμηλής πυκνότητας.</w:t>
            </w:r>
          </w:p>
        </w:tc>
      </w:tr>
      <w:tr w:rsidR="00154AD2" w14:paraId="1E7E7401" w14:textId="77777777">
        <w:trPr>
          <w:trHeight w:val="430"/>
        </w:trPr>
        <w:tc>
          <w:tcPr>
            <w:tcW w:w="1135" w:type="dxa"/>
            <w:shd w:val="clear" w:color="auto" w:fill="C4EFCE"/>
            <w:noWrap/>
            <w:vAlign w:val="center"/>
            <w:hideMark/>
          </w:tcPr>
          <w:p w14:paraId="0299C2D9" w14:textId="77777777" w:rsidR="00154AD2" w:rsidRDefault="007F6BF3">
            <w:pPr>
              <w:pStyle w:val="P68B1DB1-Normal7"/>
              <w:spacing w:after="0" w:line="240" w:lineRule="auto"/>
              <w:jc w:val="center"/>
              <w:rPr>
                <w:rFonts w:eastAsia="Times New Roman" w:cs="Calibri"/>
                <w:noProof/>
              </w:rPr>
            </w:pPr>
            <w:r>
              <w:rPr>
                <w:noProof/>
              </w:rPr>
              <w:t>1.20</w:t>
            </w:r>
          </w:p>
        </w:tc>
        <w:tc>
          <w:tcPr>
            <w:tcW w:w="1276" w:type="dxa"/>
            <w:shd w:val="clear" w:color="auto" w:fill="C4EFCE"/>
            <w:noWrap/>
            <w:vAlign w:val="center"/>
            <w:hideMark/>
          </w:tcPr>
          <w:p w14:paraId="5FD4B12F" w14:textId="77777777" w:rsidR="00154AD2" w:rsidRDefault="007F6BF3">
            <w:pPr>
              <w:pStyle w:val="P68B1DB1-Normal8"/>
              <w:spacing w:after="0" w:line="240" w:lineRule="auto"/>
              <w:jc w:val="center"/>
              <w:rPr>
                <w:rFonts w:eastAsia="Times New Roman" w:cs="Calibri"/>
                <w:noProof/>
              </w:rPr>
            </w:pPr>
            <w:r>
              <w:rPr>
                <w:noProof/>
              </w:rPr>
              <w:t>RE-C01-i02</w:t>
            </w:r>
          </w:p>
        </w:tc>
        <w:tc>
          <w:tcPr>
            <w:tcW w:w="992" w:type="dxa"/>
            <w:shd w:val="clear" w:color="auto" w:fill="C4EFCE"/>
            <w:noWrap/>
            <w:vAlign w:val="center"/>
            <w:hideMark/>
          </w:tcPr>
          <w:p w14:paraId="7D9E344F" w14:textId="77777777" w:rsidR="00154AD2" w:rsidRDefault="007F6BF3">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3949C28C" w14:textId="77777777" w:rsidR="00154AD2" w:rsidRDefault="007F6BF3">
            <w:pPr>
              <w:pStyle w:val="P68B1DB1-Normal8"/>
              <w:spacing w:after="0" w:line="240" w:lineRule="auto"/>
              <w:jc w:val="center"/>
              <w:rPr>
                <w:rFonts w:eastAsia="Times New Roman" w:cs="Calibri"/>
                <w:noProof/>
              </w:rPr>
            </w:pPr>
            <w:r>
              <w:rPr>
                <w:noProof/>
              </w:rPr>
              <w:t>Έναρξη ισχύος του κανονισμού σχετικά με τη χορήγηση χρηματοδοτικής στήριξης από τις περιφερειακές υγειονομικές αρχές</w:t>
            </w:r>
          </w:p>
        </w:tc>
        <w:tc>
          <w:tcPr>
            <w:tcW w:w="1418" w:type="dxa"/>
            <w:shd w:val="clear" w:color="auto" w:fill="C4EFCE"/>
            <w:noWrap/>
            <w:vAlign w:val="center"/>
            <w:hideMark/>
          </w:tcPr>
          <w:p w14:paraId="5DB93479" w14:textId="77777777" w:rsidR="00154AD2" w:rsidRDefault="007F6BF3">
            <w:pPr>
              <w:pStyle w:val="P68B1DB1-Normal8"/>
              <w:spacing w:after="0" w:line="240" w:lineRule="auto"/>
              <w:jc w:val="center"/>
              <w:rPr>
                <w:rFonts w:eastAsia="Times New Roman" w:cs="Calibri"/>
                <w:noProof/>
              </w:rPr>
            </w:pPr>
            <w:r>
              <w:rPr>
                <w:noProof/>
              </w:rPr>
              <w:t>Έναρξη ισχύος του κανονισμού για τη χορήγηση χρηματοδοτικής στήριξης</w:t>
            </w:r>
          </w:p>
        </w:tc>
        <w:tc>
          <w:tcPr>
            <w:tcW w:w="1164" w:type="dxa"/>
            <w:shd w:val="clear" w:color="auto" w:fill="C4EFCE"/>
            <w:noWrap/>
            <w:vAlign w:val="center"/>
            <w:hideMark/>
          </w:tcPr>
          <w:p w14:paraId="251EE7F7" w14:textId="77777777" w:rsidR="00154AD2" w:rsidRDefault="007F6BF3">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2DB5B8B0" w14:textId="77777777" w:rsidR="00154AD2" w:rsidRDefault="007F6BF3">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2F7AF621" w14:textId="77777777" w:rsidR="00154AD2" w:rsidRDefault="007F6BF3">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1B4120B0"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901" w:type="dxa"/>
            <w:shd w:val="clear" w:color="auto" w:fill="C4EFCE"/>
            <w:noWrap/>
            <w:vAlign w:val="center"/>
            <w:hideMark/>
          </w:tcPr>
          <w:p w14:paraId="2C8FCB77" w14:textId="77777777" w:rsidR="00154AD2" w:rsidRDefault="007F6BF3">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237D71AB" w14:textId="77777777" w:rsidR="00154AD2" w:rsidRDefault="007F6BF3">
            <w:pPr>
              <w:pStyle w:val="P68B1DB1-Normal8"/>
              <w:spacing w:after="0" w:line="240" w:lineRule="auto"/>
              <w:jc w:val="both"/>
              <w:rPr>
                <w:rFonts w:eastAsia="Times New Roman" w:cs="Calibri"/>
                <w:noProof/>
              </w:rPr>
            </w:pPr>
            <w:r>
              <w:rPr>
                <w:noProof/>
              </w:rPr>
              <w:t>Έναρξη ισχύος του κανονισμού για την κατανομή της χρηματοδοτικής στήριξης από τις Περιφερειακές Υγειονομικές Αρχές, ο οποίος καθορίζει το μοντέλο διακυβέρνησης του προγράμματος και τις αντίστοιχες απαιτήσεις των αιτούντων.</w:t>
            </w:r>
          </w:p>
        </w:tc>
      </w:tr>
      <w:tr w:rsidR="00154AD2" w14:paraId="7F7C84BA" w14:textId="77777777">
        <w:trPr>
          <w:trHeight w:val="1690"/>
        </w:trPr>
        <w:tc>
          <w:tcPr>
            <w:tcW w:w="1135" w:type="dxa"/>
            <w:shd w:val="clear" w:color="auto" w:fill="C4EFCE"/>
            <w:noWrap/>
            <w:vAlign w:val="center"/>
            <w:hideMark/>
          </w:tcPr>
          <w:p w14:paraId="74351DC1" w14:textId="77777777" w:rsidR="00154AD2" w:rsidRDefault="007F6BF3">
            <w:pPr>
              <w:pStyle w:val="P68B1DB1-Normal7"/>
              <w:spacing w:after="0" w:line="240" w:lineRule="auto"/>
              <w:jc w:val="center"/>
              <w:rPr>
                <w:rFonts w:eastAsia="Times New Roman" w:cs="Calibri"/>
                <w:noProof/>
              </w:rPr>
            </w:pPr>
            <w:r>
              <w:rPr>
                <w:noProof/>
              </w:rPr>
              <w:t>1.21</w:t>
            </w:r>
          </w:p>
        </w:tc>
        <w:tc>
          <w:tcPr>
            <w:tcW w:w="1276" w:type="dxa"/>
            <w:shd w:val="clear" w:color="auto" w:fill="C4EFCE"/>
            <w:noWrap/>
            <w:vAlign w:val="center"/>
            <w:hideMark/>
          </w:tcPr>
          <w:p w14:paraId="34C37BAF" w14:textId="77777777" w:rsidR="00154AD2" w:rsidRDefault="007F6BF3">
            <w:pPr>
              <w:pStyle w:val="P68B1DB1-Normal8"/>
              <w:spacing w:after="0" w:line="240" w:lineRule="auto"/>
              <w:jc w:val="center"/>
              <w:rPr>
                <w:rFonts w:eastAsia="Times New Roman" w:cs="Calibri"/>
                <w:noProof/>
              </w:rPr>
            </w:pPr>
            <w:r>
              <w:rPr>
                <w:noProof/>
              </w:rPr>
              <w:t>RE-C01-i02</w:t>
            </w:r>
          </w:p>
        </w:tc>
        <w:tc>
          <w:tcPr>
            <w:tcW w:w="992" w:type="dxa"/>
            <w:shd w:val="clear" w:color="auto" w:fill="C4EFCE"/>
            <w:noWrap/>
            <w:vAlign w:val="center"/>
            <w:hideMark/>
          </w:tcPr>
          <w:p w14:paraId="4A6CCB1B" w14:textId="77777777" w:rsidR="00154AD2" w:rsidRDefault="007F6BF3">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4AB89F2D" w14:textId="77777777" w:rsidR="00154AD2" w:rsidRDefault="007F6BF3">
            <w:pPr>
              <w:pStyle w:val="P68B1DB1-Normal8"/>
              <w:spacing w:after="0" w:line="240" w:lineRule="auto"/>
              <w:jc w:val="center"/>
              <w:rPr>
                <w:rFonts w:eastAsia="Times New Roman" w:cs="Calibri"/>
                <w:noProof/>
              </w:rPr>
            </w:pPr>
            <w:r>
              <w:rPr>
                <w:noProof/>
              </w:rPr>
              <w:t>Ενίσχυση της ικανότητας αντίδρασης των εθνικών δικτύων ολοκληρωμένων υπηρεσιών συνεχούς περίθαλψης και παρηγορητικής περίθαλψης στην ενδονοσοκομειακή και εξωνοσοκομειακή περίθαλψη</w:t>
            </w:r>
          </w:p>
        </w:tc>
        <w:tc>
          <w:tcPr>
            <w:tcW w:w="1418" w:type="dxa"/>
            <w:shd w:val="clear" w:color="auto" w:fill="C4EFCE"/>
            <w:noWrap/>
            <w:vAlign w:val="center"/>
            <w:hideMark/>
          </w:tcPr>
          <w:p w14:paraId="27BF6F6B" w14:textId="77777777" w:rsidR="00154AD2" w:rsidRDefault="007F6BF3">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76222F30"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62" w:type="dxa"/>
            <w:shd w:val="clear" w:color="auto" w:fill="C4EFCE"/>
            <w:noWrap/>
            <w:vAlign w:val="center"/>
            <w:hideMark/>
          </w:tcPr>
          <w:p w14:paraId="1879440B" w14:textId="77777777" w:rsidR="00154AD2" w:rsidRDefault="007F6BF3">
            <w:pPr>
              <w:pStyle w:val="P68B1DB1-Normal8"/>
              <w:spacing w:after="0" w:line="240" w:lineRule="auto"/>
              <w:jc w:val="center"/>
              <w:rPr>
                <w:rFonts w:eastAsia="Times New Roman" w:cs="Calibri"/>
                <w:noProof/>
              </w:rPr>
            </w:pPr>
            <w:r>
              <w:rPr>
                <w:noProof/>
              </w:rPr>
              <w:t> 0</w:t>
            </w:r>
          </w:p>
        </w:tc>
        <w:tc>
          <w:tcPr>
            <w:tcW w:w="805" w:type="dxa"/>
            <w:shd w:val="clear" w:color="auto" w:fill="C4EFCE"/>
            <w:noWrap/>
            <w:vAlign w:val="center"/>
            <w:hideMark/>
          </w:tcPr>
          <w:p w14:paraId="7F341A5B" w14:textId="77777777" w:rsidR="00154AD2" w:rsidRDefault="007F6BF3">
            <w:pPr>
              <w:pStyle w:val="P68B1DB1-Normal8"/>
              <w:spacing w:after="0" w:line="240" w:lineRule="auto"/>
              <w:jc w:val="center"/>
              <w:rPr>
                <w:rFonts w:eastAsia="Times New Roman" w:cs="Calibri"/>
                <w:noProof/>
              </w:rPr>
            </w:pPr>
            <w:r>
              <w:rPr>
                <w:noProof/>
              </w:rPr>
              <w:t>7 400</w:t>
            </w:r>
          </w:p>
        </w:tc>
        <w:tc>
          <w:tcPr>
            <w:tcW w:w="833" w:type="dxa"/>
            <w:gridSpan w:val="2"/>
            <w:shd w:val="clear" w:color="auto" w:fill="C4EFCE"/>
            <w:noWrap/>
            <w:vAlign w:val="center"/>
            <w:hideMark/>
          </w:tcPr>
          <w:p w14:paraId="0CE41663"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901" w:type="dxa"/>
            <w:shd w:val="clear" w:color="auto" w:fill="C4EFCE"/>
            <w:noWrap/>
            <w:vAlign w:val="center"/>
            <w:hideMark/>
          </w:tcPr>
          <w:p w14:paraId="253B9B39" w14:textId="77777777" w:rsidR="00154AD2" w:rsidRDefault="007F6BF3">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7ABEA994" w14:textId="5DEC19EC" w:rsidR="00154AD2" w:rsidRDefault="007F6BF3">
            <w:pPr>
              <w:pStyle w:val="P68B1DB1-Normal8"/>
              <w:spacing w:after="0" w:line="240" w:lineRule="auto"/>
              <w:jc w:val="both"/>
              <w:rPr>
                <w:rFonts w:eastAsia="Times New Roman" w:cs="Calibri"/>
                <w:noProof/>
              </w:rPr>
            </w:pPr>
            <w:r>
              <w:rPr>
                <w:noProof/>
              </w:rPr>
              <w:t>Ενίσχυση της ικανότητας αντίδρασης των εθνικών δικτύων ολοκληρωμένων υπηρεσιών συνεχούς περίθαλψης και παρηγορητικής περίθαλψης στην ενδονοσοκομειακή και εξωνοσοκομειακή περίθαλψη μέσω της δημιουργίας των ακόλουθων νέων χώρων: I) νέες 5 500 ενδονοσοκομειακές κλίνες στο εθνικό δίκτυο ολοκληρωμένων υπηρεσιών συνεχούς περίθαλψης, εντός του γενικού δικτύου· II) νέες 500 θέσεις σε ημερήσιες μονάδες προώθησης της αυτονομίας εντός του εθνικού δικτύου ολοκληρωμένων υπηρεσιών συνεχούς φροντίδας· III) νέες 1 000 θέσεις σε ολοκληρωμένες υπηρεσίες συνεχούς ψυχικής υγείας· και iv) 400 νέες ενδονοσοκομειακές κλίνες χαμηλής πολυπλοκότητας στο εθνικό δίκτυο υπηρεσιών παρηγορητικής φροντίδας. Περιλαμβάνει τη χρήση επιχορηγήσεων ύψους τουλάχιστον 226 730 193 EUR για την κατασκευή νέων υποδομών υγείας. Τα νέα αυτά κτίρια έχουν ζήτηση πρωτογενούς ενέργειας τουλάχιστον 20 % χαμηλότερη από τις απαιτήσεις των κτιρίων με σχεδόν μηδενική κατανάλωση ενέργειας.</w:t>
            </w:r>
          </w:p>
        </w:tc>
      </w:tr>
      <w:tr w:rsidR="00154AD2" w14:paraId="5AE6F182" w14:textId="77777777">
        <w:trPr>
          <w:trHeight w:val="1060"/>
        </w:trPr>
        <w:tc>
          <w:tcPr>
            <w:tcW w:w="1135" w:type="dxa"/>
            <w:shd w:val="clear" w:color="auto" w:fill="C4EFCE"/>
            <w:noWrap/>
            <w:vAlign w:val="center"/>
            <w:hideMark/>
          </w:tcPr>
          <w:p w14:paraId="66FCDE69" w14:textId="77777777" w:rsidR="00154AD2" w:rsidRDefault="007F6BF3">
            <w:pPr>
              <w:pStyle w:val="P68B1DB1-Normal7"/>
              <w:spacing w:after="0" w:line="240" w:lineRule="auto"/>
              <w:jc w:val="center"/>
              <w:rPr>
                <w:rFonts w:eastAsia="Times New Roman" w:cs="Calibri"/>
                <w:noProof/>
              </w:rPr>
            </w:pPr>
            <w:r>
              <w:rPr>
                <w:noProof/>
              </w:rPr>
              <w:t>1.22</w:t>
            </w:r>
          </w:p>
        </w:tc>
        <w:tc>
          <w:tcPr>
            <w:tcW w:w="1276" w:type="dxa"/>
            <w:shd w:val="clear" w:color="auto" w:fill="C4EFCE"/>
            <w:noWrap/>
            <w:vAlign w:val="center"/>
            <w:hideMark/>
          </w:tcPr>
          <w:p w14:paraId="0DED5251" w14:textId="77777777" w:rsidR="00154AD2" w:rsidRDefault="007F6BF3">
            <w:pPr>
              <w:pStyle w:val="P68B1DB1-Normal8"/>
              <w:spacing w:after="0" w:line="240" w:lineRule="auto"/>
              <w:jc w:val="center"/>
              <w:rPr>
                <w:rFonts w:eastAsia="Times New Roman" w:cs="Calibri"/>
                <w:noProof/>
              </w:rPr>
            </w:pPr>
            <w:r>
              <w:rPr>
                <w:noProof/>
              </w:rPr>
              <w:t>RE-C01-i02</w:t>
            </w:r>
          </w:p>
        </w:tc>
        <w:tc>
          <w:tcPr>
            <w:tcW w:w="992" w:type="dxa"/>
            <w:shd w:val="clear" w:color="auto" w:fill="C4EFCE"/>
            <w:noWrap/>
            <w:vAlign w:val="center"/>
            <w:hideMark/>
          </w:tcPr>
          <w:p w14:paraId="647B9DAD" w14:textId="77777777" w:rsidR="00154AD2" w:rsidRDefault="007F6BF3">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755CF526" w14:textId="77777777" w:rsidR="00154AD2" w:rsidRDefault="007F6BF3">
            <w:pPr>
              <w:pStyle w:val="P68B1DB1-Normal8"/>
              <w:spacing w:after="0" w:line="240" w:lineRule="auto"/>
              <w:jc w:val="center"/>
              <w:rPr>
                <w:rFonts w:eastAsia="Times New Roman" w:cs="Calibri"/>
                <w:noProof/>
              </w:rPr>
            </w:pPr>
            <w:r>
              <w:rPr>
                <w:noProof/>
              </w:rPr>
              <w:t>Ενίσχυση της ικανότητας αντίδρασης των εθνικών δικτύων ολοκληρωμένων υπηρεσιών συνεχούς φροντίδας και παρηγορητικής φροντίδας στην κατ’ οίκον φροντίδα</w:t>
            </w:r>
          </w:p>
        </w:tc>
        <w:tc>
          <w:tcPr>
            <w:tcW w:w="1418" w:type="dxa"/>
            <w:shd w:val="clear" w:color="auto" w:fill="C4EFCE"/>
            <w:noWrap/>
            <w:vAlign w:val="center"/>
            <w:hideMark/>
          </w:tcPr>
          <w:p w14:paraId="0A35A3F3" w14:textId="77777777" w:rsidR="00154AD2" w:rsidRDefault="007F6BF3">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46DF5F8B"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62" w:type="dxa"/>
            <w:shd w:val="clear" w:color="auto" w:fill="C4EFCE"/>
            <w:noWrap/>
            <w:vAlign w:val="center"/>
            <w:hideMark/>
          </w:tcPr>
          <w:p w14:paraId="02612F2B" w14:textId="77777777" w:rsidR="00154AD2" w:rsidRDefault="007F6BF3">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655B25AA" w14:textId="77777777" w:rsidR="00154AD2" w:rsidRDefault="007F6BF3">
            <w:pPr>
              <w:pStyle w:val="P68B1DB1-Normal8"/>
              <w:spacing w:after="0" w:line="240" w:lineRule="auto"/>
              <w:jc w:val="center"/>
              <w:rPr>
                <w:rFonts w:eastAsia="Times New Roman" w:cs="Calibri"/>
                <w:noProof/>
              </w:rPr>
            </w:pPr>
            <w:r>
              <w:rPr>
                <w:noProof/>
              </w:rPr>
              <w:t>1 200</w:t>
            </w:r>
          </w:p>
        </w:tc>
        <w:tc>
          <w:tcPr>
            <w:tcW w:w="833" w:type="dxa"/>
            <w:gridSpan w:val="2"/>
            <w:shd w:val="clear" w:color="auto" w:fill="C4EFCE"/>
            <w:noWrap/>
            <w:vAlign w:val="center"/>
            <w:hideMark/>
          </w:tcPr>
          <w:p w14:paraId="74C0C891" w14:textId="45AB5963" w:rsidR="00154AD2" w:rsidRDefault="007F6BF3">
            <w:pPr>
              <w:pStyle w:val="P68B1DB1-Normal10"/>
              <w:spacing w:after="0" w:line="240" w:lineRule="auto"/>
              <w:jc w:val="center"/>
              <w:rPr>
                <w:rFonts w:eastAsia="Times New Roman" w:cs="Calibri"/>
                <w:noProof/>
              </w:rPr>
            </w:pPr>
            <w:r>
              <w:rPr>
                <w:noProof/>
              </w:rPr>
              <w:t>ΤΡΊΜΗΝΟ 2</w:t>
            </w:r>
          </w:p>
        </w:tc>
        <w:tc>
          <w:tcPr>
            <w:tcW w:w="901" w:type="dxa"/>
            <w:shd w:val="clear" w:color="auto" w:fill="C4EFCE"/>
            <w:noWrap/>
            <w:vAlign w:val="center"/>
            <w:hideMark/>
          </w:tcPr>
          <w:p w14:paraId="22DB6368" w14:textId="5990FEF5" w:rsidR="00154AD2" w:rsidRDefault="007F6BF3">
            <w:pPr>
              <w:pStyle w:val="P68B1DB1-Normal10"/>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558142A7" w14:textId="77777777" w:rsidR="00154AD2" w:rsidRDefault="007F6BF3">
            <w:pPr>
              <w:pStyle w:val="P68B1DB1-Normal8"/>
              <w:spacing w:after="0" w:line="240" w:lineRule="auto"/>
              <w:jc w:val="both"/>
              <w:rPr>
                <w:rFonts w:eastAsia="Times New Roman" w:cs="Calibri"/>
                <w:noProof/>
              </w:rPr>
            </w:pPr>
            <w:r>
              <w:rPr>
                <w:noProof/>
              </w:rPr>
              <w:t>Ενίσχυση της ικανότητας αντίδρασης των εθνικών δικτύων ολοκληρωμένων υπηρεσιών συνεχούς φροντίδας και παρηγορητικής φροντίδας στην κατ’ οίκον φροντίδα μέσω της δημιουργίας των ακόλουθων νέων χώρων: I) 1 000 νέες θέσεις σε ολοκληρωμένες ομάδες συνεχούς κατ’ οίκον φροντίδας· 100 νέες θέσεις σε ομάδες κατ’ οίκον υποστήριξης ψυχικής υγείας εντός του εθνικού δικτύου ολοκληρωμένων υπηρεσιών συνεχούς φροντίδας· και iii) 100 νέες θέσεις σε κοινοτικές ομάδες υποστήριξης παρηγορητικής φροντίδας.</w:t>
            </w:r>
          </w:p>
        </w:tc>
      </w:tr>
      <w:tr w:rsidR="00154AD2" w14:paraId="59032C88" w14:textId="77777777">
        <w:trPr>
          <w:trHeight w:val="1060"/>
        </w:trPr>
        <w:tc>
          <w:tcPr>
            <w:tcW w:w="1135" w:type="dxa"/>
            <w:shd w:val="clear" w:color="auto" w:fill="C4EFCE"/>
            <w:noWrap/>
            <w:vAlign w:val="center"/>
            <w:hideMark/>
          </w:tcPr>
          <w:p w14:paraId="68CBF731" w14:textId="77777777" w:rsidR="00154AD2" w:rsidRDefault="007F6BF3">
            <w:pPr>
              <w:pStyle w:val="P68B1DB1-Normal7"/>
              <w:spacing w:after="0" w:line="240" w:lineRule="auto"/>
              <w:jc w:val="center"/>
              <w:rPr>
                <w:rFonts w:eastAsia="Times New Roman" w:cs="Calibri"/>
                <w:noProof/>
              </w:rPr>
            </w:pPr>
            <w:r>
              <w:rPr>
                <w:noProof/>
              </w:rPr>
              <w:t>1.23</w:t>
            </w:r>
          </w:p>
        </w:tc>
        <w:tc>
          <w:tcPr>
            <w:tcW w:w="1276" w:type="dxa"/>
            <w:shd w:val="clear" w:color="auto" w:fill="C4EFCE"/>
            <w:noWrap/>
            <w:vAlign w:val="center"/>
            <w:hideMark/>
          </w:tcPr>
          <w:p w14:paraId="73D71360" w14:textId="77777777" w:rsidR="00154AD2" w:rsidRDefault="007F6BF3">
            <w:pPr>
              <w:pStyle w:val="P68B1DB1-Normal8"/>
              <w:spacing w:after="0" w:line="240" w:lineRule="auto"/>
              <w:jc w:val="center"/>
              <w:rPr>
                <w:rFonts w:eastAsia="Times New Roman" w:cs="Calibri"/>
                <w:noProof/>
              </w:rPr>
            </w:pPr>
            <w:r>
              <w:rPr>
                <w:noProof/>
              </w:rPr>
              <w:t>RE-C01-i03</w:t>
            </w:r>
          </w:p>
        </w:tc>
        <w:tc>
          <w:tcPr>
            <w:tcW w:w="992" w:type="dxa"/>
            <w:shd w:val="clear" w:color="auto" w:fill="C4EFCE"/>
            <w:noWrap/>
            <w:vAlign w:val="center"/>
            <w:hideMark/>
          </w:tcPr>
          <w:p w14:paraId="1D0F3E64" w14:textId="77777777" w:rsidR="00154AD2" w:rsidRDefault="007F6BF3">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6CD9472F" w14:textId="77777777" w:rsidR="00154AD2" w:rsidRDefault="007F6BF3">
            <w:pPr>
              <w:pStyle w:val="P68B1DB1-Normal8"/>
              <w:spacing w:after="0" w:line="240" w:lineRule="auto"/>
              <w:jc w:val="center"/>
              <w:rPr>
                <w:rFonts w:eastAsia="Times New Roman" w:cs="Calibri"/>
                <w:noProof/>
              </w:rPr>
            </w:pPr>
            <w:r>
              <w:rPr>
                <w:noProof/>
              </w:rPr>
              <w:t>Ανακαίνιση μονάδων και εξοπλισμού ιατροδικαστικής ψυχιατρικής</w:t>
            </w:r>
          </w:p>
        </w:tc>
        <w:tc>
          <w:tcPr>
            <w:tcW w:w="1418" w:type="dxa"/>
            <w:shd w:val="clear" w:color="auto" w:fill="C4EFCE"/>
            <w:noWrap/>
            <w:vAlign w:val="center"/>
            <w:hideMark/>
          </w:tcPr>
          <w:p w14:paraId="668CD381" w14:textId="77777777" w:rsidR="00154AD2" w:rsidRDefault="007F6BF3">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439AD866"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62" w:type="dxa"/>
            <w:shd w:val="clear" w:color="auto" w:fill="C4EFCE"/>
            <w:noWrap/>
            <w:vAlign w:val="center"/>
            <w:hideMark/>
          </w:tcPr>
          <w:p w14:paraId="266CA769" w14:textId="77777777" w:rsidR="00154AD2" w:rsidRDefault="007F6BF3">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315F1F44" w14:textId="77777777" w:rsidR="00154AD2" w:rsidRDefault="007F6BF3">
            <w:pPr>
              <w:pStyle w:val="P68B1DB1-Normal8"/>
              <w:spacing w:after="0" w:line="240" w:lineRule="auto"/>
              <w:jc w:val="center"/>
              <w:rPr>
                <w:rFonts w:eastAsia="Times New Roman" w:cs="Calibri"/>
                <w:noProof/>
              </w:rPr>
            </w:pPr>
            <w:r>
              <w:rPr>
                <w:noProof/>
              </w:rPr>
              <w:t>3</w:t>
            </w:r>
          </w:p>
        </w:tc>
        <w:tc>
          <w:tcPr>
            <w:tcW w:w="833" w:type="dxa"/>
            <w:gridSpan w:val="2"/>
            <w:shd w:val="clear" w:color="auto" w:fill="C4EFCE"/>
            <w:noWrap/>
            <w:vAlign w:val="center"/>
            <w:hideMark/>
          </w:tcPr>
          <w:p w14:paraId="293F4F6B"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901" w:type="dxa"/>
            <w:shd w:val="clear" w:color="auto" w:fill="C4EFCE"/>
            <w:noWrap/>
            <w:vAlign w:val="center"/>
            <w:hideMark/>
          </w:tcPr>
          <w:p w14:paraId="7CD67BEE" w14:textId="77777777" w:rsidR="00154AD2" w:rsidRDefault="007F6BF3">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4B5D6547" w14:textId="77777777" w:rsidR="00154AD2" w:rsidRDefault="007F6BF3">
            <w:pPr>
              <w:pStyle w:val="P68B1DB1-Normal8"/>
              <w:spacing w:after="0" w:line="240" w:lineRule="auto"/>
              <w:jc w:val="both"/>
              <w:rPr>
                <w:rFonts w:eastAsia="Times New Roman" w:cs="Calibri"/>
                <w:noProof/>
              </w:rPr>
            </w:pPr>
            <w:r>
              <w:rPr>
                <w:noProof/>
              </w:rPr>
              <w:t xml:space="preserve">Δημιουργία νέας εγκληματολογικής ψυχιατρικής μονάδας (Sobral Cid) και ανακαίνιση δύο άλλων μονάδων (Ψυχιατρικό Νοσοκομείο Λισαβόνας και Νοσοκομείο Magalhães Lemos) για τη διασφάλιση συνθηκών συμβατών με τον σεβασμό των ανθρωπίνων δικαιωμάτων, ιδίως της ιδιωτικής ζωής, της άνεσης και του ανθρωπισμού των χώρων, χωρίς να παραμελούνται οι προϋποθέσεις ασφαλείας που είναι εγγενείς στην εκπλήρωση των δικαστικών αποφάσεων και να αποτρέπονται περαιτέρω καταδίκες της Πορτογαλικής Δημοκρατίας από διεθνείς οργανισμούς (Ευρωπαϊκή Επιτροπή για την Πρόληψη των Βασανιστηρίων). </w:t>
            </w:r>
          </w:p>
        </w:tc>
      </w:tr>
      <w:tr w:rsidR="00154AD2" w14:paraId="79BD555A" w14:textId="77777777">
        <w:trPr>
          <w:trHeight w:val="640"/>
        </w:trPr>
        <w:tc>
          <w:tcPr>
            <w:tcW w:w="1135" w:type="dxa"/>
            <w:shd w:val="clear" w:color="auto" w:fill="C4EFCE"/>
            <w:noWrap/>
            <w:vAlign w:val="center"/>
            <w:hideMark/>
          </w:tcPr>
          <w:p w14:paraId="69D05224" w14:textId="77777777" w:rsidR="00154AD2" w:rsidRDefault="007F6BF3">
            <w:pPr>
              <w:pStyle w:val="P68B1DB1-Normal7"/>
              <w:spacing w:after="0" w:line="240" w:lineRule="auto"/>
              <w:jc w:val="center"/>
              <w:rPr>
                <w:rFonts w:eastAsia="Times New Roman" w:cs="Calibri"/>
                <w:noProof/>
              </w:rPr>
            </w:pPr>
            <w:r>
              <w:rPr>
                <w:noProof/>
              </w:rPr>
              <w:t>1.24</w:t>
            </w:r>
          </w:p>
        </w:tc>
        <w:tc>
          <w:tcPr>
            <w:tcW w:w="1276" w:type="dxa"/>
            <w:shd w:val="clear" w:color="auto" w:fill="C4EFCE"/>
            <w:noWrap/>
            <w:vAlign w:val="center"/>
            <w:hideMark/>
          </w:tcPr>
          <w:p w14:paraId="77EC2F21" w14:textId="77777777" w:rsidR="00154AD2" w:rsidRDefault="007F6BF3">
            <w:pPr>
              <w:pStyle w:val="P68B1DB1-Normal8"/>
              <w:spacing w:after="0" w:line="240" w:lineRule="auto"/>
              <w:jc w:val="center"/>
              <w:rPr>
                <w:rFonts w:eastAsia="Times New Roman" w:cs="Calibri"/>
                <w:noProof/>
              </w:rPr>
            </w:pPr>
            <w:r>
              <w:rPr>
                <w:noProof/>
              </w:rPr>
              <w:t>RE-C01-i03</w:t>
            </w:r>
          </w:p>
        </w:tc>
        <w:tc>
          <w:tcPr>
            <w:tcW w:w="992" w:type="dxa"/>
            <w:shd w:val="clear" w:color="auto" w:fill="C4EFCE"/>
            <w:noWrap/>
            <w:vAlign w:val="center"/>
            <w:hideMark/>
          </w:tcPr>
          <w:p w14:paraId="3AD8EF16" w14:textId="77777777" w:rsidR="00154AD2" w:rsidRDefault="007F6BF3">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2F5900A0" w14:textId="77777777" w:rsidR="00154AD2" w:rsidRDefault="007F6BF3">
            <w:pPr>
              <w:pStyle w:val="P68B1DB1-Normal8"/>
              <w:spacing w:after="0" w:line="240" w:lineRule="auto"/>
              <w:jc w:val="center"/>
              <w:rPr>
                <w:rFonts w:eastAsia="Times New Roman" w:cs="Calibri"/>
                <w:noProof/>
              </w:rPr>
            </w:pPr>
            <w:r>
              <w:rPr>
                <w:noProof/>
              </w:rPr>
              <w:t>Ανάπτυξη δράσεων ευαισθητοποίησης και κατάρτισης για την «ανάπτυξη των διαδρομών των ασθενών» στο πλαίσιο της άνοιας</w:t>
            </w:r>
          </w:p>
        </w:tc>
        <w:tc>
          <w:tcPr>
            <w:tcW w:w="1418" w:type="dxa"/>
            <w:shd w:val="clear" w:color="auto" w:fill="C4EFCE"/>
            <w:noWrap/>
            <w:vAlign w:val="center"/>
            <w:hideMark/>
          </w:tcPr>
          <w:p w14:paraId="0479C79B" w14:textId="77777777" w:rsidR="00154AD2" w:rsidRDefault="007F6BF3">
            <w:pPr>
              <w:pStyle w:val="P68B1DB1-Normal8"/>
              <w:spacing w:after="0" w:line="240" w:lineRule="auto"/>
              <w:jc w:val="center"/>
              <w:rPr>
                <w:rFonts w:eastAsia="Times New Roman" w:cs="Calibri"/>
                <w:noProof/>
              </w:rPr>
            </w:pPr>
            <w:r>
              <w:rPr>
                <w:noProof/>
              </w:rPr>
              <w:t>Έκθεση σχετικά με την ανάπτυξη νέων δράσεων ευαισθητοποίησης και κατάρτισης και την ανάπτυξή τους</w:t>
            </w:r>
          </w:p>
        </w:tc>
        <w:tc>
          <w:tcPr>
            <w:tcW w:w="1164" w:type="dxa"/>
            <w:shd w:val="clear" w:color="auto" w:fill="C4EFCE"/>
            <w:noWrap/>
            <w:vAlign w:val="center"/>
            <w:hideMark/>
          </w:tcPr>
          <w:p w14:paraId="4EEB31BE" w14:textId="77777777" w:rsidR="00154AD2" w:rsidRDefault="007F6BF3">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2FE014D9" w14:textId="77777777" w:rsidR="00154AD2" w:rsidRDefault="007F6BF3">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428CA5F8" w14:textId="77777777" w:rsidR="00154AD2" w:rsidRDefault="007F6BF3">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28C7EC78"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901" w:type="dxa"/>
            <w:shd w:val="clear" w:color="auto" w:fill="C4EFCE"/>
            <w:noWrap/>
            <w:vAlign w:val="center"/>
            <w:hideMark/>
          </w:tcPr>
          <w:p w14:paraId="18C7751D" w14:textId="77777777" w:rsidR="00154AD2" w:rsidRDefault="007F6BF3">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36E491E2" w14:textId="77777777" w:rsidR="00154AD2" w:rsidRDefault="007F6BF3">
            <w:pPr>
              <w:pStyle w:val="P68B1DB1-Normal8"/>
              <w:spacing w:after="0" w:line="240" w:lineRule="auto"/>
              <w:jc w:val="both"/>
              <w:rPr>
                <w:rFonts w:eastAsia="Times New Roman" w:cs="Calibri"/>
                <w:noProof/>
              </w:rPr>
            </w:pPr>
            <w:r>
              <w:rPr>
                <w:noProof/>
              </w:rPr>
              <w:t>Δράσεις ευαισθητοποίησης και κατάρτισης για την άνοια, με σκοπό την υποστήριξη μεταρρυθμίσεων στις κοινωνικές υπηρεσίες και στις υπηρεσίες υγειονομικής περίθαλψης, με στόχο το προσωπικό των κοινωνικών και υγειονομικών υπηρεσιών ή άλλων φορέων που συνεργάζονται με το ευρύ κοινό στον τομέα της κοινωνικής πολιτικής και της πολιτικής υγειονομικής περίθαλψης, καθώς και τους χρήστες κοινωνικών υπηρεσιών και υπηρεσιών υγειονομικής περίθαλψης.</w:t>
            </w:r>
          </w:p>
        </w:tc>
      </w:tr>
      <w:tr w:rsidR="00154AD2" w14:paraId="31A97B40" w14:textId="77777777">
        <w:trPr>
          <w:trHeight w:val="684"/>
        </w:trPr>
        <w:tc>
          <w:tcPr>
            <w:tcW w:w="1135" w:type="dxa"/>
            <w:shd w:val="clear" w:color="auto" w:fill="C4EFCE"/>
            <w:noWrap/>
            <w:vAlign w:val="center"/>
            <w:hideMark/>
          </w:tcPr>
          <w:p w14:paraId="6F805E1F" w14:textId="77777777" w:rsidR="00154AD2" w:rsidRDefault="007F6BF3">
            <w:pPr>
              <w:pStyle w:val="P68B1DB1-Normal7"/>
              <w:spacing w:after="0" w:line="240" w:lineRule="auto"/>
              <w:jc w:val="center"/>
              <w:rPr>
                <w:rFonts w:eastAsia="Times New Roman" w:cs="Calibri"/>
                <w:noProof/>
              </w:rPr>
            </w:pPr>
            <w:r>
              <w:rPr>
                <w:noProof/>
              </w:rPr>
              <w:t>1.25</w:t>
            </w:r>
          </w:p>
        </w:tc>
        <w:tc>
          <w:tcPr>
            <w:tcW w:w="1276" w:type="dxa"/>
            <w:shd w:val="clear" w:color="auto" w:fill="C4EFCE"/>
            <w:noWrap/>
            <w:vAlign w:val="center"/>
            <w:hideMark/>
          </w:tcPr>
          <w:p w14:paraId="2AA7B1FD" w14:textId="77777777" w:rsidR="00154AD2" w:rsidRDefault="007F6BF3">
            <w:pPr>
              <w:pStyle w:val="P68B1DB1-Normal8"/>
              <w:spacing w:after="0" w:line="240" w:lineRule="auto"/>
              <w:jc w:val="center"/>
              <w:rPr>
                <w:rFonts w:eastAsia="Times New Roman" w:cs="Calibri"/>
                <w:noProof/>
              </w:rPr>
            </w:pPr>
            <w:r>
              <w:rPr>
                <w:noProof/>
              </w:rPr>
              <w:t>RE-C01-i03</w:t>
            </w:r>
          </w:p>
        </w:tc>
        <w:tc>
          <w:tcPr>
            <w:tcW w:w="992" w:type="dxa"/>
            <w:shd w:val="clear" w:color="auto" w:fill="C4EFCE"/>
            <w:noWrap/>
            <w:vAlign w:val="center"/>
            <w:hideMark/>
          </w:tcPr>
          <w:p w14:paraId="7E6411F2" w14:textId="77777777" w:rsidR="00154AD2" w:rsidRDefault="007F6BF3">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6011655A" w14:textId="77777777" w:rsidR="00154AD2" w:rsidRDefault="007F6BF3">
            <w:pPr>
              <w:pStyle w:val="P68B1DB1-Normal8"/>
              <w:spacing w:after="0" w:line="240" w:lineRule="auto"/>
              <w:jc w:val="center"/>
              <w:rPr>
                <w:rFonts w:eastAsia="Times New Roman" w:cs="Calibri"/>
                <w:noProof/>
              </w:rPr>
            </w:pPr>
            <w:r>
              <w:rPr>
                <w:noProof/>
              </w:rPr>
              <w:t>Ολοκλήρωση της ενίσχυσης του δικτύου ψυχικής υγείας</w:t>
            </w:r>
          </w:p>
        </w:tc>
        <w:tc>
          <w:tcPr>
            <w:tcW w:w="1418" w:type="dxa"/>
            <w:shd w:val="clear" w:color="auto" w:fill="C4EFCE"/>
            <w:noWrap/>
            <w:vAlign w:val="center"/>
            <w:hideMark/>
          </w:tcPr>
          <w:p w14:paraId="166A1207" w14:textId="77777777" w:rsidR="00154AD2" w:rsidRDefault="007F6BF3">
            <w:pPr>
              <w:pStyle w:val="P68B1DB1-Normal8"/>
              <w:spacing w:after="0" w:line="240" w:lineRule="auto"/>
              <w:jc w:val="center"/>
              <w:rPr>
                <w:rFonts w:eastAsia="Times New Roman" w:cs="Calibri"/>
                <w:noProof/>
              </w:rPr>
            </w:pPr>
            <w:r>
              <w:rPr>
                <w:noProof/>
              </w:rPr>
              <w:t>Έκθεση σχετικά με την ολοκλήρωση όλων των πρωτοβουλιών που περιγράφονται για την ενίσχυση του δικτύου ψυχικής υγείας</w:t>
            </w:r>
          </w:p>
        </w:tc>
        <w:tc>
          <w:tcPr>
            <w:tcW w:w="1164" w:type="dxa"/>
            <w:shd w:val="clear" w:color="auto" w:fill="C4EFCE"/>
            <w:noWrap/>
            <w:vAlign w:val="center"/>
            <w:hideMark/>
          </w:tcPr>
          <w:p w14:paraId="7E425255" w14:textId="77777777" w:rsidR="00154AD2" w:rsidRDefault="007F6BF3">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515D8522" w14:textId="77777777" w:rsidR="00154AD2" w:rsidRDefault="007F6BF3">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0BC945BE" w14:textId="77777777" w:rsidR="00154AD2" w:rsidRDefault="007F6BF3">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43853C13"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901" w:type="dxa"/>
            <w:shd w:val="clear" w:color="auto" w:fill="C4EFCE"/>
            <w:noWrap/>
            <w:vAlign w:val="center"/>
            <w:hideMark/>
          </w:tcPr>
          <w:p w14:paraId="695E8BA0" w14:textId="77777777" w:rsidR="00154AD2" w:rsidRDefault="007F6BF3">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6B1F7A73" w14:textId="77777777" w:rsidR="00154AD2" w:rsidRDefault="007F6BF3">
            <w:pPr>
              <w:pStyle w:val="P68B1DB1-Normal8"/>
              <w:spacing w:after="0" w:line="240" w:lineRule="auto"/>
              <w:jc w:val="both"/>
              <w:rPr>
                <w:rFonts w:eastAsia="Times New Roman" w:cs="Calibri"/>
                <w:noProof/>
              </w:rPr>
            </w:pPr>
            <w:r>
              <w:rPr>
                <w:noProof/>
              </w:rPr>
              <w:t>Ολοκλήρωση όλων των παρεμβάσεων που ορίστηκαν για την ενίσχυση του δικτύου ψυχικής υγείας, συμπεριλαμβανομένων: I) δημιουργία τεσσάρων νέων μονάδων νοσηλείας στα γενικά νοσοκομεία. II) δημιουργία 15 ολοκληρωμένων κέντρων ευθύνης στις υπηρεσίες ψυχικής υγείας· III) ανακαίνιση 20 από τις υφιστάμενες τοπικές υπηρεσίες ψυχικής υγείας· IV) δημιουργία 500 απαντήσεων στις ανάγκες των ιδρυματοποιημένων ατόμων με χρόνιες ψυχικές ασθένειες· V) αναβάθμιση τριών εγκαταστάσεων και εξοπλισμού ιατροδικαστικής ψυχιατρικής· VI) κατασκευή τριών μονάδων μετάβασης σε εγκληματολογική βάση· και vii) ανάπτυξη δράσεων κατάρτισης για τη «δημιουργία διαδρομών ασθενών» στο πλαίσιο της άνοιας. Περιλαμβάνει τη χρήση επιχορηγήσεων ύψους 58 507 675 EUR για ανακαίνιση ενεργειακής απόδοσης για την επίτευξη, κατά μέσο όρο, τουλάχιστον μεσαίας κλίμακας ανακαίνισης, όπως ορίζεται στη σύσταση της Επιτροπής για την ανακαίνιση κτιρίων (ΕΕ) 2019/786. Οι απαιτήσεις για τη βελτίωση της ενεργειακής απόδοσης των κτιρίων ενσωματώνονται στις διαδικασίες σύναψης δημόσιων συμβάσεων και διασφαλίζονται στη συγγραφή υποχρεώσεων.</w:t>
            </w:r>
          </w:p>
        </w:tc>
      </w:tr>
      <w:tr w:rsidR="00154AD2" w14:paraId="7D601BE3" w14:textId="77777777">
        <w:trPr>
          <w:trHeight w:val="850"/>
        </w:trPr>
        <w:tc>
          <w:tcPr>
            <w:tcW w:w="1135" w:type="dxa"/>
            <w:shd w:val="clear" w:color="auto" w:fill="C4EFCE"/>
            <w:noWrap/>
            <w:vAlign w:val="center"/>
          </w:tcPr>
          <w:p w14:paraId="38167FC7" w14:textId="782B9BD8" w:rsidR="00154AD2" w:rsidRDefault="007F6BF3">
            <w:pPr>
              <w:pStyle w:val="P68B1DB1-Normal7"/>
              <w:spacing w:after="0" w:line="240" w:lineRule="auto"/>
              <w:jc w:val="center"/>
              <w:rPr>
                <w:rFonts w:eastAsia="Times New Roman" w:cs="Calibri"/>
                <w:noProof/>
              </w:rPr>
            </w:pPr>
            <w:r>
              <w:rPr>
                <w:noProof/>
              </w:rPr>
              <w:t>1.40</w:t>
            </w:r>
          </w:p>
        </w:tc>
        <w:tc>
          <w:tcPr>
            <w:tcW w:w="1276" w:type="dxa"/>
            <w:shd w:val="clear" w:color="auto" w:fill="C4EFCE"/>
            <w:noWrap/>
            <w:vAlign w:val="center"/>
          </w:tcPr>
          <w:p w14:paraId="5230C444" w14:textId="3C06B8C3" w:rsidR="00154AD2" w:rsidRDefault="007F6BF3">
            <w:pPr>
              <w:pStyle w:val="P68B1DB1-Normal8"/>
              <w:spacing w:after="0" w:line="240" w:lineRule="auto"/>
              <w:jc w:val="center"/>
              <w:rPr>
                <w:rFonts w:eastAsia="Times New Roman" w:cs="Calibri"/>
                <w:noProof/>
              </w:rPr>
            </w:pPr>
            <w:r>
              <w:rPr>
                <w:noProof/>
              </w:rPr>
              <w:t>RE-C01-i04</w:t>
            </w:r>
          </w:p>
        </w:tc>
        <w:tc>
          <w:tcPr>
            <w:tcW w:w="992" w:type="dxa"/>
            <w:shd w:val="clear" w:color="auto" w:fill="C4EFCE"/>
            <w:noWrap/>
            <w:vAlign w:val="center"/>
          </w:tcPr>
          <w:p w14:paraId="33E64FC7" w14:textId="68EADE17" w:rsidR="00154AD2" w:rsidRDefault="007F6BF3">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tcPr>
          <w:p w14:paraId="258F4E6D" w14:textId="3B7B2525" w:rsidR="00154AD2" w:rsidRDefault="007F6BF3">
            <w:pPr>
              <w:pStyle w:val="P68B1DB1-Normal8"/>
              <w:spacing w:after="0" w:line="240" w:lineRule="auto"/>
              <w:jc w:val="center"/>
              <w:rPr>
                <w:rFonts w:eastAsia="Times New Roman" w:cs="Calibri"/>
                <w:noProof/>
              </w:rPr>
            </w:pPr>
            <w:r>
              <w:rPr>
                <w:noProof/>
              </w:rPr>
              <w:t xml:space="preserve">Υπογραφή της σύμβασης διαχείρισης για την κατασκευή του ανατολικού νοσοκομείου της Λισαβόνας </w:t>
            </w:r>
          </w:p>
        </w:tc>
        <w:tc>
          <w:tcPr>
            <w:tcW w:w="1418" w:type="dxa"/>
            <w:shd w:val="clear" w:color="auto" w:fill="C4EFCE"/>
            <w:noWrap/>
            <w:vAlign w:val="center"/>
          </w:tcPr>
          <w:p w14:paraId="05C069DE" w14:textId="7E4CD3CE" w:rsidR="00154AD2" w:rsidRDefault="007F6BF3">
            <w:pPr>
              <w:pStyle w:val="P68B1DB1-Normal8"/>
              <w:spacing w:after="0" w:line="240" w:lineRule="auto"/>
              <w:jc w:val="center"/>
              <w:rPr>
                <w:rFonts w:eastAsia="Times New Roman" w:cs="Calibri"/>
                <w:noProof/>
              </w:rPr>
            </w:pPr>
            <w:r>
              <w:rPr>
                <w:noProof/>
              </w:rPr>
              <w:t>Υπογραφή της σύμβασης διαχείρισης για την κατασκευή του ανατολικού νοσοκομείου της Λισαβόνας, υπογεγραμμένη από τις δημόσιες αρχές και τον φορέα ειδικού σκοπού</w:t>
            </w:r>
          </w:p>
        </w:tc>
        <w:tc>
          <w:tcPr>
            <w:tcW w:w="1164" w:type="dxa"/>
            <w:shd w:val="clear" w:color="auto" w:fill="C4EFCE"/>
            <w:noWrap/>
            <w:vAlign w:val="center"/>
          </w:tcPr>
          <w:p w14:paraId="41AA1AF4" w14:textId="77777777" w:rsidR="00154AD2" w:rsidRDefault="00154AD2">
            <w:pPr>
              <w:spacing w:after="0" w:line="240" w:lineRule="auto"/>
              <w:jc w:val="center"/>
              <w:rPr>
                <w:rFonts w:ascii="Calibri" w:eastAsia="Times New Roman" w:hAnsi="Calibri" w:cs="Calibri"/>
                <w:noProof/>
                <w:sz w:val="16"/>
              </w:rPr>
            </w:pPr>
          </w:p>
        </w:tc>
        <w:tc>
          <w:tcPr>
            <w:tcW w:w="962" w:type="dxa"/>
            <w:shd w:val="clear" w:color="auto" w:fill="C4EFCE"/>
            <w:noWrap/>
            <w:vAlign w:val="center"/>
          </w:tcPr>
          <w:p w14:paraId="35D8CA0C" w14:textId="77777777" w:rsidR="00154AD2" w:rsidRDefault="00154AD2">
            <w:pPr>
              <w:spacing w:after="0" w:line="240" w:lineRule="auto"/>
              <w:jc w:val="center"/>
              <w:rPr>
                <w:rFonts w:ascii="Calibri" w:eastAsia="Times New Roman" w:hAnsi="Calibri" w:cs="Calibri"/>
                <w:noProof/>
                <w:sz w:val="16"/>
              </w:rPr>
            </w:pPr>
          </w:p>
        </w:tc>
        <w:tc>
          <w:tcPr>
            <w:tcW w:w="805" w:type="dxa"/>
            <w:shd w:val="clear" w:color="auto" w:fill="C4EFCE"/>
            <w:noWrap/>
            <w:vAlign w:val="center"/>
          </w:tcPr>
          <w:p w14:paraId="58CC0C2B" w14:textId="77777777" w:rsidR="00154AD2" w:rsidRDefault="00154AD2">
            <w:pPr>
              <w:spacing w:after="0" w:line="240" w:lineRule="auto"/>
              <w:jc w:val="center"/>
              <w:rPr>
                <w:rFonts w:ascii="Calibri" w:eastAsia="Times New Roman" w:hAnsi="Calibri" w:cs="Calibri"/>
                <w:noProof/>
                <w:sz w:val="16"/>
              </w:rPr>
            </w:pPr>
          </w:p>
        </w:tc>
        <w:tc>
          <w:tcPr>
            <w:tcW w:w="833" w:type="dxa"/>
            <w:gridSpan w:val="2"/>
            <w:shd w:val="clear" w:color="auto" w:fill="C4EFCE"/>
            <w:noWrap/>
            <w:vAlign w:val="center"/>
          </w:tcPr>
          <w:p w14:paraId="26FBB759" w14:textId="55711EEF" w:rsidR="00154AD2" w:rsidRDefault="007F6BF3">
            <w:pPr>
              <w:pStyle w:val="P68B1DB1-Normal8"/>
              <w:spacing w:after="0" w:line="240" w:lineRule="auto"/>
              <w:jc w:val="center"/>
              <w:rPr>
                <w:rFonts w:eastAsia="Times New Roman" w:cs="Calibri"/>
                <w:noProof/>
              </w:rPr>
            </w:pPr>
            <w:r>
              <w:rPr>
                <w:noProof/>
              </w:rPr>
              <w:t>ΤΡΊΜΗΝΟ 3</w:t>
            </w:r>
          </w:p>
        </w:tc>
        <w:tc>
          <w:tcPr>
            <w:tcW w:w="901" w:type="dxa"/>
            <w:shd w:val="clear" w:color="auto" w:fill="C4EFCE"/>
            <w:noWrap/>
            <w:vAlign w:val="center"/>
          </w:tcPr>
          <w:p w14:paraId="21B59020" w14:textId="6FBC92C2" w:rsidR="00154AD2" w:rsidRDefault="007F6BF3">
            <w:pPr>
              <w:pStyle w:val="P68B1DB1-Normal8"/>
              <w:spacing w:after="0" w:line="240" w:lineRule="auto"/>
              <w:jc w:val="center"/>
              <w:rPr>
                <w:rFonts w:eastAsia="Times New Roman" w:cs="Calibri"/>
                <w:noProof/>
              </w:rPr>
            </w:pPr>
            <w:r>
              <w:rPr>
                <w:noProof/>
              </w:rPr>
              <w:t>2023</w:t>
            </w:r>
          </w:p>
        </w:tc>
        <w:tc>
          <w:tcPr>
            <w:tcW w:w="3981" w:type="dxa"/>
            <w:shd w:val="clear" w:color="auto" w:fill="C4EFCE"/>
            <w:noWrap/>
            <w:vAlign w:val="center"/>
          </w:tcPr>
          <w:p w14:paraId="18393971" w14:textId="67D0DE31" w:rsidR="00154AD2" w:rsidRDefault="007F6BF3">
            <w:pPr>
              <w:pStyle w:val="P68B1DB1-Normal8"/>
              <w:spacing w:after="0" w:line="240" w:lineRule="auto"/>
              <w:jc w:val="both"/>
              <w:rPr>
                <w:rFonts w:eastAsia="Times New Roman" w:cs="Calibri"/>
                <w:noProof/>
              </w:rPr>
            </w:pPr>
            <w:r>
              <w:rPr>
                <w:noProof/>
              </w:rPr>
              <w:t xml:space="preserve">Υπογραφή της σύμβασης διαχείρισης από την ACSS και τον φορέα ειδικού σκοπού (SPV) για την κατασκευή του Νοσοκομείου Ανατολικής Λισαβόνας. Η σύμβαση αντικατοπτρίζει τους όρους που αφορούν το πεδίο των υπηρεσιών (σχεδιασμός, κατασκευή, χρηματοδότηση, συντήρηση υποδομών, προμήθεια και συντήρηση του γενικού εξοπλισμού κτιρίων) και τη διάρκειά της. </w:t>
            </w:r>
          </w:p>
          <w:p w14:paraId="4D66D758" w14:textId="665D6456" w:rsidR="00154AD2" w:rsidRDefault="007F6BF3">
            <w:pPr>
              <w:pStyle w:val="P68B1DB1-Normal8"/>
              <w:spacing w:after="0" w:line="240" w:lineRule="auto"/>
              <w:jc w:val="both"/>
              <w:rPr>
                <w:rFonts w:eastAsia="Times New Roman" w:cs="Calibri"/>
                <w:noProof/>
              </w:rPr>
            </w:pPr>
            <w:r>
              <w:rPr>
                <w:noProof/>
              </w:rPr>
              <w:t>Η σύμβαση περιλαμβάνει επίσης ρήτρα που ορίζει ότι τα νέα κτίρια έχουν ζήτηση πρωτογενούς ενέργειας τουλάχιστον 20 % χαμηλότερη από τις απαιτήσεις των κτιρίων με σχεδόν μηδενική κατανάλωση ενέργειας.</w:t>
            </w:r>
          </w:p>
        </w:tc>
      </w:tr>
      <w:tr w:rsidR="00154AD2" w14:paraId="0DBBA2AD" w14:textId="77777777">
        <w:trPr>
          <w:trHeight w:val="850"/>
        </w:trPr>
        <w:tc>
          <w:tcPr>
            <w:tcW w:w="1135" w:type="dxa"/>
            <w:shd w:val="clear" w:color="auto" w:fill="C4EFCE"/>
            <w:noWrap/>
            <w:vAlign w:val="center"/>
            <w:hideMark/>
          </w:tcPr>
          <w:p w14:paraId="4DEA0843" w14:textId="77777777" w:rsidR="00154AD2" w:rsidRDefault="007F6BF3">
            <w:pPr>
              <w:pStyle w:val="P68B1DB1-Normal7"/>
              <w:spacing w:after="0" w:line="240" w:lineRule="auto"/>
              <w:jc w:val="center"/>
              <w:rPr>
                <w:rFonts w:eastAsia="Times New Roman" w:cs="Calibri"/>
                <w:noProof/>
              </w:rPr>
            </w:pPr>
            <w:r>
              <w:rPr>
                <w:noProof/>
              </w:rPr>
              <w:t>1.26</w:t>
            </w:r>
          </w:p>
        </w:tc>
        <w:tc>
          <w:tcPr>
            <w:tcW w:w="1276" w:type="dxa"/>
            <w:shd w:val="clear" w:color="auto" w:fill="C4EFCE"/>
            <w:noWrap/>
            <w:vAlign w:val="center"/>
            <w:hideMark/>
          </w:tcPr>
          <w:p w14:paraId="264BCD28" w14:textId="77777777" w:rsidR="00154AD2" w:rsidRDefault="007F6BF3">
            <w:pPr>
              <w:pStyle w:val="P68B1DB1-Normal8"/>
              <w:spacing w:after="0" w:line="240" w:lineRule="auto"/>
              <w:jc w:val="center"/>
              <w:rPr>
                <w:rFonts w:eastAsia="Times New Roman" w:cs="Calibri"/>
                <w:noProof/>
              </w:rPr>
            </w:pPr>
            <w:r>
              <w:rPr>
                <w:noProof/>
              </w:rPr>
              <w:t>RE-C01-i04</w:t>
            </w:r>
          </w:p>
        </w:tc>
        <w:tc>
          <w:tcPr>
            <w:tcW w:w="992" w:type="dxa"/>
            <w:shd w:val="clear" w:color="auto" w:fill="C4EFCE"/>
            <w:noWrap/>
            <w:vAlign w:val="center"/>
            <w:hideMark/>
          </w:tcPr>
          <w:p w14:paraId="450A30B4" w14:textId="77777777" w:rsidR="00154AD2" w:rsidRDefault="007F6BF3">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32FB3392" w14:textId="3F4D6888" w:rsidR="00154AD2" w:rsidRDefault="007F6BF3">
            <w:pPr>
              <w:pStyle w:val="P68B1DB1-Normal8"/>
              <w:spacing w:after="0" w:line="240" w:lineRule="auto"/>
              <w:jc w:val="center"/>
              <w:rPr>
                <w:rFonts w:eastAsia="Times New Roman" w:cs="Calibri"/>
                <w:noProof/>
              </w:rPr>
            </w:pPr>
            <w:r>
              <w:rPr>
                <w:noProof/>
              </w:rPr>
              <w:t>Κατασκευή του ανατολικού νοσοκομείου της Λισαβόνας και αγορά εξοπλισμού για νοσοκομεία στη Λισαβόνα και στο Vale do Tejo</w:t>
            </w:r>
          </w:p>
        </w:tc>
        <w:tc>
          <w:tcPr>
            <w:tcW w:w="1418" w:type="dxa"/>
            <w:shd w:val="clear" w:color="auto" w:fill="C4EFCE"/>
            <w:noWrap/>
            <w:vAlign w:val="center"/>
            <w:hideMark/>
          </w:tcPr>
          <w:p w14:paraId="69F63B22" w14:textId="17B00712" w:rsidR="00154AD2" w:rsidRDefault="007F6BF3">
            <w:pPr>
              <w:pStyle w:val="P68B1DB1-Normal8"/>
              <w:spacing w:after="0" w:line="240" w:lineRule="auto"/>
              <w:jc w:val="center"/>
              <w:rPr>
                <w:rFonts w:eastAsia="Times New Roman" w:cs="Calibri"/>
                <w:noProof/>
              </w:rPr>
            </w:pPr>
            <w:r>
              <w:rPr>
                <w:noProof/>
              </w:rPr>
              <w:t>Κατασκευή του ανατολικού νοσοκομείου της Λισαβόνας και αγορά εξοπλισμού για νοσοκομεία στη Λισαβόνα και στο Vale do Tejo</w:t>
            </w:r>
          </w:p>
        </w:tc>
        <w:tc>
          <w:tcPr>
            <w:tcW w:w="1164" w:type="dxa"/>
            <w:shd w:val="clear" w:color="auto" w:fill="C4EFCE"/>
            <w:noWrap/>
            <w:vAlign w:val="center"/>
            <w:hideMark/>
          </w:tcPr>
          <w:p w14:paraId="2647720D" w14:textId="77777777" w:rsidR="00154AD2" w:rsidRDefault="007F6BF3">
            <w:pPr>
              <w:pStyle w:val="P68B1DB1-Normal10"/>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1DEF2960" w14:textId="77777777" w:rsidR="00154AD2" w:rsidRDefault="007F6BF3">
            <w:pPr>
              <w:pStyle w:val="P68B1DB1-Normal10"/>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7B131ABE" w14:textId="77777777" w:rsidR="00154AD2" w:rsidRDefault="007F6BF3">
            <w:pPr>
              <w:pStyle w:val="P68B1DB1-Normal10"/>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26F5E72E"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901" w:type="dxa"/>
            <w:shd w:val="clear" w:color="auto" w:fill="C4EFCE"/>
            <w:noWrap/>
            <w:vAlign w:val="center"/>
            <w:hideMark/>
          </w:tcPr>
          <w:p w14:paraId="42B2A8CD" w14:textId="77777777" w:rsidR="00154AD2" w:rsidRDefault="007F6BF3">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5B029930" w14:textId="792EA1C2" w:rsidR="00154AD2" w:rsidRDefault="007F6BF3">
            <w:pPr>
              <w:spacing w:after="0" w:line="240" w:lineRule="auto"/>
              <w:jc w:val="both"/>
              <w:rPr>
                <w:noProof/>
              </w:rPr>
            </w:pPr>
            <w:r>
              <w:rPr>
                <w:rFonts w:ascii="Calibri" w:hAnsi="Calibri"/>
                <w:noProof/>
                <w:sz w:val="16"/>
              </w:rPr>
              <w:t>Αγορά εξοπλισμού που πρόκειται να εγκατασταθεί σε νοσοκομεία της Λισαβόνας και του Vale do Tejo με επιχορήγηση συνολικού ύψους 78 740 000 EUR, και συγκεκριμένα κλινικό/ιατρικό εξοπλισμό και εξοπλισμό υψηλής τεχνολογίας· γενικός εξοπλισμός, που περιλαμβάνει έπιπλα προσαρμοσμένα στις εργασίες που πρέπει να εκτελούνται σε διαφορετικούς χώρους και ο οποίος είναι εύκολος στον καθαρισμό και τον εργονομικό σχεδιασμό· και εξοπλισμό πληροφορικής.</w:t>
            </w:r>
            <w:r>
              <w:rPr>
                <w:rFonts w:ascii="Calibri" w:hAnsi="Calibri"/>
                <w:noProof/>
                <w:sz w:val="16"/>
                <w:shd w:val="clear" w:color="auto" w:fill="E6E6E6"/>
              </w:rPr>
              <w:t xml:space="preserve"> </w:t>
            </w:r>
            <w:r>
              <w:rPr>
                <w:rFonts w:ascii="Calibri" w:hAnsi="Calibri"/>
                <w:noProof/>
                <w:sz w:val="16"/>
              </w:rPr>
              <w:t>Κατασκευή του ανατολικού νοσοκομείου της Λισαβόνας, δηλαδή i) του πύργου Poente, ii) της ανέγερσης στο οικόπεδο Β και iii) της ανέγερσης στο οικόπεδο Γ, με επιχορήγηση συνολικού ύψους 100 000 000 EUR. Τα νέα αυτά κτίρια έχουν ζήτηση πρωτογενούς ενέργειας τουλάχιστον 20 % χαμηλότερη από τις απαιτήσεις των κτιρίων με σχεδόν μηδενική κατανάλωση ενέργειας</w:t>
            </w:r>
            <w:r>
              <w:rPr>
                <w:noProof/>
              </w:rPr>
              <w:t>.</w:t>
            </w:r>
          </w:p>
        </w:tc>
      </w:tr>
      <w:tr w:rsidR="00154AD2" w14:paraId="38A34B61" w14:textId="77777777">
        <w:trPr>
          <w:trHeight w:val="850"/>
        </w:trPr>
        <w:tc>
          <w:tcPr>
            <w:tcW w:w="1135" w:type="dxa"/>
            <w:shd w:val="clear" w:color="auto" w:fill="C4EFCE"/>
            <w:noWrap/>
            <w:vAlign w:val="center"/>
            <w:hideMark/>
          </w:tcPr>
          <w:p w14:paraId="725C9153" w14:textId="77777777" w:rsidR="00154AD2" w:rsidRDefault="007F6BF3">
            <w:pPr>
              <w:pStyle w:val="P68B1DB1-Normal7"/>
              <w:spacing w:after="0" w:line="240" w:lineRule="auto"/>
              <w:jc w:val="center"/>
              <w:rPr>
                <w:rFonts w:eastAsia="Times New Roman" w:cs="Calibri"/>
                <w:noProof/>
              </w:rPr>
            </w:pPr>
            <w:r>
              <w:rPr>
                <w:noProof/>
              </w:rPr>
              <w:t>1.27</w:t>
            </w:r>
          </w:p>
        </w:tc>
        <w:tc>
          <w:tcPr>
            <w:tcW w:w="1276" w:type="dxa"/>
            <w:shd w:val="clear" w:color="auto" w:fill="C4EFCE"/>
            <w:noWrap/>
            <w:vAlign w:val="center"/>
            <w:hideMark/>
          </w:tcPr>
          <w:p w14:paraId="64400C1F" w14:textId="77777777" w:rsidR="00154AD2" w:rsidRDefault="007F6BF3">
            <w:pPr>
              <w:pStyle w:val="P68B1DB1-Normal8"/>
              <w:spacing w:after="0" w:line="240" w:lineRule="auto"/>
              <w:jc w:val="center"/>
              <w:rPr>
                <w:rFonts w:eastAsia="Times New Roman" w:cs="Calibri"/>
                <w:noProof/>
              </w:rPr>
            </w:pPr>
            <w:r>
              <w:rPr>
                <w:noProof/>
              </w:rPr>
              <w:t>RE-C01-i05-RAM</w:t>
            </w:r>
          </w:p>
        </w:tc>
        <w:tc>
          <w:tcPr>
            <w:tcW w:w="992" w:type="dxa"/>
            <w:shd w:val="clear" w:color="auto" w:fill="C4EFCE"/>
            <w:noWrap/>
            <w:vAlign w:val="center"/>
            <w:hideMark/>
          </w:tcPr>
          <w:p w14:paraId="081DDB8E" w14:textId="77777777" w:rsidR="00154AD2" w:rsidRDefault="007F6BF3">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7C7C8556" w14:textId="77777777" w:rsidR="00154AD2" w:rsidRDefault="007F6BF3">
            <w:pPr>
              <w:pStyle w:val="P68B1DB1-Normal8"/>
              <w:spacing w:after="0" w:line="240" w:lineRule="auto"/>
              <w:jc w:val="center"/>
              <w:rPr>
                <w:rFonts w:eastAsia="Times New Roman" w:cs="Calibri"/>
                <w:noProof/>
              </w:rPr>
            </w:pPr>
            <w:r>
              <w:rPr>
                <w:noProof/>
              </w:rPr>
              <w:t>Αύξηση του αριθμού των διαθέσιμων θέσεων στο σύστημα κατ’ οίκον νοσηλείας της περιφερειακής υπηρεσίας υγείας της Μαδέρας</w:t>
            </w:r>
          </w:p>
        </w:tc>
        <w:tc>
          <w:tcPr>
            <w:tcW w:w="1418" w:type="dxa"/>
            <w:shd w:val="clear" w:color="auto" w:fill="C4EFCE"/>
            <w:noWrap/>
            <w:vAlign w:val="center"/>
            <w:hideMark/>
          </w:tcPr>
          <w:p w14:paraId="501441A2" w14:textId="77777777" w:rsidR="00154AD2" w:rsidRDefault="007F6BF3">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3426B467"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62" w:type="dxa"/>
            <w:shd w:val="clear" w:color="auto" w:fill="C4EFCE"/>
            <w:noWrap/>
            <w:vAlign w:val="center"/>
            <w:hideMark/>
          </w:tcPr>
          <w:p w14:paraId="4BE39102" w14:textId="77777777" w:rsidR="00154AD2" w:rsidRDefault="007F6BF3">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743EDF67" w14:textId="77777777" w:rsidR="00154AD2" w:rsidRDefault="007F6BF3">
            <w:pPr>
              <w:pStyle w:val="P68B1DB1-Normal8"/>
              <w:spacing w:after="0" w:line="240" w:lineRule="auto"/>
              <w:jc w:val="center"/>
              <w:rPr>
                <w:rFonts w:eastAsia="Times New Roman" w:cs="Calibri"/>
                <w:noProof/>
              </w:rPr>
            </w:pPr>
            <w:r>
              <w:rPr>
                <w:noProof/>
              </w:rPr>
              <w:t>1 500</w:t>
            </w:r>
          </w:p>
        </w:tc>
        <w:tc>
          <w:tcPr>
            <w:tcW w:w="833" w:type="dxa"/>
            <w:gridSpan w:val="2"/>
            <w:shd w:val="clear" w:color="auto" w:fill="C4EFCE"/>
            <w:noWrap/>
            <w:vAlign w:val="center"/>
            <w:hideMark/>
          </w:tcPr>
          <w:p w14:paraId="2B0D5EEA"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901" w:type="dxa"/>
            <w:shd w:val="clear" w:color="auto" w:fill="C4EFCE"/>
            <w:noWrap/>
            <w:vAlign w:val="center"/>
            <w:hideMark/>
          </w:tcPr>
          <w:p w14:paraId="3AFF1172" w14:textId="77777777" w:rsidR="00154AD2" w:rsidRDefault="007F6BF3">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664D2578" w14:textId="0D007B14" w:rsidR="00154AD2" w:rsidRDefault="007F6BF3">
            <w:pPr>
              <w:pStyle w:val="P68B1DB1-Normal8"/>
              <w:spacing w:after="0" w:line="240" w:lineRule="auto"/>
              <w:jc w:val="both"/>
              <w:rPr>
                <w:rFonts w:eastAsia="Times New Roman" w:cs="Calibri"/>
                <w:noProof/>
              </w:rPr>
            </w:pPr>
            <w:r>
              <w:rPr>
                <w:noProof/>
              </w:rPr>
              <w:t>Ενίσχυση της ικανότητας αντίδρασης των περιφερειακών υπηρεσιών υγείας της Μαδέρας με την αύξηση του αριθμού των διαθέσιμων θέσεων στο σύστημα κατ’ οίκον νοσηλείας, επιτρέποντας έτσι την παροχή, κατ’ οίκον, υπηρεσιών υγειονομικής περίθαλψης με διαφοροποίηση, πολυπλοκότητα και ένταση σε επίπεδο νοσοκομείου, σε στενή σύνδεση με την πρωτοβάθμια υγειονομική περίθαλψη και άλλες υπηρεσίες.</w:t>
            </w:r>
          </w:p>
        </w:tc>
      </w:tr>
      <w:tr w:rsidR="00154AD2" w14:paraId="68BBE707" w14:textId="77777777">
        <w:trPr>
          <w:trHeight w:val="430"/>
        </w:trPr>
        <w:tc>
          <w:tcPr>
            <w:tcW w:w="1135" w:type="dxa"/>
            <w:shd w:val="clear" w:color="auto" w:fill="C4EFCE"/>
            <w:noWrap/>
            <w:vAlign w:val="center"/>
            <w:hideMark/>
          </w:tcPr>
          <w:p w14:paraId="6B8F9975" w14:textId="77777777" w:rsidR="00154AD2" w:rsidRDefault="007F6BF3">
            <w:pPr>
              <w:pStyle w:val="P68B1DB1-Normal7"/>
              <w:spacing w:after="0" w:line="240" w:lineRule="auto"/>
              <w:jc w:val="center"/>
              <w:rPr>
                <w:rFonts w:eastAsia="Times New Roman" w:cs="Calibri"/>
                <w:noProof/>
              </w:rPr>
            </w:pPr>
            <w:r>
              <w:rPr>
                <w:noProof/>
              </w:rPr>
              <w:t>1.28</w:t>
            </w:r>
          </w:p>
        </w:tc>
        <w:tc>
          <w:tcPr>
            <w:tcW w:w="1276" w:type="dxa"/>
            <w:shd w:val="clear" w:color="auto" w:fill="C4EFCE"/>
            <w:noWrap/>
            <w:vAlign w:val="center"/>
            <w:hideMark/>
          </w:tcPr>
          <w:p w14:paraId="7EFF19CE" w14:textId="77777777" w:rsidR="00154AD2" w:rsidRDefault="007F6BF3">
            <w:pPr>
              <w:pStyle w:val="P68B1DB1-Normal8"/>
              <w:spacing w:after="0" w:line="240" w:lineRule="auto"/>
              <w:jc w:val="center"/>
              <w:rPr>
                <w:rFonts w:eastAsia="Times New Roman" w:cs="Calibri"/>
                <w:noProof/>
              </w:rPr>
            </w:pPr>
            <w:r>
              <w:rPr>
                <w:noProof/>
              </w:rPr>
              <w:t>RE-C01-i05-RAM</w:t>
            </w:r>
          </w:p>
        </w:tc>
        <w:tc>
          <w:tcPr>
            <w:tcW w:w="992" w:type="dxa"/>
            <w:shd w:val="clear" w:color="auto" w:fill="C4EFCE"/>
            <w:noWrap/>
            <w:vAlign w:val="center"/>
            <w:hideMark/>
          </w:tcPr>
          <w:p w14:paraId="1B8E013A" w14:textId="77777777" w:rsidR="00154AD2" w:rsidRDefault="007F6BF3">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31D1DE9F" w14:textId="77777777" w:rsidR="00154AD2" w:rsidRDefault="007F6BF3">
            <w:pPr>
              <w:pStyle w:val="P68B1DB1-Normal8"/>
              <w:spacing w:after="0" w:line="240" w:lineRule="auto"/>
              <w:jc w:val="center"/>
              <w:rPr>
                <w:rFonts w:eastAsia="Times New Roman" w:cs="Calibri"/>
                <w:noProof/>
              </w:rPr>
            </w:pPr>
            <w:r>
              <w:rPr>
                <w:noProof/>
              </w:rPr>
              <w:t>Σύσταση κοινοτικών ομάδων ψυχικής υγείας στο περιφερειακό σύστημα υγείας της Μαδέρας</w:t>
            </w:r>
          </w:p>
        </w:tc>
        <w:tc>
          <w:tcPr>
            <w:tcW w:w="1418" w:type="dxa"/>
            <w:shd w:val="clear" w:color="auto" w:fill="C4EFCE"/>
            <w:noWrap/>
            <w:vAlign w:val="center"/>
            <w:hideMark/>
          </w:tcPr>
          <w:p w14:paraId="5B56375A" w14:textId="77777777" w:rsidR="00154AD2" w:rsidRDefault="007F6BF3">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15965D60"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62" w:type="dxa"/>
            <w:shd w:val="clear" w:color="auto" w:fill="C4EFCE"/>
            <w:noWrap/>
            <w:vAlign w:val="center"/>
            <w:hideMark/>
          </w:tcPr>
          <w:p w14:paraId="4488F202" w14:textId="77777777" w:rsidR="00154AD2" w:rsidRDefault="007F6BF3">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54B9112A" w14:textId="77777777" w:rsidR="00154AD2" w:rsidRDefault="007F6BF3">
            <w:pPr>
              <w:pStyle w:val="P68B1DB1-Normal8"/>
              <w:spacing w:after="0" w:line="240" w:lineRule="auto"/>
              <w:jc w:val="center"/>
              <w:rPr>
                <w:rFonts w:eastAsia="Times New Roman" w:cs="Calibri"/>
                <w:noProof/>
              </w:rPr>
            </w:pPr>
            <w:r>
              <w:rPr>
                <w:noProof/>
              </w:rPr>
              <w:t>11</w:t>
            </w:r>
          </w:p>
        </w:tc>
        <w:tc>
          <w:tcPr>
            <w:tcW w:w="833" w:type="dxa"/>
            <w:gridSpan w:val="2"/>
            <w:shd w:val="clear" w:color="auto" w:fill="C4EFCE"/>
            <w:noWrap/>
            <w:vAlign w:val="center"/>
            <w:hideMark/>
          </w:tcPr>
          <w:p w14:paraId="5AD45B50"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901" w:type="dxa"/>
            <w:shd w:val="clear" w:color="auto" w:fill="C4EFCE"/>
            <w:noWrap/>
            <w:vAlign w:val="center"/>
            <w:hideMark/>
          </w:tcPr>
          <w:p w14:paraId="1FBFEAD9" w14:textId="77777777" w:rsidR="00154AD2" w:rsidRDefault="007F6BF3">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20A1580E" w14:textId="77777777" w:rsidR="00154AD2" w:rsidRDefault="007F6BF3">
            <w:pPr>
              <w:pStyle w:val="P68B1DB1-Normal8"/>
              <w:spacing w:after="0" w:line="240" w:lineRule="auto"/>
              <w:jc w:val="both"/>
              <w:rPr>
                <w:rFonts w:eastAsia="Times New Roman" w:cs="Calibri"/>
                <w:noProof/>
              </w:rPr>
            </w:pPr>
            <w:r>
              <w:rPr>
                <w:noProof/>
              </w:rPr>
              <w:t>Ενίσχυση της ικανότητας αντίδρασης των περιφερειακών υπηρεσιών υγείας της Μαδέρας στον τομέα της ψυχικής υγείας και της άνοιας που συνδέονται με τη γήρανση μέσω της δημιουργίας κοινοτικών ομάδων ψυχικής υγείας.</w:t>
            </w:r>
          </w:p>
        </w:tc>
      </w:tr>
      <w:tr w:rsidR="00154AD2" w14:paraId="601A2D9F" w14:textId="77777777">
        <w:trPr>
          <w:trHeight w:val="640"/>
        </w:trPr>
        <w:tc>
          <w:tcPr>
            <w:tcW w:w="1135" w:type="dxa"/>
            <w:shd w:val="clear" w:color="auto" w:fill="C4EFCE"/>
            <w:noWrap/>
            <w:vAlign w:val="center"/>
            <w:hideMark/>
          </w:tcPr>
          <w:p w14:paraId="0B9ADE7F" w14:textId="77777777" w:rsidR="00154AD2" w:rsidRDefault="007F6BF3">
            <w:pPr>
              <w:pStyle w:val="P68B1DB1-Normal7"/>
              <w:spacing w:after="0" w:line="240" w:lineRule="auto"/>
              <w:jc w:val="center"/>
              <w:rPr>
                <w:rFonts w:eastAsia="Times New Roman" w:cs="Calibri"/>
                <w:noProof/>
              </w:rPr>
            </w:pPr>
            <w:r>
              <w:rPr>
                <w:noProof/>
              </w:rPr>
              <w:t>1.29</w:t>
            </w:r>
          </w:p>
        </w:tc>
        <w:tc>
          <w:tcPr>
            <w:tcW w:w="1276" w:type="dxa"/>
            <w:shd w:val="clear" w:color="auto" w:fill="C4EFCE"/>
            <w:noWrap/>
            <w:vAlign w:val="center"/>
            <w:hideMark/>
          </w:tcPr>
          <w:p w14:paraId="4F5677A4" w14:textId="77777777" w:rsidR="00154AD2" w:rsidRDefault="007F6BF3">
            <w:pPr>
              <w:pStyle w:val="P68B1DB1-Normal8"/>
              <w:spacing w:after="0" w:line="240" w:lineRule="auto"/>
              <w:jc w:val="center"/>
              <w:rPr>
                <w:rFonts w:eastAsia="Times New Roman" w:cs="Calibri"/>
                <w:noProof/>
              </w:rPr>
            </w:pPr>
            <w:r>
              <w:rPr>
                <w:noProof/>
              </w:rPr>
              <w:t>RE-C01-i05-RAM</w:t>
            </w:r>
          </w:p>
        </w:tc>
        <w:tc>
          <w:tcPr>
            <w:tcW w:w="992" w:type="dxa"/>
            <w:shd w:val="clear" w:color="auto" w:fill="C4EFCE"/>
            <w:noWrap/>
            <w:vAlign w:val="center"/>
            <w:hideMark/>
          </w:tcPr>
          <w:p w14:paraId="4338AFAF" w14:textId="77777777" w:rsidR="00154AD2" w:rsidRDefault="007F6BF3">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70B8B5FF" w14:textId="77777777" w:rsidR="00154AD2" w:rsidRDefault="007F6BF3">
            <w:pPr>
              <w:pStyle w:val="P68B1DB1-Normal8"/>
              <w:spacing w:after="0" w:line="240" w:lineRule="auto"/>
              <w:jc w:val="center"/>
              <w:rPr>
                <w:rFonts w:eastAsia="Times New Roman" w:cs="Calibri"/>
                <w:noProof/>
              </w:rPr>
            </w:pPr>
            <w:r>
              <w:rPr>
                <w:noProof/>
              </w:rPr>
              <w:t>Ανάπτυξη του συστήματος ταξινόμησης, του λειτουργικού προφίλ και του συστήματος παραπομπής των χρηστών για το περιφερειακό μοντέλο ολοκληρωμένων υπηρεσιών συνεχούς φροντίδας της Μαδέρας</w:t>
            </w:r>
          </w:p>
        </w:tc>
        <w:tc>
          <w:tcPr>
            <w:tcW w:w="1418" w:type="dxa"/>
            <w:shd w:val="clear" w:color="auto" w:fill="C4EFCE"/>
            <w:noWrap/>
            <w:vAlign w:val="center"/>
            <w:hideMark/>
          </w:tcPr>
          <w:p w14:paraId="792AE747" w14:textId="77777777" w:rsidR="00154AD2" w:rsidRDefault="007F6BF3">
            <w:pPr>
              <w:pStyle w:val="P68B1DB1-Normal8"/>
              <w:spacing w:after="0" w:line="240" w:lineRule="auto"/>
              <w:jc w:val="center"/>
              <w:rPr>
                <w:rFonts w:eastAsia="Times New Roman" w:cs="Calibri"/>
                <w:noProof/>
              </w:rPr>
            </w:pPr>
            <w:r>
              <w:rPr>
                <w:noProof/>
              </w:rPr>
              <w:t>Έκθεση σχετικά με την εγκατάσταση του συστήματος ταξινόμησης, του λειτουργικού προφίλ και του συστήματος παραπομπής των χρηστών</w:t>
            </w:r>
          </w:p>
        </w:tc>
        <w:tc>
          <w:tcPr>
            <w:tcW w:w="1164" w:type="dxa"/>
            <w:shd w:val="clear" w:color="auto" w:fill="C4EFCE"/>
            <w:noWrap/>
            <w:vAlign w:val="center"/>
            <w:hideMark/>
          </w:tcPr>
          <w:p w14:paraId="7DF78181" w14:textId="77777777" w:rsidR="00154AD2" w:rsidRDefault="007F6BF3">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1B3035AA" w14:textId="77777777" w:rsidR="00154AD2" w:rsidRDefault="007F6BF3">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238781B8" w14:textId="77777777" w:rsidR="00154AD2" w:rsidRDefault="007F6BF3">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208823D9"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901" w:type="dxa"/>
            <w:shd w:val="clear" w:color="auto" w:fill="C4EFCE"/>
            <w:noWrap/>
            <w:vAlign w:val="center"/>
            <w:hideMark/>
          </w:tcPr>
          <w:p w14:paraId="21D3F18F" w14:textId="77777777" w:rsidR="00154AD2" w:rsidRDefault="007F6BF3">
            <w:pPr>
              <w:pStyle w:val="P68B1DB1-Normal8"/>
              <w:spacing w:after="0" w:line="240" w:lineRule="auto"/>
              <w:jc w:val="center"/>
              <w:rPr>
                <w:rFonts w:eastAsia="Times New Roman" w:cs="Calibri"/>
                <w:noProof/>
              </w:rPr>
            </w:pPr>
            <w:r>
              <w:rPr>
                <w:noProof/>
              </w:rPr>
              <w:t>2021</w:t>
            </w:r>
          </w:p>
        </w:tc>
        <w:tc>
          <w:tcPr>
            <w:tcW w:w="3981" w:type="dxa"/>
            <w:shd w:val="clear" w:color="auto" w:fill="C4EFCE"/>
            <w:noWrap/>
            <w:vAlign w:val="center"/>
            <w:hideMark/>
          </w:tcPr>
          <w:p w14:paraId="5AE6B77D" w14:textId="77777777" w:rsidR="00154AD2" w:rsidRDefault="007F6BF3">
            <w:pPr>
              <w:pStyle w:val="P68B1DB1-Normal8"/>
              <w:spacing w:after="0" w:line="240" w:lineRule="auto"/>
              <w:jc w:val="both"/>
              <w:rPr>
                <w:rFonts w:eastAsia="Times New Roman" w:cs="Calibri"/>
                <w:noProof/>
              </w:rPr>
            </w:pPr>
            <w:r>
              <w:rPr>
                <w:noProof/>
              </w:rPr>
              <w:t>Ανάπτυξη του συστήματος ταξινόμησης, του λειτουργικού προφίλ και του συστήματος παραπομπής των χρηστών, με σκοπό την ενίσχυση του περιφερειακού μοντέλου ολοκληρωμένων υπηρεσιών συνεχούς φροντίδας της Μαδέρας, καθώς και του συντονισμού και της τεχνικής διαχείρισής του.</w:t>
            </w:r>
          </w:p>
        </w:tc>
      </w:tr>
      <w:tr w:rsidR="00154AD2" w14:paraId="1098BF06" w14:textId="77777777">
        <w:trPr>
          <w:trHeight w:val="1060"/>
        </w:trPr>
        <w:tc>
          <w:tcPr>
            <w:tcW w:w="1135" w:type="dxa"/>
            <w:shd w:val="clear" w:color="auto" w:fill="C4EFCE"/>
            <w:noWrap/>
            <w:vAlign w:val="center"/>
            <w:hideMark/>
          </w:tcPr>
          <w:p w14:paraId="67550639" w14:textId="77777777" w:rsidR="00154AD2" w:rsidRDefault="007F6BF3">
            <w:pPr>
              <w:pStyle w:val="P68B1DB1-Normal7"/>
              <w:spacing w:after="0" w:line="240" w:lineRule="auto"/>
              <w:jc w:val="center"/>
              <w:rPr>
                <w:rFonts w:eastAsia="Times New Roman" w:cs="Calibri"/>
                <w:noProof/>
              </w:rPr>
            </w:pPr>
            <w:r>
              <w:rPr>
                <w:noProof/>
              </w:rPr>
              <w:t>1.30</w:t>
            </w:r>
          </w:p>
        </w:tc>
        <w:tc>
          <w:tcPr>
            <w:tcW w:w="1276" w:type="dxa"/>
            <w:shd w:val="clear" w:color="auto" w:fill="C4EFCE"/>
            <w:noWrap/>
            <w:vAlign w:val="center"/>
            <w:hideMark/>
          </w:tcPr>
          <w:p w14:paraId="43DCB444" w14:textId="77777777" w:rsidR="00154AD2" w:rsidRDefault="007F6BF3">
            <w:pPr>
              <w:pStyle w:val="P68B1DB1-Normal8"/>
              <w:spacing w:after="0" w:line="240" w:lineRule="auto"/>
              <w:jc w:val="center"/>
              <w:rPr>
                <w:rFonts w:eastAsia="Times New Roman" w:cs="Calibri"/>
                <w:noProof/>
              </w:rPr>
            </w:pPr>
            <w:r>
              <w:rPr>
                <w:noProof/>
              </w:rPr>
              <w:t>RE-C01-i05-RAM</w:t>
            </w:r>
          </w:p>
        </w:tc>
        <w:tc>
          <w:tcPr>
            <w:tcW w:w="992" w:type="dxa"/>
            <w:shd w:val="clear" w:color="auto" w:fill="C4EFCE"/>
            <w:noWrap/>
            <w:vAlign w:val="center"/>
            <w:hideMark/>
          </w:tcPr>
          <w:p w14:paraId="04FC5C57" w14:textId="77777777" w:rsidR="00154AD2" w:rsidRDefault="007F6BF3">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606F1B98" w14:textId="77777777" w:rsidR="00154AD2" w:rsidRDefault="007F6BF3">
            <w:pPr>
              <w:pStyle w:val="P68B1DB1-Normal8"/>
              <w:spacing w:after="0" w:line="240" w:lineRule="auto"/>
              <w:jc w:val="center"/>
              <w:rPr>
                <w:rFonts w:eastAsia="Times New Roman" w:cs="Calibri"/>
                <w:noProof/>
              </w:rPr>
            </w:pPr>
            <w:r>
              <w:rPr>
                <w:noProof/>
              </w:rPr>
              <w:t>Αύξηση του αριθμού των θέσεων σε ολοκληρωμένες υπηρεσίες συνεχούς φροντίδας στην περιφερειακή υπηρεσία υγείας της Μαδέρας</w:t>
            </w:r>
          </w:p>
        </w:tc>
        <w:tc>
          <w:tcPr>
            <w:tcW w:w="1418" w:type="dxa"/>
            <w:shd w:val="clear" w:color="auto" w:fill="C4EFCE"/>
            <w:noWrap/>
            <w:vAlign w:val="center"/>
            <w:hideMark/>
          </w:tcPr>
          <w:p w14:paraId="21827395" w14:textId="77777777" w:rsidR="00154AD2" w:rsidRDefault="007F6BF3">
            <w:pPr>
              <w:pStyle w:val="P68B1DB1-Normal8"/>
              <w:spacing w:after="0" w:line="240" w:lineRule="auto"/>
              <w:jc w:val="center"/>
              <w:rPr>
                <w:rFonts w:eastAsia="Times New Roman" w:cs="Calibri"/>
                <w:noProof/>
              </w:rPr>
            </w:pPr>
            <w:r>
              <w:rPr>
                <w:noProof/>
              </w:rPr>
              <w:t xml:space="preserve"> </w:t>
            </w:r>
          </w:p>
        </w:tc>
        <w:tc>
          <w:tcPr>
            <w:tcW w:w="1164" w:type="dxa"/>
            <w:shd w:val="clear" w:color="auto" w:fill="C4EFCE"/>
            <w:noWrap/>
            <w:vAlign w:val="center"/>
            <w:hideMark/>
          </w:tcPr>
          <w:p w14:paraId="2498DB0B"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62" w:type="dxa"/>
            <w:shd w:val="clear" w:color="auto" w:fill="C4EFCE"/>
            <w:noWrap/>
            <w:vAlign w:val="center"/>
            <w:hideMark/>
          </w:tcPr>
          <w:p w14:paraId="17180C84" w14:textId="77777777" w:rsidR="00154AD2" w:rsidRDefault="007F6BF3">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10A4DD6D" w14:textId="77777777" w:rsidR="00154AD2" w:rsidRDefault="007F6BF3">
            <w:pPr>
              <w:pStyle w:val="P68B1DB1-Normal8"/>
              <w:spacing w:after="0" w:line="240" w:lineRule="auto"/>
              <w:jc w:val="center"/>
              <w:rPr>
                <w:rFonts w:eastAsia="Times New Roman" w:cs="Calibri"/>
                <w:noProof/>
              </w:rPr>
            </w:pPr>
            <w:r>
              <w:rPr>
                <w:noProof/>
              </w:rPr>
              <w:t>1 080</w:t>
            </w:r>
          </w:p>
        </w:tc>
        <w:tc>
          <w:tcPr>
            <w:tcW w:w="833" w:type="dxa"/>
            <w:gridSpan w:val="2"/>
            <w:shd w:val="clear" w:color="auto" w:fill="C4EFCE"/>
            <w:noWrap/>
            <w:vAlign w:val="center"/>
            <w:hideMark/>
          </w:tcPr>
          <w:p w14:paraId="1FCF5E4A"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901" w:type="dxa"/>
            <w:shd w:val="clear" w:color="auto" w:fill="C4EFCE"/>
            <w:noWrap/>
            <w:vAlign w:val="center"/>
            <w:hideMark/>
          </w:tcPr>
          <w:p w14:paraId="7160FF7E" w14:textId="77777777" w:rsidR="00154AD2" w:rsidRDefault="007F6BF3">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313670F9" w14:textId="2575518F" w:rsidR="00154AD2" w:rsidRDefault="007F6BF3">
            <w:pPr>
              <w:pStyle w:val="P68B1DB1-Normal8"/>
              <w:spacing w:after="0" w:line="240" w:lineRule="auto"/>
              <w:jc w:val="both"/>
              <w:rPr>
                <w:rFonts w:eastAsia="Times New Roman" w:cs="Calibri"/>
                <w:noProof/>
              </w:rPr>
            </w:pPr>
            <w:r>
              <w:rPr>
                <w:noProof/>
              </w:rPr>
              <w:t>Αριθμός νέων και ανακαινισμένων χώρων που δημιουργήθηκαν σε ολοκληρωμένες υπηρεσίες συνεχούς φροντίδας στην περιφερειακή υπηρεσία υγείας της Μαδέρας, μετρούμενος με βάση τις νέες και ανακαινισμένες κλίνες, σε γενικό πεδίο εφαρμογής (μεταξύ άλλων όσον αφορά την ανάρρωση, τη μεσοπρόθεσμη μονάδα και τη μονάδα αποκατάστασης, καθώς και τη μονάδα μακροπρόθεσμης και συντήρησης), την ψυχική υγεία και τις παιδιατρικές υπηρεσίες. Περιλαμβάνει τη χρήση επιχορηγήσεων i) για την κατασκευή νέων υποδομών υγείας, οι οποίες έχουν ζήτηση πρωτογενούς ενέργειας τουλάχιστον κατά 20 % χαμηλότερη από τις απαιτήσεις των κτιρίων με σχεδόν μηδενική κατανάλωση ενέργειας· και ii) την υλοποίηση ανακαινίσεων ενεργειακής απόδοσης.</w:t>
            </w:r>
          </w:p>
        </w:tc>
      </w:tr>
      <w:tr w:rsidR="00154AD2" w14:paraId="228353BC" w14:textId="77777777">
        <w:trPr>
          <w:trHeight w:val="300"/>
        </w:trPr>
        <w:tc>
          <w:tcPr>
            <w:tcW w:w="1135" w:type="dxa"/>
            <w:shd w:val="clear" w:color="auto" w:fill="C4EFCE"/>
            <w:noWrap/>
            <w:vAlign w:val="center"/>
            <w:hideMark/>
          </w:tcPr>
          <w:p w14:paraId="4EE5165B" w14:textId="77777777" w:rsidR="00154AD2" w:rsidRDefault="007F6BF3">
            <w:pPr>
              <w:pStyle w:val="P68B1DB1-Normal7"/>
              <w:spacing w:after="0" w:line="240" w:lineRule="auto"/>
              <w:jc w:val="center"/>
              <w:rPr>
                <w:rFonts w:eastAsia="Times New Roman" w:cs="Calibri"/>
                <w:noProof/>
              </w:rPr>
            </w:pPr>
            <w:r>
              <w:rPr>
                <w:noProof/>
              </w:rPr>
              <w:t>1.31</w:t>
            </w:r>
          </w:p>
        </w:tc>
        <w:tc>
          <w:tcPr>
            <w:tcW w:w="1276" w:type="dxa"/>
            <w:shd w:val="clear" w:color="auto" w:fill="C4EFCE"/>
            <w:noWrap/>
            <w:vAlign w:val="center"/>
            <w:hideMark/>
          </w:tcPr>
          <w:p w14:paraId="45977E58" w14:textId="77777777" w:rsidR="00154AD2" w:rsidRDefault="007F6BF3">
            <w:pPr>
              <w:pStyle w:val="P68B1DB1-Normal8"/>
              <w:spacing w:after="0" w:line="240" w:lineRule="auto"/>
              <w:jc w:val="center"/>
              <w:rPr>
                <w:rFonts w:eastAsia="Times New Roman" w:cs="Calibri"/>
                <w:noProof/>
              </w:rPr>
            </w:pPr>
            <w:r>
              <w:rPr>
                <w:noProof/>
              </w:rPr>
              <w:t>RE-C01-i05-RAM</w:t>
            </w:r>
          </w:p>
        </w:tc>
        <w:tc>
          <w:tcPr>
            <w:tcW w:w="992" w:type="dxa"/>
            <w:shd w:val="clear" w:color="auto" w:fill="C4EFCE"/>
            <w:noWrap/>
            <w:vAlign w:val="center"/>
            <w:hideMark/>
          </w:tcPr>
          <w:p w14:paraId="5FD6D547" w14:textId="77777777" w:rsidR="00154AD2" w:rsidRDefault="007F6BF3">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4FC0E06E" w14:textId="77777777" w:rsidR="00154AD2" w:rsidRDefault="007F6BF3">
            <w:pPr>
              <w:pStyle w:val="P68B1DB1-Normal8"/>
              <w:spacing w:after="0" w:line="240" w:lineRule="auto"/>
              <w:jc w:val="center"/>
              <w:rPr>
                <w:rFonts w:eastAsia="Times New Roman" w:cs="Calibri"/>
                <w:noProof/>
              </w:rPr>
            </w:pPr>
            <w:r>
              <w:rPr>
                <w:noProof/>
              </w:rPr>
              <w:t>Ανακαίνιση των υπηρεσιών πρωτοβάθμιας υγειονομικής περίθαλψης στο περιφερειακό σύστημα υγείας της Μαδέρας</w:t>
            </w:r>
          </w:p>
        </w:tc>
        <w:tc>
          <w:tcPr>
            <w:tcW w:w="1418" w:type="dxa"/>
            <w:shd w:val="clear" w:color="auto" w:fill="C4EFCE"/>
            <w:noWrap/>
            <w:vAlign w:val="center"/>
            <w:hideMark/>
          </w:tcPr>
          <w:p w14:paraId="356EBB6C" w14:textId="77777777" w:rsidR="00154AD2" w:rsidRDefault="007F6BF3">
            <w:pPr>
              <w:pStyle w:val="P68B1DB1-Normal8"/>
              <w:spacing w:after="0" w:line="240" w:lineRule="auto"/>
              <w:jc w:val="center"/>
              <w:rPr>
                <w:rFonts w:eastAsia="Times New Roman" w:cs="Calibri"/>
                <w:noProof/>
              </w:rPr>
            </w:pPr>
            <w:r>
              <w:rPr>
                <w:noProof/>
              </w:rPr>
              <w:t xml:space="preserve"> </w:t>
            </w:r>
          </w:p>
        </w:tc>
        <w:tc>
          <w:tcPr>
            <w:tcW w:w="1164" w:type="dxa"/>
            <w:shd w:val="clear" w:color="auto" w:fill="C4EFCE"/>
            <w:noWrap/>
            <w:vAlign w:val="center"/>
            <w:hideMark/>
          </w:tcPr>
          <w:p w14:paraId="7418E171"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62" w:type="dxa"/>
            <w:shd w:val="clear" w:color="auto" w:fill="C4EFCE"/>
            <w:noWrap/>
            <w:vAlign w:val="center"/>
            <w:hideMark/>
          </w:tcPr>
          <w:p w14:paraId="798DA9A1" w14:textId="77777777" w:rsidR="00154AD2" w:rsidRDefault="007F6BF3">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4AB16FD0" w14:textId="77777777" w:rsidR="00154AD2" w:rsidRDefault="007F6BF3">
            <w:pPr>
              <w:pStyle w:val="P68B1DB1-Normal8"/>
              <w:spacing w:after="0" w:line="240" w:lineRule="auto"/>
              <w:jc w:val="center"/>
              <w:rPr>
                <w:rFonts w:eastAsia="Times New Roman" w:cs="Calibri"/>
                <w:noProof/>
              </w:rPr>
            </w:pPr>
            <w:r>
              <w:rPr>
                <w:noProof/>
              </w:rPr>
              <w:t>15</w:t>
            </w:r>
          </w:p>
        </w:tc>
        <w:tc>
          <w:tcPr>
            <w:tcW w:w="833" w:type="dxa"/>
            <w:gridSpan w:val="2"/>
            <w:shd w:val="clear" w:color="auto" w:fill="C4EFCE"/>
            <w:noWrap/>
            <w:vAlign w:val="center"/>
            <w:hideMark/>
          </w:tcPr>
          <w:p w14:paraId="141B4ED0"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901" w:type="dxa"/>
            <w:shd w:val="clear" w:color="auto" w:fill="C4EFCE"/>
            <w:noWrap/>
            <w:vAlign w:val="center"/>
            <w:hideMark/>
          </w:tcPr>
          <w:p w14:paraId="76AB49A4" w14:textId="77777777" w:rsidR="00154AD2" w:rsidRDefault="007F6BF3">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24350EBE" w14:textId="77777777" w:rsidR="00154AD2" w:rsidRDefault="007F6BF3">
            <w:pPr>
              <w:pStyle w:val="P68B1DB1-Normal8"/>
              <w:spacing w:after="0" w:line="240" w:lineRule="auto"/>
              <w:jc w:val="both"/>
              <w:rPr>
                <w:rFonts w:eastAsia="Times New Roman" w:cs="Calibri"/>
                <w:noProof/>
              </w:rPr>
            </w:pPr>
            <w:r>
              <w:rPr>
                <w:noProof/>
              </w:rPr>
              <w:t>Αριθμός ανακαινισμένων εγκαταστάσεων πρωτοβάθμιας υγειονομικής περίθαλψης στο περιφερειακό σύστημα υγείας της Μαδέρας.</w:t>
            </w:r>
          </w:p>
        </w:tc>
      </w:tr>
      <w:tr w:rsidR="00154AD2" w14:paraId="5DB36F90" w14:textId="77777777">
        <w:trPr>
          <w:trHeight w:val="640"/>
        </w:trPr>
        <w:tc>
          <w:tcPr>
            <w:tcW w:w="1135" w:type="dxa"/>
            <w:shd w:val="clear" w:color="auto" w:fill="C4EFCE"/>
            <w:noWrap/>
            <w:vAlign w:val="center"/>
            <w:hideMark/>
          </w:tcPr>
          <w:p w14:paraId="23301C6E" w14:textId="77777777" w:rsidR="00154AD2" w:rsidRDefault="007F6BF3">
            <w:pPr>
              <w:pStyle w:val="P68B1DB1-Normal7"/>
              <w:spacing w:after="0" w:line="240" w:lineRule="auto"/>
              <w:jc w:val="center"/>
              <w:rPr>
                <w:rFonts w:eastAsia="Times New Roman" w:cs="Calibri"/>
                <w:noProof/>
              </w:rPr>
            </w:pPr>
            <w:r>
              <w:rPr>
                <w:noProof/>
              </w:rPr>
              <w:t>1.32</w:t>
            </w:r>
          </w:p>
        </w:tc>
        <w:tc>
          <w:tcPr>
            <w:tcW w:w="1276" w:type="dxa"/>
            <w:shd w:val="clear" w:color="auto" w:fill="C4EFCE"/>
            <w:noWrap/>
            <w:vAlign w:val="center"/>
            <w:hideMark/>
          </w:tcPr>
          <w:p w14:paraId="07BF663B" w14:textId="77777777" w:rsidR="00154AD2" w:rsidRDefault="007F6BF3">
            <w:pPr>
              <w:pStyle w:val="P68B1DB1-Normal8"/>
              <w:spacing w:after="0" w:line="240" w:lineRule="auto"/>
              <w:jc w:val="center"/>
              <w:rPr>
                <w:rFonts w:eastAsia="Times New Roman" w:cs="Calibri"/>
                <w:noProof/>
              </w:rPr>
            </w:pPr>
            <w:r>
              <w:rPr>
                <w:noProof/>
              </w:rPr>
              <w:t>RE-C01-i06</w:t>
            </w:r>
          </w:p>
        </w:tc>
        <w:tc>
          <w:tcPr>
            <w:tcW w:w="992" w:type="dxa"/>
            <w:shd w:val="clear" w:color="auto" w:fill="C4EFCE"/>
            <w:noWrap/>
            <w:vAlign w:val="center"/>
            <w:hideMark/>
          </w:tcPr>
          <w:p w14:paraId="54C196BC" w14:textId="77777777" w:rsidR="00154AD2" w:rsidRDefault="007F6BF3">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21C09812" w14:textId="77777777" w:rsidR="00154AD2" w:rsidRDefault="007F6BF3">
            <w:pPr>
              <w:pStyle w:val="P68B1DB1-Normal8"/>
              <w:spacing w:after="0" w:line="240" w:lineRule="auto"/>
              <w:jc w:val="center"/>
              <w:rPr>
                <w:rFonts w:eastAsia="Times New Roman" w:cs="Calibri"/>
                <w:noProof/>
              </w:rPr>
            </w:pPr>
            <w:r>
              <w:rPr>
                <w:noProof/>
              </w:rPr>
              <w:t>Αναβάθμιση τοπικών δικτύων τεχνολογίας πληροφοριών</w:t>
            </w:r>
          </w:p>
        </w:tc>
        <w:tc>
          <w:tcPr>
            <w:tcW w:w="1418" w:type="dxa"/>
            <w:shd w:val="clear" w:color="auto" w:fill="C4EFCE"/>
            <w:noWrap/>
            <w:vAlign w:val="center"/>
            <w:hideMark/>
          </w:tcPr>
          <w:p w14:paraId="7496A1FC" w14:textId="77777777" w:rsidR="00154AD2" w:rsidRDefault="007F6BF3">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51D12A45" w14:textId="77777777" w:rsidR="00154AD2" w:rsidRDefault="007F6BF3">
            <w:pPr>
              <w:pStyle w:val="P68B1DB1-Normal8"/>
              <w:spacing w:after="0" w:line="240" w:lineRule="auto"/>
              <w:jc w:val="center"/>
              <w:rPr>
                <w:rFonts w:eastAsia="Times New Roman" w:cs="Calibri"/>
                <w:noProof/>
              </w:rPr>
            </w:pPr>
            <w:r>
              <w:rPr>
                <w:noProof/>
              </w:rPr>
              <w:t>%</w:t>
            </w:r>
          </w:p>
        </w:tc>
        <w:tc>
          <w:tcPr>
            <w:tcW w:w="962" w:type="dxa"/>
            <w:shd w:val="clear" w:color="auto" w:fill="C4EFCE"/>
            <w:noWrap/>
            <w:vAlign w:val="center"/>
            <w:hideMark/>
          </w:tcPr>
          <w:p w14:paraId="604F7E4B" w14:textId="77777777" w:rsidR="00154AD2" w:rsidRDefault="007F6BF3">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64ACEC4B" w14:textId="77777777" w:rsidR="00154AD2" w:rsidRDefault="007F6BF3">
            <w:pPr>
              <w:pStyle w:val="P68B1DB1-Normal8"/>
              <w:spacing w:after="0" w:line="240" w:lineRule="auto"/>
              <w:jc w:val="center"/>
              <w:rPr>
                <w:rFonts w:eastAsia="Times New Roman" w:cs="Calibri"/>
                <w:noProof/>
              </w:rPr>
            </w:pPr>
            <w:r>
              <w:rPr>
                <w:noProof/>
              </w:rPr>
              <w:t>90</w:t>
            </w:r>
          </w:p>
        </w:tc>
        <w:tc>
          <w:tcPr>
            <w:tcW w:w="833" w:type="dxa"/>
            <w:gridSpan w:val="2"/>
            <w:shd w:val="clear" w:color="auto" w:fill="C4EFCE"/>
            <w:noWrap/>
            <w:vAlign w:val="center"/>
            <w:hideMark/>
          </w:tcPr>
          <w:p w14:paraId="58F1EC69"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901" w:type="dxa"/>
            <w:shd w:val="clear" w:color="auto" w:fill="C4EFCE"/>
            <w:noWrap/>
            <w:vAlign w:val="center"/>
            <w:hideMark/>
          </w:tcPr>
          <w:p w14:paraId="540758F3" w14:textId="77777777" w:rsidR="00154AD2" w:rsidRDefault="007F6BF3">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38EC5631" w14:textId="77777777" w:rsidR="00154AD2" w:rsidRDefault="007F6BF3">
            <w:pPr>
              <w:pStyle w:val="P68B1DB1-Normal8"/>
              <w:spacing w:after="0" w:line="240" w:lineRule="auto"/>
              <w:jc w:val="both"/>
              <w:rPr>
                <w:rFonts w:eastAsia="Times New Roman" w:cs="Calibri"/>
                <w:noProof/>
              </w:rPr>
            </w:pPr>
            <w:r>
              <w:rPr>
                <w:noProof/>
              </w:rPr>
              <w:t>Ποσοστό αναβαθμισμένων τοπικών δικτύων πληροφορικής στο Εθνικό Σύστημα Υγείας, τα οποία οργανώνονται και υλοποιούνται από τον φορέα επιμερισμένων υπηρεσιών του Υπουργείου Υγείας, ο οποίος με τον τρόπο αυτό καθίσταται σε θέση να λειτουργεί στο νέο μοντέλο ενοποιημένων επικοινωνιών (Voice over Internet Protocol).</w:t>
            </w:r>
          </w:p>
        </w:tc>
      </w:tr>
      <w:tr w:rsidR="00154AD2" w14:paraId="1D239173" w14:textId="77777777">
        <w:trPr>
          <w:trHeight w:val="640"/>
        </w:trPr>
        <w:tc>
          <w:tcPr>
            <w:tcW w:w="1135" w:type="dxa"/>
            <w:shd w:val="clear" w:color="auto" w:fill="C4EFCE"/>
            <w:noWrap/>
            <w:vAlign w:val="center"/>
            <w:hideMark/>
          </w:tcPr>
          <w:p w14:paraId="47CBD861" w14:textId="77777777" w:rsidR="00154AD2" w:rsidRDefault="007F6BF3">
            <w:pPr>
              <w:pStyle w:val="P68B1DB1-Normal7"/>
              <w:spacing w:after="0" w:line="240" w:lineRule="auto"/>
              <w:jc w:val="center"/>
              <w:rPr>
                <w:rFonts w:eastAsia="Times New Roman" w:cs="Calibri"/>
                <w:noProof/>
              </w:rPr>
            </w:pPr>
            <w:r>
              <w:rPr>
                <w:noProof/>
              </w:rPr>
              <w:t>1.33</w:t>
            </w:r>
          </w:p>
        </w:tc>
        <w:tc>
          <w:tcPr>
            <w:tcW w:w="1276" w:type="dxa"/>
            <w:shd w:val="clear" w:color="auto" w:fill="C4EFCE"/>
            <w:noWrap/>
            <w:vAlign w:val="center"/>
            <w:hideMark/>
          </w:tcPr>
          <w:p w14:paraId="7238DEBF" w14:textId="77777777" w:rsidR="00154AD2" w:rsidRDefault="007F6BF3">
            <w:pPr>
              <w:pStyle w:val="P68B1DB1-Normal8"/>
              <w:spacing w:after="0" w:line="240" w:lineRule="auto"/>
              <w:jc w:val="center"/>
              <w:rPr>
                <w:rFonts w:eastAsia="Times New Roman" w:cs="Calibri"/>
                <w:noProof/>
              </w:rPr>
            </w:pPr>
            <w:r>
              <w:rPr>
                <w:noProof/>
              </w:rPr>
              <w:t>RE-C01-i06</w:t>
            </w:r>
          </w:p>
        </w:tc>
        <w:tc>
          <w:tcPr>
            <w:tcW w:w="992" w:type="dxa"/>
            <w:shd w:val="clear" w:color="auto" w:fill="C4EFCE"/>
            <w:noWrap/>
            <w:vAlign w:val="center"/>
            <w:hideMark/>
          </w:tcPr>
          <w:p w14:paraId="0AC6399B" w14:textId="77777777" w:rsidR="00154AD2" w:rsidRDefault="007F6BF3">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719C984B" w14:textId="77777777" w:rsidR="00154AD2" w:rsidRDefault="007F6BF3">
            <w:pPr>
              <w:pStyle w:val="P68B1DB1-Normal8"/>
              <w:spacing w:after="0" w:line="240" w:lineRule="auto"/>
              <w:jc w:val="center"/>
              <w:rPr>
                <w:rFonts w:eastAsia="Times New Roman" w:cs="Calibri"/>
                <w:noProof/>
              </w:rPr>
            </w:pPr>
            <w:r>
              <w:rPr>
                <w:noProof/>
              </w:rPr>
              <w:t>Εφαρμογή λειτουργικών δυνατοτήτων για την τηλευγεία και την τηλεπαρακολούθηση</w:t>
            </w:r>
          </w:p>
        </w:tc>
        <w:tc>
          <w:tcPr>
            <w:tcW w:w="1418" w:type="dxa"/>
            <w:shd w:val="clear" w:color="auto" w:fill="C4EFCE"/>
            <w:noWrap/>
            <w:vAlign w:val="center"/>
            <w:hideMark/>
          </w:tcPr>
          <w:p w14:paraId="1F8B5CCD" w14:textId="77777777" w:rsidR="00154AD2" w:rsidRDefault="007F6BF3">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4073D926" w14:textId="77777777" w:rsidR="00154AD2" w:rsidRDefault="007F6BF3">
            <w:pPr>
              <w:pStyle w:val="P68B1DB1-Normal8"/>
              <w:spacing w:after="0" w:line="240" w:lineRule="auto"/>
              <w:jc w:val="center"/>
              <w:rPr>
                <w:rFonts w:eastAsia="Times New Roman" w:cs="Calibri"/>
                <w:noProof/>
              </w:rPr>
            </w:pPr>
            <w:r>
              <w:rPr>
                <w:noProof/>
              </w:rPr>
              <w:t>%</w:t>
            </w:r>
          </w:p>
        </w:tc>
        <w:tc>
          <w:tcPr>
            <w:tcW w:w="962" w:type="dxa"/>
            <w:shd w:val="clear" w:color="auto" w:fill="C4EFCE"/>
            <w:noWrap/>
            <w:vAlign w:val="center"/>
            <w:hideMark/>
          </w:tcPr>
          <w:p w14:paraId="375E54E1" w14:textId="77777777" w:rsidR="00154AD2" w:rsidRDefault="007F6BF3">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38EB1FEB" w14:textId="77777777" w:rsidR="00154AD2" w:rsidRDefault="007F6BF3">
            <w:pPr>
              <w:pStyle w:val="P68B1DB1-Normal8"/>
              <w:spacing w:after="0" w:line="240" w:lineRule="auto"/>
              <w:jc w:val="center"/>
              <w:rPr>
                <w:rFonts w:eastAsia="Times New Roman" w:cs="Calibri"/>
                <w:noProof/>
              </w:rPr>
            </w:pPr>
            <w:r>
              <w:rPr>
                <w:noProof/>
              </w:rPr>
              <w:t>15</w:t>
            </w:r>
          </w:p>
        </w:tc>
        <w:tc>
          <w:tcPr>
            <w:tcW w:w="833" w:type="dxa"/>
            <w:gridSpan w:val="2"/>
            <w:shd w:val="clear" w:color="auto" w:fill="C4EFCE"/>
            <w:noWrap/>
            <w:vAlign w:val="center"/>
            <w:hideMark/>
          </w:tcPr>
          <w:p w14:paraId="2F344E98"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901" w:type="dxa"/>
            <w:shd w:val="clear" w:color="auto" w:fill="C4EFCE"/>
            <w:noWrap/>
            <w:vAlign w:val="center"/>
            <w:hideMark/>
          </w:tcPr>
          <w:p w14:paraId="04B7D6FE" w14:textId="77777777" w:rsidR="00154AD2" w:rsidRDefault="007F6BF3">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1BBF837A" w14:textId="77777777" w:rsidR="00154AD2" w:rsidRDefault="007F6BF3">
            <w:pPr>
              <w:pStyle w:val="P68B1DB1-Normal8"/>
              <w:spacing w:after="0" w:line="240" w:lineRule="auto"/>
              <w:jc w:val="both"/>
              <w:rPr>
                <w:rFonts w:eastAsia="Times New Roman" w:cs="Calibri"/>
                <w:noProof/>
              </w:rPr>
            </w:pPr>
            <w:r>
              <w:rPr>
                <w:noProof/>
              </w:rPr>
              <w:t>Ποσοστό χρηστών με πρόσβαση σε νέες λειτουργίες τηλευγείας και τηλεπαρακολούθησης, καθιστώντας δυνατή την παροχή υπηρεσιών εξ αποστάσεως υγειονομικής περίθαλψης, αυξάνοντας έτσι τα επίπεδα πρόσβασης στην υγειονομική περίθαλψη και συμμετοχής των πολιτών στη διαδικασία συλλογής και θεραπείας εξ αποστάσεως πληροφοριών.</w:t>
            </w:r>
          </w:p>
        </w:tc>
      </w:tr>
      <w:tr w:rsidR="00154AD2" w14:paraId="6B7A654B" w14:textId="77777777">
        <w:trPr>
          <w:trHeight w:val="414"/>
        </w:trPr>
        <w:tc>
          <w:tcPr>
            <w:tcW w:w="1135" w:type="dxa"/>
            <w:shd w:val="clear" w:color="auto" w:fill="C4EFCE"/>
            <w:noWrap/>
            <w:vAlign w:val="center"/>
            <w:hideMark/>
          </w:tcPr>
          <w:p w14:paraId="788FB01B" w14:textId="77777777" w:rsidR="00154AD2" w:rsidRDefault="007F6BF3">
            <w:pPr>
              <w:pStyle w:val="P68B1DB1-Normal7"/>
              <w:spacing w:after="0" w:line="240" w:lineRule="auto"/>
              <w:jc w:val="center"/>
              <w:rPr>
                <w:rFonts w:eastAsia="Times New Roman" w:cs="Calibri"/>
                <w:noProof/>
              </w:rPr>
            </w:pPr>
            <w:r>
              <w:rPr>
                <w:noProof/>
              </w:rPr>
              <w:t>1.34</w:t>
            </w:r>
          </w:p>
        </w:tc>
        <w:tc>
          <w:tcPr>
            <w:tcW w:w="1276" w:type="dxa"/>
            <w:shd w:val="clear" w:color="auto" w:fill="C4EFCE"/>
            <w:noWrap/>
            <w:vAlign w:val="center"/>
            <w:hideMark/>
          </w:tcPr>
          <w:p w14:paraId="3B63F904" w14:textId="77777777" w:rsidR="00154AD2" w:rsidRDefault="007F6BF3">
            <w:pPr>
              <w:pStyle w:val="P68B1DB1-Normal8"/>
              <w:spacing w:after="0" w:line="240" w:lineRule="auto"/>
              <w:jc w:val="center"/>
              <w:rPr>
                <w:rFonts w:eastAsia="Times New Roman" w:cs="Calibri"/>
                <w:noProof/>
              </w:rPr>
            </w:pPr>
            <w:r>
              <w:rPr>
                <w:noProof/>
              </w:rPr>
              <w:t>RE-C01-i06</w:t>
            </w:r>
          </w:p>
        </w:tc>
        <w:tc>
          <w:tcPr>
            <w:tcW w:w="992" w:type="dxa"/>
            <w:shd w:val="clear" w:color="auto" w:fill="C4EFCE"/>
            <w:noWrap/>
            <w:vAlign w:val="center"/>
            <w:hideMark/>
          </w:tcPr>
          <w:p w14:paraId="0554D603" w14:textId="77777777" w:rsidR="00154AD2" w:rsidRDefault="007F6BF3">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22A2F67A" w14:textId="77777777" w:rsidR="00154AD2" w:rsidRDefault="007F6BF3">
            <w:pPr>
              <w:pStyle w:val="P68B1DB1-Normal8"/>
              <w:spacing w:after="0" w:line="240" w:lineRule="auto"/>
              <w:jc w:val="center"/>
              <w:rPr>
                <w:rFonts w:eastAsia="Times New Roman" w:cs="Calibri"/>
                <w:noProof/>
              </w:rPr>
            </w:pPr>
            <w:r>
              <w:rPr>
                <w:noProof/>
              </w:rPr>
              <w:t>Εφαρμογή διοικητικών ενοτήτων τεχνολογίας πληροφοριών, βασικών κλινικών ενοτήτων και κλινικών ενοτήτων έκτακτης ανάγκης</w:t>
            </w:r>
          </w:p>
        </w:tc>
        <w:tc>
          <w:tcPr>
            <w:tcW w:w="1418" w:type="dxa"/>
            <w:shd w:val="clear" w:color="auto" w:fill="C4EFCE"/>
            <w:noWrap/>
            <w:vAlign w:val="center"/>
            <w:hideMark/>
          </w:tcPr>
          <w:p w14:paraId="60D66170" w14:textId="77777777" w:rsidR="00154AD2" w:rsidRDefault="007F6BF3">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1B64EB98" w14:textId="77777777" w:rsidR="00154AD2" w:rsidRDefault="007F6BF3">
            <w:pPr>
              <w:pStyle w:val="P68B1DB1-Normal8"/>
              <w:spacing w:after="0" w:line="240" w:lineRule="auto"/>
              <w:jc w:val="center"/>
              <w:rPr>
                <w:rFonts w:eastAsia="Times New Roman" w:cs="Calibri"/>
                <w:noProof/>
              </w:rPr>
            </w:pPr>
            <w:r>
              <w:rPr>
                <w:noProof/>
              </w:rPr>
              <w:t>%</w:t>
            </w:r>
          </w:p>
        </w:tc>
        <w:tc>
          <w:tcPr>
            <w:tcW w:w="962" w:type="dxa"/>
            <w:shd w:val="clear" w:color="auto" w:fill="C4EFCE"/>
            <w:noWrap/>
            <w:vAlign w:val="center"/>
            <w:hideMark/>
          </w:tcPr>
          <w:p w14:paraId="09AEDAE6" w14:textId="77777777" w:rsidR="00154AD2" w:rsidRDefault="007F6BF3">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14105145" w14:textId="77777777" w:rsidR="00154AD2" w:rsidRDefault="007F6BF3">
            <w:pPr>
              <w:pStyle w:val="P68B1DB1-Normal8"/>
              <w:spacing w:after="0" w:line="240" w:lineRule="auto"/>
              <w:jc w:val="center"/>
              <w:rPr>
                <w:rFonts w:eastAsia="Times New Roman" w:cs="Calibri"/>
                <w:noProof/>
              </w:rPr>
            </w:pPr>
            <w:r>
              <w:rPr>
                <w:noProof/>
              </w:rPr>
              <w:t>15</w:t>
            </w:r>
          </w:p>
        </w:tc>
        <w:tc>
          <w:tcPr>
            <w:tcW w:w="833" w:type="dxa"/>
            <w:gridSpan w:val="2"/>
            <w:shd w:val="clear" w:color="auto" w:fill="C4EFCE"/>
            <w:noWrap/>
            <w:vAlign w:val="center"/>
            <w:hideMark/>
          </w:tcPr>
          <w:p w14:paraId="510A81E2" w14:textId="20C69EC3" w:rsidR="00154AD2" w:rsidRDefault="007F6BF3">
            <w:pPr>
              <w:pStyle w:val="P68B1DB1-Normal8"/>
              <w:spacing w:after="0" w:line="240" w:lineRule="auto"/>
              <w:jc w:val="center"/>
              <w:rPr>
                <w:rFonts w:eastAsia="Times New Roman" w:cs="Calibri"/>
                <w:noProof/>
              </w:rPr>
            </w:pPr>
            <w:r>
              <w:rPr>
                <w:noProof/>
              </w:rPr>
              <w:t>ΤΡΊΜΗΝΟ 2</w:t>
            </w:r>
          </w:p>
        </w:tc>
        <w:tc>
          <w:tcPr>
            <w:tcW w:w="901" w:type="dxa"/>
            <w:shd w:val="clear" w:color="auto" w:fill="C4EFCE"/>
            <w:noWrap/>
            <w:vAlign w:val="center"/>
            <w:hideMark/>
          </w:tcPr>
          <w:p w14:paraId="1B258F53" w14:textId="7EC56113" w:rsidR="00154AD2" w:rsidRDefault="007F6BF3">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0AF81CED" w14:textId="77777777" w:rsidR="00154AD2" w:rsidRDefault="007F6BF3">
            <w:pPr>
              <w:pStyle w:val="P68B1DB1-Normal8"/>
              <w:spacing w:after="0" w:line="240" w:lineRule="auto"/>
              <w:jc w:val="both"/>
              <w:rPr>
                <w:rFonts w:eastAsia="Times New Roman" w:cs="Calibri"/>
                <w:noProof/>
              </w:rPr>
            </w:pPr>
            <w:r>
              <w:rPr>
                <w:noProof/>
              </w:rPr>
              <w:t>Ποσοστό επαγγελματιών του τομέα της υγείας με πρόσβαση σε ολοκληρωμένες ενότητες τεχνολογίας πληροφοριών, βασικές κλινικές ενότητες και κλινικές ενότητες έκτακτης ανάγκης για: I) καταγραφή και αναζήτηση κλινικών πληροφοριών στο πλαίσιο της πρωτοβάθμιας, νοσοκομειακής και συνεχούς υγειονομικής περίθαλψης, προκειμένου να διασφαλιστεί η διαθεσιμότητα και η ενσωμάτωση των πληροφοριών για την υγεία, καθώς και μεγαλύτερη ασφάλεια για τους χρήστες και τους επαγγελματίες του τομέα της υγείας· και ii) μητρώο έκτακτης ανάγκης, νοσηλευτικό μητρώο και τηλεπαρακολούθηση των υπηρεσιών υγειονομικής περίθαλψης.</w:t>
            </w:r>
          </w:p>
        </w:tc>
      </w:tr>
      <w:tr w:rsidR="00154AD2" w14:paraId="2D39C445" w14:textId="77777777">
        <w:trPr>
          <w:trHeight w:val="640"/>
        </w:trPr>
        <w:tc>
          <w:tcPr>
            <w:tcW w:w="1135" w:type="dxa"/>
            <w:shd w:val="clear" w:color="auto" w:fill="C4EFCE"/>
            <w:noWrap/>
            <w:vAlign w:val="center"/>
            <w:hideMark/>
          </w:tcPr>
          <w:p w14:paraId="518CED19" w14:textId="77777777" w:rsidR="00154AD2" w:rsidRDefault="007F6BF3">
            <w:pPr>
              <w:pStyle w:val="P68B1DB1-Normal7"/>
              <w:spacing w:after="0" w:line="240" w:lineRule="auto"/>
              <w:jc w:val="center"/>
              <w:rPr>
                <w:rFonts w:eastAsia="Times New Roman" w:cs="Calibri"/>
                <w:noProof/>
              </w:rPr>
            </w:pPr>
            <w:r>
              <w:rPr>
                <w:noProof/>
              </w:rPr>
              <w:t>1.35</w:t>
            </w:r>
          </w:p>
        </w:tc>
        <w:tc>
          <w:tcPr>
            <w:tcW w:w="1276" w:type="dxa"/>
            <w:shd w:val="clear" w:color="auto" w:fill="C4EFCE"/>
            <w:noWrap/>
            <w:vAlign w:val="center"/>
            <w:hideMark/>
          </w:tcPr>
          <w:p w14:paraId="2670C5DB" w14:textId="77777777" w:rsidR="00154AD2" w:rsidRDefault="007F6BF3">
            <w:pPr>
              <w:pStyle w:val="P68B1DB1-Normal8"/>
              <w:spacing w:after="0" w:line="240" w:lineRule="auto"/>
              <w:jc w:val="center"/>
              <w:rPr>
                <w:rFonts w:eastAsia="Times New Roman" w:cs="Calibri"/>
                <w:noProof/>
              </w:rPr>
            </w:pPr>
            <w:r>
              <w:rPr>
                <w:noProof/>
              </w:rPr>
              <w:t>RE-C01-i07-RAM</w:t>
            </w:r>
          </w:p>
        </w:tc>
        <w:tc>
          <w:tcPr>
            <w:tcW w:w="992" w:type="dxa"/>
            <w:shd w:val="clear" w:color="auto" w:fill="C4EFCE"/>
            <w:noWrap/>
            <w:vAlign w:val="center"/>
            <w:hideMark/>
          </w:tcPr>
          <w:p w14:paraId="4F631A01" w14:textId="77777777" w:rsidR="00154AD2" w:rsidRDefault="007F6BF3">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27E98217" w14:textId="77777777" w:rsidR="00154AD2" w:rsidRDefault="007F6BF3">
            <w:pPr>
              <w:pStyle w:val="P68B1DB1-Normal8"/>
              <w:spacing w:after="0" w:line="240" w:lineRule="auto"/>
              <w:jc w:val="center"/>
              <w:rPr>
                <w:rFonts w:eastAsia="Times New Roman" w:cs="Calibri"/>
                <w:noProof/>
              </w:rPr>
            </w:pPr>
            <w:r>
              <w:rPr>
                <w:noProof/>
              </w:rPr>
              <w:t>Νέος εξοπλισμός πληροφορικής για το περιφερειακό σύστημα υγείας της Μαδέρας</w:t>
            </w:r>
          </w:p>
        </w:tc>
        <w:tc>
          <w:tcPr>
            <w:tcW w:w="1418" w:type="dxa"/>
            <w:shd w:val="clear" w:color="auto" w:fill="C4EFCE"/>
            <w:noWrap/>
            <w:vAlign w:val="center"/>
            <w:hideMark/>
          </w:tcPr>
          <w:p w14:paraId="44306B25" w14:textId="77777777" w:rsidR="00154AD2" w:rsidRDefault="007F6BF3">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108B4C87"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62" w:type="dxa"/>
            <w:shd w:val="clear" w:color="auto" w:fill="C4EFCE"/>
            <w:noWrap/>
            <w:vAlign w:val="center"/>
            <w:hideMark/>
          </w:tcPr>
          <w:p w14:paraId="4B03819A" w14:textId="77777777" w:rsidR="00154AD2" w:rsidRDefault="007F6BF3">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608FD160" w14:textId="77777777" w:rsidR="00154AD2" w:rsidRDefault="007F6BF3">
            <w:pPr>
              <w:pStyle w:val="P68B1DB1-Normal8"/>
              <w:spacing w:after="0" w:line="240" w:lineRule="auto"/>
              <w:jc w:val="center"/>
              <w:rPr>
                <w:rFonts w:eastAsia="Times New Roman" w:cs="Calibri"/>
                <w:noProof/>
              </w:rPr>
            </w:pPr>
            <w:r>
              <w:rPr>
                <w:noProof/>
              </w:rPr>
              <w:t>3 600</w:t>
            </w:r>
          </w:p>
        </w:tc>
        <w:tc>
          <w:tcPr>
            <w:tcW w:w="833" w:type="dxa"/>
            <w:gridSpan w:val="2"/>
            <w:shd w:val="clear" w:color="auto" w:fill="C4EFCE"/>
            <w:noWrap/>
            <w:vAlign w:val="center"/>
            <w:hideMark/>
          </w:tcPr>
          <w:p w14:paraId="08604750"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901" w:type="dxa"/>
            <w:shd w:val="clear" w:color="auto" w:fill="C4EFCE"/>
            <w:noWrap/>
            <w:vAlign w:val="center"/>
            <w:hideMark/>
          </w:tcPr>
          <w:p w14:paraId="709C9011" w14:textId="77777777" w:rsidR="00154AD2" w:rsidRDefault="007F6BF3">
            <w:pPr>
              <w:pStyle w:val="P68B1DB1-Normal8"/>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414FCB5F" w14:textId="77777777" w:rsidR="00154AD2" w:rsidRDefault="007F6BF3">
            <w:pPr>
              <w:pStyle w:val="P68B1DB1-Normal8"/>
              <w:spacing w:after="0" w:line="240" w:lineRule="auto"/>
              <w:jc w:val="both"/>
              <w:rPr>
                <w:rFonts w:eastAsia="Times New Roman" w:cs="Calibri"/>
                <w:noProof/>
              </w:rPr>
            </w:pPr>
            <w:r>
              <w:rPr>
                <w:noProof/>
              </w:rPr>
              <w:t>Αριθμός νέου εξοπλισμού πληροφορικής για το περιφερειακό σύστημα υγείας της Μαδέρας με σκοπό την παρακολούθηση και τη διασφάλιση μεγαλύτερης εγγύτητας με τους χρήστες του περιφερειακού συστήματος υγείας της Μαδέρας, την προώθηση της μείωσης του κινδύνου σφαλμάτων, καθώς και την ενίσχυση της αποτελεσματικότητας και της ταχείας πρόσβασης στα δεδομένα των χρηστών.</w:t>
            </w:r>
          </w:p>
        </w:tc>
      </w:tr>
      <w:tr w:rsidR="00154AD2" w14:paraId="3B6BEA0A" w14:textId="77777777">
        <w:trPr>
          <w:trHeight w:val="430"/>
        </w:trPr>
        <w:tc>
          <w:tcPr>
            <w:tcW w:w="1135" w:type="dxa"/>
            <w:shd w:val="clear" w:color="auto" w:fill="C4EFCE"/>
            <w:noWrap/>
            <w:vAlign w:val="center"/>
            <w:hideMark/>
          </w:tcPr>
          <w:p w14:paraId="1C2B4CDB" w14:textId="77777777" w:rsidR="00154AD2" w:rsidRDefault="007F6BF3">
            <w:pPr>
              <w:pStyle w:val="P68B1DB1-Normal7"/>
              <w:spacing w:after="0" w:line="240" w:lineRule="auto"/>
              <w:jc w:val="center"/>
              <w:rPr>
                <w:rFonts w:eastAsia="Times New Roman" w:cs="Calibri"/>
                <w:noProof/>
              </w:rPr>
            </w:pPr>
            <w:r>
              <w:rPr>
                <w:noProof/>
              </w:rPr>
              <w:t>1.36</w:t>
            </w:r>
          </w:p>
        </w:tc>
        <w:tc>
          <w:tcPr>
            <w:tcW w:w="1276" w:type="dxa"/>
            <w:shd w:val="clear" w:color="auto" w:fill="C4EFCE"/>
            <w:noWrap/>
            <w:vAlign w:val="center"/>
            <w:hideMark/>
          </w:tcPr>
          <w:p w14:paraId="44303377" w14:textId="77777777" w:rsidR="00154AD2" w:rsidRDefault="007F6BF3">
            <w:pPr>
              <w:pStyle w:val="P68B1DB1-Normal8"/>
              <w:spacing w:after="0" w:line="240" w:lineRule="auto"/>
              <w:jc w:val="center"/>
              <w:rPr>
                <w:rFonts w:eastAsia="Times New Roman" w:cs="Calibri"/>
                <w:noProof/>
              </w:rPr>
            </w:pPr>
            <w:r>
              <w:rPr>
                <w:noProof/>
              </w:rPr>
              <w:t>RE-C01-i08-RAA</w:t>
            </w:r>
          </w:p>
        </w:tc>
        <w:tc>
          <w:tcPr>
            <w:tcW w:w="992" w:type="dxa"/>
            <w:shd w:val="clear" w:color="auto" w:fill="C4EFCE"/>
            <w:noWrap/>
            <w:vAlign w:val="center"/>
            <w:hideMark/>
          </w:tcPr>
          <w:p w14:paraId="08334822" w14:textId="77777777" w:rsidR="00154AD2" w:rsidRDefault="007F6BF3">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3262E30B" w14:textId="77777777" w:rsidR="00154AD2" w:rsidRDefault="007F6BF3">
            <w:pPr>
              <w:pStyle w:val="P68B1DB1-Normal8"/>
              <w:spacing w:after="0" w:line="240" w:lineRule="auto"/>
              <w:jc w:val="center"/>
              <w:rPr>
                <w:rFonts w:eastAsia="Times New Roman" w:cs="Calibri"/>
                <w:noProof/>
              </w:rPr>
            </w:pPr>
            <w:r>
              <w:rPr>
                <w:noProof/>
              </w:rPr>
              <w:t>Αυξημένη πρόσβαση στην πύλη χρηστών του περιφερειακού συστήματος υγείας των Αζορών</w:t>
            </w:r>
          </w:p>
        </w:tc>
        <w:tc>
          <w:tcPr>
            <w:tcW w:w="1418" w:type="dxa"/>
            <w:shd w:val="clear" w:color="auto" w:fill="C4EFCE"/>
            <w:noWrap/>
            <w:vAlign w:val="center"/>
            <w:hideMark/>
          </w:tcPr>
          <w:p w14:paraId="16ACFAA9" w14:textId="77777777" w:rsidR="00154AD2" w:rsidRDefault="007F6BF3">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0518DAD3"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62" w:type="dxa"/>
            <w:shd w:val="clear" w:color="auto" w:fill="C4EFCE"/>
            <w:noWrap/>
            <w:vAlign w:val="center"/>
            <w:hideMark/>
          </w:tcPr>
          <w:p w14:paraId="258F7153" w14:textId="77777777" w:rsidR="00154AD2" w:rsidRDefault="007F6BF3">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0AFB3820" w14:textId="77777777" w:rsidR="00154AD2" w:rsidRDefault="007F6BF3">
            <w:pPr>
              <w:pStyle w:val="P68B1DB1-Normal8"/>
              <w:spacing w:after="0" w:line="240" w:lineRule="auto"/>
              <w:jc w:val="center"/>
              <w:rPr>
                <w:rFonts w:eastAsia="Times New Roman" w:cs="Calibri"/>
                <w:noProof/>
              </w:rPr>
            </w:pPr>
            <w:r>
              <w:rPr>
                <w:noProof/>
              </w:rPr>
              <w:t>25 000</w:t>
            </w:r>
          </w:p>
        </w:tc>
        <w:tc>
          <w:tcPr>
            <w:tcW w:w="833" w:type="dxa"/>
            <w:gridSpan w:val="2"/>
            <w:shd w:val="clear" w:color="auto" w:fill="C4EFCE"/>
            <w:noWrap/>
            <w:vAlign w:val="center"/>
            <w:hideMark/>
          </w:tcPr>
          <w:p w14:paraId="62A4D53A"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901" w:type="dxa"/>
            <w:shd w:val="clear" w:color="auto" w:fill="C4EFCE"/>
            <w:noWrap/>
            <w:vAlign w:val="center"/>
            <w:hideMark/>
          </w:tcPr>
          <w:p w14:paraId="6894F559" w14:textId="77777777" w:rsidR="00154AD2" w:rsidRDefault="007F6BF3">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35954B06" w14:textId="77777777" w:rsidR="00154AD2" w:rsidRDefault="007F6BF3">
            <w:pPr>
              <w:pStyle w:val="P68B1DB1-Normal8"/>
              <w:spacing w:after="0" w:line="240" w:lineRule="auto"/>
              <w:jc w:val="both"/>
              <w:rPr>
                <w:rFonts w:eastAsia="Times New Roman" w:cs="Calibri"/>
                <w:noProof/>
              </w:rPr>
            </w:pPr>
            <w:r>
              <w:rPr>
                <w:noProof/>
              </w:rPr>
              <w:t>Αριθμός πρόσθετων ετήσιων μεμονωμένων χρηστών που έχουν πρόσβαση στη δικτυακή πύλη χρηστών του περιφερειακού συστήματος υγείας των Αζορών, χάρη στη διεύρυνση των ψηφιακών υπηρεσιών υγείας και των ιατρικών πληροφοριών που διατίθενται εκεί.</w:t>
            </w:r>
          </w:p>
        </w:tc>
      </w:tr>
      <w:tr w:rsidR="00154AD2" w14:paraId="2C6F55F9" w14:textId="77777777">
        <w:trPr>
          <w:trHeight w:val="430"/>
        </w:trPr>
        <w:tc>
          <w:tcPr>
            <w:tcW w:w="1135" w:type="dxa"/>
            <w:shd w:val="clear" w:color="auto" w:fill="C4EFCE"/>
            <w:noWrap/>
            <w:vAlign w:val="center"/>
            <w:hideMark/>
          </w:tcPr>
          <w:p w14:paraId="35FE58B3" w14:textId="77777777" w:rsidR="00154AD2" w:rsidRDefault="007F6BF3">
            <w:pPr>
              <w:pStyle w:val="P68B1DB1-Normal7"/>
              <w:spacing w:after="0" w:line="240" w:lineRule="auto"/>
              <w:jc w:val="center"/>
              <w:rPr>
                <w:rFonts w:eastAsia="Times New Roman" w:cs="Calibri"/>
                <w:noProof/>
              </w:rPr>
            </w:pPr>
            <w:r>
              <w:rPr>
                <w:noProof/>
              </w:rPr>
              <w:t>1.37</w:t>
            </w:r>
          </w:p>
        </w:tc>
        <w:tc>
          <w:tcPr>
            <w:tcW w:w="1276" w:type="dxa"/>
            <w:shd w:val="clear" w:color="auto" w:fill="C4EFCE"/>
            <w:noWrap/>
            <w:vAlign w:val="center"/>
            <w:hideMark/>
          </w:tcPr>
          <w:p w14:paraId="799DA769" w14:textId="77777777" w:rsidR="00154AD2" w:rsidRDefault="007F6BF3">
            <w:pPr>
              <w:pStyle w:val="P68B1DB1-Normal8"/>
              <w:spacing w:after="0" w:line="240" w:lineRule="auto"/>
              <w:jc w:val="center"/>
              <w:rPr>
                <w:rFonts w:eastAsia="Times New Roman" w:cs="Calibri"/>
                <w:noProof/>
              </w:rPr>
            </w:pPr>
            <w:r>
              <w:rPr>
                <w:noProof/>
              </w:rPr>
              <w:t>RE-C01-i08-RAA</w:t>
            </w:r>
          </w:p>
        </w:tc>
        <w:tc>
          <w:tcPr>
            <w:tcW w:w="992" w:type="dxa"/>
            <w:shd w:val="clear" w:color="auto" w:fill="C4EFCE"/>
            <w:noWrap/>
            <w:vAlign w:val="center"/>
            <w:hideMark/>
          </w:tcPr>
          <w:p w14:paraId="302C65ED" w14:textId="77777777" w:rsidR="00154AD2" w:rsidRDefault="007F6BF3">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324EF576" w14:textId="77777777" w:rsidR="00154AD2" w:rsidRDefault="007F6BF3">
            <w:pPr>
              <w:pStyle w:val="P68B1DB1-Normal8"/>
              <w:spacing w:after="0" w:line="240" w:lineRule="auto"/>
              <w:jc w:val="center"/>
              <w:rPr>
                <w:rFonts w:eastAsia="Times New Roman" w:cs="Calibri"/>
                <w:noProof/>
              </w:rPr>
            </w:pPr>
            <w:r>
              <w:rPr>
                <w:noProof/>
              </w:rPr>
              <w:t>Εισαγωγή ραντεβού τηλεϊατρικής στην περιφερειακή υπηρεσία υγείας των Αζορών</w:t>
            </w:r>
          </w:p>
        </w:tc>
        <w:tc>
          <w:tcPr>
            <w:tcW w:w="1418" w:type="dxa"/>
            <w:shd w:val="clear" w:color="auto" w:fill="C4EFCE"/>
            <w:noWrap/>
            <w:vAlign w:val="center"/>
            <w:hideMark/>
          </w:tcPr>
          <w:p w14:paraId="1A2B8AD5" w14:textId="77777777" w:rsidR="00154AD2" w:rsidRDefault="007F6BF3">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1379D47D"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62" w:type="dxa"/>
            <w:shd w:val="clear" w:color="auto" w:fill="C4EFCE"/>
            <w:noWrap/>
            <w:vAlign w:val="center"/>
            <w:hideMark/>
          </w:tcPr>
          <w:p w14:paraId="43D98159" w14:textId="77777777" w:rsidR="00154AD2" w:rsidRDefault="007F6BF3">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0A44072E" w14:textId="77777777" w:rsidR="00154AD2" w:rsidRDefault="007F6BF3">
            <w:pPr>
              <w:pStyle w:val="P68B1DB1-Normal8"/>
              <w:spacing w:after="0" w:line="240" w:lineRule="auto"/>
              <w:jc w:val="center"/>
              <w:rPr>
                <w:rFonts w:eastAsia="Times New Roman" w:cs="Calibri"/>
                <w:noProof/>
              </w:rPr>
            </w:pPr>
            <w:r>
              <w:rPr>
                <w:noProof/>
              </w:rPr>
              <w:t>1 000</w:t>
            </w:r>
          </w:p>
        </w:tc>
        <w:tc>
          <w:tcPr>
            <w:tcW w:w="833" w:type="dxa"/>
            <w:gridSpan w:val="2"/>
            <w:shd w:val="clear" w:color="auto" w:fill="C4EFCE"/>
            <w:noWrap/>
            <w:vAlign w:val="center"/>
            <w:hideMark/>
          </w:tcPr>
          <w:p w14:paraId="6ED42D00"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901" w:type="dxa"/>
            <w:shd w:val="clear" w:color="auto" w:fill="C4EFCE"/>
            <w:noWrap/>
            <w:vAlign w:val="center"/>
            <w:hideMark/>
          </w:tcPr>
          <w:p w14:paraId="5CCF492B" w14:textId="77777777" w:rsidR="00154AD2" w:rsidRDefault="007F6BF3">
            <w:pPr>
              <w:pStyle w:val="P68B1DB1-Normal8"/>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1736CD51" w14:textId="77777777" w:rsidR="00154AD2" w:rsidRDefault="007F6BF3">
            <w:pPr>
              <w:pStyle w:val="P68B1DB1-Normal8"/>
              <w:spacing w:after="0" w:line="240" w:lineRule="auto"/>
              <w:jc w:val="both"/>
              <w:rPr>
                <w:rFonts w:eastAsia="Times New Roman" w:cs="Calibri"/>
                <w:noProof/>
              </w:rPr>
            </w:pPr>
            <w:r>
              <w:rPr>
                <w:noProof/>
              </w:rPr>
              <w:t>Αριθμός ετήσιων ραντεβού τηλεϊατρικής στις υπηρεσίες πρωτοβάθμιας υγειονομικής περίθαλψης και με ειδικούς ιατρούς στην Περιφερειακή Υπηρεσία Υγείας των Αζορών.</w:t>
            </w:r>
          </w:p>
        </w:tc>
      </w:tr>
      <w:tr w:rsidR="00154AD2" w14:paraId="0EE038BE" w14:textId="77777777">
        <w:trPr>
          <w:trHeight w:val="640"/>
        </w:trPr>
        <w:tc>
          <w:tcPr>
            <w:tcW w:w="1135" w:type="dxa"/>
            <w:shd w:val="clear" w:color="auto" w:fill="C4EFCE"/>
            <w:noWrap/>
            <w:vAlign w:val="center"/>
          </w:tcPr>
          <w:p w14:paraId="31A01111" w14:textId="4FBAFE14" w:rsidR="00154AD2" w:rsidRDefault="007F6BF3">
            <w:pPr>
              <w:pStyle w:val="P68B1DB1-Normal7"/>
              <w:spacing w:after="0" w:line="240" w:lineRule="auto"/>
              <w:jc w:val="center"/>
              <w:rPr>
                <w:rFonts w:eastAsia="Times New Roman" w:cs="Calibri"/>
                <w:noProof/>
              </w:rPr>
            </w:pPr>
            <w:r>
              <w:rPr>
                <w:noProof/>
              </w:rPr>
              <w:t>1.38</w:t>
            </w:r>
          </w:p>
        </w:tc>
        <w:tc>
          <w:tcPr>
            <w:tcW w:w="1276" w:type="dxa"/>
            <w:shd w:val="clear" w:color="auto" w:fill="C4EFCE"/>
            <w:noWrap/>
            <w:vAlign w:val="center"/>
          </w:tcPr>
          <w:p w14:paraId="64BB902A" w14:textId="53831F49" w:rsidR="00154AD2" w:rsidRDefault="007F6BF3">
            <w:pPr>
              <w:pStyle w:val="P68B1DB1-Normal8"/>
              <w:spacing w:after="0" w:line="240" w:lineRule="auto"/>
              <w:jc w:val="center"/>
              <w:rPr>
                <w:rFonts w:eastAsia="Times New Roman" w:cs="Calibri"/>
                <w:noProof/>
              </w:rPr>
            </w:pPr>
            <w:r>
              <w:rPr>
                <w:noProof/>
              </w:rPr>
              <w:t>RE-C01-i09</w:t>
            </w:r>
          </w:p>
        </w:tc>
        <w:tc>
          <w:tcPr>
            <w:tcW w:w="992" w:type="dxa"/>
            <w:shd w:val="clear" w:color="auto" w:fill="C4EFCE"/>
            <w:noWrap/>
            <w:vAlign w:val="center"/>
          </w:tcPr>
          <w:p w14:paraId="0A96970B" w14:textId="156C1E6E" w:rsidR="00154AD2" w:rsidRDefault="007F6BF3">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tcPr>
          <w:p w14:paraId="4E2D372B" w14:textId="0E63E0C8" w:rsidR="00154AD2" w:rsidRDefault="007F6BF3">
            <w:pPr>
              <w:pStyle w:val="P68B1DB1-Normal8"/>
              <w:spacing w:after="0" w:line="240" w:lineRule="auto"/>
              <w:jc w:val="center"/>
              <w:rPr>
                <w:rFonts w:eastAsia="Times New Roman" w:cs="Calibri"/>
                <w:noProof/>
              </w:rPr>
            </w:pPr>
            <w:r>
              <w:rPr>
                <w:noProof/>
              </w:rPr>
              <w:t>Ολοκλήρωση της υλοποίησης στα σχολεία των προγραμμάτων «Σχολική Κοινότητα Αθλητισμού» και «Σχολικός αθλητισμός στους τροχούς»</w:t>
            </w:r>
          </w:p>
        </w:tc>
        <w:tc>
          <w:tcPr>
            <w:tcW w:w="1418" w:type="dxa"/>
            <w:shd w:val="clear" w:color="auto" w:fill="C4EFCE"/>
            <w:noWrap/>
            <w:vAlign w:val="center"/>
          </w:tcPr>
          <w:p w14:paraId="37AA52F9" w14:textId="77777777" w:rsidR="00154AD2" w:rsidRDefault="00154AD2">
            <w:pPr>
              <w:spacing w:after="0" w:line="240" w:lineRule="auto"/>
              <w:jc w:val="center"/>
              <w:rPr>
                <w:rFonts w:ascii="Calibri" w:eastAsia="Times New Roman" w:hAnsi="Calibri" w:cs="Calibri"/>
                <w:noProof/>
                <w:sz w:val="16"/>
              </w:rPr>
            </w:pPr>
          </w:p>
        </w:tc>
        <w:tc>
          <w:tcPr>
            <w:tcW w:w="1164" w:type="dxa"/>
            <w:shd w:val="clear" w:color="auto" w:fill="C4EFCE"/>
            <w:noWrap/>
            <w:vAlign w:val="center"/>
          </w:tcPr>
          <w:p w14:paraId="1C3DF8F2" w14:textId="15771FE2" w:rsidR="00154AD2" w:rsidRDefault="007F6BF3">
            <w:pPr>
              <w:pStyle w:val="P68B1DB1-Normal8"/>
              <w:spacing w:after="0" w:line="240" w:lineRule="auto"/>
              <w:jc w:val="center"/>
              <w:rPr>
                <w:rFonts w:eastAsia="Times New Roman" w:cs="Calibri"/>
                <w:noProof/>
              </w:rPr>
            </w:pPr>
            <w:r>
              <w:rPr>
                <w:noProof/>
              </w:rPr>
              <w:t>Αριθμός</w:t>
            </w:r>
          </w:p>
        </w:tc>
        <w:tc>
          <w:tcPr>
            <w:tcW w:w="962" w:type="dxa"/>
            <w:shd w:val="clear" w:color="auto" w:fill="C4EFCE"/>
            <w:noWrap/>
            <w:vAlign w:val="center"/>
          </w:tcPr>
          <w:p w14:paraId="10841144" w14:textId="7A4A9BBC" w:rsidR="00154AD2" w:rsidRDefault="007F6BF3">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tcPr>
          <w:p w14:paraId="35971DC5" w14:textId="6ECAC858" w:rsidR="00154AD2" w:rsidRDefault="007F6BF3">
            <w:pPr>
              <w:pStyle w:val="P68B1DB1-Normal8"/>
              <w:spacing w:after="0" w:line="240" w:lineRule="auto"/>
              <w:jc w:val="center"/>
              <w:rPr>
                <w:rFonts w:eastAsia="Times New Roman" w:cs="Calibri"/>
                <w:noProof/>
              </w:rPr>
            </w:pPr>
            <w:r>
              <w:rPr>
                <w:noProof/>
              </w:rPr>
              <w:t>1980</w:t>
            </w:r>
          </w:p>
        </w:tc>
        <w:tc>
          <w:tcPr>
            <w:tcW w:w="833" w:type="dxa"/>
            <w:gridSpan w:val="2"/>
            <w:shd w:val="clear" w:color="auto" w:fill="C4EFCE"/>
            <w:noWrap/>
            <w:vAlign w:val="center"/>
          </w:tcPr>
          <w:p w14:paraId="015DCDA9" w14:textId="1FBC0FB9" w:rsidR="00154AD2" w:rsidRDefault="007F6BF3">
            <w:pPr>
              <w:pStyle w:val="P68B1DB1-Normal8"/>
              <w:spacing w:after="0" w:line="240" w:lineRule="auto"/>
              <w:jc w:val="center"/>
              <w:rPr>
                <w:rFonts w:eastAsia="Times New Roman" w:cs="Calibri"/>
                <w:noProof/>
              </w:rPr>
            </w:pPr>
            <w:r>
              <w:rPr>
                <w:noProof/>
              </w:rPr>
              <w:t>ΤΡΊΜΗΝΟ 3</w:t>
            </w:r>
          </w:p>
        </w:tc>
        <w:tc>
          <w:tcPr>
            <w:tcW w:w="901" w:type="dxa"/>
            <w:shd w:val="clear" w:color="auto" w:fill="C4EFCE"/>
            <w:noWrap/>
            <w:vAlign w:val="center"/>
          </w:tcPr>
          <w:p w14:paraId="06A77DA0" w14:textId="20CE1881" w:rsidR="00154AD2" w:rsidRDefault="007F6BF3">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tcPr>
          <w:p w14:paraId="628B2390" w14:textId="163A1F48" w:rsidR="00154AD2" w:rsidRDefault="007F6BF3">
            <w:pPr>
              <w:pStyle w:val="P68B1DB1-Normal8"/>
              <w:spacing w:after="0" w:line="240" w:lineRule="auto"/>
              <w:jc w:val="both"/>
              <w:rPr>
                <w:rFonts w:eastAsia="Times New Roman" w:cs="Calibri"/>
                <w:noProof/>
              </w:rPr>
            </w:pPr>
            <w:r>
              <w:rPr>
                <w:noProof/>
              </w:rPr>
              <w:t>Αριθμός κιτ ποδηλάτων που περιλαμβάνουν ποδήλατα διαφόρων μεγεθών που παραδίδονται σε σχολεία δεύτερου κύκλου με σκοπό τη διδασκαλία της ποδηλασίας σε μαθητές, καθώς και κιτ ποδηλάτων ενηλίκων που παραδίδονται σε δημόσια σχολεία στο πλαίσιο του προγράμματος «Σχολεία Αθλητισμού»</w:t>
            </w:r>
          </w:p>
        </w:tc>
      </w:tr>
      <w:tr w:rsidR="00154AD2" w14:paraId="150B873E" w14:textId="77777777">
        <w:trPr>
          <w:trHeight w:val="640"/>
        </w:trPr>
        <w:tc>
          <w:tcPr>
            <w:tcW w:w="1135" w:type="dxa"/>
            <w:shd w:val="clear" w:color="auto" w:fill="C4EFCE"/>
            <w:noWrap/>
            <w:vAlign w:val="center"/>
            <w:hideMark/>
          </w:tcPr>
          <w:p w14:paraId="0C72F16B" w14:textId="77777777" w:rsidR="00154AD2" w:rsidRDefault="007F6BF3">
            <w:pPr>
              <w:pStyle w:val="P68B1DB1-Normal7"/>
              <w:spacing w:after="0" w:line="240" w:lineRule="auto"/>
              <w:jc w:val="center"/>
              <w:rPr>
                <w:rFonts w:eastAsia="Times New Roman" w:cs="Calibri"/>
                <w:noProof/>
              </w:rPr>
            </w:pPr>
            <w:r>
              <w:rPr>
                <w:noProof/>
              </w:rPr>
              <w:t>1.39</w:t>
            </w:r>
          </w:p>
        </w:tc>
        <w:tc>
          <w:tcPr>
            <w:tcW w:w="1276" w:type="dxa"/>
            <w:shd w:val="clear" w:color="auto" w:fill="C4EFCE"/>
            <w:noWrap/>
            <w:vAlign w:val="center"/>
            <w:hideMark/>
          </w:tcPr>
          <w:p w14:paraId="30A44D52" w14:textId="77777777" w:rsidR="00154AD2" w:rsidRDefault="007F6BF3">
            <w:pPr>
              <w:pStyle w:val="P68B1DB1-Normal8"/>
              <w:spacing w:after="0" w:line="240" w:lineRule="auto"/>
              <w:jc w:val="center"/>
              <w:rPr>
                <w:rFonts w:eastAsia="Times New Roman" w:cs="Calibri"/>
                <w:noProof/>
              </w:rPr>
            </w:pPr>
            <w:r>
              <w:rPr>
                <w:noProof/>
              </w:rPr>
              <w:t>RE-C01-i09</w:t>
            </w:r>
          </w:p>
        </w:tc>
        <w:tc>
          <w:tcPr>
            <w:tcW w:w="992" w:type="dxa"/>
            <w:shd w:val="clear" w:color="auto" w:fill="C4EFCE"/>
            <w:noWrap/>
            <w:vAlign w:val="center"/>
            <w:hideMark/>
          </w:tcPr>
          <w:p w14:paraId="2A370627" w14:textId="77777777" w:rsidR="00154AD2" w:rsidRDefault="007F6BF3">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1BF3C4F6" w14:textId="77777777" w:rsidR="00154AD2" w:rsidRDefault="007F6BF3">
            <w:pPr>
              <w:pStyle w:val="P68B1DB1-Normal8"/>
              <w:spacing w:after="0" w:line="240" w:lineRule="auto"/>
              <w:jc w:val="center"/>
              <w:rPr>
                <w:rFonts w:eastAsia="Times New Roman" w:cs="Calibri"/>
                <w:noProof/>
              </w:rPr>
            </w:pPr>
            <w:r>
              <w:rPr>
                <w:noProof/>
              </w:rPr>
              <w:t>Έναρξη της εθνικής εκστρατείας για το σύστημα υποστήριξης της καθολικής ενεργού ζωής και τη σχετική τεχνολογική πλατφόρμα</w:t>
            </w:r>
          </w:p>
        </w:tc>
        <w:tc>
          <w:tcPr>
            <w:tcW w:w="1418" w:type="dxa"/>
            <w:shd w:val="clear" w:color="auto" w:fill="C4EFCE"/>
            <w:noWrap/>
            <w:vAlign w:val="center"/>
            <w:hideMark/>
          </w:tcPr>
          <w:p w14:paraId="71D7CD15" w14:textId="77777777" w:rsidR="00154AD2" w:rsidRDefault="007F6BF3">
            <w:pPr>
              <w:pStyle w:val="P68B1DB1-Normal8"/>
              <w:spacing w:after="0" w:line="240" w:lineRule="auto"/>
              <w:jc w:val="center"/>
              <w:rPr>
                <w:rFonts w:eastAsia="Times New Roman" w:cs="Calibri"/>
                <w:noProof/>
              </w:rPr>
            </w:pPr>
            <w:r>
              <w:rPr>
                <w:noProof/>
              </w:rPr>
              <w:t>Νέοι δίαυλοι επικοινωνίας και πλατφόρμα σε λειτουργία για την εθνική εκστρατεία για το σύστημα υποστήριξης της καθολικής ενεργού ζωής</w:t>
            </w:r>
          </w:p>
        </w:tc>
        <w:tc>
          <w:tcPr>
            <w:tcW w:w="1164" w:type="dxa"/>
            <w:shd w:val="clear" w:color="auto" w:fill="C4EFCE"/>
            <w:noWrap/>
            <w:vAlign w:val="center"/>
            <w:hideMark/>
          </w:tcPr>
          <w:p w14:paraId="7EE395E9" w14:textId="77777777" w:rsidR="00154AD2" w:rsidRDefault="007F6BF3">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7BFB1270" w14:textId="77777777" w:rsidR="00154AD2" w:rsidRDefault="007F6BF3">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69FF4A32" w14:textId="77777777" w:rsidR="00154AD2" w:rsidRDefault="007F6BF3">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01CE5595" w14:textId="33DE1500" w:rsidR="00154AD2" w:rsidRDefault="007F6BF3">
            <w:pPr>
              <w:pStyle w:val="P68B1DB1-Normal8"/>
              <w:spacing w:after="0" w:line="240" w:lineRule="auto"/>
              <w:jc w:val="center"/>
              <w:rPr>
                <w:rFonts w:eastAsia="Times New Roman" w:cs="Calibri"/>
                <w:noProof/>
              </w:rPr>
            </w:pPr>
            <w:r>
              <w:rPr>
                <w:noProof/>
              </w:rPr>
              <w:t>ΤΡΊΜΗΝΟ 3</w:t>
            </w:r>
          </w:p>
        </w:tc>
        <w:tc>
          <w:tcPr>
            <w:tcW w:w="901" w:type="dxa"/>
            <w:shd w:val="clear" w:color="auto" w:fill="C4EFCE"/>
            <w:noWrap/>
            <w:vAlign w:val="center"/>
            <w:hideMark/>
          </w:tcPr>
          <w:p w14:paraId="63B5DA71" w14:textId="77777777" w:rsidR="00154AD2" w:rsidRDefault="007F6BF3">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528A0C6D" w14:textId="77777777" w:rsidR="00154AD2" w:rsidRDefault="007F6BF3">
            <w:pPr>
              <w:pStyle w:val="P68B1DB1-Normal8"/>
              <w:spacing w:after="0" w:line="240" w:lineRule="auto"/>
              <w:jc w:val="both"/>
              <w:rPr>
                <w:rFonts w:eastAsia="Times New Roman" w:cs="Calibri"/>
                <w:noProof/>
              </w:rPr>
            </w:pPr>
            <w:r>
              <w:rPr>
                <w:noProof/>
              </w:rPr>
              <w:t>Έναρξη εθνικής εκστρατείας για το καθολικό σύστημα υποστήριξης της ενεργού ζωής και τη σχετική τεχνολογική πλατφόρμα, προκειμένου να αυξηθούν οι γνώσεις των πολιτών σχετικά με τα οφέλη της τακτικής σωματικής άσκησης, σε όλες τις ηλικίες και ανάλογα με τις ικανότητές τους, με στόχο να ενθαρρυνθεί η υιοθέτηση υγιέστερων τρόπων ζωής.</w:t>
            </w:r>
          </w:p>
        </w:tc>
      </w:tr>
      <w:tr w:rsidR="00154AD2" w14:paraId="32DDB6EB" w14:textId="77777777">
        <w:trPr>
          <w:trHeight w:val="640"/>
        </w:trPr>
        <w:tc>
          <w:tcPr>
            <w:tcW w:w="1135" w:type="dxa"/>
            <w:shd w:val="clear" w:color="auto" w:fill="C4EFCE"/>
            <w:noWrap/>
            <w:vAlign w:val="center"/>
          </w:tcPr>
          <w:p w14:paraId="5EA543BD" w14:textId="73E365A0" w:rsidR="00154AD2" w:rsidRDefault="007F6BF3">
            <w:pPr>
              <w:pStyle w:val="P68B1DB1-Normal11"/>
              <w:spacing w:after="0" w:line="240" w:lineRule="auto"/>
              <w:jc w:val="center"/>
              <w:rPr>
                <w:rFonts w:eastAsia="Times New Roman" w:cstheme="minorHAnsi"/>
                <w:noProof/>
              </w:rPr>
            </w:pPr>
            <w:r>
              <w:rPr>
                <w:noProof/>
              </w:rPr>
              <w:t>1.41</w:t>
            </w:r>
          </w:p>
        </w:tc>
        <w:tc>
          <w:tcPr>
            <w:tcW w:w="1276" w:type="dxa"/>
            <w:shd w:val="clear" w:color="auto" w:fill="C4EFCE"/>
            <w:noWrap/>
            <w:vAlign w:val="center"/>
          </w:tcPr>
          <w:p w14:paraId="052499FB" w14:textId="346E2DBB" w:rsidR="00154AD2" w:rsidRDefault="007F6BF3">
            <w:pPr>
              <w:pStyle w:val="P68B1DB1-Normal12"/>
              <w:spacing w:after="0" w:line="240" w:lineRule="auto"/>
              <w:jc w:val="center"/>
              <w:rPr>
                <w:rFonts w:eastAsia="Times New Roman" w:cstheme="minorHAnsi"/>
                <w:noProof/>
                <w:highlight w:val="cyan"/>
              </w:rPr>
            </w:pPr>
            <w:r>
              <w:rPr>
                <w:noProof/>
              </w:rPr>
              <w:t>RE-C01-i10</w:t>
            </w:r>
          </w:p>
        </w:tc>
        <w:tc>
          <w:tcPr>
            <w:tcW w:w="992" w:type="dxa"/>
            <w:shd w:val="clear" w:color="auto" w:fill="C4EFCE"/>
            <w:noWrap/>
            <w:vAlign w:val="center"/>
          </w:tcPr>
          <w:p w14:paraId="6833F05F" w14:textId="01DD35B4" w:rsidR="00154AD2" w:rsidRDefault="007F6BF3">
            <w:pPr>
              <w:pStyle w:val="P68B1DB1-Normal12"/>
              <w:spacing w:after="0" w:line="240" w:lineRule="auto"/>
              <w:jc w:val="center"/>
              <w:rPr>
                <w:rFonts w:eastAsia="Times New Roman" w:cstheme="minorHAnsi"/>
                <w:noProof/>
                <w:highlight w:val="cyan"/>
              </w:rPr>
            </w:pPr>
            <w:r>
              <w:rPr>
                <w:noProof/>
              </w:rPr>
              <w:t>M</w:t>
            </w:r>
          </w:p>
        </w:tc>
        <w:tc>
          <w:tcPr>
            <w:tcW w:w="1843" w:type="dxa"/>
            <w:shd w:val="clear" w:color="auto" w:fill="C4EFCE"/>
            <w:noWrap/>
            <w:vAlign w:val="center"/>
          </w:tcPr>
          <w:p w14:paraId="2B996393" w14:textId="1E61FAE8" w:rsidR="00154AD2" w:rsidRDefault="007F6BF3">
            <w:pPr>
              <w:pStyle w:val="P68B1DB1-Normal12"/>
              <w:spacing w:after="0" w:line="240" w:lineRule="auto"/>
              <w:jc w:val="center"/>
              <w:rPr>
                <w:rFonts w:eastAsia="Times New Roman" w:cstheme="minorHAnsi"/>
                <w:noProof/>
                <w:highlight w:val="cyan"/>
              </w:rPr>
            </w:pPr>
            <w:r>
              <w:rPr>
                <w:noProof/>
              </w:rPr>
              <w:t>Έγκριση της έκθεσης για τον προσδιορισμό των αναγκών του ΕΣΥ για βαρύ ιατρικό εξοπλισμό</w:t>
            </w:r>
          </w:p>
        </w:tc>
        <w:tc>
          <w:tcPr>
            <w:tcW w:w="1418" w:type="dxa"/>
            <w:shd w:val="clear" w:color="auto" w:fill="C4EFCE"/>
            <w:noWrap/>
            <w:vAlign w:val="center"/>
          </w:tcPr>
          <w:p w14:paraId="368DC9EE" w14:textId="2FE358D2" w:rsidR="00154AD2" w:rsidRDefault="007F6BF3">
            <w:pPr>
              <w:pStyle w:val="P68B1DB1-Normal12"/>
              <w:spacing w:after="0" w:line="240" w:lineRule="auto"/>
              <w:jc w:val="center"/>
              <w:rPr>
                <w:rFonts w:eastAsia="Times New Roman" w:cstheme="minorHAnsi"/>
                <w:noProof/>
                <w:highlight w:val="cyan"/>
              </w:rPr>
            </w:pPr>
            <w:r>
              <w:rPr>
                <w:noProof/>
              </w:rPr>
              <w:t>Έγκριση της έκθεσης</w:t>
            </w:r>
          </w:p>
        </w:tc>
        <w:tc>
          <w:tcPr>
            <w:tcW w:w="1164" w:type="dxa"/>
            <w:shd w:val="clear" w:color="auto" w:fill="C4EFCE"/>
            <w:noWrap/>
            <w:vAlign w:val="center"/>
          </w:tcPr>
          <w:p w14:paraId="78888CE5" w14:textId="77777777" w:rsidR="00154AD2" w:rsidRDefault="00154AD2">
            <w:pPr>
              <w:spacing w:after="0" w:line="240" w:lineRule="auto"/>
              <w:jc w:val="center"/>
              <w:rPr>
                <w:rFonts w:eastAsia="Times New Roman" w:cstheme="minorHAnsi"/>
                <w:noProof/>
                <w:sz w:val="16"/>
              </w:rPr>
            </w:pPr>
          </w:p>
        </w:tc>
        <w:tc>
          <w:tcPr>
            <w:tcW w:w="962" w:type="dxa"/>
            <w:shd w:val="clear" w:color="auto" w:fill="C4EFCE"/>
            <w:noWrap/>
            <w:vAlign w:val="center"/>
          </w:tcPr>
          <w:p w14:paraId="29921A70" w14:textId="77777777" w:rsidR="00154AD2" w:rsidRDefault="00154AD2">
            <w:pPr>
              <w:spacing w:after="0" w:line="240" w:lineRule="auto"/>
              <w:jc w:val="center"/>
              <w:rPr>
                <w:rFonts w:eastAsia="Times New Roman" w:cstheme="minorHAnsi"/>
                <w:noProof/>
                <w:sz w:val="16"/>
              </w:rPr>
            </w:pPr>
          </w:p>
        </w:tc>
        <w:tc>
          <w:tcPr>
            <w:tcW w:w="805" w:type="dxa"/>
            <w:shd w:val="clear" w:color="auto" w:fill="C4EFCE"/>
            <w:noWrap/>
            <w:vAlign w:val="center"/>
          </w:tcPr>
          <w:p w14:paraId="650D0E3B" w14:textId="77777777" w:rsidR="00154AD2" w:rsidRDefault="00154AD2">
            <w:pPr>
              <w:spacing w:after="0" w:line="240" w:lineRule="auto"/>
              <w:jc w:val="center"/>
              <w:rPr>
                <w:rFonts w:eastAsia="Times New Roman" w:cstheme="minorHAnsi"/>
                <w:noProof/>
                <w:sz w:val="16"/>
              </w:rPr>
            </w:pPr>
          </w:p>
        </w:tc>
        <w:tc>
          <w:tcPr>
            <w:tcW w:w="833" w:type="dxa"/>
            <w:gridSpan w:val="2"/>
            <w:shd w:val="clear" w:color="auto" w:fill="C4EFCE"/>
            <w:noWrap/>
            <w:vAlign w:val="center"/>
          </w:tcPr>
          <w:p w14:paraId="40E7DB94" w14:textId="3FD34628" w:rsidR="00154AD2" w:rsidRDefault="007F6BF3">
            <w:pPr>
              <w:pStyle w:val="P68B1DB1-Normal12"/>
              <w:spacing w:after="0" w:line="240" w:lineRule="auto"/>
              <w:jc w:val="center"/>
              <w:rPr>
                <w:rFonts w:eastAsia="Times New Roman" w:cstheme="minorHAnsi"/>
                <w:noProof/>
                <w:highlight w:val="cyan"/>
              </w:rPr>
            </w:pPr>
            <w:r>
              <w:rPr>
                <w:noProof/>
              </w:rPr>
              <w:t>ΤΡΊΜΗΝΟ 3</w:t>
            </w:r>
          </w:p>
        </w:tc>
        <w:tc>
          <w:tcPr>
            <w:tcW w:w="901" w:type="dxa"/>
            <w:shd w:val="clear" w:color="auto" w:fill="C4EFCE"/>
            <w:noWrap/>
            <w:vAlign w:val="center"/>
          </w:tcPr>
          <w:p w14:paraId="19DF970F" w14:textId="27374C84" w:rsidR="00154AD2" w:rsidRDefault="007F6BF3">
            <w:pPr>
              <w:pStyle w:val="P68B1DB1-Normal12"/>
              <w:spacing w:after="0" w:line="240" w:lineRule="auto"/>
              <w:jc w:val="center"/>
              <w:rPr>
                <w:rFonts w:eastAsia="Times New Roman" w:cstheme="minorHAnsi"/>
                <w:noProof/>
                <w:highlight w:val="cyan"/>
              </w:rPr>
            </w:pPr>
            <w:r>
              <w:rPr>
                <w:noProof/>
              </w:rPr>
              <w:t>2023</w:t>
            </w:r>
          </w:p>
        </w:tc>
        <w:tc>
          <w:tcPr>
            <w:tcW w:w="3981" w:type="dxa"/>
            <w:shd w:val="clear" w:color="auto" w:fill="C4EFCE"/>
            <w:noWrap/>
            <w:vAlign w:val="center"/>
          </w:tcPr>
          <w:p w14:paraId="31B2C935" w14:textId="47B64D40" w:rsidR="00154AD2" w:rsidRDefault="007F6BF3">
            <w:pPr>
              <w:pStyle w:val="P68B1DB1-Normal12"/>
              <w:spacing w:after="0" w:line="240" w:lineRule="auto"/>
              <w:jc w:val="both"/>
              <w:rPr>
                <w:rFonts w:eastAsia="Times New Roman" w:cstheme="minorHAnsi"/>
                <w:noProof/>
                <w:highlight w:val="cyan"/>
              </w:rPr>
            </w:pPr>
            <w:r>
              <w:rPr>
                <w:noProof/>
              </w:rPr>
              <w:t xml:space="preserve">Έγκριση της έκθεσης από το Υπουργείο Υγείας, στην οποία προσδιορίζονται οι ανάγκες των νοσοκομείων της Εθνικής Υπηρεσίας Υγείας για βαρύ ιατρικό εξοπλισμό. Η έκθεση αυτή προσδιορίζει τόσο την ανάγκη αγοράς αυτού του είδους εξοπλισμού για πρώτη φορά όσο και την ανάγκη αντικατάστασης υφιστάμενου βαρέος ιατρικού εξοπλισμού. </w:t>
            </w:r>
          </w:p>
        </w:tc>
      </w:tr>
      <w:tr w:rsidR="00154AD2" w14:paraId="7BB31006" w14:textId="77777777">
        <w:trPr>
          <w:trHeight w:val="1265"/>
        </w:trPr>
        <w:tc>
          <w:tcPr>
            <w:tcW w:w="1135" w:type="dxa"/>
            <w:shd w:val="clear" w:color="auto" w:fill="C4EFCE"/>
            <w:noWrap/>
            <w:vAlign w:val="center"/>
          </w:tcPr>
          <w:p w14:paraId="2BC5216A" w14:textId="01C240B8" w:rsidR="00154AD2" w:rsidRDefault="007F6BF3">
            <w:pPr>
              <w:pStyle w:val="P68B1DB1-Normal11"/>
              <w:spacing w:after="0" w:line="240" w:lineRule="auto"/>
              <w:jc w:val="center"/>
              <w:rPr>
                <w:rFonts w:eastAsia="Times New Roman" w:cstheme="minorHAnsi"/>
                <w:noProof/>
              </w:rPr>
            </w:pPr>
            <w:r>
              <w:rPr>
                <w:noProof/>
              </w:rPr>
              <w:t>1.42</w:t>
            </w:r>
          </w:p>
        </w:tc>
        <w:tc>
          <w:tcPr>
            <w:tcW w:w="1276" w:type="dxa"/>
            <w:shd w:val="clear" w:color="auto" w:fill="C4EFCE"/>
            <w:noWrap/>
            <w:vAlign w:val="center"/>
          </w:tcPr>
          <w:p w14:paraId="449FB587" w14:textId="4BFA8415" w:rsidR="00154AD2" w:rsidRDefault="007F6BF3">
            <w:pPr>
              <w:pStyle w:val="P68B1DB1-Normal12"/>
              <w:spacing w:after="0" w:line="240" w:lineRule="auto"/>
              <w:jc w:val="center"/>
              <w:rPr>
                <w:rFonts w:eastAsia="Times New Roman" w:cstheme="minorHAnsi"/>
                <w:noProof/>
                <w:highlight w:val="cyan"/>
              </w:rPr>
            </w:pPr>
            <w:r>
              <w:rPr>
                <w:noProof/>
              </w:rPr>
              <w:t>RE-C01-i10</w:t>
            </w:r>
          </w:p>
        </w:tc>
        <w:tc>
          <w:tcPr>
            <w:tcW w:w="992" w:type="dxa"/>
            <w:shd w:val="clear" w:color="auto" w:fill="C4EFCE"/>
            <w:noWrap/>
            <w:vAlign w:val="center"/>
          </w:tcPr>
          <w:p w14:paraId="3E03C39A" w14:textId="64A9F783" w:rsidR="00154AD2" w:rsidRDefault="007F6BF3">
            <w:pPr>
              <w:pStyle w:val="P68B1DB1-Normal12"/>
              <w:spacing w:after="0" w:line="240" w:lineRule="auto"/>
              <w:jc w:val="center"/>
              <w:rPr>
                <w:rFonts w:eastAsia="Times New Roman" w:cstheme="minorHAnsi"/>
                <w:noProof/>
                <w:highlight w:val="cyan"/>
              </w:rPr>
            </w:pPr>
            <w:r>
              <w:rPr>
                <w:noProof/>
              </w:rPr>
              <w:t>T</w:t>
            </w:r>
          </w:p>
        </w:tc>
        <w:tc>
          <w:tcPr>
            <w:tcW w:w="1843" w:type="dxa"/>
            <w:shd w:val="clear" w:color="auto" w:fill="C4EFCE"/>
            <w:noWrap/>
            <w:vAlign w:val="center"/>
          </w:tcPr>
          <w:p w14:paraId="3173B055" w14:textId="67894D48" w:rsidR="00154AD2" w:rsidRDefault="007F6BF3">
            <w:pPr>
              <w:pStyle w:val="P68B1DB1-Normal12"/>
              <w:spacing w:after="0" w:line="240" w:lineRule="auto"/>
              <w:jc w:val="center"/>
              <w:rPr>
                <w:rFonts w:eastAsia="Times New Roman" w:cstheme="minorHAnsi"/>
                <w:noProof/>
                <w:highlight w:val="cyan"/>
              </w:rPr>
            </w:pPr>
            <w:r>
              <w:rPr>
                <w:noProof/>
              </w:rPr>
              <w:t>Αγορά βαρέος ιατρικού εξοπλισμού</w:t>
            </w:r>
          </w:p>
        </w:tc>
        <w:tc>
          <w:tcPr>
            <w:tcW w:w="1418" w:type="dxa"/>
            <w:shd w:val="clear" w:color="auto" w:fill="C4EFCE"/>
            <w:noWrap/>
            <w:vAlign w:val="center"/>
          </w:tcPr>
          <w:p w14:paraId="3E4067FF" w14:textId="77777777" w:rsidR="00154AD2" w:rsidRDefault="00154AD2">
            <w:pPr>
              <w:spacing w:after="0" w:line="240" w:lineRule="auto"/>
              <w:jc w:val="center"/>
              <w:rPr>
                <w:rFonts w:eastAsia="Times New Roman" w:cstheme="minorHAnsi"/>
                <w:noProof/>
                <w:sz w:val="16"/>
                <w:highlight w:val="cyan"/>
              </w:rPr>
            </w:pPr>
          </w:p>
        </w:tc>
        <w:tc>
          <w:tcPr>
            <w:tcW w:w="1164" w:type="dxa"/>
            <w:shd w:val="clear" w:color="auto" w:fill="C4EFCE"/>
            <w:noWrap/>
            <w:vAlign w:val="center"/>
          </w:tcPr>
          <w:p w14:paraId="47E2878A" w14:textId="1966A431" w:rsidR="00154AD2" w:rsidRDefault="007F6BF3">
            <w:pPr>
              <w:pStyle w:val="P68B1DB1-Normal12"/>
              <w:spacing w:after="0" w:line="240" w:lineRule="auto"/>
              <w:jc w:val="center"/>
              <w:rPr>
                <w:rFonts w:eastAsia="Times New Roman" w:cstheme="minorHAnsi"/>
                <w:noProof/>
              </w:rPr>
            </w:pPr>
            <w:r>
              <w:rPr>
                <w:noProof/>
              </w:rPr>
              <w:t xml:space="preserve">Αριθμός </w:t>
            </w:r>
          </w:p>
        </w:tc>
        <w:tc>
          <w:tcPr>
            <w:tcW w:w="962" w:type="dxa"/>
            <w:shd w:val="clear" w:color="auto" w:fill="C4EFCE"/>
            <w:noWrap/>
            <w:vAlign w:val="center"/>
          </w:tcPr>
          <w:p w14:paraId="5876942B" w14:textId="11B5A7E5" w:rsidR="00154AD2" w:rsidRDefault="007F6BF3">
            <w:pPr>
              <w:pStyle w:val="P68B1DB1-Normal12"/>
              <w:spacing w:after="0" w:line="240" w:lineRule="auto"/>
              <w:jc w:val="center"/>
              <w:rPr>
                <w:rFonts w:eastAsia="Times New Roman" w:cstheme="minorHAnsi"/>
                <w:noProof/>
              </w:rPr>
            </w:pPr>
            <w:r>
              <w:rPr>
                <w:noProof/>
              </w:rPr>
              <w:t>0</w:t>
            </w:r>
          </w:p>
        </w:tc>
        <w:tc>
          <w:tcPr>
            <w:tcW w:w="805" w:type="dxa"/>
            <w:shd w:val="clear" w:color="auto" w:fill="C4EFCE"/>
            <w:noWrap/>
            <w:vAlign w:val="center"/>
          </w:tcPr>
          <w:p w14:paraId="581F2A0F" w14:textId="00F6C999" w:rsidR="00154AD2" w:rsidRDefault="007F6BF3">
            <w:pPr>
              <w:pStyle w:val="P68B1DB1-Normal12"/>
              <w:spacing w:after="0" w:line="240" w:lineRule="auto"/>
              <w:jc w:val="center"/>
              <w:rPr>
                <w:rFonts w:eastAsia="Times New Roman" w:cstheme="minorHAnsi"/>
                <w:noProof/>
              </w:rPr>
            </w:pPr>
            <w:r>
              <w:rPr>
                <w:noProof/>
              </w:rPr>
              <w:t>19</w:t>
            </w:r>
          </w:p>
        </w:tc>
        <w:tc>
          <w:tcPr>
            <w:tcW w:w="833" w:type="dxa"/>
            <w:gridSpan w:val="2"/>
            <w:shd w:val="clear" w:color="auto" w:fill="C4EFCE"/>
            <w:noWrap/>
            <w:vAlign w:val="center"/>
          </w:tcPr>
          <w:p w14:paraId="3E9D65A1" w14:textId="16A0980D" w:rsidR="00154AD2" w:rsidRDefault="007F6BF3">
            <w:pPr>
              <w:pStyle w:val="P68B1DB1-Normal12"/>
              <w:spacing w:after="0" w:line="240" w:lineRule="auto"/>
              <w:jc w:val="center"/>
              <w:rPr>
                <w:rFonts w:eastAsia="Times New Roman" w:cstheme="minorHAnsi"/>
                <w:noProof/>
                <w:highlight w:val="cyan"/>
              </w:rPr>
            </w:pPr>
            <w:r>
              <w:rPr>
                <w:noProof/>
              </w:rPr>
              <w:t>ΤΡΊΜΗΝΟ 4</w:t>
            </w:r>
          </w:p>
        </w:tc>
        <w:tc>
          <w:tcPr>
            <w:tcW w:w="901" w:type="dxa"/>
            <w:shd w:val="clear" w:color="auto" w:fill="C4EFCE"/>
            <w:noWrap/>
            <w:vAlign w:val="center"/>
          </w:tcPr>
          <w:p w14:paraId="3750A5B5" w14:textId="29F5D74F" w:rsidR="00154AD2" w:rsidRDefault="007F6BF3">
            <w:pPr>
              <w:pStyle w:val="P68B1DB1-Normal12"/>
              <w:spacing w:after="0" w:line="240" w:lineRule="auto"/>
              <w:jc w:val="center"/>
              <w:rPr>
                <w:rFonts w:eastAsia="Times New Roman" w:cstheme="minorHAnsi"/>
                <w:noProof/>
                <w:highlight w:val="cyan"/>
              </w:rPr>
            </w:pPr>
            <w:r>
              <w:rPr>
                <w:noProof/>
              </w:rPr>
              <w:t>2024</w:t>
            </w:r>
          </w:p>
        </w:tc>
        <w:tc>
          <w:tcPr>
            <w:tcW w:w="3981" w:type="dxa"/>
            <w:shd w:val="clear" w:color="auto" w:fill="C4EFCE"/>
            <w:noWrap/>
            <w:vAlign w:val="center"/>
          </w:tcPr>
          <w:p w14:paraId="2BF1F0E3" w14:textId="204916E6" w:rsidR="00154AD2" w:rsidRDefault="007F6BF3">
            <w:pPr>
              <w:pStyle w:val="P68B1DB1-Bodytext1013"/>
              <w:spacing w:after="0" w:line="240" w:lineRule="auto"/>
              <w:rPr>
                <w:rFonts w:cstheme="minorBidi"/>
                <w:noProof/>
              </w:rPr>
            </w:pPr>
            <w:r>
              <w:rPr>
                <w:noProof/>
              </w:rPr>
              <w:t xml:space="preserve">Αριθμός βαρέος ιατρικού εξοπλισμού που αγοράστηκε για νοσοκομεία του ΕΣΥ σύμφωνα με τις ανάγκες που προσδιορίζονται στην έκθεση, όπως αναφέρεται στο ορόσημο 1.41. </w:t>
            </w:r>
          </w:p>
        </w:tc>
      </w:tr>
      <w:tr w:rsidR="00154AD2" w14:paraId="53D663E6" w14:textId="77777777">
        <w:trPr>
          <w:trHeight w:val="640"/>
        </w:trPr>
        <w:tc>
          <w:tcPr>
            <w:tcW w:w="1135" w:type="dxa"/>
            <w:shd w:val="clear" w:color="auto" w:fill="C4EFCE"/>
            <w:noWrap/>
            <w:vAlign w:val="center"/>
          </w:tcPr>
          <w:p w14:paraId="3A65D11A" w14:textId="50F5E0C2" w:rsidR="00154AD2" w:rsidRDefault="007F6BF3">
            <w:pPr>
              <w:pStyle w:val="P68B1DB1-Normal11"/>
              <w:spacing w:after="0" w:line="240" w:lineRule="auto"/>
              <w:jc w:val="center"/>
              <w:rPr>
                <w:rFonts w:eastAsia="Times New Roman" w:cstheme="minorHAnsi"/>
                <w:noProof/>
              </w:rPr>
            </w:pPr>
            <w:r>
              <w:rPr>
                <w:noProof/>
              </w:rPr>
              <w:t>1.43</w:t>
            </w:r>
          </w:p>
        </w:tc>
        <w:tc>
          <w:tcPr>
            <w:tcW w:w="1276" w:type="dxa"/>
            <w:shd w:val="clear" w:color="auto" w:fill="C4EFCE"/>
            <w:noWrap/>
            <w:vAlign w:val="center"/>
          </w:tcPr>
          <w:p w14:paraId="6F139DBF" w14:textId="6AAC2AA7" w:rsidR="00154AD2" w:rsidRDefault="007F6BF3">
            <w:pPr>
              <w:pStyle w:val="P68B1DB1-Normal12"/>
              <w:spacing w:after="0" w:line="240" w:lineRule="auto"/>
              <w:jc w:val="center"/>
              <w:rPr>
                <w:rFonts w:eastAsia="Times New Roman" w:cstheme="minorHAnsi"/>
                <w:noProof/>
                <w:highlight w:val="cyan"/>
              </w:rPr>
            </w:pPr>
            <w:r>
              <w:rPr>
                <w:noProof/>
              </w:rPr>
              <w:t>RE-C01-i10</w:t>
            </w:r>
          </w:p>
        </w:tc>
        <w:tc>
          <w:tcPr>
            <w:tcW w:w="992" w:type="dxa"/>
            <w:shd w:val="clear" w:color="auto" w:fill="C4EFCE"/>
            <w:noWrap/>
            <w:vAlign w:val="center"/>
          </w:tcPr>
          <w:p w14:paraId="5E979747" w14:textId="69ED3709" w:rsidR="00154AD2" w:rsidRDefault="007F6BF3">
            <w:pPr>
              <w:pStyle w:val="P68B1DB1-Normal12"/>
              <w:spacing w:after="0" w:line="240" w:lineRule="auto"/>
              <w:jc w:val="center"/>
              <w:rPr>
                <w:rFonts w:eastAsia="Times New Roman" w:cstheme="minorHAnsi"/>
                <w:noProof/>
                <w:highlight w:val="cyan"/>
              </w:rPr>
            </w:pPr>
            <w:r>
              <w:rPr>
                <w:noProof/>
              </w:rPr>
              <w:t>T</w:t>
            </w:r>
          </w:p>
        </w:tc>
        <w:tc>
          <w:tcPr>
            <w:tcW w:w="1843" w:type="dxa"/>
            <w:shd w:val="clear" w:color="auto" w:fill="C4EFCE"/>
            <w:noWrap/>
            <w:vAlign w:val="center"/>
          </w:tcPr>
          <w:p w14:paraId="78937866" w14:textId="4C654376" w:rsidR="00154AD2" w:rsidRDefault="007F6BF3">
            <w:pPr>
              <w:pStyle w:val="P68B1DB1-Normal12"/>
              <w:spacing w:after="0" w:line="240" w:lineRule="auto"/>
              <w:jc w:val="center"/>
              <w:rPr>
                <w:rFonts w:eastAsia="Times New Roman" w:cstheme="minorHAnsi"/>
                <w:noProof/>
                <w:highlight w:val="cyan"/>
              </w:rPr>
            </w:pPr>
            <w:r>
              <w:rPr>
                <w:noProof/>
              </w:rPr>
              <w:t>Αγορά βαρέος ιατρικού εξοπλισμού</w:t>
            </w:r>
          </w:p>
        </w:tc>
        <w:tc>
          <w:tcPr>
            <w:tcW w:w="1418" w:type="dxa"/>
            <w:shd w:val="clear" w:color="auto" w:fill="C4EFCE"/>
            <w:noWrap/>
            <w:vAlign w:val="center"/>
          </w:tcPr>
          <w:p w14:paraId="4C7ED9B0" w14:textId="77777777" w:rsidR="00154AD2" w:rsidRDefault="00154AD2">
            <w:pPr>
              <w:spacing w:after="0" w:line="240" w:lineRule="auto"/>
              <w:jc w:val="center"/>
              <w:rPr>
                <w:rFonts w:eastAsia="Times New Roman" w:cstheme="minorHAnsi"/>
                <w:noProof/>
                <w:sz w:val="16"/>
                <w:highlight w:val="cyan"/>
              </w:rPr>
            </w:pPr>
          </w:p>
        </w:tc>
        <w:tc>
          <w:tcPr>
            <w:tcW w:w="1164" w:type="dxa"/>
            <w:shd w:val="clear" w:color="auto" w:fill="C4EFCE"/>
            <w:noWrap/>
            <w:vAlign w:val="center"/>
          </w:tcPr>
          <w:p w14:paraId="39721FDC" w14:textId="63D9F4FC" w:rsidR="00154AD2" w:rsidRDefault="007F6BF3">
            <w:pPr>
              <w:pStyle w:val="P68B1DB1-Normal12"/>
              <w:spacing w:after="0" w:line="240" w:lineRule="auto"/>
              <w:jc w:val="center"/>
              <w:rPr>
                <w:rFonts w:eastAsia="Times New Roman" w:cstheme="minorHAnsi"/>
                <w:noProof/>
              </w:rPr>
            </w:pPr>
            <w:r>
              <w:rPr>
                <w:noProof/>
              </w:rPr>
              <w:t xml:space="preserve">Αριθμός </w:t>
            </w:r>
          </w:p>
        </w:tc>
        <w:tc>
          <w:tcPr>
            <w:tcW w:w="962" w:type="dxa"/>
            <w:shd w:val="clear" w:color="auto" w:fill="C4EFCE"/>
            <w:noWrap/>
            <w:vAlign w:val="center"/>
          </w:tcPr>
          <w:p w14:paraId="6A3D1C7A" w14:textId="3B984FB3" w:rsidR="00154AD2" w:rsidRDefault="007F6BF3">
            <w:pPr>
              <w:pStyle w:val="P68B1DB1-Normal12"/>
              <w:spacing w:after="0" w:line="240" w:lineRule="auto"/>
              <w:jc w:val="center"/>
              <w:rPr>
                <w:rFonts w:eastAsia="Times New Roman" w:cstheme="minorHAnsi"/>
                <w:noProof/>
              </w:rPr>
            </w:pPr>
            <w:r>
              <w:rPr>
                <w:noProof/>
              </w:rPr>
              <w:t>19</w:t>
            </w:r>
          </w:p>
        </w:tc>
        <w:tc>
          <w:tcPr>
            <w:tcW w:w="805" w:type="dxa"/>
            <w:shd w:val="clear" w:color="auto" w:fill="C4EFCE"/>
            <w:noWrap/>
            <w:vAlign w:val="center"/>
          </w:tcPr>
          <w:p w14:paraId="457A6131" w14:textId="5D364BEF" w:rsidR="00154AD2" w:rsidRDefault="007F6BF3">
            <w:pPr>
              <w:pStyle w:val="P68B1DB1-Normal12"/>
              <w:spacing w:after="0" w:line="240" w:lineRule="auto"/>
              <w:jc w:val="center"/>
              <w:rPr>
                <w:rFonts w:eastAsia="Times New Roman" w:cstheme="minorHAnsi"/>
                <w:noProof/>
              </w:rPr>
            </w:pPr>
            <w:r>
              <w:rPr>
                <w:noProof/>
              </w:rPr>
              <w:t>68</w:t>
            </w:r>
          </w:p>
        </w:tc>
        <w:tc>
          <w:tcPr>
            <w:tcW w:w="833" w:type="dxa"/>
            <w:gridSpan w:val="2"/>
            <w:shd w:val="clear" w:color="auto" w:fill="C4EFCE"/>
            <w:noWrap/>
            <w:vAlign w:val="center"/>
          </w:tcPr>
          <w:p w14:paraId="02EF6BB9" w14:textId="070BFBBA" w:rsidR="00154AD2" w:rsidRDefault="007F6BF3">
            <w:pPr>
              <w:pStyle w:val="P68B1DB1-Normal12"/>
              <w:spacing w:after="0" w:line="240" w:lineRule="auto"/>
              <w:jc w:val="center"/>
              <w:rPr>
                <w:rFonts w:eastAsia="Times New Roman" w:cstheme="minorHAnsi"/>
                <w:noProof/>
                <w:highlight w:val="cyan"/>
              </w:rPr>
            </w:pPr>
            <w:r>
              <w:rPr>
                <w:noProof/>
              </w:rPr>
              <w:t>ΤΡΊΜΗΝΟ 2</w:t>
            </w:r>
          </w:p>
        </w:tc>
        <w:tc>
          <w:tcPr>
            <w:tcW w:w="901" w:type="dxa"/>
            <w:shd w:val="clear" w:color="auto" w:fill="C4EFCE"/>
            <w:noWrap/>
            <w:vAlign w:val="center"/>
          </w:tcPr>
          <w:p w14:paraId="3604404B" w14:textId="71C4B142" w:rsidR="00154AD2" w:rsidRDefault="007F6BF3">
            <w:pPr>
              <w:pStyle w:val="P68B1DB1-Normal12"/>
              <w:spacing w:after="0" w:line="240" w:lineRule="auto"/>
              <w:jc w:val="center"/>
              <w:rPr>
                <w:rFonts w:eastAsia="Times New Roman" w:cstheme="minorHAnsi"/>
                <w:noProof/>
                <w:highlight w:val="cyan"/>
              </w:rPr>
            </w:pPr>
            <w:r>
              <w:rPr>
                <w:noProof/>
              </w:rPr>
              <w:t>2026</w:t>
            </w:r>
          </w:p>
        </w:tc>
        <w:tc>
          <w:tcPr>
            <w:tcW w:w="3981" w:type="dxa"/>
            <w:shd w:val="clear" w:color="auto" w:fill="C4EFCE"/>
            <w:noWrap/>
            <w:vAlign w:val="center"/>
          </w:tcPr>
          <w:p w14:paraId="5C235DE8" w14:textId="2F003924" w:rsidR="00154AD2" w:rsidRDefault="007F6BF3">
            <w:pPr>
              <w:pStyle w:val="P68B1DB1-Normal12"/>
              <w:spacing w:after="0" w:line="240" w:lineRule="auto"/>
              <w:jc w:val="both"/>
              <w:rPr>
                <w:rFonts w:eastAsia="Times New Roman"/>
                <w:noProof/>
                <w:highlight w:val="cyan"/>
              </w:rPr>
            </w:pPr>
            <w:r>
              <w:rPr>
                <w:noProof/>
              </w:rPr>
              <w:t xml:space="preserve">Αριθμός βαρέος ιατρικού εξοπλισμού που αγοράστηκε για τα νοσοκομεία του ΕΣΥ σύμφωνα με τις ανάγκες που προσδιορίζονται στην έκθεση, όπως αναφέρεται στο ορόσημο 1.41. </w:t>
            </w:r>
          </w:p>
        </w:tc>
      </w:tr>
    </w:tbl>
    <w:p w14:paraId="5B15A5F5" w14:textId="77777777" w:rsidR="00154AD2" w:rsidRDefault="00154AD2">
      <w:pPr>
        <w:rPr>
          <w:rFonts w:ascii="Times New Roman" w:eastAsiaTheme="minorEastAsia" w:hAnsi="Times New Roman" w:cs="Times New Roman"/>
          <w:noProof/>
          <w:sz w:val="24"/>
        </w:rPr>
        <w:sectPr w:rsidR="00154AD2" w:rsidSect="00E00EDD">
          <w:headerReference w:type="even" r:id="rId36"/>
          <w:headerReference w:type="default" r:id="rId37"/>
          <w:footerReference w:type="even" r:id="rId38"/>
          <w:footerReference w:type="default" r:id="rId39"/>
          <w:headerReference w:type="first" r:id="rId40"/>
          <w:footerReference w:type="first" r:id="rId41"/>
          <w:pgSz w:w="16839" w:h="11907" w:orient="landscape"/>
          <w:pgMar w:top="1134" w:right="1134" w:bottom="1134" w:left="1134" w:header="567" w:footer="567" w:gutter="0"/>
          <w:cols w:space="720"/>
          <w:docGrid w:linePitch="360"/>
        </w:sectPr>
      </w:pPr>
    </w:p>
    <w:p w14:paraId="688C9CBD" w14:textId="77777777" w:rsidR="00154AD2" w:rsidRDefault="007F6BF3">
      <w:pPr>
        <w:pStyle w:val="P68B1DB1-Normal3"/>
        <w:keepNext/>
        <w:spacing w:before="40" w:after="0" w:line="259" w:lineRule="auto"/>
        <w:ind w:left="130" w:firstLine="720"/>
        <w:jc w:val="both"/>
        <w:outlineLvl w:val="1"/>
        <w:rPr>
          <w:rFonts w:eastAsiaTheme="minorEastAsia" w:cs="Times New Roman"/>
          <w:noProof/>
        </w:rPr>
      </w:pPr>
      <w:r>
        <w:rPr>
          <w:noProof/>
        </w:rPr>
        <w:t>Β. ΣΥΝΙΣΤΏΣΑ 2: Στέγαση</w:t>
      </w:r>
    </w:p>
    <w:p w14:paraId="7565FEB6"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Αυτή η συνιστώσα του πορτογαλικού σχεδίου ανάκαμψης και ανθεκτικότητας αντιμετωπίζει τις προκλήσεις που σχετίζονται με τη διαρθρωτική έλλειψη λύσεων μόνιμης και προσωρινής στέγασης για τις πιο ευάλωτες ομάδες, τόσο στην ηπειρωτική Πορτογαλία όσο και στις αυτόνομες περιφέρειες των Αζορών και της Μαδέρας, συμβάλλοντας παράλληλα έμμεσα στην ενίσχυση του συστήματος κοινωνικής προστασίας. Η δημόσια στέγαση αντιπροσωπεύει μόνο το 2 % του συνολικού αποθέματος στην Πορτογαλία και θεωρείται ανεπαρκής για την αντιμετώπιση των αναγκών των απόρων και των ατόμων που διατρέχουν κίνδυνο κοινωνικού αποκλεισμού. </w:t>
      </w:r>
    </w:p>
    <w:p w14:paraId="64E97637"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Οι κύριοι στόχοι της συνιστώσας είναι οι εξής: I) αύξηση της προσφοράς κοινωνικής και οικονομικά προσιτής στέγασης (συμπεριλαμβανομένης της αντιμετώπισης άλλων συναφών αναγκών, όπως η έλλειψη βασικών υποδομών και εξοπλισμού, οι ανθυγιεινοί και επισφαλείς τόποι διαμονής, η επισφάλεια ή η έλλειψη συμβατικών δεσμών, ο υπερπληθυσμός ή η ανεπάρκεια στέγασης για τις ειδικές ανάγκες των κατοίκων με αναπηρία ή μειωμένη κινητικότητα)· II) δημιουργία εθνικής δημόσιας απάντησης σε επείγουσες και προσωρινές ανάγκες στέγασης που προκύπτουν από απρόβλεπτα ή απρόβλεπτα γεγονότα, όπως φυσικές καταστροφές, πυρκαγιές, πανδημίες, μεταναστευτικές μετακινήσεις, αιτήσεις ασύλου ή καταστάσεις επικείμενου κινδύνου, όπως η ενδοοικογενειακή βία, η εμπορία ανθρώπων, ο κίνδυνος εξώσεων και άλλες· και iii) να αυξήσει την προσφορά φοιτητικών καταλυμάτων σε προσιτές τιμές. Οι επενδύσεις στη συνιστώσα περιλαμβάνουν την κατασκευή νέων κατοικιών και την αποκατάσταση υφιστάμενων κατοικιών. </w:t>
      </w:r>
    </w:p>
    <w:p w14:paraId="6B68FD9C"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συνιστώσα αυτή συμβάλλει στην εφαρμογή των συστάσεων ανά χώρα που εκδόθηκαν προς την Πορτογαλία στο πλαίσιο του Ευρωπαϊκού Εξαμήνου το 2019 και το 2020, και συγκεκριμένα: Βελτίωση της αποτελεσματικότητας και της επάρκειας του κοινωνικού διχτυού ασφαλείας (ειδική ανά χώρα σύσταση 2 2019)· Διασφάλιση επαρκούς και αποτελεσματικής κοινωνικής προστασίας και εισοδηματικής στήριξης (ειδική ανά χώρα σύσταση 2 2020)· αύξηση του αριθμού των αποφοίτων στην τριτοβάθμια εκπαίδευση, ιδίως στους τομείς της επιστήμης και της τεχνολογίας των πληροφοριών (μέσω των επενδύσεων σε καταλύματα φοιτητών) (ειδική ανά χώρα σύσταση 2 2019). Η συνιστώσα συμβάλλει επίσης στην υλοποίηση της ειδικής ανά χώρα σύστασης σχετικά με την κλιματική μετάβαση (ειδική ανά χώρα σύσταση 3 2020). Η συνιστώσα συμβάλλει επίσης στην εφαρμογή διαφόρων αρχών του ευρωπαϊκού πυλώνα κοινωνικών δικαιωμάτων (ΕΠΚΔ), όπως: «Πρόσβαση σε ποιοτική κοινωνική στέγαση ή στεγαστική βοήθεια παρέχεται σε όσους την έχουν ανάγκη» (ΕΠΚΔ 19.α)· «Τα ευάλωτα άτομα έχουν δικαίωμα σε κατάλληλη συνδρομή και προστασία έναντι της αναγκαστικής έξωσης» (ΕΠΚΔ 19.β)· «Παρέχεται στους αστέγους κατάλληλο κατάλυμα και υπηρεσίες για την προώθηση της κοινωνικής τους ένταξης» (ΕΠΚΔ 19.γ)· «Κοινωνική προστασία» (ΕΠΚΔ 12)· «Ένταξη των ατόμων με αναπηρία» (ΕΠΚΔ 17)· «Πρόσβαση σε βασικές υπηρεσίες» (ΕΠΚΔ 20)· «Εκπαίδευση, κατάρτιση και διά βίου μάθηση: Κάθε άνθρωπος έχει δικαίωμα σε ποιοτική και χωρίς αποκλεισμούς εκπαίδευση, κατάρτιση και διά βίου μάθηση προκειμένου να διατηρήσει και να αποκτήσει δεξιότητες που του επιτρέπουν να συμμετέχει πλήρως στην κοινωνία και να διαχειρίζεται με επιτυχία τις μεταβάσεις στην αγορά εργασίας» (ΕΠΚΔ 1). Ενσωματώνονται επίσης οι περιβαλλοντικές διαστάσεις, ιδίως μέσω της προώθησης νέων κατασκευών με υψηλά πρότυπα ενεργειακής απόδοσης. </w:t>
      </w:r>
    </w:p>
    <w:p w14:paraId="35D63D83" w14:textId="77777777" w:rsidR="00154AD2" w:rsidRDefault="007F6BF3">
      <w:pPr>
        <w:pStyle w:val="P68B1DB1-Normal4"/>
        <w:keepNext/>
        <w:spacing w:before="40" w:after="0" w:line="259" w:lineRule="auto"/>
        <w:jc w:val="both"/>
        <w:rPr>
          <w:rFonts w:eastAsiaTheme="minorEastAsia" w:cs="Times New Roman"/>
          <w:noProof/>
        </w:rPr>
      </w:pPr>
      <w:r>
        <w:rPr>
          <w:noProof/>
        </w:rPr>
        <w:t>Αναμένεται ότι κανένα μέτρο στη συνιστώσα αυτή δεν βλάπτει σημαντικά τους περιβαλλοντικούς στόχους κατά την έννοια του άρθρου 17 του κανονισμού (ΕΕ) 2020/852, λαμβανομένης υπόψη της περιγραφής των μέτρων και των μέτρων μετριασμού που ορίζονται στο σχέδιο σύμφωνα με την τεχνική καθοδήγηση σχετικά με την αρχή της μη πρόκλησης σημαντικής βλάβης (2021/C58/01).</w:t>
      </w:r>
    </w:p>
    <w:p w14:paraId="6D10CF73" w14:textId="24918575" w:rsidR="00154AD2" w:rsidRDefault="007F6BF3">
      <w:pPr>
        <w:rPr>
          <w:rFonts w:ascii="Times New Roman" w:eastAsiaTheme="minorEastAsia" w:hAnsi="Times New Roman" w:cs="Times New Roman"/>
          <w:b/>
          <w:noProof/>
          <w:sz w:val="24"/>
          <w:u w:val="single"/>
        </w:rPr>
      </w:pPr>
      <w:r>
        <w:rPr>
          <w:noProof/>
        </w:rPr>
        <w:br w:type="page"/>
      </w:r>
      <w:r>
        <w:rPr>
          <w:rFonts w:ascii="Times New Roman" w:hAnsi="Times New Roman"/>
          <w:b/>
          <w:noProof/>
          <w:sz w:val="24"/>
          <w:u w:val="single"/>
        </w:rPr>
        <w:t>Β.1 Περιγραφή των μεταρρυθμίσεων και των επενδύσεων που είναι επιλέξιμες για λήψη μη επιστρεπτέας χρηματοδοτικής στήριξης</w:t>
      </w:r>
    </w:p>
    <w:p w14:paraId="38F34ED6" w14:textId="77777777" w:rsidR="00154AD2" w:rsidRDefault="007F6BF3">
      <w:pPr>
        <w:pStyle w:val="P68B1DB1-Normal5"/>
        <w:spacing w:before="240" w:after="0" w:line="259" w:lineRule="auto"/>
        <w:ind w:left="851"/>
        <w:jc w:val="both"/>
        <w:outlineLvl w:val="2"/>
        <w:rPr>
          <w:rFonts w:ascii="Segoe UI" w:eastAsiaTheme="minorEastAsia" w:hAnsi="Segoe UI" w:cs="Segoe UI"/>
          <w:noProof/>
          <w:sz w:val="18"/>
        </w:rPr>
      </w:pPr>
      <w:r>
        <w:rPr>
          <w:noProof/>
        </w:rPr>
        <w:t>Μεταρρύθμιση RE-r04: Εθνικό επείγον και προσωρινό σχέδιο στέγασης</w:t>
      </w:r>
      <w:r>
        <w:rPr>
          <w:b/>
          <w:noProof/>
        </w:rPr>
        <w:t xml:space="preserve"> </w:t>
      </w:r>
    </w:p>
    <w:p w14:paraId="69243C7C" w14:textId="77777777" w:rsidR="00154AD2" w:rsidRDefault="007F6BF3">
      <w:pPr>
        <w:pStyle w:val="P68B1DB1-Normal4"/>
        <w:keepNext/>
        <w:spacing w:before="40" w:after="0" w:line="259" w:lineRule="auto"/>
        <w:jc w:val="both"/>
        <w:rPr>
          <w:rFonts w:eastAsiaTheme="minorEastAsia" w:cs="Times New Roman"/>
          <w:noProof/>
        </w:rPr>
      </w:pPr>
      <w:r>
        <w:rPr>
          <w:noProof/>
        </w:rPr>
        <w:t>Στόχος της μεταρρύθμισης είναι η δημιουργία ενός εθνικού δημόσιου δικτύου για την αντιμετώπιση επειγουσών και προσωρινών στεγαστικών αναγκών στο πλαίσιο της ανανέωσης των στεγαστικών πολιτικών στην Πορτογαλία, με σκοπό την προστασία και την ενδυνάμωση των προσδιορισμένων ομάδων-στόχων, καθώς και την προώθηση της κοινωνικής ένταξης και την καταπολέμηση των ανισοτήτων.</w:t>
      </w:r>
    </w:p>
    <w:p w14:paraId="2E314B99"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μεταρρύθμιση συνίσταται στη δημιουργία δομημένης και οριζόντιας απόκρισης για τα άτομα που χρειάζονται λύσεις έκτακτης ανάγκης ή προσωρινής στέγασης και στην ανάπτυξη του αναγκαίου νομικού και κανονιστικού πλαισίου για τη θέσπιση του μοντέλου διακυβέρνησης της επένδυσης RE-C02-i02 (εθνική επιχορήγηση έκτακτης ανάγκης και προσωρινής στέγασης) και θεσπίζει μεθοδολογίες για τη σήμανση και την παραπομπή σε στέγαση και κοινωνική στήριξη για τα υποστηριζόμενα άτομα. </w:t>
      </w:r>
    </w:p>
    <w:p w14:paraId="342DEB4C" w14:textId="77777777" w:rsidR="00154AD2" w:rsidRDefault="007F6BF3">
      <w:pPr>
        <w:pStyle w:val="P68B1DB1-Normal4"/>
        <w:keepNext/>
        <w:spacing w:before="40" w:after="0" w:line="259" w:lineRule="auto"/>
        <w:jc w:val="both"/>
        <w:rPr>
          <w:rFonts w:eastAsiaTheme="minorEastAsia" w:cs="Times New Roman"/>
          <w:noProof/>
        </w:rPr>
      </w:pPr>
      <w:r>
        <w:rPr>
          <w:noProof/>
        </w:rPr>
        <w:t>Η εφαρμογή της μεταρρύθμισης επρόκειτο να ολοκληρωθεί έως τις 31 Ιουνίου 2021.</w:t>
      </w:r>
    </w:p>
    <w:p w14:paraId="60A89DB8" w14:textId="77777777" w:rsidR="00154AD2" w:rsidRDefault="007F6BF3">
      <w:pPr>
        <w:pStyle w:val="P68B1DB1-Normal5"/>
        <w:spacing w:before="240" w:after="0" w:line="259" w:lineRule="auto"/>
        <w:ind w:left="851"/>
        <w:jc w:val="both"/>
        <w:outlineLvl w:val="2"/>
        <w:rPr>
          <w:rFonts w:eastAsiaTheme="minorEastAsia" w:cs="Times New Roman"/>
          <w:b/>
          <w:noProof/>
        </w:rPr>
      </w:pPr>
      <w:r>
        <w:rPr>
          <w:noProof/>
        </w:rPr>
        <w:t>Επένδυση RE-C02-i01: Πρόγραμμα στήριξης της πρόσβασης στη στέγαση</w:t>
      </w:r>
    </w:p>
    <w:p w14:paraId="3FB79740" w14:textId="77777777" w:rsidR="00154AD2" w:rsidRDefault="007F6BF3">
      <w:pPr>
        <w:pStyle w:val="P68B1DB1-Normal4"/>
        <w:keepNext/>
        <w:spacing w:before="40" w:after="0" w:line="259" w:lineRule="auto"/>
        <w:jc w:val="both"/>
        <w:rPr>
          <w:rFonts w:eastAsiaTheme="minorEastAsia" w:cs="Times New Roman"/>
          <w:noProof/>
        </w:rPr>
      </w:pPr>
      <w:r>
        <w:rPr>
          <w:noProof/>
        </w:rPr>
        <w:t>Στόχος της επένδυσης είναι η διασφάλιση αξιοπρεπούς και επαρκούς στέγασης για τις οικογένειες με τις μεγαλύτερες ανάγκες και για τις πλέον ευάλωτες ομάδες. </w:t>
      </w:r>
    </w:p>
    <w:p w14:paraId="01325250" w14:textId="575F3908" w:rsidR="00154AD2" w:rsidRDefault="007F6BF3">
      <w:pPr>
        <w:pStyle w:val="P68B1DB1-Normal4"/>
        <w:keepNext/>
        <w:spacing w:before="40" w:after="0" w:line="259" w:lineRule="auto"/>
        <w:jc w:val="both"/>
        <w:rPr>
          <w:rFonts w:eastAsiaTheme="minorEastAsia" w:cs="Times New Roman"/>
          <w:noProof/>
        </w:rPr>
      </w:pPr>
      <w:r>
        <w:rPr>
          <w:noProof/>
        </w:rPr>
        <w:t xml:space="preserve">Η επένδυση συνίσταται κυρίως στην παροχή κοινωνικής στέγασης, αλλά και στην παροχή χρηματοδοτικής στήριξης για ανακαίνιση ή κατασκευή στις προσδιορισμένες ομάδες-στόχους που δεν έχουν την οικονομική δυνατότητα να εγγυηθούν την επάρκεια της δικής τους στέγασης, για τουλάχιστον 26 000 νοικοκυριά έως το 2026. Οι επενδύσεις συνίστανται στην κατασκευή νέων κτιρίων ή στην ανακαίνιση υφιστάμενων κατοικιών, καθώς και, όποτε είναι αναγκαίο, στην αγορά νέων κτιρίων ή στη μίσθωση κτιρίων για υπομίσθωση. </w:t>
      </w:r>
    </w:p>
    <w:p w14:paraId="028C754C" w14:textId="77777777" w:rsidR="00154AD2" w:rsidRDefault="007F6BF3">
      <w:pPr>
        <w:pStyle w:val="P68B1DB1-Normal4"/>
        <w:keepNext/>
        <w:spacing w:before="40" w:after="0" w:line="259" w:lineRule="auto"/>
        <w:jc w:val="both"/>
        <w:rPr>
          <w:rFonts w:eastAsiaTheme="minorEastAsia" w:cs="Times New Roman"/>
          <w:noProof/>
        </w:rPr>
      </w:pPr>
      <w:r>
        <w:rPr>
          <w:noProof/>
        </w:rPr>
        <w:t>Η υλοποίηση της επένδυσης θα ολοκληρωθεί έως τις 30 Ιουνίου 2026.</w:t>
      </w:r>
    </w:p>
    <w:p w14:paraId="617C9ADB" w14:textId="77777777" w:rsidR="00154AD2" w:rsidRDefault="007F6BF3">
      <w:pPr>
        <w:pStyle w:val="P68B1DB1-Normal5"/>
        <w:spacing w:before="240" w:after="0" w:line="259" w:lineRule="auto"/>
        <w:ind w:left="851"/>
        <w:jc w:val="both"/>
        <w:outlineLvl w:val="2"/>
        <w:rPr>
          <w:rFonts w:eastAsia="Times New Roman" w:cs="Times New Roman"/>
          <w:noProof/>
        </w:rPr>
      </w:pPr>
      <w:r>
        <w:rPr>
          <w:noProof/>
        </w:rPr>
        <w:t>Επένδυση RE-C02-i02: Εθνική επιχορήγηση έκτακτης ανάγκης και προσωρινής στέγασης</w:t>
      </w:r>
    </w:p>
    <w:p w14:paraId="044DBC62" w14:textId="4AD6F74F" w:rsidR="00154AD2" w:rsidRDefault="007F6BF3">
      <w:pPr>
        <w:pStyle w:val="P68B1DB1-Normal4"/>
        <w:spacing w:before="40" w:after="0" w:line="259" w:lineRule="auto"/>
        <w:jc w:val="both"/>
        <w:rPr>
          <w:rFonts w:eastAsia="Times New Roman" w:cs="Times New Roman"/>
          <w:noProof/>
        </w:rPr>
      </w:pPr>
      <w:r>
        <w:rPr>
          <w:noProof/>
        </w:rPr>
        <w:t xml:space="preserve">Στόχος της επένδυσης αυτής είναι η παροχή προσωρινής ή έκτακτης στέγασης στις ευάλωτες πληθυσμιακές ομάδες της ηπειρωτικής Πορτογαλίας. Η επένδυση αυτή χρησιμεύει για την υλοποίηση της μεταρρύθμισης του εθνικού επείγοντος και προσωρινού σχεδίου στέγασης που περιλαμβάνεται στη συνιστώσα. Οι ακόλουθοι κίνδυνοι ή κοινωνικές καταστάσεις έκτακτης ανάγκης πλαισιώνουν τις προγραμματισμένες παρεμβάσεις: απρόβλεπτα ή έκτακτα γεγονότα, την ανάγκη επείγουσας στέγασης και χειραφέτησης των ατόμων που στερούνται προσωρινά τη στέγαση, συμπεριλαμβανομένων των θυμάτων ενδοοικογενειακής βίας, των θυμάτων εμπορίας ανθρώπων, των ατόμων που τελούν υπό διεθνή προστασία, των αστέγων· έκτακτες και δεόντως αιτιολογημένες ανάγκες για επείγουσα και προσωρινή στέγαση για άτομα που διατρέχουν άμεσο και πραγματικό κίνδυνο να μείνουν χωρίς στέγαση ή σε διαδικασία αποϊδρυματοποίησης· ανάγκες στέγασης, προσωρινές και απαραίτητες για το δημόσιο συμφέρον, κρατικών υπαλλήλων και λοιπού προσωπικού. </w:t>
      </w:r>
    </w:p>
    <w:p w14:paraId="69716809" w14:textId="4ECEDCA8" w:rsidR="00154AD2" w:rsidRDefault="007F6BF3">
      <w:pPr>
        <w:pStyle w:val="P68B1DB1-Normal4"/>
        <w:keepNext/>
        <w:spacing w:before="40" w:after="0" w:line="259" w:lineRule="auto"/>
        <w:jc w:val="both"/>
        <w:rPr>
          <w:rFonts w:eastAsia="Times New Roman" w:cs="Times New Roman"/>
          <w:noProof/>
        </w:rPr>
      </w:pPr>
      <w:r>
        <w:rPr>
          <w:noProof/>
        </w:rPr>
        <w:t>Η επένδυση συνίσταται στη δημιουργία 2 000 καταλυμάτων έκτακτης ανάγκης, καθώς και 473 μονάδων στέγασης, τριών μονάδων για τις δυνάμεις ασφαλείας (σε περιπτώσεις που δικαιολογούνται από το δημόσιο συμφέρον) και πέντε κέντρων προσωρινής στέγασης για ανθρωπιστικούς λόγους ή λόγους ασφάλειας.</w:t>
      </w:r>
    </w:p>
    <w:p w14:paraId="0C5E7164" w14:textId="500D2C39" w:rsidR="00154AD2" w:rsidRDefault="007F6BF3">
      <w:pPr>
        <w:pStyle w:val="P68B1DB1-Normal4"/>
        <w:keepNext/>
        <w:spacing w:before="40" w:after="0" w:line="259" w:lineRule="auto"/>
        <w:jc w:val="both"/>
        <w:rPr>
          <w:rFonts w:eastAsia="Times New Roman" w:cs="Times New Roman"/>
          <w:noProof/>
        </w:rPr>
      </w:pPr>
      <w:r>
        <w:rPr>
          <w:noProof/>
        </w:rPr>
        <w:t>Η υλοποίηση της επένδυσης θα ολοκληρωθεί έως τις 30 Ιουνίου 2026.</w:t>
      </w:r>
    </w:p>
    <w:p w14:paraId="2DD99C3E" w14:textId="77777777" w:rsidR="00154AD2" w:rsidRDefault="00154AD2">
      <w:pPr>
        <w:keepNext/>
        <w:spacing w:before="40" w:after="0" w:line="259" w:lineRule="auto"/>
        <w:jc w:val="both"/>
        <w:rPr>
          <w:rFonts w:ascii="Times New Roman" w:eastAsia="Times New Roman" w:hAnsi="Times New Roman" w:cs="Times New Roman"/>
          <w:noProof/>
          <w:sz w:val="24"/>
        </w:rPr>
        <w:sectPr w:rsidR="00154AD2" w:rsidSect="00E00EDD">
          <w:headerReference w:type="even" r:id="rId42"/>
          <w:headerReference w:type="default" r:id="rId43"/>
          <w:footerReference w:type="even" r:id="rId44"/>
          <w:footerReference w:type="default" r:id="rId45"/>
          <w:headerReference w:type="first" r:id="rId46"/>
          <w:footerReference w:type="first" r:id="rId47"/>
          <w:pgSz w:w="11907" w:h="16839"/>
          <w:pgMar w:top="1134" w:right="1134" w:bottom="1134" w:left="1134" w:header="567" w:footer="567" w:gutter="0"/>
          <w:cols w:space="720"/>
          <w:docGrid w:linePitch="360"/>
        </w:sectPr>
      </w:pPr>
    </w:p>
    <w:p w14:paraId="1E30C2F3" w14:textId="77777777" w:rsidR="00154AD2" w:rsidRDefault="007F6BF3">
      <w:pPr>
        <w:pStyle w:val="P68B1DB1-Normal5"/>
        <w:spacing w:before="240" w:after="0" w:line="259" w:lineRule="auto"/>
        <w:ind w:left="851"/>
        <w:jc w:val="both"/>
        <w:outlineLvl w:val="2"/>
        <w:rPr>
          <w:rFonts w:eastAsia="Times New Roman" w:cs="Times New Roman"/>
          <w:noProof/>
        </w:rPr>
      </w:pPr>
      <w:r>
        <w:rPr>
          <w:noProof/>
        </w:rPr>
        <w:t>Επένδυση RE-C02-i03-RAM: Ενίσχυση της προσφοράς κοινωνικών κατοικιών στην αυτόνομη περιφέρεια της Μαδέρας</w:t>
      </w:r>
    </w:p>
    <w:p w14:paraId="4FB3B1E7" w14:textId="77777777" w:rsidR="00154AD2" w:rsidRDefault="007F6BF3">
      <w:pPr>
        <w:pStyle w:val="P68B1DB1-Normal4"/>
        <w:keepNext/>
        <w:spacing w:before="40" w:after="0" w:line="259" w:lineRule="auto"/>
        <w:jc w:val="both"/>
        <w:rPr>
          <w:rFonts w:eastAsia="Times New Roman" w:cs="Times New Roman"/>
          <w:noProof/>
        </w:rPr>
      </w:pPr>
      <w:r>
        <w:rPr>
          <w:noProof/>
        </w:rPr>
        <w:t xml:space="preserve">Στόχος της επένδυσης αυτής είναι η κάλυψη των στεγαστικών αναγκών των οικογενειών που ζουν σε δύσκολες συνθήκες και οι οποίες δεν έχουν την οικονομική δυνατότητα να καλύψουν το κόστος πρόσβασης σε κατάλληλη στέγαση στην αυτόνομη περιφέρεια της Μαδέρας. </w:t>
      </w:r>
    </w:p>
    <w:p w14:paraId="3BBCCBA7" w14:textId="70F3E827" w:rsidR="00154AD2" w:rsidRDefault="007F6BF3">
      <w:pPr>
        <w:pStyle w:val="P68B1DB1-Normal4"/>
        <w:keepNext/>
        <w:spacing w:before="40" w:after="0" w:line="259" w:lineRule="auto"/>
        <w:jc w:val="both"/>
        <w:rPr>
          <w:rFonts w:eastAsia="Times New Roman" w:cs="Times New Roman"/>
          <w:noProof/>
        </w:rPr>
      </w:pPr>
      <w:r>
        <w:rPr>
          <w:noProof/>
        </w:rPr>
        <w:t>Η επένδυση συνίσταται στην κατασκευή και/ή την αγορά κοινωνικών κατοικιών για 805 νοικοκυριά (η επένδυση περιλαμβάνει επίσης μελέτες, έργα, αγορά γης και κατασκευή), τη στήριξη της αποκατάστασης των 325 ιδιωτικών κατοικιών (συμπεριλαμβανομένης της βελτίωσης της ενεργειακής απόδοσης). Η επένδυση προβλέπει επίσης την προμήθεια υπηρεσιών για την ανάπτυξη συστημάτων πληροφοριών και λύσεων ηλεκτρονικής διακυβέρνησης στον τομέα της στέγασης.</w:t>
      </w:r>
    </w:p>
    <w:p w14:paraId="54DD8C40" w14:textId="77777777" w:rsidR="00154AD2" w:rsidRDefault="007F6BF3">
      <w:pPr>
        <w:pStyle w:val="P68B1DB1-Normal4"/>
        <w:keepNext/>
        <w:spacing w:before="40" w:after="0" w:line="259" w:lineRule="auto"/>
        <w:jc w:val="both"/>
        <w:rPr>
          <w:rFonts w:eastAsia="Times New Roman" w:cs="Times New Roman"/>
          <w:noProof/>
        </w:rPr>
      </w:pPr>
      <w:r>
        <w:rPr>
          <w:noProof/>
        </w:rPr>
        <w:t>Η υλοποίηση της επένδυσης θα ολοκληρωθεί έως τις 30 Ιουνίου 2026.</w:t>
      </w:r>
    </w:p>
    <w:p w14:paraId="525A5122" w14:textId="2ED4CDFD" w:rsidR="00154AD2" w:rsidRDefault="007F6BF3">
      <w:pPr>
        <w:pStyle w:val="P68B1DB1-Normal5"/>
        <w:spacing w:before="240" w:after="0" w:line="259" w:lineRule="auto"/>
        <w:ind w:left="851"/>
        <w:jc w:val="both"/>
        <w:outlineLvl w:val="2"/>
        <w:rPr>
          <w:rFonts w:eastAsiaTheme="minorEastAsia" w:cs="Times New Roman"/>
          <w:b/>
          <w:noProof/>
        </w:rPr>
      </w:pPr>
      <w:r>
        <w:rPr>
          <w:noProof/>
        </w:rPr>
        <w:t>Επένδυση RE-02-i04-RAA: Αύξηση των συνθηκών στέγασης στο απόθεμα κατοικιών της Αυτόνομης Περιφέρειας των Αζορών</w:t>
      </w:r>
    </w:p>
    <w:p w14:paraId="6DE7760B" w14:textId="77777777" w:rsidR="00154AD2" w:rsidRDefault="007F6BF3">
      <w:pPr>
        <w:pStyle w:val="P68B1DB1-Normal4"/>
        <w:keepNext/>
        <w:spacing w:before="40" w:after="0" w:line="259" w:lineRule="auto"/>
        <w:jc w:val="both"/>
        <w:rPr>
          <w:rFonts w:eastAsia="Times New Roman" w:cs="Times New Roman"/>
          <w:noProof/>
        </w:rPr>
      </w:pPr>
      <w:r>
        <w:rPr>
          <w:noProof/>
        </w:rPr>
        <w:t xml:space="preserve">Στόχος της επένδυσης είναι η ενίσχυση της προσφοράς κατοικιών σε διάφορα επίπεδα, μετά την αισθητή επιδείνωση της υποβάθμισης των κτιρίων στην Αυτόνομη Περιφέρεια των Αζορών και τη μείωση της προσφοράς στην αγορά ακινήτων. </w:t>
      </w:r>
    </w:p>
    <w:p w14:paraId="63A86507" w14:textId="455DA13E" w:rsidR="00154AD2" w:rsidRDefault="007F6BF3">
      <w:pPr>
        <w:pStyle w:val="P68B1DB1-Normal4"/>
        <w:keepNext/>
        <w:spacing w:before="40" w:after="0" w:line="259" w:lineRule="auto"/>
        <w:jc w:val="both"/>
        <w:rPr>
          <w:rFonts w:eastAsia="Times New Roman" w:cs="Times New Roman"/>
          <w:noProof/>
        </w:rPr>
      </w:pPr>
      <w:r>
        <w:rPr>
          <w:noProof/>
        </w:rPr>
        <w:t>Η επένδυση συνίσταται, σε διάφορα νησιά, σε:</w:t>
      </w:r>
    </w:p>
    <w:p w14:paraId="545C36D3" w14:textId="581E192D" w:rsidR="00154AD2" w:rsidRDefault="007F6BF3">
      <w:pPr>
        <w:pStyle w:val="P68B1DB1-Normal4"/>
        <w:keepNext/>
        <w:numPr>
          <w:ilvl w:val="0"/>
          <w:numId w:val="68"/>
        </w:numPr>
        <w:spacing w:before="40" w:after="160" w:line="259" w:lineRule="auto"/>
        <w:contextualSpacing/>
        <w:jc w:val="both"/>
        <w:rPr>
          <w:rFonts w:eastAsia="Times New Roman" w:cs="Times New Roman"/>
          <w:noProof/>
        </w:rPr>
      </w:pPr>
      <w:r>
        <w:rPr>
          <w:noProof/>
        </w:rPr>
        <w:t xml:space="preserve">η κατασκευή 100 κτιρίων </w:t>
      </w:r>
    </w:p>
    <w:p w14:paraId="0C226449" w14:textId="15B8BAAD" w:rsidR="00154AD2" w:rsidRDefault="007F6BF3">
      <w:pPr>
        <w:pStyle w:val="P68B1DB1-Normal4"/>
        <w:keepNext/>
        <w:numPr>
          <w:ilvl w:val="0"/>
          <w:numId w:val="68"/>
        </w:numPr>
        <w:spacing w:before="40" w:after="160" w:line="259" w:lineRule="auto"/>
        <w:contextualSpacing/>
        <w:jc w:val="both"/>
        <w:rPr>
          <w:rFonts w:eastAsia="Times New Roman" w:cs="Times New Roman"/>
          <w:noProof/>
        </w:rPr>
      </w:pPr>
      <w:r>
        <w:rPr>
          <w:noProof/>
        </w:rPr>
        <w:t xml:space="preserve">την οριστικοποίηση 75 διαμερισμάτων· και </w:t>
      </w:r>
    </w:p>
    <w:p w14:paraId="51B9C6BC" w14:textId="10E25141" w:rsidR="00154AD2" w:rsidRDefault="007F6BF3">
      <w:pPr>
        <w:pStyle w:val="P68B1DB1-Normal4"/>
        <w:keepNext/>
        <w:numPr>
          <w:ilvl w:val="0"/>
          <w:numId w:val="68"/>
        </w:numPr>
        <w:spacing w:before="40" w:after="160" w:line="259" w:lineRule="auto"/>
        <w:contextualSpacing/>
        <w:jc w:val="both"/>
        <w:rPr>
          <w:rFonts w:eastAsia="Times New Roman" w:cs="Times New Roman"/>
          <w:noProof/>
        </w:rPr>
      </w:pPr>
      <w:r>
        <w:rPr>
          <w:noProof/>
        </w:rPr>
        <w:t xml:space="preserve">την αποκατάσταση κτιρίων (ριζική ανακαίνιση 63 κτιρίων, μεσαία ανακαίνιση 329 κτιρίων και μικρές παρεμβάσεις σε 135 κτίρια) για συνολικά 527 παρεμβάσεις. </w:t>
      </w:r>
    </w:p>
    <w:p w14:paraId="3F09A5C0" w14:textId="77777777" w:rsidR="00154AD2" w:rsidRDefault="007F6BF3">
      <w:pPr>
        <w:pStyle w:val="P68B1DB1-Normal4"/>
        <w:keepNext/>
        <w:spacing w:before="40" w:after="0" w:line="259" w:lineRule="auto"/>
        <w:jc w:val="both"/>
        <w:rPr>
          <w:rFonts w:eastAsia="Times New Roman" w:cs="Times New Roman"/>
          <w:noProof/>
        </w:rPr>
      </w:pPr>
      <w:r>
        <w:rPr>
          <w:noProof/>
        </w:rPr>
        <w:t>Η υλοποίηση της επένδυσης θα ολοκληρωθεί έως τις 31 Δεκεμβρίου 2025.</w:t>
      </w:r>
    </w:p>
    <w:p w14:paraId="0311D212" w14:textId="7E660E09" w:rsidR="00154AD2" w:rsidRDefault="007F6BF3">
      <w:pPr>
        <w:pStyle w:val="P68B1DB1-Normal5"/>
        <w:spacing w:before="240" w:after="0" w:line="259" w:lineRule="auto"/>
        <w:ind w:left="851"/>
        <w:jc w:val="both"/>
        <w:outlineLvl w:val="2"/>
        <w:rPr>
          <w:rFonts w:eastAsia="Times New Roman" w:cs="Times New Roman"/>
          <w:noProof/>
        </w:rPr>
      </w:pPr>
      <w:bookmarkStart w:id="3" w:name="_Toc137472439"/>
      <w:r>
        <w:rPr>
          <w:noProof/>
        </w:rPr>
        <w:t>Επένδυση RE-C02-i07-RAA: Υποδομή για αγροτεμάχια για κατοικίες</w:t>
      </w:r>
      <w:bookmarkEnd w:id="3"/>
    </w:p>
    <w:p w14:paraId="5DB4B2B6" w14:textId="2335FBC6" w:rsidR="00154AD2" w:rsidRDefault="007F6BF3">
      <w:pPr>
        <w:pStyle w:val="P68B1DB1-Normal4"/>
        <w:keepNext/>
        <w:spacing w:before="40" w:after="0" w:line="259" w:lineRule="auto"/>
        <w:jc w:val="both"/>
        <w:rPr>
          <w:rFonts w:eastAsia="Times New Roman" w:cs="Times New Roman"/>
          <w:noProof/>
        </w:rPr>
      </w:pPr>
      <w:r>
        <w:rPr>
          <w:noProof/>
        </w:rPr>
        <w:t>Στόχος της επένδυσης είναι η δημιουργία ή η βελτίωση των υποδομών για αγροτεμάχια στην Αυτόνομη Περιφέρεια των Αζορών και η διάθεσή τους σε επιλεγμένους υποψηφίους. Στόχος είναι να δοθεί η δυνατότητα στους επιλεγέντες υποψηφίους να κατασκευάσουν τα σπίτια τους σε αυτά τα αγροτεμάχια με ελεγχόμενο κόστος. Το πρόγραμμα αυτό θεσπίστηκε με το περιφερειακό νομοθετικό διάταγμα αριθ. 21/2005/A της 3 Αυγούστου 2005. Η επένδυση θα διαθέσει 145 αγροτεμάχια.</w:t>
      </w:r>
    </w:p>
    <w:p w14:paraId="7838D678" w14:textId="77777777" w:rsidR="00154AD2" w:rsidRDefault="007F6BF3">
      <w:pPr>
        <w:pStyle w:val="P68B1DB1-Normal4"/>
        <w:keepNext/>
        <w:spacing w:before="40" w:after="0" w:line="259" w:lineRule="auto"/>
        <w:jc w:val="both"/>
        <w:rPr>
          <w:rFonts w:eastAsia="Times New Roman" w:cs="Times New Roman"/>
          <w:noProof/>
        </w:rPr>
      </w:pPr>
      <w:r>
        <w:rPr>
          <w:noProof/>
        </w:rPr>
        <w:t xml:space="preserve">Κατά την επιλογή των υποψηφίων για την κατασκευή του σπιτιού τους σε αυτά τα τμήματα, δίνεται προτεραιότητα στους νέους (κάτω των 35 ετών εάν είναι άγαμοι ή έχουν συνολική ηλικία κάτω των 70 ετών εάν είναι παντρεμένοι ή ζουν σε ζευγάρι). </w:t>
      </w:r>
    </w:p>
    <w:p w14:paraId="3788AF15" w14:textId="43A361F9" w:rsidR="00154AD2" w:rsidRDefault="007F6BF3">
      <w:pPr>
        <w:pStyle w:val="P68B1DB1-Normal4"/>
        <w:keepNext/>
        <w:spacing w:before="40" w:after="0" w:line="259" w:lineRule="auto"/>
        <w:jc w:val="both"/>
        <w:rPr>
          <w:rFonts w:eastAsia="Times New Roman" w:cs="Times New Roman"/>
          <w:noProof/>
        </w:rPr>
      </w:pPr>
      <w:r>
        <w:rPr>
          <w:noProof/>
        </w:rPr>
        <w:t xml:space="preserve">Η υλοποίηση της επένδυσης θα ολοκληρωθεί έως τις 30 Ιουνίου 2026. </w:t>
      </w:r>
    </w:p>
    <w:p w14:paraId="240FFEBB" w14:textId="2C357D8F" w:rsidR="00154AD2" w:rsidRDefault="007F6BF3">
      <w:pPr>
        <w:pStyle w:val="P68B1DB1-Normal5"/>
        <w:spacing w:before="240" w:after="0" w:line="259" w:lineRule="auto"/>
        <w:ind w:left="851"/>
        <w:jc w:val="both"/>
        <w:outlineLvl w:val="2"/>
        <w:rPr>
          <w:rFonts w:eastAsia="Times New Roman" w:cs="Times New Roman"/>
          <w:noProof/>
        </w:rPr>
      </w:pPr>
      <w:r>
        <w:rPr>
          <w:noProof/>
        </w:rPr>
        <w:t>Επένδυση RE-C02-i08-RAA: Ενίσχυση του αποθέματος κοινωνικών κατοικιών</w:t>
      </w:r>
    </w:p>
    <w:p w14:paraId="2049FD50" w14:textId="77777777" w:rsidR="00154AD2" w:rsidRDefault="007F6BF3">
      <w:pPr>
        <w:pStyle w:val="P68B1DB1-Normal4"/>
        <w:keepNext/>
        <w:spacing w:before="40" w:after="0" w:line="259" w:lineRule="auto"/>
        <w:jc w:val="both"/>
        <w:rPr>
          <w:rFonts w:eastAsia="Times New Roman" w:cs="Times New Roman"/>
          <w:noProof/>
        </w:rPr>
      </w:pPr>
      <w:r>
        <w:rPr>
          <w:noProof/>
        </w:rPr>
        <w:t xml:space="preserve">Στόχος της επένδυσης είναι η ενίσχυση του αποθέματος εργατικών κατοικιών της Αυτόνομης Περιφέρειας των Αζορών. Η επένδυση συνίσταται στην κατασκευή 126 κατοικιών. </w:t>
      </w:r>
    </w:p>
    <w:p w14:paraId="0909839C" w14:textId="51879CAF" w:rsidR="00154AD2" w:rsidRDefault="007F6BF3">
      <w:pPr>
        <w:pStyle w:val="P68B1DB1-Normal4"/>
        <w:keepNext/>
        <w:spacing w:before="40" w:after="0" w:line="259" w:lineRule="auto"/>
        <w:jc w:val="both"/>
        <w:rPr>
          <w:rFonts w:eastAsia="Times New Roman" w:cs="Times New Roman"/>
          <w:noProof/>
        </w:rPr>
      </w:pPr>
      <w:r>
        <w:rPr>
          <w:noProof/>
        </w:rPr>
        <w:t>Η υλοποίηση της επένδυσης θα ολοκληρωθεί έως τις 31 Δεκεμβρίου 2025.</w:t>
      </w:r>
    </w:p>
    <w:p w14:paraId="3AC718DE" w14:textId="77777777" w:rsidR="00154AD2" w:rsidRDefault="00154AD2">
      <w:pPr>
        <w:keepNext/>
        <w:spacing w:before="40" w:after="0" w:line="259" w:lineRule="auto"/>
        <w:jc w:val="both"/>
        <w:rPr>
          <w:rFonts w:ascii="Times New Roman" w:eastAsia="Times New Roman" w:hAnsi="Times New Roman" w:cs="Times New Roman"/>
          <w:noProof/>
          <w:sz w:val="24"/>
        </w:rPr>
      </w:pPr>
    </w:p>
    <w:p w14:paraId="54C2FD53" w14:textId="77777777" w:rsidR="00154AD2" w:rsidRDefault="00154AD2">
      <w:pPr>
        <w:keepNext/>
        <w:spacing w:before="40" w:after="0" w:line="259" w:lineRule="auto"/>
        <w:jc w:val="both"/>
        <w:rPr>
          <w:rFonts w:ascii="Times New Roman" w:eastAsia="Times New Roman" w:hAnsi="Times New Roman" w:cs="Times New Roman"/>
          <w:noProof/>
          <w:sz w:val="24"/>
        </w:rPr>
      </w:pPr>
    </w:p>
    <w:p w14:paraId="0B7342BB" w14:textId="26242C44" w:rsidR="00154AD2" w:rsidRDefault="00154AD2">
      <w:pPr>
        <w:keepNext/>
        <w:spacing w:before="40" w:after="0" w:line="259" w:lineRule="auto"/>
        <w:jc w:val="both"/>
        <w:rPr>
          <w:rFonts w:ascii="Times New Roman" w:eastAsiaTheme="minorEastAsia" w:hAnsi="Times New Roman" w:cs="Times New Roman"/>
          <w:noProof/>
          <w:sz w:val="24"/>
        </w:rPr>
        <w:sectPr w:rsidR="00154AD2" w:rsidSect="00E00EDD">
          <w:headerReference w:type="even" r:id="rId48"/>
          <w:headerReference w:type="default" r:id="rId49"/>
          <w:footerReference w:type="even" r:id="rId50"/>
          <w:footerReference w:type="default" r:id="rId51"/>
          <w:headerReference w:type="first" r:id="rId52"/>
          <w:footerReference w:type="first" r:id="rId53"/>
          <w:pgSz w:w="11907" w:h="16839"/>
          <w:pgMar w:top="1134" w:right="1134" w:bottom="1134" w:left="1134" w:header="567" w:footer="567" w:gutter="0"/>
          <w:cols w:space="720"/>
          <w:docGrid w:linePitch="360"/>
        </w:sectPr>
      </w:pPr>
    </w:p>
    <w:p w14:paraId="5FD3C9BD" w14:textId="77777777" w:rsidR="00154AD2" w:rsidRDefault="00154AD2">
      <w:pPr>
        <w:spacing w:before="40" w:after="0" w:line="259" w:lineRule="auto"/>
        <w:jc w:val="both"/>
        <w:rPr>
          <w:rFonts w:ascii="Times New Roman" w:eastAsiaTheme="minorEastAsia" w:hAnsi="Times New Roman" w:cs="Times New Roman"/>
          <w:noProof/>
          <w:sz w:val="24"/>
        </w:rPr>
      </w:pPr>
    </w:p>
    <w:p w14:paraId="5AEF2E47" w14:textId="77777777" w:rsidR="00154AD2" w:rsidRDefault="007F6BF3">
      <w:pPr>
        <w:pStyle w:val="P68B1DB1-Normal3"/>
        <w:spacing w:before="40" w:after="0" w:line="259" w:lineRule="auto"/>
        <w:ind w:left="130" w:firstLine="720"/>
        <w:jc w:val="both"/>
        <w:outlineLvl w:val="1"/>
        <w:rPr>
          <w:rFonts w:eastAsiaTheme="minorEastAsia" w:cs="Times New Roman"/>
          <w:noProof/>
        </w:rPr>
      </w:pPr>
      <w:r>
        <w:rPr>
          <w:noProof/>
        </w:rPr>
        <w:t>Β.2 Ορόσημα, δείκτες και χρονοδιάγραμμα παρακολούθησης και υλοποίησης της μη επιστρεπτέας χρηματοδοτικής στήριξης.</w:t>
      </w:r>
    </w:p>
    <w:p w14:paraId="24CF32BC" w14:textId="77777777" w:rsidR="00154AD2" w:rsidRDefault="00154AD2">
      <w:pPr>
        <w:spacing w:before="40" w:after="0" w:line="259" w:lineRule="auto"/>
        <w:jc w:val="both"/>
        <w:rPr>
          <w:rFonts w:ascii="Times New Roman" w:eastAsiaTheme="minorEastAsia" w:hAnsi="Times New Roman" w:cs="Times New Roman"/>
          <w:b/>
          <w:noProof/>
          <w:sz w:val="24"/>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222"/>
        <w:gridCol w:w="1013"/>
        <w:gridCol w:w="1890"/>
        <w:gridCol w:w="1270"/>
        <w:gridCol w:w="961"/>
        <w:gridCol w:w="1066"/>
        <w:gridCol w:w="847"/>
        <w:gridCol w:w="455"/>
        <w:gridCol w:w="629"/>
        <w:gridCol w:w="4608"/>
      </w:tblGrid>
      <w:tr w:rsidR="00154AD2" w14:paraId="26812E46" w14:textId="77777777">
        <w:trPr>
          <w:trHeight w:val="910"/>
          <w:tblHeader/>
        </w:trPr>
        <w:tc>
          <w:tcPr>
            <w:tcW w:w="1134" w:type="dxa"/>
            <w:vMerge w:val="restart"/>
            <w:shd w:val="clear" w:color="auto" w:fill="BDD6EE"/>
            <w:vAlign w:val="center"/>
            <w:hideMark/>
          </w:tcPr>
          <w:p w14:paraId="0A302250" w14:textId="77777777" w:rsidR="00154AD2" w:rsidRDefault="007F6BF3">
            <w:pPr>
              <w:pStyle w:val="P68B1DB1-Normal6"/>
              <w:spacing w:after="0" w:line="240" w:lineRule="auto"/>
              <w:jc w:val="center"/>
              <w:rPr>
                <w:rFonts w:eastAsia="Times New Roman" w:cs="Times New Roman"/>
                <w:noProof/>
              </w:rPr>
            </w:pPr>
            <w:r>
              <w:rPr>
                <w:noProof/>
              </w:rPr>
              <w:t>Αύξων αριθμός</w:t>
            </w:r>
          </w:p>
        </w:tc>
        <w:tc>
          <w:tcPr>
            <w:tcW w:w="1304" w:type="dxa"/>
            <w:vMerge w:val="restart"/>
            <w:shd w:val="clear" w:color="auto" w:fill="BDD6EE"/>
            <w:vAlign w:val="center"/>
            <w:hideMark/>
          </w:tcPr>
          <w:p w14:paraId="73A11A92" w14:textId="77777777" w:rsidR="00154AD2" w:rsidRDefault="007F6BF3">
            <w:pPr>
              <w:pStyle w:val="P68B1DB1-Normal6"/>
              <w:spacing w:after="0" w:line="240" w:lineRule="auto"/>
              <w:jc w:val="center"/>
              <w:rPr>
                <w:rFonts w:eastAsia="Times New Roman" w:cs="Times New Roman"/>
                <w:noProof/>
              </w:rPr>
            </w:pPr>
            <w:r>
              <w:rPr>
                <w:noProof/>
              </w:rPr>
              <w:t>Μέτρο (Μεταρρύθμιση ή Επενδύσεις)</w:t>
            </w:r>
          </w:p>
        </w:tc>
        <w:tc>
          <w:tcPr>
            <w:tcW w:w="1077" w:type="dxa"/>
            <w:vMerge w:val="restart"/>
            <w:shd w:val="clear" w:color="auto" w:fill="BDD6EE"/>
            <w:vAlign w:val="center"/>
            <w:hideMark/>
          </w:tcPr>
          <w:p w14:paraId="06854622" w14:textId="77777777" w:rsidR="00154AD2" w:rsidRDefault="007F6BF3">
            <w:pPr>
              <w:pStyle w:val="P68B1DB1-Normal6"/>
              <w:spacing w:after="0" w:line="240" w:lineRule="auto"/>
              <w:jc w:val="center"/>
              <w:rPr>
                <w:rFonts w:eastAsia="Times New Roman" w:cs="Times New Roman"/>
                <w:noProof/>
              </w:rPr>
            </w:pPr>
            <w:r>
              <w:rPr>
                <w:noProof/>
              </w:rPr>
              <w:t>Ορόσημο/Στόχος</w:t>
            </w:r>
          </w:p>
        </w:tc>
        <w:tc>
          <w:tcPr>
            <w:tcW w:w="2026" w:type="dxa"/>
            <w:vMerge w:val="restart"/>
            <w:shd w:val="clear" w:color="auto" w:fill="BDD6EE"/>
            <w:vAlign w:val="center"/>
            <w:hideMark/>
          </w:tcPr>
          <w:p w14:paraId="41E039D4" w14:textId="77777777" w:rsidR="00154AD2" w:rsidRDefault="007F6BF3">
            <w:pPr>
              <w:pStyle w:val="P68B1DB1-Normal6"/>
              <w:spacing w:after="0" w:line="240" w:lineRule="auto"/>
              <w:jc w:val="center"/>
              <w:rPr>
                <w:rFonts w:eastAsia="Times New Roman" w:cs="Times New Roman"/>
                <w:noProof/>
              </w:rPr>
            </w:pPr>
            <w:r>
              <w:rPr>
                <w:noProof/>
              </w:rPr>
              <w:t>Όνομα</w:t>
            </w:r>
          </w:p>
        </w:tc>
        <w:tc>
          <w:tcPr>
            <w:tcW w:w="1355" w:type="dxa"/>
            <w:vMerge w:val="restart"/>
            <w:shd w:val="clear" w:color="auto" w:fill="BDD6EE"/>
            <w:vAlign w:val="center"/>
            <w:hideMark/>
          </w:tcPr>
          <w:p w14:paraId="52174BB0" w14:textId="77777777" w:rsidR="00154AD2" w:rsidRDefault="007F6BF3">
            <w:pPr>
              <w:pStyle w:val="P68B1DB1-Normal6"/>
              <w:spacing w:after="0" w:line="240" w:lineRule="auto"/>
              <w:jc w:val="center"/>
              <w:rPr>
                <w:rFonts w:eastAsia="Times New Roman" w:cs="Times New Roman"/>
                <w:noProof/>
              </w:rPr>
            </w:pPr>
            <w:r>
              <w:rPr>
                <w:noProof/>
              </w:rPr>
              <w:t>Ποιοτικοί δείκτες (για τα ορόσημα)</w:t>
            </w:r>
          </w:p>
        </w:tc>
        <w:tc>
          <w:tcPr>
            <w:tcW w:w="2453" w:type="dxa"/>
            <w:gridSpan w:val="3"/>
            <w:shd w:val="clear" w:color="auto" w:fill="BDD6EE"/>
            <w:vAlign w:val="center"/>
            <w:hideMark/>
          </w:tcPr>
          <w:p w14:paraId="62BF7853" w14:textId="77777777" w:rsidR="00154AD2" w:rsidRDefault="007F6BF3">
            <w:pPr>
              <w:pStyle w:val="P68B1DB1-Normal6"/>
              <w:spacing w:after="0" w:line="240" w:lineRule="auto"/>
              <w:jc w:val="center"/>
              <w:rPr>
                <w:rFonts w:eastAsia="Times New Roman" w:cs="Times New Roman"/>
                <w:noProof/>
              </w:rPr>
            </w:pPr>
            <w:r>
              <w:rPr>
                <w:noProof/>
              </w:rPr>
              <w:t>Ποσοτικοί δείκτες (για τους στόχους)</w:t>
            </w:r>
          </w:p>
        </w:tc>
        <w:tc>
          <w:tcPr>
            <w:tcW w:w="1134" w:type="dxa"/>
            <w:gridSpan w:val="2"/>
            <w:shd w:val="clear" w:color="auto" w:fill="BDD6EE"/>
            <w:vAlign w:val="center"/>
            <w:hideMark/>
          </w:tcPr>
          <w:p w14:paraId="6677FCBD" w14:textId="77777777" w:rsidR="00154AD2" w:rsidRDefault="007F6BF3">
            <w:pPr>
              <w:pStyle w:val="P68B1DB1-Normal6"/>
              <w:spacing w:after="0" w:line="240" w:lineRule="auto"/>
              <w:jc w:val="center"/>
              <w:rPr>
                <w:rFonts w:eastAsia="Times New Roman" w:cs="Times New Roman"/>
                <w:noProof/>
              </w:rPr>
            </w:pPr>
            <w:r>
              <w:rPr>
                <w:noProof/>
              </w:rPr>
              <w:t>Ενδεικτικό χρονοδιάγραμμα ολοκλήρωσης</w:t>
            </w:r>
          </w:p>
        </w:tc>
        <w:tc>
          <w:tcPr>
            <w:tcW w:w="4969" w:type="dxa"/>
            <w:vMerge w:val="restart"/>
            <w:shd w:val="clear" w:color="auto" w:fill="BDD6EE"/>
            <w:noWrap/>
            <w:vAlign w:val="center"/>
            <w:hideMark/>
          </w:tcPr>
          <w:p w14:paraId="2427D0C7" w14:textId="77777777" w:rsidR="00154AD2" w:rsidRDefault="007F6BF3">
            <w:pPr>
              <w:pStyle w:val="P68B1DB1-Normal6"/>
              <w:spacing w:after="0" w:line="240" w:lineRule="auto"/>
              <w:jc w:val="center"/>
              <w:rPr>
                <w:rFonts w:eastAsia="Times New Roman" w:cs="Times New Roman"/>
                <w:noProof/>
              </w:rPr>
            </w:pPr>
            <w:r>
              <w:rPr>
                <w:noProof/>
              </w:rPr>
              <w:t>Περιγραφή και σαφής ορισμός κάθε ορόσημου και στόχου</w:t>
            </w:r>
          </w:p>
        </w:tc>
      </w:tr>
      <w:tr w:rsidR="00154AD2" w14:paraId="143446B6" w14:textId="77777777">
        <w:trPr>
          <w:trHeight w:val="470"/>
          <w:tblHeader/>
        </w:trPr>
        <w:tc>
          <w:tcPr>
            <w:tcW w:w="1134" w:type="dxa"/>
            <w:vMerge/>
            <w:vAlign w:val="center"/>
            <w:hideMark/>
          </w:tcPr>
          <w:p w14:paraId="44D8EDF3" w14:textId="77777777" w:rsidR="00154AD2" w:rsidRDefault="00154AD2">
            <w:pPr>
              <w:spacing w:after="0" w:line="240" w:lineRule="auto"/>
              <w:rPr>
                <w:rFonts w:ascii="Times New Roman" w:eastAsia="Times New Roman" w:hAnsi="Times New Roman" w:cs="Times New Roman"/>
                <w:b/>
                <w:noProof/>
                <w:sz w:val="18"/>
              </w:rPr>
            </w:pPr>
          </w:p>
        </w:tc>
        <w:tc>
          <w:tcPr>
            <w:tcW w:w="1304" w:type="dxa"/>
            <w:vMerge/>
            <w:vAlign w:val="center"/>
            <w:hideMark/>
          </w:tcPr>
          <w:p w14:paraId="512D57CC" w14:textId="77777777" w:rsidR="00154AD2" w:rsidRDefault="00154AD2">
            <w:pPr>
              <w:spacing w:after="0" w:line="240" w:lineRule="auto"/>
              <w:rPr>
                <w:rFonts w:ascii="Times New Roman" w:eastAsia="Times New Roman" w:hAnsi="Times New Roman" w:cs="Times New Roman"/>
                <w:b/>
                <w:noProof/>
                <w:sz w:val="18"/>
              </w:rPr>
            </w:pPr>
          </w:p>
        </w:tc>
        <w:tc>
          <w:tcPr>
            <w:tcW w:w="1077" w:type="dxa"/>
            <w:vMerge/>
            <w:vAlign w:val="center"/>
            <w:hideMark/>
          </w:tcPr>
          <w:p w14:paraId="538E02C0" w14:textId="77777777" w:rsidR="00154AD2" w:rsidRDefault="00154AD2">
            <w:pPr>
              <w:spacing w:after="0" w:line="240" w:lineRule="auto"/>
              <w:jc w:val="center"/>
              <w:rPr>
                <w:rFonts w:ascii="Times New Roman" w:eastAsia="Times New Roman" w:hAnsi="Times New Roman" w:cs="Times New Roman"/>
                <w:b/>
                <w:noProof/>
                <w:sz w:val="18"/>
              </w:rPr>
            </w:pPr>
          </w:p>
        </w:tc>
        <w:tc>
          <w:tcPr>
            <w:tcW w:w="2026" w:type="dxa"/>
            <w:vMerge/>
            <w:vAlign w:val="center"/>
            <w:hideMark/>
          </w:tcPr>
          <w:p w14:paraId="0A0C7132" w14:textId="77777777" w:rsidR="00154AD2" w:rsidRDefault="00154AD2">
            <w:pPr>
              <w:spacing w:after="0" w:line="240" w:lineRule="auto"/>
              <w:rPr>
                <w:rFonts w:ascii="Times New Roman" w:eastAsia="Times New Roman" w:hAnsi="Times New Roman" w:cs="Times New Roman"/>
                <w:b/>
                <w:noProof/>
                <w:sz w:val="18"/>
              </w:rPr>
            </w:pPr>
          </w:p>
        </w:tc>
        <w:tc>
          <w:tcPr>
            <w:tcW w:w="1355" w:type="dxa"/>
            <w:vMerge/>
            <w:vAlign w:val="center"/>
            <w:hideMark/>
          </w:tcPr>
          <w:p w14:paraId="1A5F3ECB" w14:textId="77777777" w:rsidR="00154AD2" w:rsidRDefault="00154AD2">
            <w:pPr>
              <w:spacing w:after="0" w:line="240" w:lineRule="auto"/>
              <w:rPr>
                <w:rFonts w:ascii="Times New Roman" w:eastAsia="Times New Roman" w:hAnsi="Times New Roman" w:cs="Times New Roman"/>
                <w:b/>
                <w:noProof/>
                <w:sz w:val="18"/>
              </w:rPr>
            </w:pPr>
          </w:p>
        </w:tc>
        <w:tc>
          <w:tcPr>
            <w:tcW w:w="1021" w:type="dxa"/>
            <w:shd w:val="clear" w:color="auto" w:fill="BDD6EE"/>
            <w:vAlign w:val="center"/>
            <w:hideMark/>
          </w:tcPr>
          <w:p w14:paraId="52F8AAFE" w14:textId="77777777" w:rsidR="00154AD2" w:rsidRDefault="007F6BF3">
            <w:pPr>
              <w:pStyle w:val="P68B1DB1-Normal6"/>
              <w:spacing w:after="0" w:line="240" w:lineRule="auto"/>
              <w:jc w:val="center"/>
              <w:rPr>
                <w:rFonts w:eastAsia="Times New Roman" w:cs="Times New Roman"/>
                <w:noProof/>
              </w:rPr>
            </w:pPr>
            <w:r>
              <w:rPr>
                <w:noProof/>
              </w:rPr>
              <w:t>Μονάδα μέτρησης</w:t>
            </w:r>
          </w:p>
        </w:tc>
        <w:tc>
          <w:tcPr>
            <w:tcW w:w="1134" w:type="dxa"/>
            <w:shd w:val="clear" w:color="auto" w:fill="BDD6EE"/>
            <w:vAlign w:val="center"/>
            <w:hideMark/>
          </w:tcPr>
          <w:p w14:paraId="28C4A36C" w14:textId="77777777" w:rsidR="00154AD2" w:rsidRDefault="007F6BF3">
            <w:pPr>
              <w:pStyle w:val="P68B1DB1-Normal6"/>
              <w:spacing w:after="0" w:line="240" w:lineRule="auto"/>
              <w:jc w:val="center"/>
              <w:rPr>
                <w:rFonts w:eastAsia="Times New Roman" w:cs="Times New Roman"/>
                <w:noProof/>
              </w:rPr>
            </w:pPr>
            <w:r>
              <w:rPr>
                <w:noProof/>
              </w:rPr>
              <w:t>Γραμμή βάσης</w:t>
            </w:r>
          </w:p>
        </w:tc>
        <w:tc>
          <w:tcPr>
            <w:tcW w:w="897" w:type="dxa"/>
            <w:shd w:val="clear" w:color="auto" w:fill="BDD6EE"/>
            <w:vAlign w:val="center"/>
            <w:hideMark/>
          </w:tcPr>
          <w:p w14:paraId="1ABE3536" w14:textId="77777777" w:rsidR="00154AD2" w:rsidRDefault="007F6BF3">
            <w:pPr>
              <w:pStyle w:val="P68B1DB1-Normal6"/>
              <w:spacing w:after="0" w:line="240" w:lineRule="auto"/>
              <w:jc w:val="center"/>
              <w:rPr>
                <w:rFonts w:eastAsia="Times New Roman" w:cs="Times New Roman"/>
                <w:noProof/>
              </w:rPr>
            </w:pPr>
            <w:r>
              <w:rPr>
                <w:noProof/>
              </w:rPr>
              <w:t>Στόχοι</w:t>
            </w:r>
          </w:p>
        </w:tc>
        <w:tc>
          <w:tcPr>
            <w:tcW w:w="473" w:type="dxa"/>
            <w:shd w:val="clear" w:color="auto" w:fill="BDD6EE"/>
            <w:vAlign w:val="center"/>
            <w:hideMark/>
          </w:tcPr>
          <w:p w14:paraId="0E0C1D54" w14:textId="77777777" w:rsidR="00154AD2" w:rsidRDefault="007F6BF3">
            <w:pPr>
              <w:pStyle w:val="P68B1DB1-Normal6"/>
              <w:spacing w:after="0" w:line="240" w:lineRule="auto"/>
              <w:jc w:val="center"/>
              <w:rPr>
                <w:rFonts w:eastAsia="Times New Roman" w:cs="Times New Roman"/>
                <w:noProof/>
              </w:rPr>
            </w:pPr>
            <w:r>
              <w:rPr>
                <w:noProof/>
              </w:rPr>
              <w:t>Ε</w:t>
            </w:r>
          </w:p>
        </w:tc>
        <w:tc>
          <w:tcPr>
            <w:tcW w:w="625" w:type="dxa"/>
            <w:shd w:val="clear" w:color="auto" w:fill="BDD6EE"/>
            <w:vAlign w:val="center"/>
            <w:hideMark/>
          </w:tcPr>
          <w:p w14:paraId="01CDE8A6" w14:textId="77777777" w:rsidR="00154AD2" w:rsidRDefault="007F6BF3">
            <w:pPr>
              <w:pStyle w:val="P68B1DB1-Normal6"/>
              <w:spacing w:after="0" w:line="240" w:lineRule="auto"/>
              <w:jc w:val="center"/>
              <w:rPr>
                <w:rFonts w:eastAsia="Times New Roman" w:cs="Times New Roman"/>
                <w:noProof/>
              </w:rPr>
            </w:pPr>
            <w:r>
              <w:rPr>
                <w:noProof/>
              </w:rPr>
              <w:t>Έτος</w:t>
            </w:r>
          </w:p>
        </w:tc>
        <w:tc>
          <w:tcPr>
            <w:tcW w:w="4969" w:type="dxa"/>
            <w:vMerge/>
            <w:vAlign w:val="center"/>
            <w:hideMark/>
          </w:tcPr>
          <w:p w14:paraId="5362E692" w14:textId="77777777" w:rsidR="00154AD2" w:rsidRDefault="00154AD2">
            <w:pPr>
              <w:spacing w:after="0" w:line="240" w:lineRule="auto"/>
              <w:rPr>
                <w:rFonts w:ascii="Times New Roman" w:eastAsia="Times New Roman" w:hAnsi="Times New Roman" w:cs="Times New Roman"/>
                <w:b/>
                <w:noProof/>
                <w:sz w:val="18"/>
              </w:rPr>
            </w:pPr>
          </w:p>
        </w:tc>
      </w:tr>
      <w:tr w:rsidR="00154AD2" w14:paraId="6A7FC94D" w14:textId="77777777">
        <w:trPr>
          <w:trHeight w:val="290"/>
        </w:trPr>
        <w:tc>
          <w:tcPr>
            <w:tcW w:w="1134" w:type="dxa"/>
            <w:shd w:val="clear" w:color="auto" w:fill="C5EFCE"/>
            <w:vAlign w:val="center"/>
            <w:hideMark/>
          </w:tcPr>
          <w:p w14:paraId="34896C2A" w14:textId="77777777" w:rsidR="00154AD2" w:rsidRDefault="007F6BF3">
            <w:pPr>
              <w:pStyle w:val="P68B1DB1-Normal7"/>
              <w:spacing w:after="0" w:line="240" w:lineRule="auto"/>
              <w:jc w:val="center"/>
              <w:rPr>
                <w:rFonts w:eastAsia="Times New Roman" w:cs="Calibri"/>
                <w:noProof/>
              </w:rPr>
            </w:pPr>
            <w:r>
              <w:rPr>
                <w:noProof/>
              </w:rPr>
              <w:t>2.1</w:t>
            </w:r>
          </w:p>
        </w:tc>
        <w:tc>
          <w:tcPr>
            <w:tcW w:w="1304" w:type="dxa"/>
            <w:shd w:val="clear" w:color="auto" w:fill="C4EFCE"/>
            <w:vAlign w:val="center"/>
            <w:hideMark/>
          </w:tcPr>
          <w:p w14:paraId="17075C01" w14:textId="77777777" w:rsidR="00154AD2" w:rsidRDefault="007F6BF3">
            <w:pPr>
              <w:pStyle w:val="P68B1DB1-Normal8"/>
              <w:spacing w:after="0" w:line="240" w:lineRule="auto"/>
              <w:jc w:val="center"/>
              <w:rPr>
                <w:rFonts w:eastAsia="Times New Roman" w:cs="Calibri"/>
                <w:noProof/>
              </w:rPr>
            </w:pPr>
            <w:r>
              <w:rPr>
                <w:noProof/>
              </w:rPr>
              <w:t>RE-C02-i01</w:t>
            </w:r>
          </w:p>
        </w:tc>
        <w:tc>
          <w:tcPr>
            <w:tcW w:w="1077" w:type="dxa"/>
            <w:shd w:val="clear" w:color="auto" w:fill="C4EFCE"/>
            <w:vAlign w:val="center"/>
            <w:hideMark/>
          </w:tcPr>
          <w:p w14:paraId="1061568D" w14:textId="77777777" w:rsidR="00154AD2" w:rsidRDefault="007F6BF3">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01421DF1" w14:textId="77777777" w:rsidR="00154AD2" w:rsidRDefault="007F6BF3">
            <w:pPr>
              <w:pStyle w:val="P68B1DB1-Normal8"/>
              <w:spacing w:after="0" w:line="240" w:lineRule="auto"/>
              <w:jc w:val="center"/>
              <w:rPr>
                <w:rFonts w:eastAsia="Times New Roman" w:cs="Calibri"/>
                <w:noProof/>
              </w:rPr>
            </w:pPr>
            <w:r>
              <w:rPr>
                <w:noProof/>
              </w:rPr>
              <w:t>Πρόγραμμα στήριξης για την πρόσβαση στη στέγαση — Συμφωνίες συνεργασίας ή χρηματοδότησης που υπογράφηκαν</w:t>
            </w:r>
          </w:p>
        </w:tc>
        <w:tc>
          <w:tcPr>
            <w:tcW w:w="1355" w:type="dxa"/>
            <w:shd w:val="clear" w:color="auto" w:fill="C4EFCE"/>
            <w:vAlign w:val="center"/>
            <w:hideMark/>
          </w:tcPr>
          <w:p w14:paraId="60835B4C" w14:textId="77777777" w:rsidR="00154AD2" w:rsidRDefault="007F6BF3">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2A526E05" w14:textId="5E4CF0F6" w:rsidR="00154AD2" w:rsidRDefault="007F6BF3">
            <w:pPr>
              <w:pStyle w:val="P68B1DB1-Normal8"/>
              <w:spacing w:after="0" w:line="240" w:lineRule="auto"/>
              <w:jc w:val="center"/>
              <w:rPr>
                <w:rFonts w:eastAsia="Times New Roman" w:cs="Calibri"/>
                <w:noProof/>
              </w:rPr>
            </w:pPr>
            <w:r>
              <w:rPr>
                <w:noProof/>
              </w:rPr>
              <w:t>Αριθμός</w:t>
            </w:r>
          </w:p>
        </w:tc>
        <w:tc>
          <w:tcPr>
            <w:tcW w:w="1134" w:type="dxa"/>
            <w:shd w:val="clear" w:color="auto" w:fill="C4EFCE"/>
            <w:vAlign w:val="center"/>
            <w:hideMark/>
          </w:tcPr>
          <w:p w14:paraId="37537AFA" w14:textId="77777777" w:rsidR="00154AD2" w:rsidRDefault="007F6BF3">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18A19566" w14:textId="77777777" w:rsidR="00154AD2" w:rsidRDefault="007F6BF3">
            <w:pPr>
              <w:pStyle w:val="P68B1DB1-Normal8"/>
              <w:spacing w:after="0" w:line="240" w:lineRule="auto"/>
              <w:jc w:val="center"/>
              <w:rPr>
                <w:rFonts w:eastAsia="Times New Roman" w:cs="Calibri"/>
                <w:noProof/>
              </w:rPr>
            </w:pPr>
            <w:r>
              <w:rPr>
                <w:noProof/>
              </w:rPr>
              <w:t>75</w:t>
            </w:r>
          </w:p>
        </w:tc>
        <w:tc>
          <w:tcPr>
            <w:tcW w:w="473" w:type="dxa"/>
            <w:shd w:val="clear" w:color="auto" w:fill="C4EFCE"/>
            <w:vAlign w:val="center"/>
            <w:hideMark/>
          </w:tcPr>
          <w:p w14:paraId="09ED35F6"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625" w:type="dxa"/>
            <w:shd w:val="clear" w:color="auto" w:fill="C4EFCE"/>
            <w:vAlign w:val="center"/>
            <w:hideMark/>
          </w:tcPr>
          <w:p w14:paraId="6C3BD1EA" w14:textId="77777777" w:rsidR="00154AD2" w:rsidRDefault="007F6BF3">
            <w:pPr>
              <w:pStyle w:val="P68B1DB1-Normal8"/>
              <w:spacing w:after="0" w:line="240" w:lineRule="auto"/>
              <w:jc w:val="center"/>
              <w:rPr>
                <w:rFonts w:eastAsia="Times New Roman" w:cs="Calibri"/>
                <w:noProof/>
              </w:rPr>
            </w:pPr>
            <w:r>
              <w:rPr>
                <w:noProof/>
              </w:rPr>
              <w:t>2022</w:t>
            </w:r>
          </w:p>
        </w:tc>
        <w:tc>
          <w:tcPr>
            <w:tcW w:w="4969" w:type="dxa"/>
            <w:shd w:val="clear" w:color="auto" w:fill="C4EFCE"/>
            <w:vAlign w:val="center"/>
            <w:hideMark/>
          </w:tcPr>
          <w:p w14:paraId="4DF0FD03" w14:textId="77777777" w:rsidR="00154AD2" w:rsidRDefault="007F6BF3">
            <w:pPr>
              <w:pStyle w:val="P68B1DB1-Normal8"/>
              <w:spacing w:after="0" w:line="240" w:lineRule="auto"/>
              <w:rPr>
                <w:rFonts w:eastAsia="Times New Roman" w:cs="Calibri"/>
                <w:noProof/>
              </w:rPr>
            </w:pPr>
            <w:r>
              <w:rPr>
                <w:noProof/>
              </w:rPr>
              <w:t xml:space="preserve">Υπογραφή ρυθμίσεων συνεργασίας ή χρηματοδότησης. </w:t>
            </w:r>
          </w:p>
          <w:p w14:paraId="3127316F" w14:textId="77777777" w:rsidR="00154AD2" w:rsidRDefault="00154AD2">
            <w:pPr>
              <w:spacing w:after="0" w:line="240" w:lineRule="auto"/>
              <w:rPr>
                <w:rFonts w:ascii="Calibri" w:eastAsia="Times New Roman" w:hAnsi="Calibri" w:cs="Calibri"/>
                <w:noProof/>
                <w:sz w:val="16"/>
              </w:rPr>
            </w:pPr>
          </w:p>
          <w:p w14:paraId="47A044E4" w14:textId="5553DF5D" w:rsidR="00154AD2" w:rsidRDefault="007F6BF3">
            <w:pPr>
              <w:pStyle w:val="P68B1DB1-Normal8"/>
              <w:spacing w:after="0" w:line="240" w:lineRule="auto"/>
              <w:jc w:val="both"/>
              <w:rPr>
                <w:rFonts w:eastAsia="Times New Roman" w:cs="Calibri"/>
                <w:noProof/>
              </w:rPr>
            </w:pPr>
            <w:r>
              <w:rPr>
                <w:noProof/>
              </w:rPr>
              <w:t>Οι τοπικές στρατηγικές στέγασης παρουσιάζονται από τους δήμους. Οι στρατηγικές αυτές προσδιορίζουν 1) όλες τις ανάγκες που είναι επιλέξιμες στο πλαίσιο του παρόντος προγράμματος (όπως ορίζεται στο νομοθετικό διάταγμα αριθ. 37/2018 της 4 Ιουνίου) και 2) τις οντότητες που προωθούν λύσεις στέγασης. Μετά την επικύρωση από το IHRU (Ινστιτούτο Στέγασης και Αστικής Αποκατάστασης) της συμμόρφωσης των τοπικών στεγαστικών στρατηγικών με το πρόγραμμα, υπογράφονται οι συμφωνίες συνεργασίας με τους δήμους ή οι συμφωνίες χρηματοδότησης με τους άλλους δικαιούχους που πλαισιώνουν τις συγκεκριμένες επενδύσεις που πρόκειται να προωθηθούν και προσδιορίζεται η προθεσμία υλοποίησής τους.</w:t>
            </w:r>
          </w:p>
        </w:tc>
      </w:tr>
      <w:tr w:rsidR="00154AD2" w14:paraId="31DBD300" w14:textId="77777777">
        <w:trPr>
          <w:trHeight w:val="2949"/>
        </w:trPr>
        <w:tc>
          <w:tcPr>
            <w:tcW w:w="1134" w:type="dxa"/>
            <w:shd w:val="clear" w:color="auto" w:fill="C5EFCE"/>
            <w:vAlign w:val="center"/>
            <w:hideMark/>
          </w:tcPr>
          <w:p w14:paraId="435A6D15" w14:textId="77777777" w:rsidR="00154AD2" w:rsidRDefault="007F6BF3">
            <w:pPr>
              <w:pStyle w:val="P68B1DB1-Normal7"/>
              <w:spacing w:after="0" w:line="240" w:lineRule="auto"/>
              <w:jc w:val="center"/>
              <w:rPr>
                <w:rFonts w:eastAsia="Times New Roman" w:cs="Calibri"/>
                <w:noProof/>
              </w:rPr>
            </w:pPr>
            <w:r>
              <w:rPr>
                <w:noProof/>
              </w:rPr>
              <w:t>2.2</w:t>
            </w:r>
          </w:p>
        </w:tc>
        <w:tc>
          <w:tcPr>
            <w:tcW w:w="1304" w:type="dxa"/>
            <w:shd w:val="clear" w:color="auto" w:fill="C4EFCE"/>
            <w:vAlign w:val="center"/>
            <w:hideMark/>
          </w:tcPr>
          <w:p w14:paraId="7F179DDC" w14:textId="77777777" w:rsidR="00154AD2" w:rsidRDefault="007F6BF3">
            <w:pPr>
              <w:pStyle w:val="P68B1DB1-Normal8"/>
              <w:spacing w:after="0" w:line="240" w:lineRule="auto"/>
              <w:jc w:val="center"/>
              <w:rPr>
                <w:rFonts w:eastAsia="Times New Roman" w:cs="Calibri"/>
                <w:noProof/>
              </w:rPr>
            </w:pPr>
            <w:r>
              <w:rPr>
                <w:noProof/>
              </w:rPr>
              <w:t>RE-C02-i01</w:t>
            </w:r>
          </w:p>
        </w:tc>
        <w:tc>
          <w:tcPr>
            <w:tcW w:w="1077" w:type="dxa"/>
            <w:shd w:val="clear" w:color="auto" w:fill="C4EFCE"/>
            <w:vAlign w:val="center"/>
            <w:hideMark/>
          </w:tcPr>
          <w:p w14:paraId="480FFBF4" w14:textId="77777777" w:rsidR="00154AD2" w:rsidRDefault="007F6BF3">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2841A35F" w14:textId="77777777" w:rsidR="00154AD2" w:rsidRDefault="007F6BF3">
            <w:pPr>
              <w:pStyle w:val="P68B1DB1-Normal8"/>
              <w:spacing w:after="0" w:line="240" w:lineRule="auto"/>
              <w:jc w:val="center"/>
              <w:rPr>
                <w:rFonts w:eastAsia="Times New Roman" w:cs="Calibri"/>
                <w:noProof/>
              </w:rPr>
            </w:pPr>
            <w:r>
              <w:rPr>
                <w:noProof/>
              </w:rPr>
              <w:t>Πρόγραμμα στήριξης για την πρόσβαση σε στέγαση — Αγορασμένες, κατασκευασμένες (υψηλής ενεργειακής απόδοσης) ή αποκατεστημένες (με βελτιωμένη ενεργειακή απόδοση) κατοικίες που παρέχονται σε νοικοκυριά</w:t>
            </w:r>
          </w:p>
        </w:tc>
        <w:tc>
          <w:tcPr>
            <w:tcW w:w="1355" w:type="dxa"/>
            <w:shd w:val="clear" w:color="auto" w:fill="C4EFCE"/>
            <w:vAlign w:val="center"/>
            <w:hideMark/>
          </w:tcPr>
          <w:p w14:paraId="79254448" w14:textId="77777777" w:rsidR="00154AD2" w:rsidRDefault="007F6BF3">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25B97704"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1134" w:type="dxa"/>
            <w:shd w:val="clear" w:color="auto" w:fill="C4EFCE"/>
            <w:vAlign w:val="center"/>
            <w:hideMark/>
          </w:tcPr>
          <w:p w14:paraId="5717ADD7" w14:textId="77777777" w:rsidR="00154AD2" w:rsidRDefault="007F6BF3">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427505B2" w14:textId="0DACC7D5" w:rsidR="00154AD2" w:rsidRDefault="007F6BF3">
            <w:pPr>
              <w:pStyle w:val="P68B1DB1-Normal8"/>
              <w:spacing w:after="0" w:line="240" w:lineRule="auto"/>
              <w:jc w:val="center"/>
              <w:rPr>
                <w:rFonts w:eastAsia="Times New Roman" w:cs="Calibri"/>
                <w:noProof/>
              </w:rPr>
            </w:pPr>
            <w:r>
              <w:rPr>
                <w:noProof/>
              </w:rPr>
              <w:t>1 500</w:t>
            </w:r>
          </w:p>
        </w:tc>
        <w:tc>
          <w:tcPr>
            <w:tcW w:w="473" w:type="dxa"/>
            <w:shd w:val="clear" w:color="auto" w:fill="C4EFCE"/>
            <w:vAlign w:val="center"/>
            <w:hideMark/>
          </w:tcPr>
          <w:p w14:paraId="1E68496B"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625" w:type="dxa"/>
            <w:shd w:val="clear" w:color="auto" w:fill="C4EFCE"/>
            <w:vAlign w:val="center"/>
            <w:hideMark/>
          </w:tcPr>
          <w:p w14:paraId="21D559DA" w14:textId="77777777" w:rsidR="00154AD2" w:rsidRDefault="007F6BF3">
            <w:pPr>
              <w:pStyle w:val="P68B1DB1-Normal8"/>
              <w:spacing w:after="0" w:line="240" w:lineRule="auto"/>
              <w:jc w:val="center"/>
              <w:rPr>
                <w:rFonts w:eastAsia="Times New Roman" w:cs="Calibri"/>
                <w:noProof/>
              </w:rPr>
            </w:pPr>
            <w:r>
              <w:rPr>
                <w:noProof/>
              </w:rPr>
              <w:t>2023</w:t>
            </w:r>
          </w:p>
        </w:tc>
        <w:tc>
          <w:tcPr>
            <w:tcW w:w="4969" w:type="dxa"/>
            <w:shd w:val="clear" w:color="auto" w:fill="C4EFCE"/>
            <w:vAlign w:val="center"/>
            <w:hideMark/>
          </w:tcPr>
          <w:p w14:paraId="10E4BAB8" w14:textId="44115244" w:rsidR="00154AD2" w:rsidRDefault="007F6BF3">
            <w:pPr>
              <w:pStyle w:val="P68B1DB1-Normal8"/>
              <w:spacing w:after="0" w:line="240" w:lineRule="auto"/>
              <w:jc w:val="both"/>
              <w:rPr>
                <w:rFonts w:eastAsia="Times New Roman" w:cs="Calibri"/>
                <w:noProof/>
              </w:rPr>
            </w:pPr>
            <w:r>
              <w:rPr>
                <w:noProof/>
              </w:rPr>
              <w:t xml:space="preserve">Αριθμός κατοικιών που παραδόθηκαν σε επιλέξιμα νοικοκυριά του προγράμματος. Τα νέα κτίρια έχουν ζήτηση πρωτογενούς ενέργειας τουλάχιστον κατά 20 % χαμηλότερη από τις απαιτήσεις των κτιρίων με σχεδόν μηδενική κατανάλωση ενέργειας (με εξαίρεση τα έργα που βρίσκονται σε εξέλιξη και έχουν εγγραφεί στον προϋπολογισμό για το 2021 και το 2022, τα οποία αντιπροσωπεύουν έως και 188 250 000 EUR του συνολικού κονδυλίου για το μέτρο αυτό). </w:t>
            </w:r>
          </w:p>
        </w:tc>
      </w:tr>
      <w:tr w:rsidR="00154AD2" w14:paraId="375E02BE" w14:textId="77777777">
        <w:trPr>
          <w:trHeight w:val="1691"/>
        </w:trPr>
        <w:tc>
          <w:tcPr>
            <w:tcW w:w="1134" w:type="dxa"/>
            <w:shd w:val="clear" w:color="auto" w:fill="C5EFCE"/>
            <w:vAlign w:val="center"/>
          </w:tcPr>
          <w:p w14:paraId="31060937" w14:textId="2D4F963A" w:rsidR="00154AD2" w:rsidRDefault="007F6BF3">
            <w:pPr>
              <w:pStyle w:val="P68B1DB1-Normal7"/>
              <w:spacing w:after="0" w:line="240" w:lineRule="auto"/>
              <w:jc w:val="center"/>
              <w:rPr>
                <w:rFonts w:eastAsia="Times New Roman" w:cs="Calibri"/>
                <w:noProof/>
              </w:rPr>
            </w:pPr>
            <w:r>
              <w:rPr>
                <w:noProof/>
              </w:rPr>
              <w:t>2.29</w:t>
            </w:r>
          </w:p>
        </w:tc>
        <w:tc>
          <w:tcPr>
            <w:tcW w:w="1304" w:type="dxa"/>
            <w:shd w:val="clear" w:color="auto" w:fill="C4EFCE"/>
            <w:vAlign w:val="center"/>
          </w:tcPr>
          <w:p w14:paraId="4F9C5B9F" w14:textId="67E30297" w:rsidR="00154AD2" w:rsidRDefault="007F6BF3">
            <w:pPr>
              <w:pStyle w:val="P68B1DB1-Normal8"/>
              <w:spacing w:after="0" w:line="240" w:lineRule="auto"/>
              <w:jc w:val="center"/>
              <w:rPr>
                <w:rFonts w:eastAsia="Times New Roman" w:cs="Calibri"/>
                <w:noProof/>
              </w:rPr>
            </w:pPr>
            <w:r>
              <w:rPr>
                <w:noProof/>
              </w:rPr>
              <w:t>RE-C02-i01</w:t>
            </w:r>
          </w:p>
        </w:tc>
        <w:tc>
          <w:tcPr>
            <w:tcW w:w="1077" w:type="dxa"/>
            <w:shd w:val="clear" w:color="auto" w:fill="C4EFCE"/>
            <w:vAlign w:val="center"/>
          </w:tcPr>
          <w:p w14:paraId="3C73B808" w14:textId="0AE73BAB" w:rsidR="00154AD2" w:rsidRDefault="007F6BF3">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tcPr>
          <w:p w14:paraId="3E67D982" w14:textId="71A6CE76" w:rsidR="00154AD2" w:rsidRDefault="007F6BF3">
            <w:pPr>
              <w:pStyle w:val="P68B1DB1-Normal8"/>
              <w:spacing w:after="0" w:line="240" w:lineRule="auto"/>
              <w:jc w:val="center"/>
              <w:rPr>
                <w:rFonts w:eastAsia="Times New Roman" w:cs="Calibri"/>
                <w:noProof/>
              </w:rPr>
            </w:pPr>
            <w:r>
              <w:rPr>
                <w:noProof/>
              </w:rPr>
              <w:t>Πρόγραμμα στήριξης για την πρόσβαση σε στέγαση — Αγορασμένες, κατασκευασμένες (υψηλής ενεργειακής απόδοσης) ή αποκατεστημένες (με βελτιωμένη ενεργειακή απόδοση) κατοικίες που παρέχονται σε νοικοκυριά</w:t>
            </w:r>
          </w:p>
        </w:tc>
        <w:tc>
          <w:tcPr>
            <w:tcW w:w="1355" w:type="dxa"/>
            <w:shd w:val="clear" w:color="auto" w:fill="C4EFCE"/>
            <w:vAlign w:val="center"/>
          </w:tcPr>
          <w:p w14:paraId="31101875" w14:textId="77777777" w:rsidR="00154AD2" w:rsidRDefault="00154AD2">
            <w:pPr>
              <w:spacing w:after="0" w:line="240" w:lineRule="auto"/>
              <w:jc w:val="center"/>
              <w:rPr>
                <w:rFonts w:ascii="Calibri" w:eastAsia="Times New Roman" w:hAnsi="Calibri" w:cs="Calibri"/>
                <w:noProof/>
                <w:sz w:val="16"/>
              </w:rPr>
            </w:pPr>
          </w:p>
        </w:tc>
        <w:tc>
          <w:tcPr>
            <w:tcW w:w="1021" w:type="dxa"/>
            <w:shd w:val="clear" w:color="auto" w:fill="C4EFCE"/>
            <w:vAlign w:val="center"/>
          </w:tcPr>
          <w:p w14:paraId="51871E3D" w14:textId="14F82F6A" w:rsidR="00154AD2" w:rsidRDefault="007F6BF3">
            <w:pPr>
              <w:pStyle w:val="P68B1DB1-Normal8"/>
              <w:spacing w:after="0" w:line="240" w:lineRule="auto"/>
              <w:jc w:val="center"/>
              <w:rPr>
                <w:rFonts w:eastAsia="Times New Roman" w:cs="Calibri"/>
                <w:noProof/>
              </w:rPr>
            </w:pPr>
            <w:r>
              <w:rPr>
                <w:noProof/>
              </w:rPr>
              <w:t>Αριθμός</w:t>
            </w:r>
          </w:p>
        </w:tc>
        <w:tc>
          <w:tcPr>
            <w:tcW w:w="1134" w:type="dxa"/>
            <w:shd w:val="clear" w:color="auto" w:fill="C4EFCE"/>
            <w:vAlign w:val="center"/>
          </w:tcPr>
          <w:p w14:paraId="479FECEA" w14:textId="103FA3F7" w:rsidR="00154AD2" w:rsidRDefault="007F6BF3">
            <w:pPr>
              <w:pStyle w:val="P68B1DB1-Normal8"/>
              <w:spacing w:after="0" w:line="240" w:lineRule="auto"/>
              <w:jc w:val="center"/>
              <w:rPr>
                <w:rFonts w:eastAsia="Times New Roman" w:cs="Calibri"/>
                <w:noProof/>
              </w:rPr>
            </w:pPr>
            <w:r>
              <w:rPr>
                <w:noProof/>
              </w:rPr>
              <w:t>1 500</w:t>
            </w:r>
          </w:p>
        </w:tc>
        <w:tc>
          <w:tcPr>
            <w:tcW w:w="897" w:type="dxa"/>
            <w:shd w:val="clear" w:color="auto" w:fill="C4EFCE"/>
            <w:vAlign w:val="center"/>
          </w:tcPr>
          <w:p w14:paraId="5D50B648" w14:textId="748205E1" w:rsidR="00154AD2" w:rsidRDefault="007F6BF3">
            <w:pPr>
              <w:pStyle w:val="P68B1DB1-Normal8"/>
              <w:spacing w:after="0" w:line="240" w:lineRule="auto"/>
              <w:jc w:val="center"/>
              <w:rPr>
                <w:rFonts w:eastAsia="Times New Roman" w:cs="Calibri"/>
                <w:noProof/>
              </w:rPr>
            </w:pPr>
            <w:r>
              <w:rPr>
                <w:noProof/>
              </w:rPr>
              <w:t>10 000</w:t>
            </w:r>
          </w:p>
        </w:tc>
        <w:tc>
          <w:tcPr>
            <w:tcW w:w="473" w:type="dxa"/>
            <w:shd w:val="clear" w:color="auto" w:fill="C4EFCE"/>
            <w:vAlign w:val="center"/>
          </w:tcPr>
          <w:p w14:paraId="7C6DC9DC" w14:textId="3B28900F" w:rsidR="00154AD2" w:rsidRDefault="007F6BF3">
            <w:pPr>
              <w:pStyle w:val="P68B1DB1-Normal8"/>
              <w:spacing w:after="0" w:line="240" w:lineRule="auto"/>
              <w:jc w:val="center"/>
              <w:rPr>
                <w:rFonts w:eastAsia="Times New Roman" w:cs="Calibri"/>
                <w:noProof/>
              </w:rPr>
            </w:pPr>
            <w:r>
              <w:rPr>
                <w:noProof/>
              </w:rPr>
              <w:t>ΤΡΊΜΗΝΟ 2</w:t>
            </w:r>
          </w:p>
        </w:tc>
        <w:tc>
          <w:tcPr>
            <w:tcW w:w="625" w:type="dxa"/>
            <w:shd w:val="clear" w:color="auto" w:fill="C4EFCE"/>
            <w:vAlign w:val="center"/>
          </w:tcPr>
          <w:p w14:paraId="1AE5F7BB" w14:textId="1E2B6B17" w:rsidR="00154AD2" w:rsidRDefault="007F6BF3">
            <w:pPr>
              <w:pStyle w:val="P68B1DB1-Normal8"/>
              <w:spacing w:after="0" w:line="240" w:lineRule="auto"/>
              <w:jc w:val="center"/>
              <w:rPr>
                <w:rFonts w:eastAsia="Times New Roman" w:cs="Calibri"/>
                <w:noProof/>
              </w:rPr>
            </w:pPr>
            <w:r>
              <w:rPr>
                <w:noProof/>
              </w:rPr>
              <w:t>2025</w:t>
            </w:r>
          </w:p>
        </w:tc>
        <w:tc>
          <w:tcPr>
            <w:tcW w:w="4969" w:type="dxa"/>
            <w:shd w:val="clear" w:color="auto" w:fill="C4EFCE"/>
            <w:vAlign w:val="center"/>
          </w:tcPr>
          <w:p w14:paraId="035D8FB0" w14:textId="678DD79D" w:rsidR="00154AD2" w:rsidRDefault="007F6BF3">
            <w:pPr>
              <w:pStyle w:val="P68B1DB1-Normal8"/>
              <w:spacing w:after="0" w:line="240" w:lineRule="auto"/>
              <w:jc w:val="both"/>
              <w:rPr>
                <w:rFonts w:eastAsia="Times New Roman" w:cs="Calibri"/>
                <w:noProof/>
              </w:rPr>
            </w:pPr>
            <w:r>
              <w:rPr>
                <w:noProof/>
              </w:rPr>
              <w:t xml:space="preserve">Αριθμός κατοικιών που παραδόθηκαν σε επιλέξιμα νοικοκυριά του προγράμματος. Τα νέα κτίρια έχουν ζήτηση πρωτογενούς ενέργειας τουλάχιστον κατά 20 % χαμηλότερη από τις απαιτήσεις των κτιρίων με σχεδόν μηδενική κατανάλωση ενέργειας (με εξαίρεση τα έργα που βρίσκονται σε εξέλιξη και έχουν εγγραφεί στον προϋπολογισμό για το 2021 και το 2022, τα οποία αντιπροσωπεύουν έως και 188 250 000 EUR του συνολικού κονδυλίου για το μέτρο αυτό). </w:t>
            </w:r>
          </w:p>
        </w:tc>
      </w:tr>
      <w:tr w:rsidR="00154AD2" w14:paraId="6BC82244" w14:textId="77777777">
        <w:trPr>
          <w:trHeight w:val="509"/>
        </w:trPr>
        <w:tc>
          <w:tcPr>
            <w:tcW w:w="1134" w:type="dxa"/>
            <w:shd w:val="clear" w:color="auto" w:fill="C5EFCE"/>
            <w:vAlign w:val="center"/>
            <w:hideMark/>
          </w:tcPr>
          <w:p w14:paraId="59350F65" w14:textId="77777777" w:rsidR="00154AD2" w:rsidRDefault="007F6BF3">
            <w:pPr>
              <w:pStyle w:val="P68B1DB1-Normal7"/>
              <w:spacing w:after="0" w:line="240" w:lineRule="auto"/>
              <w:jc w:val="center"/>
              <w:rPr>
                <w:rFonts w:eastAsia="Times New Roman" w:cs="Calibri"/>
                <w:noProof/>
              </w:rPr>
            </w:pPr>
            <w:r>
              <w:rPr>
                <w:noProof/>
              </w:rPr>
              <w:t>2.3</w:t>
            </w:r>
          </w:p>
        </w:tc>
        <w:tc>
          <w:tcPr>
            <w:tcW w:w="1304" w:type="dxa"/>
            <w:shd w:val="clear" w:color="auto" w:fill="C4EFCE"/>
            <w:vAlign w:val="center"/>
            <w:hideMark/>
          </w:tcPr>
          <w:p w14:paraId="639C84CF" w14:textId="77777777" w:rsidR="00154AD2" w:rsidRDefault="007F6BF3">
            <w:pPr>
              <w:pStyle w:val="P68B1DB1-Normal8"/>
              <w:spacing w:after="0" w:line="240" w:lineRule="auto"/>
              <w:jc w:val="center"/>
              <w:rPr>
                <w:rFonts w:eastAsia="Times New Roman" w:cs="Calibri"/>
                <w:noProof/>
              </w:rPr>
            </w:pPr>
            <w:r>
              <w:rPr>
                <w:noProof/>
              </w:rPr>
              <w:t>RE-C02-i01</w:t>
            </w:r>
          </w:p>
        </w:tc>
        <w:tc>
          <w:tcPr>
            <w:tcW w:w="1077" w:type="dxa"/>
            <w:shd w:val="clear" w:color="auto" w:fill="C4EFCE"/>
            <w:vAlign w:val="center"/>
            <w:hideMark/>
          </w:tcPr>
          <w:p w14:paraId="069FE15A" w14:textId="77777777" w:rsidR="00154AD2" w:rsidRDefault="007F6BF3">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3E94FF9B" w14:textId="77777777" w:rsidR="00154AD2" w:rsidRDefault="007F6BF3">
            <w:pPr>
              <w:pStyle w:val="P68B1DB1-Normal8"/>
              <w:spacing w:after="0" w:line="240" w:lineRule="auto"/>
              <w:jc w:val="center"/>
              <w:rPr>
                <w:rFonts w:eastAsia="Times New Roman" w:cs="Calibri"/>
                <w:noProof/>
              </w:rPr>
            </w:pPr>
            <w:r>
              <w:rPr>
                <w:noProof/>
              </w:rPr>
              <w:t xml:space="preserve">Πρόγραμμα στήριξης για την πρόσβαση σε στέγαση — Αγορασμένες, κατασκευασμένες (υψηλής ενεργειακής απόδοσης) ή αποκατεστημένες (με βελτιωμένη ενεργειακή απόδοση) κατοικίες που παρέχονται σε νοικοκυριά </w:t>
            </w:r>
          </w:p>
        </w:tc>
        <w:tc>
          <w:tcPr>
            <w:tcW w:w="1355" w:type="dxa"/>
            <w:shd w:val="clear" w:color="auto" w:fill="C4EFCE"/>
            <w:vAlign w:val="center"/>
            <w:hideMark/>
          </w:tcPr>
          <w:p w14:paraId="751EA2D7" w14:textId="77777777" w:rsidR="00154AD2" w:rsidRDefault="007F6BF3">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335A0186"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1134" w:type="dxa"/>
            <w:shd w:val="clear" w:color="auto" w:fill="C4EFCE"/>
            <w:vAlign w:val="center"/>
            <w:hideMark/>
          </w:tcPr>
          <w:p w14:paraId="1EF94F6B" w14:textId="113A63A7" w:rsidR="00154AD2" w:rsidRDefault="007F6BF3">
            <w:pPr>
              <w:pStyle w:val="P68B1DB1-Normal8"/>
              <w:spacing w:after="0" w:line="240" w:lineRule="auto"/>
              <w:jc w:val="center"/>
              <w:rPr>
                <w:rFonts w:eastAsia="Times New Roman" w:cs="Calibri"/>
                <w:noProof/>
              </w:rPr>
            </w:pPr>
            <w:r>
              <w:rPr>
                <w:noProof/>
              </w:rPr>
              <w:t>10 000</w:t>
            </w:r>
          </w:p>
        </w:tc>
        <w:tc>
          <w:tcPr>
            <w:tcW w:w="897" w:type="dxa"/>
            <w:shd w:val="clear" w:color="auto" w:fill="C4EFCE"/>
            <w:vAlign w:val="center"/>
            <w:hideMark/>
          </w:tcPr>
          <w:p w14:paraId="5D687843" w14:textId="4E170287" w:rsidR="00154AD2" w:rsidRDefault="007F6BF3">
            <w:pPr>
              <w:pStyle w:val="P68B1DB1-Normal8"/>
              <w:spacing w:after="0" w:line="240" w:lineRule="auto"/>
              <w:jc w:val="center"/>
              <w:rPr>
                <w:rFonts w:eastAsia="Times New Roman" w:cs="Calibri"/>
                <w:noProof/>
              </w:rPr>
            </w:pPr>
            <w:r>
              <w:rPr>
                <w:noProof/>
              </w:rPr>
              <w:t>22 360</w:t>
            </w:r>
          </w:p>
        </w:tc>
        <w:tc>
          <w:tcPr>
            <w:tcW w:w="473" w:type="dxa"/>
            <w:shd w:val="clear" w:color="auto" w:fill="C4EFCE"/>
            <w:vAlign w:val="center"/>
            <w:hideMark/>
          </w:tcPr>
          <w:p w14:paraId="0BDA8B9E"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625" w:type="dxa"/>
            <w:shd w:val="clear" w:color="auto" w:fill="C4EFCE"/>
            <w:vAlign w:val="center"/>
            <w:hideMark/>
          </w:tcPr>
          <w:p w14:paraId="5A2AE7BE" w14:textId="77777777" w:rsidR="00154AD2" w:rsidRDefault="007F6BF3">
            <w:pPr>
              <w:pStyle w:val="P68B1DB1-Normal8"/>
              <w:spacing w:after="0" w:line="240" w:lineRule="auto"/>
              <w:jc w:val="center"/>
              <w:rPr>
                <w:rFonts w:eastAsia="Times New Roman" w:cs="Calibri"/>
                <w:noProof/>
              </w:rPr>
            </w:pPr>
            <w:r>
              <w:rPr>
                <w:noProof/>
              </w:rPr>
              <w:t>2026</w:t>
            </w:r>
          </w:p>
        </w:tc>
        <w:tc>
          <w:tcPr>
            <w:tcW w:w="4969" w:type="dxa"/>
            <w:shd w:val="clear" w:color="auto" w:fill="C4EFCE"/>
            <w:vAlign w:val="center"/>
            <w:hideMark/>
          </w:tcPr>
          <w:p w14:paraId="3B093878" w14:textId="3B9713FE" w:rsidR="00154AD2" w:rsidRDefault="007F6BF3">
            <w:pPr>
              <w:pStyle w:val="P68B1DB1-Normal8"/>
              <w:spacing w:after="0" w:line="240" w:lineRule="auto"/>
              <w:jc w:val="both"/>
              <w:rPr>
                <w:rFonts w:eastAsia="Times New Roman" w:cs="Calibri"/>
                <w:noProof/>
              </w:rPr>
            </w:pPr>
            <w:r>
              <w:rPr>
                <w:noProof/>
              </w:rPr>
              <w:t xml:space="preserve">Αριθμός κατοικιών που παραδόθηκαν σε επιλέξιμα νοικοκυριά του προγράμματος. Τα νέα κτίρια έχουν ζήτηση πρωτογενούς ενέργειας τουλάχιστον κατά 20 % χαμηλότερη από τις απαιτήσεις των κτιρίων με σχεδόν μηδενική κατανάλωση ενέργειας (με εξαίρεση τα έργα που βρίσκονται σε εξέλιξη και έχουν εγγραφεί στον προϋπολογισμό για το 2021 και το 2022, τα οποία αντιπροσωπεύουν έως και 188 250 000 EUR του συνολικού κονδυλίου για το μέτρο αυτό). Για την αποκατάσταση, η μονάδα αναφοράς ανά κατοικία είναι 73 τετραγωνικά μέτρα, για νέες κατασκευές 95 τετραγωνικά μέτρα για τις 22 360 κατοικίες. </w:t>
            </w:r>
          </w:p>
        </w:tc>
      </w:tr>
      <w:tr w:rsidR="00154AD2" w14:paraId="1B7EC0D5" w14:textId="77777777">
        <w:trPr>
          <w:trHeight w:val="290"/>
        </w:trPr>
        <w:tc>
          <w:tcPr>
            <w:tcW w:w="1134" w:type="dxa"/>
            <w:shd w:val="clear" w:color="auto" w:fill="C5EFCE"/>
            <w:vAlign w:val="center"/>
            <w:hideMark/>
          </w:tcPr>
          <w:p w14:paraId="77D78043" w14:textId="77777777" w:rsidR="00154AD2" w:rsidRDefault="007F6BF3">
            <w:pPr>
              <w:pStyle w:val="P68B1DB1-Normal7"/>
              <w:spacing w:after="0" w:line="240" w:lineRule="auto"/>
              <w:jc w:val="center"/>
              <w:rPr>
                <w:rFonts w:eastAsia="Times New Roman" w:cs="Calibri"/>
                <w:noProof/>
              </w:rPr>
            </w:pPr>
            <w:r>
              <w:rPr>
                <w:noProof/>
              </w:rPr>
              <w:t>2.4</w:t>
            </w:r>
          </w:p>
        </w:tc>
        <w:tc>
          <w:tcPr>
            <w:tcW w:w="1304" w:type="dxa"/>
            <w:shd w:val="clear" w:color="auto" w:fill="C4EFCE"/>
            <w:vAlign w:val="center"/>
            <w:hideMark/>
          </w:tcPr>
          <w:p w14:paraId="21608A65" w14:textId="77777777" w:rsidR="00154AD2" w:rsidRDefault="007F6BF3">
            <w:pPr>
              <w:pStyle w:val="P68B1DB1-Normal8"/>
              <w:spacing w:after="0" w:line="240" w:lineRule="auto"/>
              <w:jc w:val="center"/>
              <w:rPr>
                <w:rFonts w:eastAsia="Times New Roman" w:cs="Calibri"/>
                <w:noProof/>
              </w:rPr>
            </w:pPr>
            <w:r>
              <w:rPr>
                <w:noProof/>
              </w:rPr>
              <w:t>RE-C02-i02</w:t>
            </w:r>
          </w:p>
        </w:tc>
        <w:tc>
          <w:tcPr>
            <w:tcW w:w="1077" w:type="dxa"/>
            <w:shd w:val="clear" w:color="auto" w:fill="C4EFCE"/>
            <w:vAlign w:val="center"/>
            <w:hideMark/>
          </w:tcPr>
          <w:p w14:paraId="0FAA0881" w14:textId="77777777" w:rsidR="00154AD2" w:rsidRDefault="007F6BF3">
            <w:pPr>
              <w:pStyle w:val="P68B1DB1-Normal8"/>
              <w:spacing w:after="0" w:line="240" w:lineRule="auto"/>
              <w:jc w:val="center"/>
              <w:rPr>
                <w:rFonts w:eastAsia="Times New Roman" w:cs="Calibri"/>
                <w:noProof/>
              </w:rPr>
            </w:pPr>
            <w:r>
              <w:rPr>
                <w:noProof/>
              </w:rPr>
              <w:t> T</w:t>
            </w:r>
          </w:p>
        </w:tc>
        <w:tc>
          <w:tcPr>
            <w:tcW w:w="2026" w:type="dxa"/>
            <w:shd w:val="clear" w:color="auto" w:fill="C4EFCE"/>
            <w:vAlign w:val="center"/>
            <w:hideMark/>
          </w:tcPr>
          <w:p w14:paraId="0914FF1B" w14:textId="77777777" w:rsidR="00154AD2" w:rsidRDefault="007F6BF3">
            <w:pPr>
              <w:pStyle w:val="P68B1DB1-Normal8"/>
              <w:spacing w:after="0" w:line="240" w:lineRule="auto"/>
              <w:jc w:val="center"/>
              <w:rPr>
                <w:rFonts w:eastAsia="Times New Roman" w:cs="Calibri"/>
                <w:noProof/>
              </w:rPr>
            </w:pPr>
            <w:r>
              <w:rPr>
                <w:noProof/>
              </w:rPr>
              <w:t>Εθνική επιχορήγηση έκτακτης ανάγκης και προσωρινής στέγασης — Υπογραφή συμφωνιών χρηματοδότησης για κατάλυμα έκτακτης ανάγκης και μεταβατική περίοδο</w:t>
            </w:r>
          </w:p>
        </w:tc>
        <w:tc>
          <w:tcPr>
            <w:tcW w:w="1355" w:type="dxa"/>
            <w:shd w:val="clear" w:color="auto" w:fill="C4EFCE"/>
            <w:vAlign w:val="center"/>
            <w:hideMark/>
          </w:tcPr>
          <w:p w14:paraId="058B51CE" w14:textId="77777777" w:rsidR="00154AD2" w:rsidRDefault="007F6BF3">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4CCDF8A5"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1134" w:type="dxa"/>
            <w:shd w:val="clear" w:color="auto" w:fill="C4EFCE"/>
            <w:vAlign w:val="center"/>
            <w:hideMark/>
          </w:tcPr>
          <w:p w14:paraId="14C89D3F" w14:textId="77777777" w:rsidR="00154AD2" w:rsidRDefault="007F6BF3">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6F45426A" w14:textId="77777777" w:rsidR="00154AD2" w:rsidRDefault="007F6BF3">
            <w:pPr>
              <w:pStyle w:val="P68B1DB1-Normal8"/>
              <w:spacing w:after="0" w:line="240" w:lineRule="auto"/>
              <w:jc w:val="center"/>
              <w:rPr>
                <w:rFonts w:eastAsia="Times New Roman" w:cs="Calibri"/>
                <w:noProof/>
              </w:rPr>
            </w:pPr>
            <w:r>
              <w:rPr>
                <w:noProof/>
              </w:rPr>
              <w:t>500</w:t>
            </w:r>
          </w:p>
        </w:tc>
        <w:tc>
          <w:tcPr>
            <w:tcW w:w="473" w:type="dxa"/>
            <w:shd w:val="clear" w:color="auto" w:fill="C4EFCE"/>
            <w:vAlign w:val="center"/>
            <w:hideMark/>
          </w:tcPr>
          <w:p w14:paraId="4F11D61E" w14:textId="77777777" w:rsidR="00154AD2" w:rsidRDefault="007F6BF3">
            <w:pPr>
              <w:pStyle w:val="P68B1DB1-Normal8"/>
              <w:spacing w:after="0" w:line="240" w:lineRule="auto"/>
              <w:jc w:val="center"/>
              <w:rPr>
                <w:rFonts w:eastAsia="Times New Roman" w:cs="Calibri"/>
                <w:noProof/>
              </w:rPr>
            </w:pPr>
            <w:r>
              <w:rPr>
                <w:noProof/>
              </w:rPr>
              <w:t xml:space="preserve">ΤΡΊΜΗΝΟ 3 </w:t>
            </w:r>
          </w:p>
        </w:tc>
        <w:tc>
          <w:tcPr>
            <w:tcW w:w="625" w:type="dxa"/>
            <w:shd w:val="clear" w:color="auto" w:fill="C4EFCE"/>
            <w:vAlign w:val="center"/>
            <w:hideMark/>
          </w:tcPr>
          <w:p w14:paraId="7A500F3E" w14:textId="77777777" w:rsidR="00154AD2" w:rsidRDefault="007F6BF3">
            <w:pPr>
              <w:pStyle w:val="P68B1DB1-Normal8"/>
              <w:spacing w:after="0" w:line="240" w:lineRule="auto"/>
              <w:jc w:val="center"/>
              <w:rPr>
                <w:rFonts w:eastAsia="Times New Roman" w:cs="Calibri"/>
                <w:noProof/>
              </w:rPr>
            </w:pPr>
            <w:r>
              <w:rPr>
                <w:noProof/>
              </w:rPr>
              <w:t>2022</w:t>
            </w:r>
          </w:p>
        </w:tc>
        <w:tc>
          <w:tcPr>
            <w:tcW w:w="4969" w:type="dxa"/>
            <w:shd w:val="clear" w:color="auto" w:fill="C4EFCE"/>
            <w:vAlign w:val="center"/>
            <w:hideMark/>
          </w:tcPr>
          <w:p w14:paraId="6C65AF43" w14:textId="2DE6C2A7" w:rsidR="00154AD2" w:rsidRDefault="007F6BF3">
            <w:pPr>
              <w:pStyle w:val="P68B1DB1-Normal8"/>
              <w:spacing w:after="0" w:line="240" w:lineRule="auto"/>
              <w:jc w:val="both"/>
              <w:rPr>
                <w:rFonts w:eastAsia="Times New Roman" w:cs="Calibri"/>
                <w:noProof/>
              </w:rPr>
            </w:pPr>
            <w:r>
              <w:rPr>
                <w:noProof/>
              </w:rPr>
              <w:t xml:space="preserve">Τον αριθμό των διευκολύνσεων για τις οποίες υπογράφονται συμφωνίες χρηματοδότησης. </w:t>
            </w:r>
          </w:p>
          <w:p w14:paraId="1401935B" w14:textId="77777777" w:rsidR="00154AD2" w:rsidRDefault="007F6BF3">
            <w:pPr>
              <w:pStyle w:val="P68B1DB1-Normal8"/>
              <w:spacing w:after="0" w:line="240" w:lineRule="auto"/>
              <w:jc w:val="both"/>
              <w:rPr>
                <w:rFonts w:eastAsia="Times New Roman" w:cs="Calibri"/>
                <w:noProof/>
              </w:rPr>
            </w:pPr>
            <w:r>
              <w:rPr>
                <w:noProof/>
              </w:rPr>
              <w:t>Οι φορείς υποβάλλουν τις αιτήσεις τους για χρηματοδότηση στην πρόσκληση υποβολής προσφορών που προκηρύχθηκε από το IHRU (Ινστιτούτο Στέγασης και Αστικής Αποκατάστασης), το οποίο, αφού αξιολογήσει και ζητήσει γνωμοδότηση από το ISS (Ινστιτούτο Κοινωνικών Ασφαλίσεων) σχετικά με την εγκυρότητα και τη σκοπιμότητα των υποβαλλόμενων αιτήσεων, συνάπτει σύμβαση χρηματοδότησης και ορίζει την προθεσμία για την υλοποίησή της. Ως «κατάλυμα» νοείται μέρος ή το σύνολο κτιρίου με ανεξάρτητη πρόσβαση που αποτελείται από ένα ή περισσότερα διαμερίσματα στέγασης και πρόσθετους ιδιωτικούς χώρους ή οικιστικές μονάδες για περισσότερα του ενός νοικοκυριά.</w:t>
            </w:r>
          </w:p>
        </w:tc>
      </w:tr>
      <w:tr w:rsidR="00154AD2" w14:paraId="301EE51C" w14:textId="77777777">
        <w:trPr>
          <w:trHeight w:val="2674"/>
        </w:trPr>
        <w:tc>
          <w:tcPr>
            <w:tcW w:w="1134" w:type="dxa"/>
            <w:shd w:val="clear" w:color="auto" w:fill="C5EFCE"/>
            <w:vAlign w:val="center"/>
            <w:hideMark/>
          </w:tcPr>
          <w:p w14:paraId="68B87CC0" w14:textId="77777777" w:rsidR="00154AD2" w:rsidRDefault="007F6BF3">
            <w:pPr>
              <w:pStyle w:val="P68B1DB1-Normal7"/>
              <w:spacing w:after="0" w:line="240" w:lineRule="auto"/>
              <w:jc w:val="center"/>
              <w:rPr>
                <w:rFonts w:eastAsia="Times New Roman" w:cs="Calibri"/>
                <w:noProof/>
              </w:rPr>
            </w:pPr>
            <w:r>
              <w:rPr>
                <w:noProof/>
              </w:rPr>
              <w:t>2.5</w:t>
            </w:r>
          </w:p>
        </w:tc>
        <w:tc>
          <w:tcPr>
            <w:tcW w:w="1304" w:type="dxa"/>
            <w:shd w:val="clear" w:color="auto" w:fill="C4EFCE"/>
            <w:vAlign w:val="center"/>
            <w:hideMark/>
          </w:tcPr>
          <w:p w14:paraId="0896B5A2" w14:textId="77777777" w:rsidR="00154AD2" w:rsidRDefault="007F6BF3">
            <w:pPr>
              <w:pStyle w:val="P68B1DB1-Normal8"/>
              <w:spacing w:after="0" w:line="240" w:lineRule="auto"/>
              <w:jc w:val="center"/>
              <w:rPr>
                <w:rFonts w:eastAsia="Times New Roman" w:cs="Calibri"/>
                <w:noProof/>
              </w:rPr>
            </w:pPr>
            <w:r>
              <w:rPr>
                <w:noProof/>
              </w:rPr>
              <w:t>RE-C02-i02</w:t>
            </w:r>
          </w:p>
        </w:tc>
        <w:tc>
          <w:tcPr>
            <w:tcW w:w="1077" w:type="dxa"/>
            <w:shd w:val="clear" w:color="auto" w:fill="C4EFCE"/>
            <w:vAlign w:val="center"/>
            <w:hideMark/>
          </w:tcPr>
          <w:p w14:paraId="18C2C033" w14:textId="77777777" w:rsidR="00154AD2" w:rsidRDefault="007F6BF3">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02542EC9" w14:textId="77777777" w:rsidR="00154AD2" w:rsidRDefault="007F6BF3">
            <w:pPr>
              <w:pStyle w:val="P68B1DB1-Normal8"/>
              <w:spacing w:after="0" w:line="240" w:lineRule="auto"/>
              <w:jc w:val="center"/>
              <w:rPr>
                <w:rFonts w:eastAsia="Times New Roman" w:cs="Calibri"/>
                <w:noProof/>
              </w:rPr>
            </w:pPr>
            <w:r>
              <w:rPr>
                <w:noProof/>
              </w:rPr>
              <w:t>Εθνική επιχορήγηση έκτακτης ανάγκης και προσωρινής στέγασης — Υπογραφή συμφωνιών χρηματοδότησης για καταλύματα έκτακτης ανάγκης και μετάβασης</w:t>
            </w:r>
          </w:p>
        </w:tc>
        <w:tc>
          <w:tcPr>
            <w:tcW w:w="1355" w:type="dxa"/>
            <w:shd w:val="clear" w:color="auto" w:fill="C4EFCE"/>
            <w:vAlign w:val="center"/>
            <w:hideMark/>
          </w:tcPr>
          <w:p w14:paraId="729388B8" w14:textId="77777777" w:rsidR="00154AD2" w:rsidRDefault="007F6BF3">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20F0E16D" w14:textId="48C4EEB3" w:rsidR="00154AD2" w:rsidRDefault="007F6BF3">
            <w:pPr>
              <w:pStyle w:val="P68B1DB1-Normal8"/>
              <w:spacing w:after="0" w:line="240" w:lineRule="auto"/>
              <w:jc w:val="center"/>
              <w:rPr>
                <w:rFonts w:eastAsia="Times New Roman" w:cs="Calibri"/>
                <w:noProof/>
              </w:rPr>
            </w:pPr>
            <w:r>
              <w:rPr>
                <w:noProof/>
              </w:rPr>
              <w:t>Αριθμός</w:t>
            </w:r>
          </w:p>
        </w:tc>
        <w:tc>
          <w:tcPr>
            <w:tcW w:w="1134" w:type="dxa"/>
            <w:shd w:val="clear" w:color="auto" w:fill="C4EFCE"/>
            <w:vAlign w:val="center"/>
            <w:hideMark/>
          </w:tcPr>
          <w:p w14:paraId="5404D043" w14:textId="77777777" w:rsidR="00154AD2" w:rsidRDefault="007F6BF3">
            <w:pPr>
              <w:pStyle w:val="P68B1DB1-Normal8"/>
              <w:spacing w:after="0" w:line="240" w:lineRule="auto"/>
              <w:jc w:val="center"/>
              <w:rPr>
                <w:rFonts w:eastAsia="Times New Roman" w:cs="Calibri"/>
                <w:noProof/>
              </w:rPr>
            </w:pPr>
            <w:r>
              <w:rPr>
                <w:noProof/>
              </w:rPr>
              <w:t>500</w:t>
            </w:r>
          </w:p>
        </w:tc>
        <w:tc>
          <w:tcPr>
            <w:tcW w:w="897" w:type="dxa"/>
            <w:shd w:val="clear" w:color="auto" w:fill="C4EFCE"/>
            <w:vAlign w:val="center"/>
            <w:hideMark/>
          </w:tcPr>
          <w:p w14:paraId="57B686FC" w14:textId="77777777" w:rsidR="00154AD2" w:rsidRDefault="007F6BF3">
            <w:pPr>
              <w:pStyle w:val="P68B1DB1-Normal8"/>
              <w:spacing w:after="0" w:line="240" w:lineRule="auto"/>
              <w:jc w:val="center"/>
              <w:rPr>
                <w:rFonts w:eastAsia="Times New Roman" w:cs="Calibri"/>
                <w:noProof/>
              </w:rPr>
            </w:pPr>
            <w:r>
              <w:rPr>
                <w:noProof/>
              </w:rPr>
              <w:t>1 000</w:t>
            </w:r>
          </w:p>
        </w:tc>
        <w:tc>
          <w:tcPr>
            <w:tcW w:w="473" w:type="dxa"/>
            <w:shd w:val="clear" w:color="auto" w:fill="C4EFCE"/>
            <w:vAlign w:val="center"/>
            <w:hideMark/>
          </w:tcPr>
          <w:p w14:paraId="106559ED"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625" w:type="dxa"/>
            <w:shd w:val="clear" w:color="auto" w:fill="C4EFCE"/>
            <w:vAlign w:val="center"/>
            <w:hideMark/>
          </w:tcPr>
          <w:p w14:paraId="1B378D8D" w14:textId="77777777" w:rsidR="00154AD2" w:rsidRDefault="007F6BF3">
            <w:pPr>
              <w:pStyle w:val="P68B1DB1-Normal8"/>
              <w:spacing w:after="0" w:line="240" w:lineRule="auto"/>
              <w:jc w:val="center"/>
              <w:rPr>
                <w:rFonts w:eastAsia="Times New Roman" w:cs="Calibri"/>
                <w:noProof/>
              </w:rPr>
            </w:pPr>
            <w:r>
              <w:rPr>
                <w:noProof/>
              </w:rPr>
              <w:t>2024</w:t>
            </w:r>
          </w:p>
        </w:tc>
        <w:tc>
          <w:tcPr>
            <w:tcW w:w="4969" w:type="dxa"/>
            <w:shd w:val="clear" w:color="auto" w:fill="C4EFCE"/>
            <w:vAlign w:val="center"/>
          </w:tcPr>
          <w:p w14:paraId="1296F222" w14:textId="08C6502C" w:rsidR="00154AD2" w:rsidRDefault="007F6BF3">
            <w:pPr>
              <w:pStyle w:val="P68B1DB1-Normal8"/>
              <w:spacing w:after="0" w:line="240" w:lineRule="auto"/>
              <w:jc w:val="both"/>
              <w:rPr>
                <w:rFonts w:eastAsia="Times New Roman" w:cs="Calibri"/>
                <w:noProof/>
              </w:rPr>
            </w:pPr>
            <w:r>
              <w:rPr>
                <w:noProof/>
              </w:rPr>
              <w:t>Τον αριθμό των διευκολύνσεων για τις οποίες υπογράφονται συμφωνίες χρηματοδότησης.</w:t>
            </w:r>
          </w:p>
          <w:p w14:paraId="3D3E1365" w14:textId="769D7B7A" w:rsidR="00154AD2" w:rsidRDefault="007F6BF3">
            <w:pPr>
              <w:pStyle w:val="P68B1DB1-Normal8"/>
              <w:spacing w:after="0" w:line="240" w:lineRule="auto"/>
              <w:jc w:val="both"/>
              <w:rPr>
                <w:rFonts w:eastAsia="Times New Roman" w:cs="Calibri"/>
                <w:noProof/>
              </w:rPr>
            </w:pPr>
            <w:r>
              <w:rPr>
                <w:noProof/>
              </w:rPr>
              <w:t>Οι φορείς υποβάλλουν τις αιτήσεις τους για χρηματοδότηση στην πρόσκληση υποβολής προσφορών που προκηρύχθηκε από το IHRU (Ινστιτούτο Στέγασης και Αστικής Αποκατάστασης), το οποίο, αφού αξιολογήσει και ζητήσει γνωμοδότηση από το ISS (Ινστιτούτο Κοινωνικών Ασφαλίσεων) σχετικά με την εγκυρότητα και τη σκοπιμότητα των υποβαλλόμενων αιτήσεων, συνάπτει σύμβαση χρηματοδότησης και ορίζει την προθεσμία για την υλοποίησή της. Ως «κατάλυμα» νοείται μέρος ή το σύνολο κτιρίου με ανεξάρτητη πρόσβαση που αποτελείται από ένα ή περισσότερα διαμερίσματα στέγασης και πρόσθετους ιδιωτικούς χώρους ή οικιστικές μονάδες για περισσότερα του ενός νοικοκυριά.</w:t>
            </w:r>
          </w:p>
          <w:p w14:paraId="117AD3E0" w14:textId="77777777" w:rsidR="00154AD2" w:rsidRDefault="00154AD2">
            <w:pPr>
              <w:spacing w:after="0" w:line="240" w:lineRule="auto"/>
              <w:jc w:val="both"/>
              <w:rPr>
                <w:rFonts w:ascii="Calibri" w:eastAsia="Times New Roman" w:hAnsi="Calibri" w:cs="Calibri"/>
                <w:noProof/>
                <w:sz w:val="16"/>
              </w:rPr>
            </w:pPr>
          </w:p>
        </w:tc>
      </w:tr>
      <w:tr w:rsidR="00154AD2" w14:paraId="4D975256" w14:textId="77777777">
        <w:trPr>
          <w:trHeight w:val="2253"/>
        </w:trPr>
        <w:tc>
          <w:tcPr>
            <w:tcW w:w="1134" w:type="dxa"/>
            <w:shd w:val="clear" w:color="auto" w:fill="C5EFCE"/>
            <w:vAlign w:val="center"/>
            <w:hideMark/>
          </w:tcPr>
          <w:p w14:paraId="2C482782" w14:textId="77777777" w:rsidR="00154AD2" w:rsidRDefault="007F6BF3">
            <w:pPr>
              <w:pStyle w:val="P68B1DB1-Normal7"/>
              <w:spacing w:after="0" w:line="240" w:lineRule="auto"/>
              <w:jc w:val="center"/>
              <w:rPr>
                <w:rFonts w:eastAsia="Times New Roman" w:cs="Calibri"/>
                <w:noProof/>
              </w:rPr>
            </w:pPr>
            <w:r>
              <w:rPr>
                <w:noProof/>
              </w:rPr>
              <w:t>2.6</w:t>
            </w:r>
          </w:p>
        </w:tc>
        <w:tc>
          <w:tcPr>
            <w:tcW w:w="1304" w:type="dxa"/>
            <w:shd w:val="clear" w:color="auto" w:fill="C4EFCE"/>
            <w:vAlign w:val="center"/>
            <w:hideMark/>
          </w:tcPr>
          <w:p w14:paraId="672072E0" w14:textId="77777777" w:rsidR="00154AD2" w:rsidRDefault="007F6BF3">
            <w:pPr>
              <w:pStyle w:val="P68B1DB1-Normal8"/>
              <w:spacing w:after="0" w:line="240" w:lineRule="auto"/>
              <w:jc w:val="center"/>
              <w:rPr>
                <w:rFonts w:eastAsia="Times New Roman" w:cs="Calibri"/>
                <w:noProof/>
              </w:rPr>
            </w:pPr>
            <w:r>
              <w:rPr>
                <w:noProof/>
              </w:rPr>
              <w:t>RE-C02-i02</w:t>
            </w:r>
          </w:p>
        </w:tc>
        <w:tc>
          <w:tcPr>
            <w:tcW w:w="1077" w:type="dxa"/>
            <w:shd w:val="clear" w:color="auto" w:fill="C4EFCE"/>
            <w:vAlign w:val="center"/>
            <w:hideMark/>
          </w:tcPr>
          <w:p w14:paraId="62E3F49B" w14:textId="77777777" w:rsidR="00154AD2" w:rsidRDefault="007F6BF3">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5E2BDA77" w14:textId="3AFE50BF" w:rsidR="00154AD2" w:rsidRDefault="007F6BF3">
            <w:pPr>
              <w:pStyle w:val="P68B1DB1-Normal8"/>
              <w:spacing w:after="0" w:line="240" w:lineRule="auto"/>
              <w:jc w:val="center"/>
              <w:rPr>
                <w:rFonts w:eastAsia="Times New Roman" w:cs="Calibri"/>
                <w:noProof/>
              </w:rPr>
            </w:pPr>
            <w:r>
              <w:rPr>
                <w:noProof/>
              </w:rPr>
              <w:t>Εθνική επιχορήγηση έκτακτης ανάγκης και προσωρινής στέγασης — Κατασκευές με έναρξη ή αγορά κατασκευαστικών εργασιών για καταλύματα έκτακτης ανάγκης και μετάβασης (που πρόκειται να κατασκευαστούν ή να αγοραστούν με πρότυπα ενεργειακής απόδοσης ή να αποκατασταθούν με βελτιωμένη ενεργειακή απόδοση) υπό κατασκευή</w:t>
            </w:r>
          </w:p>
        </w:tc>
        <w:tc>
          <w:tcPr>
            <w:tcW w:w="1355" w:type="dxa"/>
            <w:shd w:val="clear" w:color="auto" w:fill="C4EFCE"/>
            <w:vAlign w:val="center"/>
            <w:hideMark/>
          </w:tcPr>
          <w:p w14:paraId="5368E03F" w14:textId="77777777" w:rsidR="00154AD2" w:rsidRDefault="007F6BF3">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796FA2A1" w14:textId="460620FE" w:rsidR="00154AD2" w:rsidRDefault="007F6BF3">
            <w:pPr>
              <w:pStyle w:val="P68B1DB1-Normal8"/>
              <w:spacing w:after="0" w:line="240" w:lineRule="auto"/>
              <w:jc w:val="center"/>
              <w:rPr>
                <w:rFonts w:eastAsia="Times New Roman" w:cs="Calibri"/>
                <w:noProof/>
              </w:rPr>
            </w:pPr>
            <w:r>
              <w:rPr>
                <w:noProof/>
              </w:rPr>
              <w:t>Αριθμός</w:t>
            </w:r>
          </w:p>
        </w:tc>
        <w:tc>
          <w:tcPr>
            <w:tcW w:w="1134" w:type="dxa"/>
            <w:shd w:val="clear" w:color="auto" w:fill="C4EFCE"/>
            <w:vAlign w:val="center"/>
            <w:hideMark/>
          </w:tcPr>
          <w:p w14:paraId="4ABF0136" w14:textId="77777777" w:rsidR="00154AD2" w:rsidRDefault="007F6BF3">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1C9E3EE0" w14:textId="496C8208" w:rsidR="00154AD2" w:rsidRDefault="007F6BF3">
            <w:pPr>
              <w:pStyle w:val="P68B1DB1-Normal8"/>
              <w:spacing w:after="0" w:line="240" w:lineRule="auto"/>
              <w:jc w:val="center"/>
              <w:rPr>
                <w:rFonts w:eastAsia="Times New Roman" w:cs="Calibri"/>
                <w:noProof/>
              </w:rPr>
            </w:pPr>
            <w:r>
              <w:rPr>
                <w:noProof/>
              </w:rPr>
              <w:t>350</w:t>
            </w:r>
          </w:p>
        </w:tc>
        <w:tc>
          <w:tcPr>
            <w:tcW w:w="473" w:type="dxa"/>
            <w:shd w:val="clear" w:color="auto" w:fill="C4EFCE"/>
            <w:vAlign w:val="center"/>
            <w:hideMark/>
          </w:tcPr>
          <w:p w14:paraId="7DDECB12"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625" w:type="dxa"/>
            <w:shd w:val="clear" w:color="auto" w:fill="C4EFCE"/>
            <w:vAlign w:val="center"/>
            <w:hideMark/>
          </w:tcPr>
          <w:p w14:paraId="67217E7A" w14:textId="77777777" w:rsidR="00154AD2" w:rsidRDefault="007F6BF3">
            <w:pPr>
              <w:pStyle w:val="P68B1DB1-Normal8"/>
              <w:spacing w:after="0" w:line="240" w:lineRule="auto"/>
              <w:jc w:val="center"/>
              <w:rPr>
                <w:rFonts w:eastAsia="Times New Roman" w:cs="Calibri"/>
                <w:noProof/>
              </w:rPr>
            </w:pPr>
            <w:r>
              <w:rPr>
                <w:noProof/>
              </w:rPr>
              <w:t>2023</w:t>
            </w:r>
          </w:p>
        </w:tc>
        <w:tc>
          <w:tcPr>
            <w:tcW w:w="4969" w:type="dxa"/>
            <w:shd w:val="clear" w:color="auto" w:fill="C4EFCE"/>
            <w:vAlign w:val="center"/>
            <w:hideMark/>
          </w:tcPr>
          <w:p w14:paraId="0AFE01CA" w14:textId="473A67E9" w:rsidR="00154AD2" w:rsidRDefault="007F6BF3">
            <w:pPr>
              <w:pStyle w:val="P68B1DB1-Normal8"/>
              <w:spacing w:after="0" w:line="240" w:lineRule="auto"/>
              <w:jc w:val="both"/>
              <w:rPr>
                <w:rFonts w:eastAsia="Times New Roman" w:cs="Calibri"/>
                <w:noProof/>
              </w:rPr>
            </w:pPr>
            <w:r>
              <w:rPr>
                <w:noProof/>
              </w:rPr>
              <w:t xml:space="preserve">Καταλύματα για τα οποία άρχισαν κατασκευαστικές εργασίες ή αγοράστηκαν καταλύματα. Μετά τη σύναψη της σύμβασης χρηματοδότησης, το ποσό αποδεσμεύεται στις οντότητες ανάλογα με την εκτέλεση της σύμβασης. Τα νέα κτίρια έχουν ζήτηση πρωτογενούς ενέργειας τουλάχιστον κατά 20 % χαμηλότερη από τις απαιτήσεις των κτιρίων με σχεδόν μηδενική κατανάλωση ενέργειας (με εξαίρεση τα έργα που βρίσκονται σε εξέλιξη και έχουν εγγραφεί στον προϋπολογισμό για το 2021 και το 2022, τα οποία αντιπροσωπεύουν 14 800 000 EUR από το συνολικό κονδύλιο για το μέτρο αυτό). </w:t>
            </w:r>
          </w:p>
        </w:tc>
      </w:tr>
      <w:tr w:rsidR="00154AD2" w14:paraId="5D93E105" w14:textId="77777777">
        <w:trPr>
          <w:trHeight w:val="509"/>
        </w:trPr>
        <w:tc>
          <w:tcPr>
            <w:tcW w:w="1134" w:type="dxa"/>
            <w:shd w:val="clear" w:color="auto" w:fill="C5EFCE"/>
            <w:vAlign w:val="center"/>
            <w:hideMark/>
          </w:tcPr>
          <w:p w14:paraId="413E90AC" w14:textId="77777777" w:rsidR="00154AD2" w:rsidRDefault="007F6BF3">
            <w:pPr>
              <w:pStyle w:val="P68B1DB1-Normal7"/>
              <w:spacing w:after="0" w:line="240" w:lineRule="auto"/>
              <w:jc w:val="center"/>
              <w:rPr>
                <w:rFonts w:eastAsia="Times New Roman" w:cs="Calibri"/>
                <w:noProof/>
              </w:rPr>
            </w:pPr>
            <w:r>
              <w:rPr>
                <w:noProof/>
              </w:rPr>
              <w:t>2.7</w:t>
            </w:r>
          </w:p>
        </w:tc>
        <w:tc>
          <w:tcPr>
            <w:tcW w:w="1304" w:type="dxa"/>
            <w:shd w:val="clear" w:color="auto" w:fill="C4EFCE"/>
            <w:vAlign w:val="center"/>
            <w:hideMark/>
          </w:tcPr>
          <w:p w14:paraId="1840F1C0" w14:textId="77777777" w:rsidR="00154AD2" w:rsidRDefault="007F6BF3">
            <w:pPr>
              <w:pStyle w:val="P68B1DB1-Normal8"/>
              <w:spacing w:after="0" w:line="240" w:lineRule="auto"/>
              <w:jc w:val="center"/>
              <w:rPr>
                <w:rFonts w:eastAsia="Times New Roman" w:cs="Calibri"/>
                <w:noProof/>
              </w:rPr>
            </w:pPr>
            <w:r>
              <w:rPr>
                <w:noProof/>
              </w:rPr>
              <w:t>RE-C02-i02</w:t>
            </w:r>
          </w:p>
        </w:tc>
        <w:tc>
          <w:tcPr>
            <w:tcW w:w="1077" w:type="dxa"/>
            <w:shd w:val="clear" w:color="auto" w:fill="C4EFCE"/>
            <w:vAlign w:val="center"/>
            <w:hideMark/>
          </w:tcPr>
          <w:p w14:paraId="0E870F5F" w14:textId="77777777" w:rsidR="00154AD2" w:rsidRDefault="007F6BF3">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6E6560F6" w14:textId="5E9818E4" w:rsidR="00154AD2" w:rsidRDefault="007F6BF3">
            <w:pPr>
              <w:pStyle w:val="P68B1DB1-Normal8"/>
              <w:spacing w:after="0" w:line="240" w:lineRule="auto"/>
              <w:jc w:val="center"/>
              <w:rPr>
                <w:rFonts w:eastAsia="Times New Roman" w:cs="Calibri"/>
                <w:noProof/>
              </w:rPr>
            </w:pPr>
            <w:r>
              <w:rPr>
                <w:noProof/>
              </w:rPr>
              <w:t>Εθνική επιχορήγηση έκτακτης ανάγκης και προσωρινής στέγασης — Κατασκευές έκτακτης ανάγκης και μετάβασης που δημιουργήθηκαν (κατασκευάστηκαν ή αγοράστηκαν σύμφωνα με το πρότυπο ενεργειακής απόδοσης ή αποκαταστάθηκαν, μεταξύ άλλων αγοράστηκαν, με βελτιωμένη ενεργειακή απόδοση) και παραδόθηκαν σε φορείς ανάπτυξης έργων</w:t>
            </w:r>
          </w:p>
        </w:tc>
        <w:tc>
          <w:tcPr>
            <w:tcW w:w="1355" w:type="dxa"/>
            <w:shd w:val="clear" w:color="auto" w:fill="C4EFCE"/>
            <w:vAlign w:val="center"/>
            <w:hideMark/>
          </w:tcPr>
          <w:p w14:paraId="4245B913" w14:textId="77777777" w:rsidR="00154AD2" w:rsidRDefault="007F6BF3">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07D9E38D" w14:textId="742C938D" w:rsidR="00154AD2" w:rsidRDefault="007F6BF3">
            <w:pPr>
              <w:pStyle w:val="P68B1DB1-Normal8"/>
              <w:spacing w:after="0" w:line="240" w:lineRule="auto"/>
              <w:jc w:val="center"/>
              <w:rPr>
                <w:rFonts w:eastAsia="Times New Roman" w:cs="Calibri"/>
                <w:noProof/>
              </w:rPr>
            </w:pPr>
            <w:r>
              <w:rPr>
                <w:noProof/>
              </w:rPr>
              <w:t>Αριθμός</w:t>
            </w:r>
          </w:p>
        </w:tc>
        <w:tc>
          <w:tcPr>
            <w:tcW w:w="1134" w:type="dxa"/>
            <w:shd w:val="clear" w:color="auto" w:fill="C4EFCE"/>
            <w:vAlign w:val="center"/>
            <w:hideMark/>
          </w:tcPr>
          <w:p w14:paraId="4CFB3CF0" w14:textId="77777777" w:rsidR="00154AD2" w:rsidRDefault="007F6BF3">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5D5D9D2D" w14:textId="77777777" w:rsidR="00154AD2" w:rsidRDefault="007F6BF3">
            <w:pPr>
              <w:pStyle w:val="P68B1DB1-Normal8"/>
              <w:spacing w:after="0" w:line="240" w:lineRule="auto"/>
              <w:jc w:val="center"/>
              <w:rPr>
                <w:rFonts w:eastAsia="Times New Roman" w:cs="Calibri"/>
                <w:noProof/>
              </w:rPr>
            </w:pPr>
            <w:r>
              <w:rPr>
                <w:noProof/>
              </w:rPr>
              <w:t>2 000</w:t>
            </w:r>
          </w:p>
        </w:tc>
        <w:tc>
          <w:tcPr>
            <w:tcW w:w="473" w:type="dxa"/>
            <w:shd w:val="clear" w:color="auto" w:fill="C4EFCE"/>
            <w:vAlign w:val="center"/>
            <w:hideMark/>
          </w:tcPr>
          <w:p w14:paraId="6B63A6F4"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625" w:type="dxa"/>
            <w:shd w:val="clear" w:color="auto" w:fill="C4EFCE"/>
            <w:vAlign w:val="center"/>
            <w:hideMark/>
          </w:tcPr>
          <w:p w14:paraId="6908D626" w14:textId="77777777" w:rsidR="00154AD2" w:rsidRDefault="007F6BF3">
            <w:pPr>
              <w:pStyle w:val="P68B1DB1-Normal8"/>
              <w:spacing w:after="0" w:line="240" w:lineRule="auto"/>
              <w:jc w:val="center"/>
              <w:rPr>
                <w:rFonts w:eastAsia="Times New Roman" w:cs="Calibri"/>
                <w:noProof/>
              </w:rPr>
            </w:pPr>
            <w:r>
              <w:rPr>
                <w:noProof/>
              </w:rPr>
              <w:t>2026</w:t>
            </w:r>
          </w:p>
        </w:tc>
        <w:tc>
          <w:tcPr>
            <w:tcW w:w="4969" w:type="dxa"/>
            <w:shd w:val="clear" w:color="auto" w:fill="C4EFCE"/>
            <w:vAlign w:val="center"/>
            <w:hideMark/>
          </w:tcPr>
          <w:p w14:paraId="130C6538" w14:textId="26B12645" w:rsidR="00154AD2" w:rsidRDefault="007F6BF3">
            <w:pPr>
              <w:pStyle w:val="P68B1DB1-Normal8"/>
              <w:spacing w:after="0" w:line="240" w:lineRule="auto"/>
              <w:jc w:val="both"/>
              <w:rPr>
                <w:rFonts w:eastAsia="Times New Roman" w:cs="Calibri"/>
                <w:noProof/>
              </w:rPr>
            </w:pPr>
            <w:r>
              <w:rPr>
                <w:noProof/>
              </w:rPr>
              <w:t xml:space="preserve">Παράδοση καταλύματος στους χορηγούς φορείς. Ως «κατάλυμα» νοείται μέρος ή το σύνολο κτιρίου με ανεξάρτητη πρόσβαση που αποτελείται από ένα ή περισσότερα διαμερίσματα στέγασης και πρόσθετους ιδιωτικούς χώρους ή οικιστικές μονάδες για περισσότερα του ενός νοικοκυριά. Τα νέα κτίρια έχουν ζήτηση πρωτογενούς ενέργειας τουλάχιστον κατά 20 % χαμηλότερη από τις απαιτήσεις των κτιρίων με σχεδόν μηδενική κατανάλωση ενέργειας (με εξαίρεση τα έργα που βρίσκονται σε εξέλιξη και έχουν εγγραφεί στον προϋπολογισμό για το 2021 και το 2022, τα οποία αντιπροσωπεύουν 14 800 000 EUR από το συνολικό κονδύλιο για το μέτρο αυτό). Η μονάδα αναφοράς είναι 73 τετραγωνικά μέτρα, κατά μέσο όρο, για τα 2000 καταλύματα. </w:t>
            </w:r>
          </w:p>
        </w:tc>
      </w:tr>
      <w:tr w:rsidR="00154AD2" w14:paraId="7427DF73" w14:textId="77777777">
        <w:trPr>
          <w:trHeight w:val="1114"/>
        </w:trPr>
        <w:tc>
          <w:tcPr>
            <w:tcW w:w="1134" w:type="dxa"/>
            <w:shd w:val="clear" w:color="auto" w:fill="C5EFCE"/>
            <w:vAlign w:val="center"/>
            <w:hideMark/>
          </w:tcPr>
          <w:p w14:paraId="0D2C6831" w14:textId="77777777" w:rsidR="00154AD2" w:rsidRDefault="007F6BF3">
            <w:pPr>
              <w:pStyle w:val="P68B1DB1-Normal7"/>
              <w:spacing w:after="0" w:line="240" w:lineRule="auto"/>
              <w:jc w:val="center"/>
              <w:rPr>
                <w:rFonts w:eastAsia="Times New Roman" w:cs="Calibri"/>
                <w:noProof/>
              </w:rPr>
            </w:pPr>
            <w:r>
              <w:rPr>
                <w:noProof/>
              </w:rPr>
              <w:t>2.8</w:t>
            </w:r>
          </w:p>
        </w:tc>
        <w:tc>
          <w:tcPr>
            <w:tcW w:w="1304" w:type="dxa"/>
            <w:shd w:val="clear" w:color="auto" w:fill="C4EFCE"/>
            <w:vAlign w:val="center"/>
            <w:hideMark/>
          </w:tcPr>
          <w:p w14:paraId="7BA5DE70" w14:textId="77777777" w:rsidR="00154AD2" w:rsidRDefault="007F6BF3">
            <w:pPr>
              <w:pStyle w:val="P68B1DB1-Normal8"/>
              <w:spacing w:after="0" w:line="240" w:lineRule="auto"/>
              <w:jc w:val="center"/>
              <w:rPr>
                <w:rFonts w:eastAsia="Times New Roman" w:cs="Calibri"/>
                <w:noProof/>
              </w:rPr>
            </w:pPr>
            <w:r>
              <w:rPr>
                <w:noProof/>
              </w:rPr>
              <w:t>RE-C02-i02</w:t>
            </w:r>
          </w:p>
        </w:tc>
        <w:tc>
          <w:tcPr>
            <w:tcW w:w="1077" w:type="dxa"/>
            <w:shd w:val="clear" w:color="auto" w:fill="C4EFCE"/>
            <w:vAlign w:val="center"/>
            <w:hideMark/>
          </w:tcPr>
          <w:p w14:paraId="25536932" w14:textId="77777777" w:rsidR="00154AD2" w:rsidRDefault="007F6BF3">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0BF77C68" w14:textId="7515E99F" w:rsidR="00154AD2" w:rsidRDefault="007F6BF3">
            <w:pPr>
              <w:pStyle w:val="P68B1DB1-Normal8"/>
              <w:spacing w:after="0" w:line="240" w:lineRule="auto"/>
              <w:jc w:val="center"/>
              <w:rPr>
                <w:rFonts w:eastAsia="Times New Roman" w:cs="Calibri"/>
                <w:noProof/>
              </w:rPr>
            </w:pPr>
            <w:r>
              <w:rPr>
                <w:noProof/>
              </w:rPr>
              <w:t>Παροχή καταλύματος στις δυνάμεις ασφαλείας και προσωρινή στέγαση για ανθρωπιστικούς λόγους ή λόγους ασφάλειας</w:t>
            </w:r>
          </w:p>
        </w:tc>
        <w:tc>
          <w:tcPr>
            <w:tcW w:w="1355" w:type="dxa"/>
            <w:shd w:val="clear" w:color="auto" w:fill="C4EFCE"/>
            <w:vAlign w:val="center"/>
            <w:hideMark/>
          </w:tcPr>
          <w:p w14:paraId="306C6212" w14:textId="77777777" w:rsidR="00154AD2" w:rsidRDefault="007F6BF3">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48FB2089"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1134" w:type="dxa"/>
            <w:shd w:val="clear" w:color="auto" w:fill="C4EFCE"/>
            <w:vAlign w:val="center"/>
            <w:hideMark/>
          </w:tcPr>
          <w:p w14:paraId="651BF2FF" w14:textId="77777777" w:rsidR="00154AD2" w:rsidRDefault="007F6BF3">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7C46088F" w14:textId="77777777" w:rsidR="00154AD2" w:rsidRDefault="007F6BF3">
            <w:pPr>
              <w:pStyle w:val="P68B1DB1-Normal8"/>
              <w:spacing w:after="0" w:line="240" w:lineRule="auto"/>
              <w:jc w:val="center"/>
              <w:rPr>
                <w:rFonts w:eastAsia="Times New Roman" w:cs="Calibri"/>
                <w:noProof/>
              </w:rPr>
            </w:pPr>
            <w:r>
              <w:rPr>
                <w:noProof/>
              </w:rPr>
              <w:t>473</w:t>
            </w:r>
          </w:p>
        </w:tc>
        <w:tc>
          <w:tcPr>
            <w:tcW w:w="473" w:type="dxa"/>
            <w:shd w:val="clear" w:color="auto" w:fill="C4EFCE"/>
            <w:vAlign w:val="center"/>
            <w:hideMark/>
          </w:tcPr>
          <w:p w14:paraId="25C353AE"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625" w:type="dxa"/>
            <w:shd w:val="clear" w:color="auto" w:fill="C4EFCE"/>
            <w:vAlign w:val="center"/>
            <w:hideMark/>
          </w:tcPr>
          <w:p w14:paraId="516E0C42" w14:textId="77777777" w:rsidR="00154AD2" w:rsidRDefault="007F6BF3">
            <w:pPr>
              <w:pStyle w:val="P68B1DB1-Normal8"/>
              <w:spacing w:after="0" w:line="240" w:lineRule="auto"/>
              <w:jc w:val="center"/>
              <w:rPr>
                <w:rFonts w:eastAsia="Times New Roman" w:cs="Calibri"/>
                <w:noProof/>
              </w:rPr>
            </w:pPr>
            <w:r>
              <w:rPr>
                <w:noProof/>
              </w:rPr>
              <w:t>2026</w:t>
            </w:r>
          </w:p>
        </w:tc>
        <w:tc>
          <w:tcPr>
            <w:tcW w:w="4969" w:type="dxa"/>
            <w:shd w:val="clear" w:color="auto" w:fill="C4EFCE"/>
            <w:vAlign w:val="center"/>
            <w:hideMark/>
          </w:tcPr>
          <w:p w14:paraId="05D915D9" w14:textId="6245803B" w:rsidR="00154AD2" w:rsidRDefault="007F6BF3">
            <w:pPr>
              <w:pStyle w:val="P68B1DB1-Normal8"/>
              <w:spacing w:after="0" w:line="240" w:lineRule="auto"/>
              <w:jc w:val="both"/>
              <w:rPr>
                <w:rFonts w:eastAsia="Times New Roman" w:cs="Calibri"/>
                <w:noProof/>
              </w:rPr>
            </w:pPr>
            <w:r>
              <w:rPr>
                <w:noProof/>
              </w:rPr>
              <w:t>Αριθμός κατοικιών που παραδόθηκαν στις δυνάμεις ασφαλείας (SSGNR — κοινωνικές υπηρεσίες για την Εθνική Φρουρά· SSPSP — Κοινωνικές υπηρεσίες για την αστυνομία δημόσιας ασφάλειας) για προσωρινές ανάγκες στέγασης, συμπεριλαμβανομένων τριών τμημάτων για τις δυνάμεις ασφαλείας (σε περιπτώσεις που δικαιολογούνται από το δημόσιο συμφέρον). Η επένδυση περιλαμβάνει επίσης πέντε κέντρα προσωρινής στέγασης για ανθρωπιστικούς λόγους ή λόγους ασφάλειας. Τα νέα κτίρια έχουν ζήτηση πρωτογενούς ενέργειας τουλάχιστον 20 % χαμηλότερη από τις απαιτήσεις των κτιρίων με σχεδόν μηδενική κατανάλωση ενέργειας.</w:t>
            </w:r>
          </w:p>
        </w:tc>
      </w:tr>
      <w:tr w:rsidR="00154AD2" w14:paraId="7B72B6C0" w14:textId="77777777">
        <w:trPr>
          <w:trHeight w:val="1299"/>
        </w:trPr>
        <w:tc>
          <w:tcPr>
            <w:tcW w:w="1134" w:type="dxa"/>
            <w:shd w:val="clear" w:color="auto" w:fill="C5EFCE"/>
            <w:vAlign w:val="center"/>
            <w:hideMark/>
          </w:tcPr>
          <w:p w14:paraId="516C1714" w14:textId="77777777" w:rsidR="00154AD2" w:rsidRDefault="007F6BF3">
            <w:pPr>
              <w:pStyle w:val="P68B1DB1-Normal7"/>
              <w:spacing w:after="0" w:line="240" w:lineRule="auto"/>
              <w:jc w:val="center"/>
              <w:rPr>
                <w:rFonts w:eastAsia="Times New Roman" w:cs="Calibri"/>
                <w:noProof/>
              </w:rPr>
            </w:pPr>
            <w:r>
              <w:rPr>
                <w:noProof/>
              </w:rPr>
              <w:t>2.10</w:t>
            </w:r>
          </w:p>
        </w:tc>
        <w:tc>
          <w:tcPr>
            <w:tcW w:w="1304" w:type="dxa"/>
            <w:shd w:val="clear" w:color="auto" w:fill="C4EFCE"/>
            <w:vAlign w:val="center"/>
            <w:hideMark/>
          </w:tcPr>
          <w:p w14:paraId="3ABE46D6" w14:textId="77777777" w:rsidR="00154AD2" w:rsidRDefault="007F6BF3">
            <w:pPr>
              <w:pStyle w:val="P68B1DB1-Normal8"/>
              <w:spacing w:after="0" w:line="240" w:lineRule="auto"/>
              <w:jc w:val="center"/>
              <w:rPr>
                <w:rFonts w:eastAsia="Times New Roman" w:cs="Calibri"/>
                <w:noProof/>
              </w:rPr>
            </w:pPr>
            <w:r>
              <w:rPr>
                <w:noProof/>
              </w:rPr>
              <w:t>RE-C02-i03-RAM</w:t>
            </w:r>
          </w:p>
        </w:tc>
        <w:tc>
          <w:tcPr>
            <w:tcW w:w="1077" w:type="dxa"/>
            <w:shd w:val="clear" w:color="auto" w:fill="C4EFCE"/>
            <w:vAlign w:val="center"/>
            <w:hideMark/>
          </w:tcPr>
          <w:p w14:paraId="30B06126" w14:textId="77777777" w:rsidR="00154AD2" w:rsidRDefault="007F6BF3">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798BCDBC" w14:textId="77777777" w:rsidR="00154AD2" w:rsidRDefault="007F6BF3">
            <w:pPr>
              <w:pStyle w:val="P68B1DB1-Normal8"/>
              <w:spacing w:after="0" w:line="240" w:lineRule="auto"/>
              <w:jc w:val="center"/>
              <w:rPr>
                <w:rFonts w:eastAsia="Times New Roman" w:cs="Calibri"/>
                <w:noProof/>
              </w:rPr>
            </w:pPr>
            <w:r>
              <w:rPr>
                <w:noProof/>
              </w:rPr>
              <w:t>Υποστηριζόμενη στέγαση στην αυτόνομη περιφέρεια της Μαδέρας</w:t>
            </w:r>
          </w:p>
        </w:tc>
        <w:tc>
          <w:tcPr>
            <w:tcW w:w="1355" w:type="dxa"/>
            <w:shd w:val="clear" w:color="auto" w:fill="C4EFCE"/>
            <w:vAlign w:val="center"/>
            <w:hideMark/>
          </w:tcPr>
          <w:p w14:paraId="0360AAD3" w14:textId="77777777" w:rsidR="00154AD2" w:rsidRDefault="007F6BF3">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2E860824" w14:textId="520F84DE" w:rsidR="00154AD2" w:rsidRDefault="007F6BF3">
            <w:pPr>
              <w:pStyle w:val="P68B1DB1-Normal8"/>
              <w:spacing w:after="0" w:line="240" w:lineRule="auto"/>
              <w:jc w:val="center"/>
              <w:rPr>
                <w:rFonts w:eastAsia="Times New Roman" w:cs="Calibri"/>
                <w:noProof/>
              </w:rPr>
            </w:pPr>
            <w:r>
              <w:rPr>
                <w:noProof/>
              </w:rPr>
              <w:t>Αριθμός</w:t>
            </w:r>
          </w:p>
        </w:tc>
        <w:tc>
          <w:tcPr>
            <w:tcW w:w="1134" w:type="dxa"/>
            <w:shd w:val="clear" w:color="auto" w:fill="C4EFCE"/>
            <w:vAlign w:val="center"/>
            <w:hideMark/>
          </w:tcPr>
          <w:p w14:paraId="66F31C5A" w14:textId="6271036C" w:rsidR="00154AD2" w:rsidRDefault="007F6BF3">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17938948" w14:textId="77777777" w:rsidR="00154AD2" w:rsidRDefault="007F6BF3">
            <w:pPr>
              <w:pStyle w:val="P68B1DB1-Normal8"/>
              <w:spacing w:after="0" w:line="240" w:lineRule="auto"/>
              <w:jc w:val="center"/>
              <w:rPr>
                <w:rFonts w:eastAsia="Times New Roman" w:cs="Calibri"/>
                <w:noProof/>
              </w:rPr>
            </w:pPr>
            <w:r>
              <w:rPr>
                <w:noProof/>
              </w:rPr>
              <w:t>590</w:t>
            </w:r>
          </w:p>
        </w:tc>
        <w:tc>
          <w:tcPr>
            <w:tcW w:w="473" w:type="dxa"/>
            <w:shd w:val="clear" w:color="auto" w:fill="C4EFCE"/>
            <w:vAlign w:val="center"/>
            <w:hideMark/>
          </w:tcPr>
          <w:p w14:paraId="120647CE"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25" w:type="dxa"/>
            <w:shd w:val="clear" w:color="auto" w:fill="C4EFCE"/>
            <w:vAlign w:val="center"/>
            <w:hideMark/>
          </w:tcPr>
          <w:p w14:paraId="15FD699A" w14:textId="77777777" w:rsidR="00154AD2" w:rsidRDefault="007F6BF3">
            <w:pPr>
              <w:pStyle w:val="P68B1DB1-Normal8"/>
              <w:spacing w:after="0" w:line="240" w:lineRule="auto"/>
              <w:jc w:val="center"/>
              <w:rPr>
                <w:rFonts w:eastAsia="Times New Roman" w:cs="Calibri"/>
                <w:noProof/>
              </w:rPr>
            </w:pPr>
            <w:r>
              <w:rPr>
                <w:noProof/>
              </w:rPr>
              <w:t>2024</w:t>
            </w:r>
          </w:p>
        </w:tc>
        <w:tc>
          <w:tcPr>
            <w:tcW w:w="4969" w:type="dxa"/>
            <w:shd w:val="clear" w:color="auto" w:fill="C4EFCE"/>
            <w:vAlign w:val="center"/>
            <w:hideMark/>
          </w:tcPr>
          <w:p w14:paraId="35C90287" w14:textId="0A2F9A09" w:rsidR="00154AD2" w:rsidRDefault="007F6BF3">
            <w:pPr>
              <w:pStyle w:val="P68B1DB1-Normal8"/>
              <w:spacing w:after="0" w:line="240" w:lineRule="auto"/>
              <w:jc w:val="both"/>
              <w:rPr>
                <w:rFonts w:eastAsia="Times New Roman" w:cs="Calibri"/>
                <w:noProof/>
              </w:rPr>
            </w:pPr>
            <w:r>
              <w:rPr>
                <w:noProof/>
              </w:rPr>
              <w:t xml:space="preserve">Αριθμός κατοικιών που κατανέμονται σε επιλέξιμα νοικοκυριά σε σχέση με την κατασκευή κοινωνικών κατοικιών ή την αγορά κατοικιών για υποστηριζόμενες κοινωνικές κατοικίες. Τα νέα κτίρια έχουν ζήτηση πρωτογενούς ενέργειας τουλάχιστον 20 % χαμηλότερη από τις απαιτήσεις των κτιρίων με σχεδόν μηδενική κατανάλωση ενέργειας. </w:t>
            </w:r>
          </w:p>
        </w:tc>
      </w:tr>
      <w:tr w:rsidR="00154AD2" w14:paraId="5BA4E6AD" w14:textId="77777777">
        <w:trPr>
          <w:trHeight w:val="1260"/>
        </w:trPr>
        <w:tc>
          <w:tcPr>
            <w:tcW w:w="1134" w:type="dxa"/>
            <w:shd w:val="clear" w:color="auto" w:fill="C5EFCE"/>
            <w:vAlign w:val="center"/>
            <w:hideMark/>
          </w:tcPr>
          <w:p w14:paraId="7AD9EF6A" w14:textId="77777777" w:rsidR="00154AD2" w:rsidRDefault="007F6BF3">
            <w:pPr>
              <w:pStyle w:val="P68B1DB1-Normal7"/>
              <w:spacing w:after="0" w:line="240" w:lineRule="auto"/>
              <w:jc w:val="center"/>
              <w:rPr>
                <w:rFonts w:eastAsia="Times New Roman" w:cs="Calibri"/>
                <w:noProof/>
              </w:rPr>
            </w:pPr>
            <w:r>
              <w:rPr>
                <w:noProof/>
              </w:rPr>
              <w:t>2.11</w:t>
            </w:r>
          </w:p>
        </w:tc>
        <w:tc>
          <w:tcPr>
            <w:tcW w:w="1304" w:type="dxa"/>
            <w:shd w:val="clear" w:color="auto" w:fill="C4EFCE"/>
            <w:vAlign w:val="center"/>
            <w:hideMark/>
          </w:tcPr>
          <w:p w14:paraId="15C2A587" w14:textId="77777777" w:rsidR="00154AD2" w:rsidRDefault="007F6BF3">
            <w:pPr>
              <w:pStyle w:val="P68B1DB1-Normal8"/>
              <w:spacing w:after="0" w:line="240" w:lineRule="auto"/>
              <w:jc w:val="center"/>
              <w:rPr>
                <w:rFonts w:eastAsia="Times New Roman" w:cs="Calibri"/>
                <w:noProof/>
              </w:rPr>
            </w:pPr>
            <w:r>
              <w:rPr>
                <w:noProof/>
              </w:rPr>
              <w:t>RE-C02-i03-RAM</w:t>
            </w:r>
          </w:p>
        </w:tc>
        <w:tc>
          <w:tcPr>
            <w:tcW w:w="1077" w:type="dxa"/>
            <w:shd w:val="clear" w:color="auto" w:fill="C4EFCE"/>
            <w:vAlign w:val="center"/>
            <w:hideMark/>
          </w:tcPr>
          <w:p w14:paraId="6754F4CC" w14:textId="77777777" w:rsidR="00154AD2" w:rsidRDefault="007F6BF3">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41401E43" w14:textId="77777777" w:rsidR="00154AD2" w:rsidRDefault="007F6BF3">
            <w:pPr>
              <w:pStyle w:val="P68B1DB1-Normal8"/>
              <w:spacing w:after="0" w:line="240" w:lineRule="auto"/>
              <w:jc w:val="center"/>
              <w:rPr>
                <w:rFonts w:eastAsia="Times New Roman" w:cs="Calibri"/>
                <w:noProof/>
              </w:rPr>
            </w:pPr>
            <w:r>
              <w:rPr>
                <w:noProof/>
              </w:rPr>
              <w:t>Υποστηριζόμενη στέγαση στην αυτόνομη περιφέρεια της Μαδέρας</w:t>
            </w:r>
          </w:p>
        </w:tc>
        <w:tc>
          <w:tcPr>
            <w:tcW w:w="1355" w:type="dxa"/>
            <w:shd w:val="clear" w:color="auto" w:fill="C4EFCE"/>
            <w:vAlign w:val="center"/>
            <w:hideMark/>
          </w:tcPr>
          <w:p w14:paraId="53D5B63F" w14:textId="77777777" w:rsidR="00154AD2" w:rsidRDefault="007F6BF3">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48BD7AC9" w14:textId="38690FCA" w:rsidR="00154AD2" w:rsidRDefault="007F6BF3">
            <w:pPr>
              <w:pStyle w:val="P68B1DB1-Normal8"/>
              <w:spacing w:after="0" w:line="240" w:lineRule="auto"/>
              <w:jc w:val="center"/>
              <w:rPr>
                <w:rFonts w:eastAsia="Times New Roman" w:cs="Calibri"/>
                <w:noProof/>
              </w:rPr>
            </w:pPr>
            <w:r>
              <w:rPr>
                <w:noProof/>
              </w:rPr>
              <w:t>Αριθμός</w:t>
            </w:r>
          </w:p>
        </w:tc>
        <w:tc>
          <w:tcPr>
            <w:tcW w:w="1134" w:type="dxa"/>
            <w:shd w:val="clear" w:color="auto" w:fill="C4EFCE"/>
            <w:vAlign w:val="center"/>
            <w:hideMark/>
          </w:tcPr>
          <w:p w14:paraId="281C3A14" w14:textId="77777777" w:rsidR="00154AD2" w:rsidRDefault="007F6BF3">
            <w:pPr>
              <w:pStyle w:val="P68B1DB1-Normal8"/>
              <w:spacing w:after="0" w:line="240" w:lineRule="auto"/>
              <w:jc w:val="center"/>
              <w:rPr>
                <w:rFonts w:eastAsia="Times New Roman" w:cs="Calibri"/>
                <w:noProof/>
              </w:rPr>
            </w:pPr>
            <w:r>
              <w:rPr>
                <w:noProof/>
              </w:rPr>
              <w:t>590</w:t>
            </w:r>
          </w:p>
        </w:tc>
        <w:tc>
          <w:tcPr>
            <w:tcW w:w="897" w:type="dxa"/>
            <w:shd w:val="clear" w:color="auto" w:fill="C4EFCE"/>
            <w:vAlign w:val="center"/>
            <w:hideMark/>
          </w:tcPr>
          <w:p w14:paraId="5DECC890" w14:textId="5F34FF58" w:rsidR="00154AD2" w:rsidRDefault="007F6BF3">
            <w:pPr>
              <w:pStyle w:val="P68B1DB1-Normal8"/>
              <w:spacing w:after="0" w:line="240" w:lineRule="auto"/>
              <w:jc w:val="center"/>
              <w:rPr>
                <w:rFonts w:eastAsia="Times New Roman" w:cs="Calibri"/>
                <w:noProof/>
              </w:rPr>
            </w:pPr>
            <w:r>
              <w:rPr>
                <w:noProof/>
              </w:rPr>
              <w:t>805</w:t>
            </w:r>
          </w:p>
        </w:tc>
        <w:tc>
          <w:tcPr>
            <w:tcW w:w="473" w:type="dxa"/>
            <w:shd w:val="clear" w:color="auto" w:fill="C4EFCE"/>
            <w:vAlign w:val="center"/>
            <w:hideMark/>
          </w:tcPr>
          <w:p w14:paraId="5FD71819"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625" w:type="dxa"/>
            <w:shd w:val="clear" w:color="auto" w:fill="C4EFCE"/>
            <w:vAlign w:val="center"/>
            <w:hideMark/>
          </w:tcPr>
          <w:p w14:paraId="59C4647A" w14:textId="77777777" w:rsidR="00154AD2" w:rsidRDefault="007F6BF3">
            <w:pPr>
              <w:pStyle w:val="P68B1DB1-Normal8"/>
              <w:spacing w:after="0" w:line="240" w:lineRule="auto"/>
              <w:jc w:val="center"/>
              <w:rPr>
                <w:rFonts w:eastAsia="Times New Roman" w:cs="Calibri"/>
                <w:noProof/>
              </w:rPr>
            </w:pPr>
            <w:r>
              <w:rPr>
                <w:noProof/>
              </w:rPr>
              <w:t>2026</w:t>
            </w:r>
          </w:p>
        </w:tc>
        <w:tc>
          <w:tcPr>
            <w:tcW w:w="4969" w:type="dxa"/>
            <w:shd w:val="clear" w:color="auto" w:fill="C4EFCE"/>
            <w:vAlign w:val="center"/>
            <w:hideMark/>
          </w:tcPr>
          <w:p w14:paraId="5E4F7DA7" w14:textId="16DA01F2" w:rsidR="00154AD2" w:rsidRDefault="007F6BF3">
            <w:pPr>
              <w:pStyle w:val="P68B1DB1-Normal8"/>
              <w:spacing w:after="0" w:line="240" w:lineRule="auto"/>
              <w:jc w:val="both"/>
              <w:rPr>
                <w:rFonts w:eastAsia="Times New Roman" w:cs="Calibri"/>
                <w:noProof/>
              </w:rPr>
            </w:pPr>
            <w:r>
              <w:rPr>
                <w:noProof/>
              </w:rPr>
              <w:t xml:space="preserve">Αριθμός κατοικιών που κατανέμονται σε επιλέξιμα νοικοκυριά σε σχέση με την κατασκευή κοινωνικών κατοικιών ή την αγορά κατοικιών για υποστηριζόμενες κοινωνικές κατοικίες. Τα νέα κτίρια έχουν ζήτηση πρωτογενούς ενέργειας τουλάχιστον 20 % χαμηλότερη από τις απαιτήσεις των κτιρίων με σχεδόν μηδενική κατανάλωση ενέργειας. Η μονάδα αναφοράς ανά κατοικία είναι 90 τετραγωνικά μέτρα κατά μέσο όρο για τις 805 κατοικίες. </w:t>
            </w:r>
          </w:p>
          <w:p w14:paraId="158CF522" w14:textId="7FF039D2" w:rsidR="00154AD2" w:rsidRDefault="007F6BF3">
            <w:pPr>
              <w:pStyle w:val="P68B1DB1-Normal8"/>
              <w:spacing w:after="0" w:line="240" w:lineRule="auto"/>
              <w:jc w:val="both"/>
              <w:rPr>
                <w:rFonts w:eastAsia="Times New Roman" w:cs="Calibri"/>
                <w:noProof/>
              </w:rPr>
            </w:pPr>
            <w:r>
              <w:rPr>
                <w:noProof/>
              </w:rPr>
              <w:t>Επιπλέον, η επένδυση περιλαμβάνει επίσης την προμήθεια υπηρεσιών για την ανάπτυξη συστημάτων πληροφοριών και λύσεων ηλεκτρονικής διακυβέρνησης στον στεγαστικό τομέα.</w:t>
            </w:r>
          </w:p>
        </w:tc>
      </w:tr>
      <w:tr w:rsidR="00154AD2" w14:paraId="28EAD265" w14:textId="77777777">
        <w:trPr>
          <w:trHeight w:val="1049"/>
        </w:trPr>
        <w:tc>
          <w:tcPr>
            <w:tcW w:w="1134" w:type="dxa"/>
            <w:shd w:val="clear" w:color="auto" w:fill="C5EFCE"/>
            <w:vAlign w:val="center"/>
            <w:hideMark/>
          </w:tcPr>
          <w:p w14:paraId="60326612" w14:textId="77777777" w:rsidR="00154AD2" w:rsidRDefault="007F6BF3">
            <w:pPr>
              <w:pStyle w:val="P68B1DB1-Normal7"/>
              <w:spacing w:after="0" w:line="240" w:lineRule="auto"/>
              <w:jc w:val="center"/>
              <w:rPr>
                <w:rFonts w:eastAsia="Times New Roman" w:cs="Calibri"/>
                <w:noProof/>
              </w:rPr>
            </w:pPr>
            <w:r>
              <w:rPr>
                <w:noProof/>
              </w:rPr>
              <w:t>2.12</w:t>
            </w:r>
          </w:p>
        </w:tc>
        <w:tc>
          <w:tcPr>
            <w:tcW w:w="1304" w:type="dxa"/>
            <w:shd w:val="clear" w:color="auto" w:fill="C4EFCE"/>
            <w:vAlign w:val="center"/>
            <w:hideMark/>
          </w:tcPr>
          <w:p w14:paraId="0882979C" w14:textId="77777777" w:rsidR="00154AD2" w:rsidRDefault="007F6BF3">
            <w:pPr>
              <w:pStyle w:val="P68B1DB1-Normal8"/>
              <w:spacing w:after="0" w:line="240" w:lineRule="auto"/>
              <w:jc w:val="center"/>
              <w:rPr>
                <w:rFonts w:eastAsia="Times New Roman" w:cs="Calibri"/>
                <w:noProof/>
              </w:rPr>
            </w:pPr>
            <w:r>
              <w:rPr>
                <w:noProof/>
              </w:rPr>
              <w:t>RE-C02-i03-RAM</w:t>
            </w:r>
          </w:p>
        </w:tc>
        <w:tc>
          <w:tcPr>
            <w:tcW w:w="1077" w:type="dxa"/>
            <w:shd w:val="clear" w:color="auto" w:fill="C4EFCE"/>
            <w:vAlign w:val="center"/>
            <w:hideMark/>
          </w:tcPr>
          <w:p w14:paraId="14FEF1B3" w14:textId="77777777" w:rsidR="00154AD2" w:rsidRDefault="007F6BF3">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138B1215" w14:textId="77777777" w:rsidR="00154AD2" w:rsidRDefault="007F6BF3">
            <w:pPr>
              <w:pStyle w:val="P68B1DB1-Normal8"/>
              <w:spacing w:after="0" w:line="240" w:lineRule="auto"/>
              <w:jc w:val="center"/>
              <w:rPr>
                <w:rFonts w:eastAsia="Times New Roman" w:cs="Calibri"/>
                <w:noProof/>
              </w:rPr>
            </w:pPr>
            <w:r>
              <w:rPr>
                <w:noProof/>
              </w:rPr>
              <w:t>Αριθμός κατειλημμένων από ιδιώτες κατοικιών που ανακαινίστηκαν, μεταξύ άλλων με βελτιωμένη ενεργειακή απόδοση</w:t>
            </w:r>
          </w:p>
        </w:tc>
        <w:tc>
          <w:tcPr>
            <w:tcW w:w="1355" w:type="dxa"/>
            <w:shd w:val="clear" w:color="auto" w:fill="C4EFCE"/>
            <w:vAlign w:val="center"/>
            <w:hideMark/>
          </w:tcPr>
          <w:p w14:paraId="59416FFE" w14:textId="77777777" w:rsidR="00154AD2" w:rsidRDefault="007F6BF3">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3E723E3D"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1134" w:type="dxa"/>
            <w:shd w:val="clear" w:color="auto" w:fill="C4EFCE"/>
            <w:vAlign w:val="center"/>
            <w:hideMark/>
          </w:tcPr>
          <w:p w14:paraId="3FCA7144" w14:textId="77777777" w:rsidR="00154AD2" w:rsidRDefault="007F6BF3">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54682601" w14:textId="77777777" w:rsidR="00154AD2" w:rsidRDefault="007F6BF3">
            <w:pPr>
              <w:pStyle w:val="P68B1DB1-Normal8"/>
              <w:spacing w:after="0" w:line="240" w:lineRule="auto"/>
              <w:jc w:val="center"/>
              <w:rPr>
                <w:rFonts w:eastAsia="Times New Roman" w:cs="Calibri"/>
                <w:noProof/>
              </w:rPr>
            </w:pPr>
            <w:r>
              <w:rPr>
                <w:noProof/>
              </w:rPr>
              <w:t>325</w:t>
            </w:r>
          </w:p>
        </w:tc>
        <w:tc>
          <w:tcPr>
            <w:tcW w:w="473" w:type="dxa"/>
            <w:shd w:val="clear" w:color="auto" w:fill="C4EFCE"/>
            <w:vAlign w:val="center"/>
            <w:hideMark/>
          </w:tcPr>
          <w:p w14:paraId="3A86C835"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625" w:type="dxa"/>
            <w:shd w:val="clear" w:color="auto" w:fill="C4EFCE"/>
            <w:vAlign w:val="center"/>
            <w:hideMark/>
          </w:tcPr>
          <w:p w14:paraId="5FBB7CE8" w14:textId="77777777" w:rsidR="00154AD2" w:rsidRDefault="007F6BF3">
            <w:pPr>
              <w:pStyle w:val="P68B1DB1-Normal8"/>
              <w:spacing w:after="0" w:line="240" w:lineRule="auto"/>
              <w:jc w:val="center"/>
              <w:rPr>
                <w:rFonts w:eastAsia="Times New Roman" w:cs="Calibri"/>
                <w:noProof/>
              </w:rPr>
            </w:pPr>
            <w:r>
              <w:rPr>
                <w:noProof/>
              </w:rPr>
              <w:t>2026</w:t>
            </w:r>
          </w:p>
        </w:tc>
        <w:tc>
          <w:tcPr>
            <w:tcW w:w="4969" w:type="dxa"/>
            <w:shd w:val="clear" w:color="auto" w:fill="C4EFCE"/>
            <w:vAlign w:val="center"/>
            <w:hideMark/>
          </w:tcPr>
          <w:p w14:paraId="36B3C073" w14:textId="77777777" w:rsidR="00154AD2" w:rsidRDefault="007F6BF3">
            <w:pPr>
              <w:pStyle w:val="P68B1DB1-Normal8"/>
              <w:spacing w:after="0" w:line="240" w:lineRule="auto"/>
              <w:jc w:val="both"/>
              <w:rPr>
                <w:rFonts w:eastAsia="Times New Roman" w:cs="Calibri"/>
                <w:noProof/>
              </w:rPr>
            </w:pPr>
            <w:r>
              <w:rPr>
                <w:noProof/>
              </w:rPr>
              <w:t xml:space="preserve">Αριθμός ιδιωτικών ιδιοκατοικούμενων κατοικιών που ανακαινίστηκαν για τις ομάδες-στόχους και δεν διαθέτουν οικονομικούς πόρους για την εκτέλεση εργασιών αποκατάστασης. </w:t>
            </w:r>
          </w:p>
        </w:tc>
      </w:tr>
      <w:tr w:rsidR="00154AD2" w14:paraId="05FD9A8C" w14:textId="77777777">
        <w:trPr>
          <w:trHeight w:val="420"/>
        </w:trPr>
        <w:tc>
          <w:tcPr>
            <w:tcW w:w="1134" w:type="dxa"/>
            <w:shd w:val="clear" w:color="auto" w:fill="C5EFCE"/>
            <w:vAlign w:val="center"/>
            <w:hideMark/>
          </w:tcPr>
          <w:p w14:paraId="539645A1" w14:textId="77777777" w:rsidR="00154AD2" w:rsidRDefault="007F6BF3">
            <w:pPr>
              <w:pStyle w:val="P68B1DB1-Normal7"/>
              <w:spacing w:after="0" w:line="240" w:lineRule="auto"/>
              <w:jc w:val="center"/>
              <w:rPr>
                <w:rFonts w:eastAsia="Times New Roman" w:cs="Calibri"/>
                <w:noProof/>
              </w:rPr>
            </w:pPr>
            <w:r>
              <w:rPr>
                <w:noProof/>
              </w:rPr>
              <w:t>2.13</w:t>
            </w:r>
          </w:p>
        </w:tc>
        <w:tc>
          <w:tcPr>
            <w:tcW w:w="1304" w:type="dxa"/>
            <w:shd w:val="clear" w:color="auto" w:fill="C4EFCE"/>
            <w:vAlign w:val="center"/>
            <w:hideMark/>
          </w:tcPr>
          <w:p w14:paraId="46FA22A1" w14:textId="77777777" w:rsidR="00154AD2" w:rsidRDefault="007F6BF3">
            <w:pPr>
              <w:pStyle w:val="P68B1DB1-Normal8"/>
              <w:spacing w:after="0" w:line="240" w:lineRule="auto"/>
              <w:jc w:val="center"/>
              <w:rPr>
                <w:rFonts w:eastAsia="Times New Roman" w:cs="Calibri"/>
                <w:noProof/>
              </w:rPr>
            </w:pPr>
            <w:r>
              <w:rPr>
                <w:noProof/>
              </w:rPr>
              <w:t>RE-C02-i04-RAA</w:t>
            </w:r>
          </w:p>
        </w:tc>
        <w:tc>
          <w:tcPr>
            <w:tcW w:w="1077" w:type="dxa"/>
            <w:shd w:val="clear" w:color="auto" w:fill="C4EFCE"/>
            <w:vAlign w:val="center"/>
            <w:hideMark/>
          </w:tcPr>
          <w:p w14:paraId="050F5EF9" w14:textId="77777777" w:rsidR="00154AD2" w:rsidRDefault="007F6BF3">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39BB19D3" w14:textId="0F34B607" w:rsidR="00154AD2" w:rsidRDefault="007F6BF3">
            <w:pPr>
              <w:pStyle w:val="P68B1DB1-Normal8"/>
              <w:spacing w:after="0" w:line="240" w:lineRule="auto"/>
              <w:jc w:val="center"/>
              <w:rPr>
                <w:rFonts w:eastAsia="Times New Roman" w:cs="Calibri"/>
                <w:noProof/>
              </w:rPr>
            </w:pPr>
            <w:r>
              <w:rPr>
                <w:noProof/>
              </w:rPr>
              <w:t xml:space="preserve">Παρεμβάσεις στο απόθεμα δημόσιων κατοικιών στην Αυτόνομη Περιφέρεια Αζορών </w:t>
            </w:r>
          </w:p>
        </w:tc>
        <w:tc>
          <w:tcPr>
            <w:tcW w:w="1355" w:type="dxa"/>
            <w:shd w:val="clear" w:color="auto" w:fill="C4EFCE"/>
            <w:vAlign w:val="center"/>
            <w:hideMark/>
          </w:tcPr>
          <w:p w14:paraId="59DA834D" w14:textId="77777777" w:rsidR="00154AD2" w:rsidRDefault="007F6BF3">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2EEBFE09"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1134" w:type="dxa"/>
            <w:shd w:val="clear" w:color="auto" w:fill="C4EFCE"/>
            <w:vAlign w:val="center"/>
            <w:hideMark/>
          </w:tcPr>
          <w:p w14:paraId="2E7D69AD" w14:textId="77777777" w:rsidR="00154AD2" w:rsidRDefault="007F6BF3">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1C4BD37D" w14:textId="77777777" w:rsidR="00154AD2" w:rsidRDefault="007F6BF3">
            <w:pPr>
              <w:pStyle w:val="P68B1DB1-Normal8"/>
              <w:spacing w:after="0" w:line="240" w:lineRule="auto"/>
              <w:jc w:val="center"/>
              <w:rPr>
                <w:rFonts w:eastAsia="Times New Roman" w:cs="Calibri"/>
                <w:noProof/>
              </w:rPr>
            </w:pPr>
            <w:r>
              <w:rPr>
                <w:noProof/>
              </w:rPr>
              <w:t>24</w:t>
            </w:r>
          </w:p>
        </w:tc>
        <w:tc>
          <w:tcPr>
            <w:tcW w:w="473" w:type="dxa"/>
            <w:shd w:val="clear" w:color="auto" w:fill="C4EFCE"/>
            <w:vAlign w:val="center"/>
            <w:hideMark/>
          </w:tcPr>
          <w:p w14:paraId="23FD1A62"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25" w:type="dxa"/>
            <w:shd w:val="clear" w:color="auto" w:fill="C4EFCE"/>
            <w:vAlign w:val="center"/>
            <w:hideMark/>
          </w:tcPr>
          <w:p w14:paraId="3FE9EF61" w14:textId="77777777" w:rsidR="00154AD2" w:rsidRDefault="007F6BF3">
            <w:pPr>
              <w:pStyle w:val="P68B1DB1-Normal8"/>
              <w:spacing w:after="0" w:line="240" w:lineRule="auto"/>
              <w:jc w:val="center"/>
              <w:rPr>
                <w:rFonts w:eastAsia="Times New Roman" w:cs="Calibri"/>
                <w:noProof/>
              </w:rPr>
            </w:pPr>
            <w:r>
              <w:rPr>
                <w:noProof/>
              </w:rPr>
              <w:t>2021</w:t>
            </w:r>
          </w:p>
        </w:tc>
        <w:tc>
          <w:tcPr>
            <w:tcW w:w="4969" w:type="dxa"/>
            <w:shd w:val="clear" w:color="auto" w:fill="C4EFCE"/>
            <w:vAlign w:val="center"/>
            <w:hideMark/>
          </w:tcPr>
          <w:p w14:paraId="0C91248C" w14:textId="77777777" w:rsidR="00154AD2" w:rsidRDefault="007F6BF3">
            <w:pPr>
              <w:pStyle w:val="P68B1DB1-Normal8"/>
              <w:spacing w:after="0" w:line="240" w:lineRule="auto"/>
              <w:jc w:val="both"/>
              <w:rPr>
                <w:rFonts w:eastAsia="Times New Roman" w:cs="Calibri"/>
                <w:noProof/>
              </w:rPr>
            </w:pPr>
            <w:r>
              <w:rPr>
                <w:noProof/>
              </w:rPr>
              <w:t xml:space="preserve">Αριθμός παρεμβάσεων, συμπεριλαμβανομένης της αστικοποίησης της γης, όπου απαιτείται, με την ολοκλήρωση των εργασιών για την αύξηση του αποθέματος κοινωνικών κατοικιών. </w:t>
            </w:r>
          </w:p>
          <w:p w14:paraId="3733CD33" w14:textId="77777777" w:rsidR="00154AD2" w:rsidRDefault="007F6BF3">
            <w:pPr>
              <w:pStyle w:val="P68B1DB1-Normal8"/>
              <w:spacing w:after="0" w:line="240" w:lineRule="auto"/>
              <w:jc w:val="both"/>
              <w:rPr>
                <w:rFonts w:eastAsia="Times New Roman" w:cs="Calibri"/>
                <w:noProof/>
              </w:rPr>
            </w:pPr>
            <w:r>
              <w:rPr>
                <w:noProof/>
              </w:rPr>
              <w:t>Όταν πρόκειται για νέα κατασκευή, τα νέα κτίρια έχουν ζήτηση πρωτογενούς ενέργειας τουλάχιστον 20 % χαμηλότερη από τις απαιτήσεις των κτιρίων με σχεδόν μηδενική κατανάλωση ενέργειας.</w:t>
            </w:r>
          </w:p>
          <w:p w14:paraId="5953FC29" w14:textId="77777777" w:rsidR="00154AD2" w:rsidRDefault="007F6BF3">
            <w:pPr>
              <w:pStyle w:val="P68B1DB1-Normal8"/>
              <w:spacing w:after="0" w:line="240" w:lineRule="auto"/>
              <w:jc w:val="both"/>
              <w:rPr>
                <w:rFonts w:eastAsia="Times New Roman" w:cs="Calibri"/>
                <w:noProof/>
              </w:rPr>
            </w:pPr>
            <w:r>
              <w:rPr>
                <w:noProof/>
              </w:rPr>
              <w:t>Οι κατοικίες έχουν μέσο μέγεθος περίπου 120 τετραγωνικών μέτρων.</w:t>
            </w:r>
          </w:p>
        </w:tc>
      </w:tr>
      <w:tr w:rsidR="00154AD2" w14:paraId="14A54223" w14:textId="77777777">
        <w:trPr>
          <w:trHeight w:val="420"/>
        </w:trPr>
        <w:tc>
          <w:tcPr>
            <w:tcW w:w="1134" w:type="dxa"/>
            <w:shd w:val="clear" w:color="auto" w:fill="C5EFCE"/>
            <w:vAlign w:val="center"/>
            <w:hideMark/>
          </w:tcPr>
          <w:p w14:paraId="6D1EA4AE" w14:textId="77777777" w:rsidR="00154AD2" w:rsidRDefault="007F6BF3">
            <w:pPr>
              <w:pStyle w:val="P68B1DB1-Normal7"/>
              <w:spacing w:after="0" w:line="240" w:lineRule="auto"/>
              <w:jc w:val="center"/>
              <w:rPr>
                <w:rFonts w:eastAsia="Times New Roman" w:cs="Calibri"/>
                <w:noProof/>
              </w:rPr>
            </w:pPr>
            <w:r>
              <w:rPr>
                <w:noProof/>
              </w:rPr>
              <w:t>2.14</w:t>
            </w:r>
          </w:p>
        </w:tc>
        <w:tc>
          <w:tcPr>
            <w:tcW w:w="1304" w:type="dxa"/>
            <w:shd w:val="clear" w:color="auto" w:fill="C4EFCE"/>
            <w:vAlign w:val="center"/>
            <w:hideMark/>
          </w:tcPr>
          <w:p w14:paraId="4BA08D6A" w14:textId="77777777" w:rsidR="00154AD2" w:rsidRDefault="007F6BF3">
            <w:pPr>
              <w:pStyle w:val="P68B1DB1-Normal8"/>
              <w:spacing w:after="0" w:line="240" w:lineRule="auto"/>
              <w:jc w:val="center"/>
              <w:rPr>
                <w:rFonts w:eastAsia="Times New Roman" w:cs="Calibri"/>
                <w:noProof/>
              </w:rPr>
            </w:pPr>
            <w:r>
              <w:rPr>
                <w:noProof/>
              </w:rPr>
              <w:t>RE-C02-i04-RAA</w:t>
            </w:r>
          </w:p>
        </w:tc>
        <w:tc>
          <w:tcPr>
            <w:tcW w:w="1077" w:type="dxa"/>
            <w:shd w:val="clear" w:color="auto" w:fill="C4EFCE"/>
            <w:vAlign w:val="center"/>
            <w:hideMark/>
          </w:tcPr>
          <w:p w14:paraId="695DEC0E" w14:textId="77777777" w:rsidR="00154AD2" w:rsidRDefault="007F6BF3">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5335B90A" w14:textId="77777777" w:rsidR="00154AD2" w:rsidRDefault="007F6BF3">
            <w:pPr>
              <w:pStyle w:val="P68B1DB1-Normal8"/>
              <w:spacing w:after="0" w:line="240" w:lineRule="auto"/>
              <w:jc w:val="center"/>
              <w:rPr>
                <w:rFonts w:eastAsia="Times New Roman" w:cs="Calibri"/>
                <w:noProof/>
              </w:rPr>
            </w:pPr>
            <w:r>
              <w:rPr>
                <w:noProof/>
              </w:rPr>
              <w:t xml:space="preserve">Παρεμβάσεις στο απόθεμα δημόσιων κατοικιών της Αυτόνομης Περιφέρειας Αζορών — ανακαίνιση </w:t>
            </w:r>
          </w:p>
        </w:tc>
        <w:tc>
          <w:tcPr>
            <w:tcW w:w="1355" w:type="dxa"/>
            <w:shd w:val="clear" w:color="auto" w:fill="C4EFCE"/>
            <w:vAlign w:val="center"/>
            <w:hideMark/>
          </w:tcPr>
          <w:p w14:paraId="4F089A4F" w14:textId="77777777" w:rsidR="00154AD2" w:rsidRDefault="007F6BF3">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1814B533" w14:textId="318F9BBD" w:rsidR="00154AD2" w:rsidRDefault="007F6BF3">
            <w:pPr>
              <w:pStyle w:val="P68B1DB1-Normal8"/>
              <w:spacing w:after="0" w:line="240" w:lineRule="auto"/>
              <w:jc w:val="center"/>
              <w:rPr>
                <w:rFonts w:eastAsia="Times New Roman" w:cs="Calibri"/>
                <w:noProof/>
              </w:rPr>
            </w:pPr>
            <w:r>
              <w:rPr>
                <w:noProof/>
              </w:rPr>
              <w:t>Αριθμός</w:t>
            </w:r>
          </w:p>
        </w:tc>
        <w:tc>
          <w:tcPr>
            <w:tcW w:w="1134" w:type="dxa"/>
            <w:shd w:val="clear" w:color="auto" w:fill="C4EFCE"/>
            <w:vAlign w:val="center"/>
            <w:hideMark/>
          </w:tcPr>
          <w:p w14:paraId="6D78199A" w14:textId="6D5675F4" w:rsidR="00154AD2" w:rsidRDefault="007F6BF3">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337B0C00" w14:textId="77777777" w:rsidR="00154AD2" w:rsidRDefault="007F6BF3">
            <w:pPr>
              <w:pStyle w:val="P68B1DB1-Normal8"/>
              <w:spacing w:after="0" w:line="240" w:lineRule="auto"/>
              <w:jc w:val="center"/>
              <w:rPr>
                <w:rFonts w:eastAsia="Times New Roman" w:cs="Calibri"/>
                <w:noProof/>
              </w:rPr>
            </w:pPr>
            <w:r>
              <w:rPr>
                <w:noProof/>
              </w:rPr>
              <w:t>40</w:t>
            </w:r>
          </w:p>
        </w:tc>
        <w:tc>
          <w:tcPr>
            <w:tcW w:w="473" w:type="dxa"/>
            <w:shd w:val="clear" w:color="auto" w:fill="C4EFCE"/>
            <w:vAlign w:val="center"/>
            <w:hideMark/>
          </w:tcPr>
          <w:p w14:paraId="12883AF0"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25" w:type="dxa"/>
            <w:shd w:val="clear" w:color="auto" w:fill="C4EFCE"/>
            <w:vAlign w:val="center"/>
            <w:hideMark/>
          </w:tcPr>
          <w:p w14:paraId="0F49C1FD" w14:textId="77777777" w:rsidR="00154AD2" w:rsidRDefault="007F6BF3">
            <w:pPr>
              <w:pStyle w:val="P68B1DB1-Normal8"/>
              <w:spacing w:after="0" w:line="240" w:lineRule="auto"/>
              <w:jc w:val="center"/>
              <w:rPr>
                <w:rFonts w:eastAsia="Times New Roman" w:cs="Calibri"/>
                <w:noProof/>
              </w:rPr>
            </w:pPr>
            <w:r>
              <w:rPr>
                <w:noProof/>
              </w:rPr>
              <w:t>2021</w:t>
            </w:r>
          </w:p>
        </w:tc>
        <w:tc>
          <w:tcPr>
            <w:tcW w:w="4969" w:type="dxa"/>
            <w:shd w:val="clear" w:color="auto" w:fill="C4EFCE"/>
            <w:vAlign w:val="center"/>
            <w:hideMark/>
          </w:tcPr>
          <w:p w14:paraId="1BA3AE40" w14:textId="77777777" w:rsidR="00154AD2" w:rsidRDefault="007F6BF3">
            <w:pPr>
              <w:pStyle w:val="P68B1DB1-Normal8"/>
              <w:spacing w:after="0" w:line="240" w:lineRule="auto"/>
              <w:jc w:val="both"/>
              <w:rPr>
                <w:rFonts w:eastAsia="Times New Roman" w:cs="Calibri"/>
                <w:noProof/>
              </w:rPr>
            </w:pPr>
            <w:r>
              <w:rPr>
                <w:noProof/>
              </w:rPr>
              <w:t xml:space="preserve">Η επένδυση περιλαμβάνει την ανακαίνιση ή την ολοκλήρωση κτιρίων και διαμερισμάτων, η οποία μετράται με βάση τον αριθμό των παρεμβάσεων. </w:t>
            </w:r>
          </w:p>
          <w:p w14:paraId="71608E96" w14:textId="77777777" w:rsidR="00154AD2" w:rsidRDefault="007F6BF3">
            <w:pPr>
              <w:pStyle w:val="P68B1DB1-Normal8"/>
              <w:spacing w:after="0" w:line="240" w:lineRule="auto"/>
              <w:jc w:val="both"/>
              <w:rPr>
                <w:rFonts w:eastAsia="Times New Roman" w:cs="Calibri"/>
                <w:noProof/>
              </w:rPr>
            </w:pPr>
            <w:r>
              <w:rPr>
                <w:noProof/>
              </w:rPr>
              <w:t>Οι παρεμβάσεις περιλαμβάνουν:</w:t>
            </w:r>
          </w:p>
          <w:p w14:paraId="204AF952" w14:textId="77777777" w:rsidR="00154AD2" w:rsidRDefault="007F6BF3">
            <w:pPr>
              <w:pStyle w:val="P68B1DB1-Normal8"/>
              <w:spacing w:after="0" w:line="240" w:lineRule="auto"/>
              <w:jc w:val="both"/>
              <w:rPr>
                <w:rFonts w:eastAsia="Times New Roman" w:cs="Calibri"/>
                <w:noProof/>
              </w:rPr>
            </w:pPr>
            <w:r>
              <w:rPr>
                <w:noProof/>
              </w:rPr>
              <w:t xml:space="preserve">— τη μετατροπή δημόσιων κτιρίων που δεν προορίζονται για κατοικία σε κατοικίες, </w:t>
            </w:r>
          </w:p>
          <w:p w14:paraId="774B76C2" w14:textId="77777777" w:rsidR="00154AD2" w:rsidRDefault="007F6BF3">
            <w:pPr>
              <w:pStyle w:val="P68B1DB1-Normal8"/>
              <w:spacing w:after="0" w:line="240" w:lineRule="auto"/>
              <w:jc w:val="both"/>
              <w:rPr>
                <w:rFonts w:eastAsia="Times New Roman" w:cs="Calibri"/>
                <w:noProof/>
              </w:rPr>
            </w:pPr>
            <w:r>
              <w:rPr>
                <w:noProof/>
              </w:rPr>
              <w:t>Χρηματοδοτική στήριξη για τη μετατροπή υποβαθμισμένων κοινωνικών κτιρίων (Bairros Sociais)</w:t>
            </w:r>
          </w:p>
          <w:p w14:paraId="2517E49E" w14:textId="77777777" w:rsidR="00154AD2" w:rsidRDefault="007F6BF3">
            <w:pPr>
              <w:pStyle w:val="P68B1DB1-Normal8"/>
              <w:spacing w:after="0" w:line="240" w:lineRule="auto"/>
              <w:jc w:val="both"/>
              <w:rPr>
                <w:rFonts w:eastAsia="Times New Roman" w:cs="Calibri"/>
                <w:noProof/>
              </w:rPr>
            </w:pPr>
            <w:r>
              <w:rPr>
                <w:noProof/>
              </w:rPr>
              <w:t>— ανακαίνιση των δημόσιων κατοικιών με σκοπό τη συμμόρφωση με την ισχύουσα στεγαστική νομοθεσία, κυρίως τις απαιτήσεις ενεργειακής απόδοσης.</w:t>
            </w:r>
          </w:p>
          <w:p w14:paraId="20AA49DB" w14:textId="77777777" w:rsidR="00154AD2" w:rsidRDefault="007F6BF3">
            <w:pPr>
              <w:pStyle w:val="P68B1DB1-Normal8"/>
              <w:spacing w:after="0" w:line="240" w:lineRule="auto"/>
              <w:jc w:val="both"/>
              <w:rPr>
                <w:rFonts w:eastAsia="Times New Roman" w:cs="Calibri"/>
                <w:noProof/>
              </w:rPr>
            </w:pPr>
            <w:r>
              <w:rPr>
                <w:noProof/>
              </w:rPr>
              <w:t>Οι ανακαινίσεις ενεργειακής απόδοσης επιτυγχάνουν, κατά μέσο όρο, τουλάχιστον μεσαίας κλίμακας ανακαίνιση, όπως ορίζεται στη σύσταση της Επιτροπής για την ανακαίνιση κτιρίων (ΕΕ) 2019/786.</w:t>
            </w:r>
          </w:p>
          <w:p w14:paraId="3FE022D6" w14:textId="77777777" w:rsidR="00154AD2" w:rsidRDefault="007F6BF3">
            <w:pPr>
              <w:pStyle w:val="P68B1DB1-Normal8"/>
              <w:spacing w:after="0" w:line="240" w:lineRule="auto"/>
              <w:jc w:val="both"/>
              <w:rPr>
                <w:rFonts w:eastAsia="Times New Roman" w:cs="Calibri"/>
                <w:noProof/>
              </w:rPr>
            </w:pPr>
            <w:r>
              <w:rPr>
                <w:noProof/>
              </w:rPr>
              <w:t>Η εν λόγω κατοικία έχει μέσο μέγεθος περίπου 100 τετραγωνικών μέτρων.</w:t>
            </w:r>
          </w:p>
        </w:tc>
      </w:tr>
      <w:tr w:rsidR="00154AD2" w14:paraId="0FFD0E64" w14:textId="77777777">
        <w:trPr>
          <w:trHeight w:val="2824"/>
        </w:trPr>
        <w:tc>
          <w:tcPr>
            <w:tcW w:w="1134" w:type="dxa"/>
            <w:shd w:val="clear" w:color="auto" w:fill="C5EFCE"/>
            <w:vAlign w:val="center"/>
            <w:hideMark/>
          </w:tcPr>
          <w:p w14:paraId="55203759" w14:textId="77777777" w:rsidR="00154AD2" w:rsidRDefault="007F6BF3">
            <w:pPr>
              <w:pStyle w:val="P68B1DB1-Normal7"/>
              <w:spacing w:after="0" w:line="240" w:lineRule="auto"/>
              <w:jc w:val="center"/>
              <w:rPr>
                <w:rFonts w:eastAsia="Times New Roman" w:cs="Calibri"/>
                <w:noProof/>
              </w:rPr>
            </w:pPr>
            <w:r>
              <w:rPr>
                <w:noProof/>
              </w:rPr>
              <w:t>2.16</w:t>
            </w:r>
          </w:p>
        </w:tc>
        <w:tc>
          <w:tcPr>
            <w:tcW w:w="1304" w:type="dxa"/>
            <w:shd w:val="clear" w:color="auto" w:fill="C4EFCE"/>
            <w:vAlign w:val="center"/>
            <w:hideMark/>
          </w:tcPr>
          <w:p w14:paraId="4FF83330" w14:textId="77777777" w:rsidR="00154AD2" w:rsidRDefault="007F6BF3">
            <w:pPr>
              <w:pStyle w:val="P68B1DB1-Normal8"/>
              <w:spacing w:after="0" w:line="240" w:lineRule="auto"/>
              <w:jc w:val="center"/>
              <w:rPr>
                <w:rFonts w:eastAsia="Times New Roman" w:cs="Calibri"/>
                <w:noProof/>
              </w:rPr>
            </w:pPr>
            <w:r>
              <w:rPr>
                <w:noProof/>
              </w:rPr>
              <w:t>RE-C02-i04-RAA</w:t>
            </w:r>
          </w:p>
        </w:tc>
        <w:tc>
          <w:tcPr>
            <w:tcW w:w="1077" w:type="dxa"/>
            <w:shd w:val="clear" w:color="auto" w:fill="C4EFCE"/>
            <w:vAlign w:val="center"/>
            <w:hideMark/>
          </w:tcPr>
          <w:p w14:paraId="7FD09AD1" w14:textId="77777777" w:rsidR="00154AD2" w:rsidRDefault="007F6BF3">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00D030BA" w14:textId="77777777" w:rsidR="00154AD2" w:rsidRDefault="007F6BF3">
            <w:pPr>
              <w:pStyle w:val="P68B1DB1-Normal8"/>
              <w:spacing w:after="0" w:line="240" w:lineRule="auto"/>
              <w:jc w:val="center"/>
              <w:rPr>
                <w:rFonts w:eastAsia="Times New Roman" w:cs="Calibri"/>
                <w:noProof/>
              </w:rPr>
            </w:pPr>
            <w:r>
              <w:rPr>
                <w:noProof/>
              </w:rPr>
              <w:t xml:space="preserve">Παρεμβάσεις στο απόθεμα δημόσιων κατοικιών της Αυτόνομης Περιφέρειας Αζορών — ανακαίνιση </w:t>
            </w:r>
          </w:p>
        </w:tc>
        <w:tc>
          <w:tcPr>
            <w:tcW w:w="1355" w:type="dxa"/>
            <w:shd w:val="clear" w:color="auto" w:fill="C4EFCE"/>
            <w:vAlign w:val="center"/>
            <w:hideMark/>
          </w:tcPr>
          <w:p w14:paraId="4DE9F928" w14:textId="77777777" w:rsidR="00154AD2" w:rsidRDefault="007F6BF3">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2408461B" w14:textId="4C0E6877" w:rsidR="00154AD2" w:rsidRDefault="007F6BF3">
            <w:pPr>
              <w:pStyle w:val="P68B1DB1-Normal8"/>
              <w:spacing w:after="0" w:line="240" w:lineRule="auto"/>
              <w:jc w:val="center"/>
              <w:rPr>
                <w:rFonts w:eastAsia="Times New Roman" w:cs="Calibri"/>
                <w:noProof/>
              </w:rPr>
            </w:pPr>
            <w:r>
              <w:rPr>
                <w:noProof/>
              </w:rPr>
              <w:t>Αριθμός</w:t>
            </w:r>
          </w:p>
        </w:tc>
        <w:tc>
          <w:tcPr>
            <w:tcW w:w="1134" w:type="dxa"/>
            <w:shd w:val="clear" w:color="auto" w:fill="C4EFCE"/>
            <w:vAlign w:val="center"/>
            <w:hideMark/>
          </w:tcPr>
          <w:p w14:paraId="6C763F31" w14:textId="77777777" w:rsidR="00154AD2" w:rsidRDefault="007F6BF3">
            <w:pPr>
              <w:pStyle w:val="P68B1DB1-Normal8"/>
              <w:spacing w:after="0" w:line="240" w:lineRule="auto"/>
              <w:jc w:val="center"/>
              <w:rPr>
                <w:rFonts w:eastAsia="Times New Roman" w:cs="Calibri"/>
                <w:noProof/>
              </w:rPr>
            </w:pPr>
            <w:r>
              <w:rPr>
                <w:noProof/>
              </w:rPr>
              <w:t>40</w:t>
            </w:r>
          </w:p>
        </w:tc>
        <w:tc>
          <w:tcPr>
            <w:tcW w:w="897" w:type="dxa"/>
            <w:shd w:val="clear" w:color="auto" w:fill="C4EFCE"/>
            <w:vAlign w:val="center"/>
            <w:hideMark/>
          </w:tcPr>
          <w:p w14:paraId="0F631C49" w14:textId="32CD02EE" w:rsidR="00154AD2" w:rsidRDefault="007F6BF3">
            <w:pPr>
              <w:pStyle w:val="P68B1DB1-Normal8"/>
              <w:spacing w:after="0" w:line="240" w:lineRule="auto"/>
              <w:jc w:val="center"/>
              <w:rPr>
                <w:rFonts w:eastAsia="Times New Roman" w:cs="Calibri"/>
                <w:noProof/>
              </w:rPr>
            </w:pPr>
            <w:r>
              <w:rPr>
                <w:noProof/>
              </w:rPr>
              <w:t>101</w:t>
            </w:r>
          </w:p>
        </w:tc>
        <w:tc>
          <w:tcPr>
            <w:tcW w:w="473" w:type="dxa"/>
            <w:shd w:val="clear" w:color="auto" w:fill="C4EFCE"/>
            <w:vAlign w:val="center"/>
            <w:hideMark/>
          </w:tcPr>
          <w:p w14:paraId="6840DC22"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25" w:type="dxa"/>
            <w:shd w:val="clear" w:color="auto" w:fill="C4EFCE"/>
            <w:vAlign w:val="center"/>
            <w:hideMark/>
          </w:tcPr>
          <w:p w14:paraId="1B49E65C" w14:textId="77777777" w:rsidR="00154AD2" w:rsidRDefault="007F6BF3">
            <w:pPr>
              <w:pStyle w:val="P68B1DB1-Normal8"/>
              <w:spacing w:after="0" w:line="240" w:lineRule="auto"/>
              <w:jc w:val="center"/>
              <w:rPr>
                <w:rFonts w:eastAsia="Times New Roman" w:cs="Calibri"/>
                <w:noProof/>
              </w:rPr>
            </w:pPr>
            <w:r>
              <w:rPr>
                <w:noProof/>
              </w:rPr>
              <w:t>2023</w:t>
            </w:r>
          </w:p>
        </w:tc>
        <w:tc>
          <w:tcPr>
            <w:tcW w:w="4969" w:type="dxa"/>
            <w:shd w:val="clear" w:color="auto" w:fill="C4EFCE"/>
            <w:vAlign w:val="center"/>
            <w:hideMark/>
          </w:tcPr>
          <w:p w14:paraId="7D17215F" w14:textId="091C177D" w:rsidR="00154AD2" w:rsidRDefault="007F6BF3">
            <w:pPr>
              <w:pStyle w:val="P68B1DB1-Normal8"/>
              <w:spacing w:after="0" w:line="240" w:lineRule="auto"/>
              <w:jc w:val="both"/>
              <w:rPr>
                <w:rFonts w:eastAsia="Times New Roman" w:cs="Calibri"/>
                <w:noProof/>
              </w:rPr>
            </w:pPr>
            <w:r>
              <w:rPr>
                <w:noProof/>
              </w:rPr>
              <w:t xml:space="preserve">Η επένδυση περιλαμβάνει την ανακαίνιση ή την ολοκλήρωση κτιρίων και διαμερισμάτων, η οποία μετράται με βάση τον αριθμό των παρεμβάσεων, με την ολοκλήρωση των εργασιών. </w:t>
            </w:r>
          </w:p>
          <w:p w14:paraId="7B68446D" w14:textId="11D8397B" w:rsidR="00154AD2" w:rsidRDefault="007F6BF3">
            <w:pPr>
              <w:pStyle w:val="P68B1DB1-Normal8"/>
              <w:spacing w:after="0" w:line="240" w:lineRule="auto"/>
              <w:jc w:val="both"/>
              <w:rPr>
                <w:rFonts w:eastAsia="Times New Roman" w:cs="Calibri"/>
                <w:noProof/>
              </w:rPr>
            </w:pPr>
            <w:r>
              <w:rPr>
                <w:noProof/>
              </w:rPr>
              <w:t>Οι παρεμβάσεις μπορούν να περιλαμβάνουν:</w:t>
            </w:r>
          </w:p>
          <w:p w14:paraId="6A1600CE" w14:textId="3C884396" w:rsidR="00154AD2" w:rsidRDefault="007F6BF3">
            <w:pPr>
              <w:pStyle w:val="P68B1DB1-Normal8"/>
              <w:spacing w:after="0" w:line="240" w:lineRule="auto"/>
              <w:jc w:val="both"/>
              <w:rPr>
                <w:rFonts w:eastAsia="Times New Roman" w:cs="Calibri"/>
                <w:noProof/>
              </w:rPr>
            </w:pPr>
            <w:r>
              <w:rPr>
                <w:noProof/>
              </w:rPr>
              <w:t xml:space="preserve">— τη μετατροπή δημόσιων κτιρίων που δεν προορίζονται για κατοικία σε κατοικίες, </w:t>
            </w:r>
          </w:p>
          <w:p w14:paraId="6929DEBD" w14:textId="5295AB7B" w:rsidR="00154AD2" w:rsidRDefault="007F6BF3">
            <w:pPr>
              <w:pStyle w:val="P68B1DB1-Normal8"/>
              <w:spacing w:after="0" w:line="240" w:lineRule="auto"/>
              <w:jc w:val="both"/>
              <w:rPr>
                <w:rFonts w:eastAsia="Times New Roman" w:cs="Calibri"/>
                <w:noProof/>
              </w:rPr>
            </w:pPr>
            <w:r>
              <w:rPr>
                <w:noProof/>
              </w:rPr>
              <w:t>Χρηματοδοτική στήριξη για τη μετατροπή υποβαθμισμένων κοινωνικών κτιρίων (Bairros Sociais)</w:t>
            </w:r>
          </w:p>
          <w:p w14:paraId="0652D4D3" w14:textId="77777777" w:rsidR="00154AD2" w:rsidRDefault="007F6BF3">
            <w:pPr>
              <w:pStyle w:val="P68B1DB1-Normal8"/>
              <w:spacing w:after="0" w:line="240" w:lineRule="auto"/>
              <w:jc w:val="both"/>
              <w:rPr>
                <w:rFonts w:eastAsia="Times New Roman" w:cs="Calibri"/>
                <w:noProof/>
              </w:rPr>
            </w:pPr>
            <w:r>
              <w:rPr>
                <w:noProof/>
              </w:rPr>
              <w:t>— Ανακαίνιση των δημόσιων κατοικιών με σκοπό τη συμμόρφωση με την ισχύουσα στεγαστική νομοθεσία, κυρίως τις απαιτήσεις ενεργειακής απόδοσης.</w:t>
            </w:r>
          </w:p>
          <w:p w14:paraId="32BB662A" w14:textId="77777777" w:rsidR="00154AD2" w:rsidRDefault="007F6BF3">
            <w:pPr>
              <w:pStyle w:val="P68B1DB1-Normal8"/>
              <w:spacing w:after="0" w:line="240" w:lineRule="auto"/>
              <w:jc w:val="both"/>
              <w:rPr>
                <w:rFonts w:eastAsia="Times New Roman" w:cs="Calibri"/>
                <w:noProof/>
              </w:rPr>
            </w:pPr>
            <w:r>
              <w:rPr>
                <w:noProof/>
              </w:rPr>
              <w:t>Οι ανακαινίσεις ενεργειακής απόδοσης επιτυγχάνουν, κατά μέσο όρο, τουλάχιστον μεσαίας κλίμακας ανακαίνιση, όπως ορίζεται στη σύσταση της Επιτροπής για την ανακαίνιση κτιρίων (ΕΕ) 2019/786</w:t>
            </w:r>
          </w:p>
          <w:p w14:paraId="5A4B25FC" w14:textId="77777777" w:rsidR="00154AD2" w:rsidRDefault="007F6BF3">
            <w:pPr>
              <w:pStyle w:val="P68B1DB1-Normal8"/>
              <w:spacing w:after="0" w:line="240" w:lineRule="auto"/>
              <w:jc w:val="both"/>
              <w:rPr>
                <w:rFonts w:eastAsia="Times New Roman" w:cs="Calibri"/>
                <w:noProof/>
              </w:rPr>
            </w:pPr>
            <w:r>
              <w:rPr>
                <w:noProof/>
              </w:rPr>
              <w:t>Η εν λόγω κατοικία έχει μέσο μέγεθος περίπου 100 τετραγωνικών μέτρων.</w:t>
            </w:r>
          </w:p>
        </w:tc>
      </w:tr>
      <w:tr w:rsidR="00154AD2" w14:paraId="0FEE8F26" w14:textId="77777777">
        <w:trPr>
          <w:trHeight w:val="420"/>
        </w:trPr>
        <w:tc>
          <w:tcPr>
            <w:tcW w:w="1134" w:type="dxa"/>
            <w:shd w:val="clear" w:color="auto" w:fill="C5EFCE"/>
            <w:vAlign w:val="center"/>
            <w:hideMark/>
          </w:tcPr>
          <w:p w14:paraId="7A1DBDA2" w14:textId="77777777" w:rsidR="00154AD2" w:rsidRDefault="007F6BF3">
            <w:pPr>
              <w:pStyle w:val="P68B1DB1-Normal7"/>
              <w:spacing w:after="0" w:line="240" w:lineRule="auto"/>
              <w:jc w:val="center"/>
              <w:rPr>
                <w:rFonts w:eastAsia="Times New Roman" w:cs="Calibri"/>
                <w:noProof/>
              </w:rPr>
            </w:pPr>
            <w:r>
              <w:rPr>
                <w:noProof/>
              </w:rPr>
              <w:t>2.17</w:t>
            </w:r>
          </w:p>
        </w:tc>
        <w:tc>
          <w:tcPr>
            <w:tcW w:w="1304" w:type="dxa"/>
            <w:shd w:val="clear" w:color="auto" w:fill="C4EFCE"/>
            <w:vAlign w:val="center"/>
            <w:hideMark/>
          </w:tcPr>
          <w:p w14:paraId="6200EF9A" w14:textId="77777777" w:rsidR="00154AD2" w:rsidRDefault="007F6BF3">
            <w:pPr>
              <w:pStyle w:val="P68B1DB1-Normal8"/>
              <w:spacing w:after="0" w:line="240" w:lineRule="auto"/>
              <w:jc w:val="center"/>
              <w:rPr>
                <w:rFonts w:eastAsia="Times New Roman" w:cs="Calibri"/>
                <w:noProof/>
              </w:rPr>
            </w:pPr>
            <w:r>
              <w:rPr>
                <w:noProof/>
              </w:rPr>
              <w:t>RE-C02-i04-RAA</w:t>
            </w:r>
          </w:p>
        </w:tc>
        <w:tc>
          <w:tcPr>
            <w:tcW w:w="1077" w:type="dxa"/>
            <w:shd w:val="clear" w:color="auto" w:fill="C4EFCE"/>
            <w:vAlign w:val="center"/>
            <w:hideMark/>
          </w:tcPr>
          <w:p w14:paraId="58F4DB9C" w14:textId="77777777" w:rsidR="00154AD2" w:rsidRDefault="007F6BF3">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4499C265" w14:textId="77777777" w:rsidR="00154AD2" w:rsidRDefault="007F6BF3">
            <w:pPr>
              <w:pStyle w:val="P68B1DB1-Normal8"/>
              <w:spacing w:after="0" w:line="240" w:lineRule="auto"/>
              <w:jc w:val="center"/>
              <w:rPr>
                <w:rFonts w:eastAsia="Times New Roman" w:cs="Calibri"/>
                <w:noProof/>
              </w:rPr>
            </w:pPr>
            <w:r>
              <w:rPr>
                <w:noProof/>
              </w:rPr>
              <w:t>Παρεμβάσεις στο απόθεμα δημόσιων κατοικιών της Αυτόνομης Περιφέρειας Αζορών — κατασκευή κτιρίων</w:t>
            </w:r>
          </w:p>
        </w:tc>
        <w:tc>
          <w:tcPr>
            <w:tcW w:w="1355" w:type="dxa"/>
            <w:shd w:val="clear" w:color="auto" w:fill="C4EFCE"/>
            <w:vAlign w:val="center"/>
            <w:hideMark/>
          </w:tcPr>
          <w:p w14:paraId="59C3648C" w14:textId="77777777" w:rsidR="00154AD2" w:rsidRDefault="007F6BF3">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37F5301E" w14:textId="5FCA7618" w:rsidR="00154AD2" w:rsidRDefault="007F6BF3">
            <w:pPr>
              <w:pStyle w:val="P68B1DB1-Normal8"/>
              <w:spacing w:after="0" w:line="240" w:lineRule="auto"/>
              <w:jc w:val="center"/>
              <w:rPr>
                <w:rFonts w:eastAsia="Times New Roman" w:cs="Calibri"/>
                <w:noProof/>
              </w:rPr>
            </w:pPr>
            <w:r>
              <w:rPr>
                <w:noProof/>
              </w:rPr>
              <w:t>Αριθμός</w:t>
            </w:r>
          </w:p>
        </w:tc>
        <w:tc>
          <w:tcPr>
            <w:tcW w:w="1134" w:type="dxa"/>
            <w:shd w:val="clear" w:color="auto" w:fill="C4EFCE"/>
            <w:vAlign w:val="center"/>
            <w:hideMark/>
          </w:tcPr>
          <w:p w14:paraId="5443BFE5" w14:textId="7DF628DE" w:rsidR="00154AD2" w:rsidRDefault="007F6BF3">
            <w:pPr>
              <w:pStyle w:val="P68B1DB1-Normal8"/>
              <w:spacing w:after="0" w:line="240" w:lineRule="auto"/>
              <w:jc w:val="center"/>
              <w:rPr>
                <w:rFonts w:eastAsia="Times New Roman" w:cs="Calibri"/>
                <w:noProof/>
              </w:rPr>
            </w:pPr>
            <w:r>
              <w:rPr>
                <w:noProof/>
              </w:rPr>
              <w:t>24</w:t>
            </w:r>
          </w:p>
        </w:tc>
        <w:tc>
          <w:tcPr>
            <w:tcW w:w="897" w:type="dxa"/>
            <w:shd w:val="clear" w:color="auto" w:fill="C4EFCE"/>
            <w:vAlign w:val="center"/>
            <w:hideMark/>
          </w:tcPr>
          <w:p w14:paraId="46259B98" w14:textId="678AC6A1" w:rsidR="00154AD2" w:rsidRDefault="007F6BF3">
            <w:pPr>
              <w:pStyle w:val="P68B1DB1-Normal8"/>
              <w:spacing w:after="0" w:line="240" w:lineRule="auto"/>
              <w:jc w:val="center"/>
              <w:rPr>
                <w:rFonts w:eastAsia="Times New Roman" w:cs="Calibri"/>
                <w:noProof/>
              </w:rPr>
            </w:pPr>
            <w:r>
              <w:rPr>
                <w:noProof/>
              </w:rPr>
              <w:t>100</w:t>
            </w:r>
          </w:p>
        </w:tc>
        <w:tc>
          <w:tcPr>
            <w:tcW w:w="473" w:type="dxa"/>
            <w:shd w:val="clear" w:color="auto" w:fill="C4EFCE"/>
            <w:vAlign w:val="center"/>
            <w:hideMark/>
          </w:tcPr>
          <w:p w14:paraId="2BCEE32C"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25" w:type="dxa"/>
            <w:shd w:val="clear" w:color="auto" w:fill="C4EFCE"/>
            <w:vAlign w:val="center"/>
            <w:hideMark/>
          </w:tcPr>
          <w:p w14:paraId="3AEDD75E" w14:textId="77777777" w:rsidR="00154AD2" w:rsidRDefault="007F6BF3">
            <w:pPr>
              <w:pStyle w:val="P68B1DB1-Normal8"/>
              <w:spacing w:after="0" w:line="240" w:lineRule="auto"/>
              <w:jc w:val="center"/>
              <w:rPr>
                <w:rFonts w:eastAsia="Times New Roman" w:cs="Calibri"/>
                <w:noProof/>
              </w:rPr>
            </w:pPr>
            <w:r>
              <w:rPr>
                <w:noProof/>
              </w:rPr>
              <w:t>2025</w:t>
            </w:r>
          </w:p>
        </w:tc>
        <w:tc>
          <w:tcPr>
            <w:tcW w:w="4969" w:type="dxa"/>
            <w:shd w:val="clear" w:color="auto" w:fill="C4EFCE"/>
            <w:vAlign w:val="center"/>
            <w:hideMark/>
          </w:tcPr>
          <w:p w14:paraId="516BF675" w14:textId="77777777" w:rsidR="00154AD2" w:rsidRDefault="007F6BF3">
            <w:pPr>
              <w:pStyle w:val="P68B1DB1-Normal8"/>
              <w:spacing w:after="0" w:line="240" w:lineRule="auto"/>
              <w:jc w:val="both"/>
              <w:rPr>
                <w:rFonts w:eastAsia="Times New Roman" w:cs="Calibri"/>
                <w:noProof/>
              </w:rPr>
            </w:pPr>
            <w:r>
              <w:rPr>
                <w:noProof/>
              </w:rPr>
              <w:t xml:space="preserve">Αριθμός παρεμβάσεων, συμπεριλαμβανομένης της αστικοποίησης της γης, όπου απαιτείται, με την ολοκλήρωση των εργασιών για την αύξηση του αποθέματος κοινωνικών κατοικιών. </w:t>
            </w:r>
          </w:p>
          <w:p w14:paraId="35DAC105" w14:textId="77777777" w:rsidR="00154AD2" w:rsidRDefault="007F6BF3">
            <w:pPr>
              <w:pStyle w:val="P68B1DB1-Normal8"/>
              <w:spacing w:after="0" w:line="240" w:lineRule="auto"/>
              <w:jc w:val="both"/>
              <w:rPr>
                <w:rFonts w:eastAsia="Times New Roman" w:cs="Calibri"/>
                <w:noProof/>
              </w:rPr>
            </w:pPr>
            <w:r>
              <w:rPr>
                <w:noProof/>
              </w:rPr>
              <w:t>Όταν πρόκειται για νέα κατασκευή, τα νέα κτίρια έχουν ζήτηση πρωτογενούς ενέργειας τουλάχιστον 20 % χαμηλότερη από τις απαιτήσεις των κτιρίων με σχεδόν μηδενική κατανάλωση ενέργειας.</w:t>
            </w:r>
          </w:p>
          <w:p w14:paraId="38B842FC" w14:textId="0042F4F2" w:rsidR="00154AD2" w:rsidRDefault="007F6BF3">
            <w:pPr>
              <w:pStyle w:val="P68B1DB1-Normal8"/>
              <w:spacing w:after="0" w:line="240" w:lineRule="auto"/>
              <w:jc w:val="both"/>
              <w:rPr>
                <w:rFonts w:eastAsia="Times New Roman" w:cs="Calibri"/>
                <w:noProof/>
              </w:rPr>
            </w:pPr>
            <w:r>
              <w:rPr>
                <w:noProof/>
              </w:rPr>
              <w:t>Οι κατοικίες έχουν μέσο μέγεθος περίπου 120 τετραγωνικών μέτρων.</w:t>
            </w:r>
          </w:p>
        </w:tc>
      </w:tr>
      <w:tr w:rsidR="00154AD2" w14:paraId="25FEA8B5" w14:textId="77777777">
        <w:trPr>
          <w:trHeight w:val="831"/>
        </w:trPr>
        <w:tc>
          <w:tcPr>
            <w:tcW w:w="1134" w:type="dxa"/>
            <w:shd w:val="clear" w:color="auto" w:fill="C5EFCE"/>
            <w:vAlign w:val="center"/>
            <w:hideMark/>
          </w:tcPr>
          <w:p w14:paraId="4DF650DD" w14:textId="77777777" w:rsidR="00154AD2" w:rsidRDefault="007F6BF3">
            <w:pPr>
              <w:pStyle w:val="P68B1DB1-Normal7"/>
              <w:spacing w:after="0" w:line="240" w:lineRule="auto"/>
              <w:jc w:val="center"/>
              <w:rPr>
                <w:rFonts w:eastAsia="Times New Roman" w:cs="Calibri"/>
                <w:noProof/>
              </w:rPr>
            </w:pPr>
            <w:r>
              <w:rPr>
                <w:noProof/>
              </w:rPr>
              <w:t>2.18</w:t>
            </w:r>
          </w:p>
        </w:tc>
        <w:tc>
          <w:tcPr>
            <w:tcW w:w="1304" w:type="dxa"/>
            <w:shd w:val="clear" w:color="auto" w:fill="C4EFCE"/>
            <w:vAlign w:val="center"/>
            <w:hideMark/>
          </w:tcPr>
          <w:p w14:paraId="7D8900A1" w14:textId="77777777" w:rsidR="00154AD2" w:rsidRDefault="007F6BF3">
            <w:pPr>
              <w:pStyle w:val="P68B1DB1-Normal8"/>
              <w:spacing w:after="0" w:line="240" w:lineRule="auto"/>
              <w:jc w:val="center"/>
              <w:rPr>
                <w:rFonts w:eastAsia="Times New Roman" w:cs="Calibri"/>
                <w:noProof/>
              </w:rPr>
            </w:pPr>
            <w:r>
              <w:rPr>
                <w:noProof/>
              </w:rPr>
              <w:t>RE-C02-i04-RAA</w:t>
            </w:r>
          </w:p>
        </w:tc>
        <w:tc>
          <w:tcPr>
            <w:tcW w:w="1077" w:type="dxa"/>
            <w:shd w:val="clear" w:color="auto" w:fill="C4EFCE"/>
            <w:vAlign w:val="center"/>
            <w:hideMark/>
          </w:tcPr>
          <w:p w14:paraId="0BEA123C" w14:textId="77777777" w:rsidR="00154AD2" w:rsidRDefault="007F6BF3">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2DCA3115" w14:textId="77777777" w:rsidR="00154AD2" w:rsidRDefault="007F6BF3">
            <w:pPr>
              <w:pStyle w:val="P68B1DB1-Normal8"/>
              <w:spacing w:after="0" w:line="240" w:lineRule="auto"/>
              <w:jc w:val="center"/>
              <w:rPr>
                <w:rFonts w:eastAsia="Times New Roman" w:cs="Calibri"/>
                <w:noProof/>
              </w:rPr>
            </w:pPr>
            <w:r>
              <w:rPr>
                <w:noProof/>
              </w:rPr>
              <w:t>Παρεμβάσεις στο απόθεμα δημόσιων κατοικιών της Αυτόνομης Περιφέρειας Αζορών — ανακαίνιση</w:t>
            </w:r>
          </w:p>
        </w:tc>
        <w:tc>
          <w:tcPr>
            <w:tcW w:w="1355" w:type="dxa"/>
            <w:shd w:val="clear" w:color="auto" w:fill="C4EFCE"/>
            <w:vAlign w:val="center"/>
            <w:hideMark/>
          </w:tcPr>
          <w:p w14:paraId="40C9CFB1" w14:textId="77777777" w:rsidR="00154AD2" w:rsidRDefault="007F6BF3">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193183B5" w14:textId="752160E4" w:rsidR="00154AD2" w:rsidRDefault="007F6BF3">
            <w:pPr>
              <w:pStyle w:val="P68B1DB1-Normal8"/>
              <w:spacing w:after="0" w:line="240" w:lineRule="auto"/>
              <w:jc w:val="center"/>
              <w:rPr>
                <w:rFonts w:eastAsia="Times New Roman" w:cs="Calibri"/>
                <w:noProof/>
              </w:rPr>
            </w:pPr>
            <w:r>
              <w:rPr>
                <w:noProof/>
              </w:rPr>
              <w:t>Αριθμός</w:t>
            </w:r>
          </w:p>
        </w:tc>
        <w:tc>
          <w:tcPr>
            <w:tcW w:w="1134" w:type="dxa"/>
            <w:shd w:val="clear" w:color="auto" w:fill="C4EFCE"/>
            <w:vAlign w:val="center"/>
            <w:hideMark/>
          </w:tcPr>
          <w:p w14:paraId="1B967865" w14:textId="51F3039A" w:rsidR="00154AD2" w:rsidRDefault="007F6BF3">
            <w:pPr>
              <w:pStyle w:val="P68B1DB1-Normal8"/>
              <w:spacing w:after="0" w:line="240" w:lineRule="auto"/>
              <w:jc w:val="center"/>
              <w:rPr>
                <w:rFonts w:eastAsia="Times New Roman" w:cs="Calibri"/>
                <w:noProof/>
              </w:rPr>
            </w:pPr>
            <w:r>
              <w:rPr>
                <w:noProof/>
              </w:rPr>
              <w:t>101</w:t>
            </w:r>
          </w:p>
        </w:tc>
        <w:tc>
          <w:tcPr>
            <w:tcW w:w="897" w:type="dxa"/>
            <w:shd w:val="clear" w:color="auto" w:fill="C4EFCE"/>
            <w:vAlign w:val="center"/>
            <w:hideMark/>
          </w:tcPr>
          <w:p w14:paraId="769572A9" w14:textId="49DD8B07" w:rsidR="00154AD2" w:rsidRDefault="007F6BF3">
            <w:pPr>
              <w:pStyle w:val="P68B1DB1-Normal8"/>
              <w:spacing w:after="0" w:line="240" w:lineRule="auto"/>
              <w:jc w:val="center"/>
              <w:rPr>
                <w:rFonts w:eastAsia="Times New Roman" w:cs="Calibri"/>
                <w:noProof/>
              </w:rPr>
            </w:pPr>
            <w:r>
              <w:rPr>
                <w:noProof/>
              </w:rPr>
              <w:t>602</w:t>
            </w:r>
          </w:p>
        </w:tc>
        <w:tc>
          <w:tcPr>
            <w:tcW w:w="473" w:type="dxa"/>
            <w:shd w:val="clear" w:color="auto" w:fill="C4EFCE"/>
            <w:vAlign w:val="center"/>
            <w:hideMark/>
          </w:tcPr>
          <w:p w14:paraId="5E5CB188"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25" w:type="dxa"/>
            <w:shd w:val="clear" w:color="auto" w:fill="C4EFCE"/>
            <w:vAlign w:val="center"/>
            <w:hideMark/>
          </w:tcPr>
          <w:p w14:paraId="25139D3A" w14:textId="77777777" w:rsidR="00154AD2" w:rsidRDefault="007F6BF3">
            <w:pPr>
              <w:pStyle w:val="P68B1DB1-Normal8"/>
              <w:spacing w:after="0" w:line="240" w:lineRule="auto"/>
              <w:jc w:val="center"/>
              <w:rPr>
                <w:rFonts w:eastAsia="Times New Roman" w:cs="Calibri"/>
                <w:noProof/>
              </w:rPr>
            </w:pPr>
            <w:r>
              <w:rPr>
                <w:noProof/>
              </w:rPr>
              <w:t>2025</w:t>
            </w:r>
          </w:p>
        </w:tc>
        <w:tc>
          <w:tcPr>
            <w:tcW w:w="4969" w:type="dxa"/>
            <w:shd w:val="clear" w:color="auto" w:fill="C4EFCE"/>
            <w:vAlign w:val="center"/>
            <w:hideMark/>
          </w:tcPr>
          <w:p w14:paraId="7C838658" w14:textId="2AF73229" w:rsidR="00154AD2" w:rsidRDefault="007F6BF3">
            <w:pPr>
              <w:pStyle w:val="P68B1DB1-Normal8"/>
              <w:spacing w:after="0" w:line="240" w:lineRule="auto"/>
              <w:jc w:val="both"/>
              <w:rPr>
                <w:rFonts w:eastAsia="Times New Roman" w:cs="Calibri"/>
                <w:noProof/>
              </w:rPr>
            </w:pPr>
            <w:r>
              <w:rPr>
                <w:noProof/>
              </w:rPr>
              <w:t xml:space="preserve">Η επένδυση περιλαμβάνει την ανακαίνιση ή την ολοκλήρωση κτιρίων και διαμερισμάτων, η οποία μετράται με βάση τον αριθμό των παρεμβάσεων. </w:t>
            </w:r>
          </w:p>
          <w:p w14:paraId="5CC5DAB9" w14:textId="0CE72A03" w:rsidR="00154AD2" w:rsidRDefault="007F6BF3">
            <w:pPr>
              <w:pStyle w:val="P68B1DB1-Normal8"/>
              <w:spacing w:after="0" w:line="240" w:lineRule="auto"/>
              <w:jc w:val="both"/>
              <w:rPr>
                <w:rFonts w:eastAsia="Times New Roman" w:cs="Calibri"/>
                <w:noProof/>
              </w:rPr>
            </w:pPr>
            <w:r>
              <w:rPr>
                <w:noProof/>
              </w:rPr>
              <w:t>Οι παρεμβάσεις μπορούν να περιλαμβάνουν:</w:t>
            </w:r>
          </w:p>
          <w:p w14:paraId="2D64D5AE" w14:textId="684C0690" w:rsidR="00154AD2" w:rsidRDefault="007F6BF3">
            <w:pPr>
              <w:pStyle w:val="P68B1DB1-Normal8"/>
              <w:spacing w:after="0" w:line="240" w:lineRule="auto"/>
              <w:jc w:val="both"/>
              <w:rPr>
                <w:rFonts w:eastAsia="Times New Roman" w:cs="Calibri"/>
                <w:noProof/>
              </w:rPr>
            </w:pPr>
            <w:r>
              <w:rPr>
                <w:noProof/>
              </w:rPr>
              <w:t xml:space="preserve">— τη μετατροπή δημόσιων κτιρίων που δεν προορίζονται για κατοικία σε κατοικίες, </w:t>
            </w:r>
          </w:p>
          <w:p w14:paraId="10665253" w14:textId="532B6F1F" w:rsidR="00154AD2" w:rsidRDefault="007F6BF3">
            <w:pPr>
              <w:pStyle w:val="P68B1DB1-Normal8"/>
              <w:spacing w:after="0" w:line="240" w:lineRule="auto"/>
              <w:jc w:val="both"/>
              <w:rPr>
                <w:rFonts w:eastAsia="Times New Roman" w:cs="Calibri"/>
                <w:noProof/>
              </w:rPr>
            </w:pPr>
            <w:r>
              <w:rPr>
                <w:noProof/>
              </w:rPr>
              <w:t xml:space="preserve">— τη θέση σε λειτουργία ενός σχεδίου για την προώθηση της ενοικίασης νέων (π.χ. μετατροπή τοπικού καταλύματος — Alojamento Local- σε μακροχρόνια μίσθωση, αποκατάσταση αστικών κέντρων). </w:t>
            </w:r>
          </w:p>
          <w:p w14:paraId="4070F306" w14:textId="0A1C2EF3" w:rsidR="00154AD2" w:rsidRDefault="007F6BF3">
            <w:pPr>
              <w:pStyle w:val="P68B1DB1-Normal8"/>
              <w:spacing w:after="0" w:line="240" w:lineRule="auto"/>
              <w:jc w:val="both"/>
              <w:rPr>
                <w:rFonts w:eastAsia="Times New Roman" w:cs="Calibri"/>
                <w:noProof/>
              </w:rPr>
            </w:pPr>
            <w:r>
              <w:rPr>
                <w:noProof/>
              </w:rPr>
              <w:t>Χρηματοδοτική στήριξη για τη μετατροπή υποβαθμισμένων κοινωνικών κτιρίων (Bairros Sociais)</w:t>
            </w:r>
          </w:p>
          <w:p w14:paraId="482801D9" w14:textId="77777777" w:rsidR="00154AD2" w:rsidRDefault="007F6BF3">
            <w:pPr>
              <w:pStyle w:val="P68B1DB1-Normal8"/>
              <w:spacing w:after="0" w:line="240" w:lineRule="auto"/>
              <w:jc w:val="both"/>
              <w:rPr>
                <w:rFonts w:eastAsia="Times New Roman" w:cs="Calibri"/>
                <w:noProof/>
              </w:rPr>
            </w:pPr>
            <w:r>
              <w:rPr>
                <w:noProof/>
              </w:rPr>
              <w:t>— ανακαίνιση των δημόσιων κατοικιών με σκοπό τη συμμόρφωση με την ισχύουσα στεγαστική νομοθεσία, κυρίως τις απαιτήσεις ενεργειακής απόδοσης.</w:t>
            </w:r>
          </w:p>
          <w:p w14:paraId="41DBC569" w14:textId="77777777" w:rsidR="00154AD2" w:rsidRDefault="007F6BF3">
            <w:pPr>
              <w:pStyle w:val="P68B1DB1-Normal8"/>
              <w:spacing w:after="0" w:line="240" w:lineRule="auto"/>
              <w:jc w:val="both"/>
              <w:rPr>
                <w:rFonts w:eastAsia="Times New Roman" w:cs="Calibri"/>
                <w:noProof/>
              </w:rPr>
            </w:pPr>
            <w:r>
              <w:rPr>
                <w:noProof/>
              </w:rPr>
              <w:t>Οι ανακαινίσεις ενεργειακής απόδοσης επιτυγχάνουν, κατά μέσο όρο, τουλάχιστον μεσαίας κλίμακας ανακαίνιση, όπως ορίζεται στη σύσταση της Επιτροπής για την ανακαίνιση κτιρίων (ΕΕ) 2019/786</w:t>
            </w:r>
          </w:p>
          <w:p w14:paraId="27313658" w14:textId="77777777" w:rsidR="00154AD2" w:rsidRDefault="007F6BF3">
            <w:pPr>
              <w:pStyle w:val="P68B1DB1-Normal8"/>
              <w:spacing w:after="0" w:line="240" w:lineRule="auto"/>
              <w:jc w:val="both"/>
              <w:rPr>
                <w:rFonts w:eastAsia="Times New Roman" w:cs="Calibri"/>
                <w:noProof/>
              </w:rPr>
            </w:pPr>
            <w:r>
              <w:rPr>
                <w:noProof/>
              </w:rPr>
              <w:t>Οι εν λόγω κατοικίες έχουν μέσο μέγεθος περίπου 100 τετραγωνικών μέτρων.</w:t>
            </w:r>
          </w:p>
        </w:tc>
      </w:tr>
      <w:tr w:rsidR="00154AD2" w14:paraId="347B37FF" w14:textId="77777777">
        <w:trPr>
          <w:trHeight w:val="1897"/>
        </w:trPr>
        <w:tc>
          <w:tcPr>
            <w:tcW w:w="1134" w:type="dxa"/>
            <w:shd w:val="clear" w:color="auto" w:fill="C4EFCE"/>
            <w:vAlign w:val="center"/>
          </w:tcPr>
          <w:p w14:paraId="55D5B2CB" w14:textId="77777777" w:rsidR="00154AD2" w:rsidRDefault="007F6BF3">
            <w:pPr>
              <w:pStyle w:val="P68B1DB1-Normal7"/>
              <w:spacing w:after="0" w:line="240" w:lineRule="auto"/>
              <w:jc w:val="center"/>
              <w:rPr>
                <w:rFonts w:eastAsia="Times New Roman" w:cs="Calibri"/>
                <w:noProof/>
              </w:rPr>
            </w:pPr>
            <w:r>
              <w:rPr>
                <w:noProof/>
              </w:rPr>
              <w:t>2.19</w:t>
            </w:r>
          </w:p>
        </w:tc>
        <w:tc>
          <w:tcPr>
            <w:tcW w:w="1304" w:type="dxa"/>
            <w:shd w:val="clear" w:color="auto" w:fill="C4EFCE"/>
            <w:vAlign w:val="center"/>
          </w:tcPr>
          <w:p w14:paraId="02390AF0" w14:textId="77777777" w:rsidR="00154AD2" w:rsidRDefault="007F6BF3">
            <w:pPr>
              <w:pStyle w:val="P68B1DB1-Normal8"/>
              <w:spacing w:after="0" w:line="240" w:lineRule="auto"/>
              <w:jc w:val="center"/>
              <w:rPr>
                <w:rFonts w:eastAsia="Times New Roman" w:cs="Calibri"/>
                <w:noProof/>
              </w:rPr>
            </w:pPr>
            <w:r>
              <w:rPr>
                <w:noProof/>
              </w:rPr>
              <w:t>RE-C02-r04</w:t>
            </w:r>
          </w:p>
        </w:tc>
        <w:tc>
          <w:tcPr>
            <w:tcW w:w="1077" w:type="dxa"/>
            <w:shd w:val="clear" w:color="auto" w:fill="C4EFCE"/>
            <w:vAlign w:val="center"/>
          </w:tcPr>
          <w:p w14:paraId="61654FF5" w14:textId="77777777" w:rsidR="00154AD2" w:rsidRDefault="007F6BF3">
            <w:pPr>
              <w:pStyle w:val="P68B1DB1-Normal8"/>
              <w:spacing w:after="0" w:line="240" w:lineRule="auto"/>
              <w:jc w:val="center"/>
              <w:rPr>
                <w:rFonts w:eastAsia="Times New Roman" w:cs="Calibri"/>
                <w:noProof/>
              </w:rPr>
            </w:pPr>
            <w:r>
              <w:rPr>
                <w:noProof/>
              </w:rPr>
              <w:t>M</w:t>
            </w:r>
          </w:p>
        </w:tc>
        <w:tc>
          <w:tcPr>
            <w:tcW w:w="2026" w:type="dxa"/>
            <w:shd w:val="clear" w:color="auto" w:fill="C4EFCE"/>
            <w:vAlign w:val="center"/>
          </w:tcPr>
          <w:p w14:paraId="06B961BF" w14:textId="77777777" w:rsidR="00154AD2" w:rsidRDefault="007F6BF3">
            <w:pPr>
              <w:pStyle w:val="P68B1DB1-Normal9"/>
              <w:spacing w:after="0" w:line="240" w:lineRule="auto"/>
              <w:rPr>
                <w:rFonts w:eastAsia="Times New Roman" w:cs="Calibri"/>
                <w:noProof/>
                <w:sz w:val="16"/>
              </w:rPr>
            </w:pPr>
            <w:r>
              <w:rPr>
                <w:noProof/>
                <w:sz w:val="16"/>
              </w:rPr>
              <w:t>Έναρξη ισχύος του νομοθετικού διατάγματος για την έγκριση του νομικού πλαισίου για το εθνικό επείγον και προσωρινό σχέδιοστέγασης</w:t>
            </w:r>
          </w:p>
        </w:tc>
        <w:tc>
          <w:tcPr>
            <w:tcW w:w="1355" w:type="dxa"/>
            <w:shd w:val="clear" w:color="auto" w:fill="C4EFCE"/>
            <w:vAlign w:val="center"/>
          </w:tcPr>
          <w:p w14:paraId="10E78A8C" w14:textId="77777777" w:rsidR="00154AD2" w:rsidRDefault="007F6BF3">
            <w:pPr>
              <w:pStyle w:val="P68B1DB1-Normal8"/>
              <w:spacing w:after="0" w:line="240" w:lineRule="auto"/>
              <w:rPr>
                <w:rFonts w:eastAsia="Times New Roman" w:cs="Calibri"/>
                <w:noProof/>
              </w:rPr>
            </w:pPr>
            <w:r>
              <w:rPr>
                <w:noProof/>
              </w:rPr>
              <w:t>Έναρξη ισχύος του νομοθετικού διατάγματος</w:t>
            </w:r>
          </w:p>
        </w:tc>
        <w:tc>
          <w:tcPr>
            <w:tcW w:w="1021" w:type="dxa"/>
            <w:shd w:val="clear" w:color="auto" w:fill="C4EFCE"/>
            <w:vAlign w:val="center"/>
          </w:tcPr>
          <w:p w14:paraId="1DBACC24" w14:textId="1C8EF36E" w:rsidR="00154AD2" w:rsidRDefault="00154AD2">
            <w:pPr>
              <w:spacing w:after="0" w:line="240" w:lineRule="auto"/>
              <w:jc w:val="center"/>
              <w:rPr>
                <w:rFonts w:ascii="Calibri" w:eastAsia="Times New Roman" w:hAnsi="Calibri" w:cs="Calibri"/>
                <w:noProof/>
                <w:sz w:val="16"/>
              </w:rPr>
            </w:pPr>
          </w:p>
        </w:tc>
        <w:tc>
          <w:tcPr>
            <w:tcW w:w="1134" w:type="dxa"/>
            <w:shd w:val="clear" w:color="auto" w:fill="C4EFCE"/>
            <w:vAlign w:val="center"/>
          </w:tcPr>
          <w:p w14:paraId="22364C29" w14:textId="331D8C51" w:rsidR="00154AD2" w:rsidRDefault="00154AD2">
            <w:pPr>
              <w:spacing w:after="0" w:line="240" w:lineRule="auto"/>
              <w:jc w:val="center"/>
              <w:rPr>
                <w:rFonts w:ascii="Calibri" w:eastAsia="Times New Roman" w:hAnsi="Calibri" w:cs="Calibri"/>
                <w:noProof/>
                <w:sz w:val="16"/>
              </w:rPr>
            </w:pPr>
          </w:p>
        </w:tc>
        <w:tc>
          <w:tcPr>
            <w:tcW w:w="897" w:type="dxa"/>
            <w:shd w:val="clear" w:color="auto" w:fill="C4EFCE"/>
            <w:vAlign w:val="center"/>
          </w:tcPr>
          <w:p w14:paraId="18147486" w14:textId="0F9CD299" w:rsidR="00154AD2" w:rsidRDefault="00154AD2">
            <w:pPr>
              <w:spacing w:after="0" w:line="240" w:lineRule="auto"/>
              <w:jc w:val="center"/>
              <w:rPr>
                <w:rFonts w:ascii="Calibri" w:eastAsia="Times New Roman" w:hAnsi="Calibri" w:cs="Calibri"/>
                <w:noProof/>
                <w:sz w:val="16"/>
              </w:rPr>
            </w:pPr>
          </w:p>
        </w:tc>
        <w:tc>
          <w:tcPr>
            <w:tcW w:w="473" w:type="dxa"/>
            <w:shd w:val="clear" w:color="auto" w:fill="C4EFCE"/>
            <w:vAlign w:val="center"/>
          </w:tcPr>
          <w:p w14:paraId="63C6F1EC" w14:textId="77777777" w:rsidR="00154AD2" w:rsidRDefault="007F6BF3">
            <w:pPr>
              <w:pStyle w:val="P68B1DB1-Normal8"/>
              <w:spacing w:after="0" w:line="240" w:lineRule="auto"/>
              <w:rPr>
                <w:rFonts w:eastAsia="Times New Roman" w:cs="Calibri"/>
                <w:noProof/>
              </w:rPr>
            </w:pPr>
            <w:r>
              <w:rPr>
                <w:noProof/>
              </w:rPr>
              <w:t>ΤΡΊΜΗΝΟ 2</w:t>
            </w:r>
          </w:p>
        </w:tc>
        <w:tc>
          <w:tcPr>
            <w:tcW w:w="625" w:type="dxa"/>
            <w:shd w:val="clear" w:color="auto" w:fill="C4EFCE"/>
            <w:vAlign w:val="center"/>
          </w:tcPr>
          <w:p w14:paraId="623BE23E" w14:textId="77777777" w:rsidR="00154AD2" w:rsidRDefault="007F6BF3">
            <w:pPr>
              <w:pStyle w:val="P68B1DB1-Normal8"/>
              <w:spacing w:after="0" w:line="240" w:lineRule="auto"/>
              <w:rPr>
                <w:rFonts w:eastAsia="Times New Roman" w:cs="Calibri"/>
                <w:noProof/>
              </w:rPr>
            </w:pPr>
            <w:r>
              <w:rPr>
                <w:noProof/>
              </w:rPr>
              <w:t>2021</w:t>
            </w:r>
          </w:p>
        </w:tc>
        <w:tc>
          <w:tcPr>
            <w:tcW w:w="4969" w:type="dxa"/>
            <w:shd w:val="clear" w:color="auto" w:fill="C4EFCE"/>
            <w:vAlign w:val="center"/>
          </w:tcPr>
          <w:p w14:paraId="2E6359DD" w14:textId="77777777" w:rsidR="00154AD2" w:rsidRDefault="007F6BF3">
            <w:pPr>
              <w:pStyle w:val="P68B1DB1-Normal8"/>
              <w:spacing w:after="0" w:line="240" w:lineRule="auto"/>
              <w:jc w:val="both"/>
              <w:rPr>
                <w:rFonts w:eastAsia="Times New Roman" w:cs="Calibri"/>
                <w:noProof/>
              </w:rPr>
            </w:pPr>
            <w:r>
              <w:rPr>
                <w:noProof/>
              </w:rPr>
              <w:t>Το νομοθετικό διάταγμα καθορίζει τη δομή του σχεδίου και το απόθεμα κατοικιών, ιδίως όσον αφορά τους επιλέξιμους δικαιούχους, τις στεγαστικές λύσεις και το μοντέλο χρηματοδότησης. Παράλληλα με το νομικό πλαίσιο, υποβάλλεται και εγκρίνεται από την κυβέρνηση το Εθνικό Σχέδιο Στέγασης, το οποίο ενσωματώνει τον στρατηγικό σχεδιασμό των προς προώθηση στεγαστικών λύσεων και την αναγκαία στήριξη για τον σκοπό αυτό, ανάλογα με τις τοπικές ανάγκες και ιδιαιτερότητες και την κοινωνικοεδαφική συνοχή.</w:t>
            </w:r>
          </w:p>
        </w:tc>
      </w:tr>
      <w:tr w:rsidR="00154AD2" w14:paraId="4A43709F" w14:textId="77777777">
        <w:trPr>
          <w:trHeight w:val="982"/>
        </w:trPr>
        <w:tc>
          <w:tcPr>
            <w:tcW w:w="1134" w:type="dxa"/>
            <w:shd w:val="clear" w:color="auto" w:fill="C4EFCE"/>
            <w:vAlign w:val="center"/>
          </w:tcPr>
          <w:p w14:paraId="4CC0270E" w14:textId="60006A58" w:rsidR="00154AD2" w:rsidRDefault="007F6BF3">
            <w:pPr>
              <w:pStyle w:val="P68B1DB1-Normal11"/>
              <w:spacing w:after="0" w:line="240" w:lineRule="auto"/>
              <w:jc w:val="center"/>
              <w:rPr>
                <w:rFonts w:eastAsia="Times New Roman" w:cstheme="minorHAnsi"/>
                <w:noProof/>
              </w:rPr>
            </w:pPr>
            <w:r>
              <w:rPr>
                <w:noProof/>
              </w:rPr>
              <w:t>2.30</w:t>
            </w:r>
          </w:p>
        </w:tc>
        <w:tc>
          <w:tcPr>
            <w:tcW w:w="1304" w:type="dxa"/>
            <w:shd w:val="clear" w:color="auto" w:fill="C4EFCE"/>
            <w:vAlign w:val="center"/>
          </w:tcPr>
          <w:p w14:paraId="02A729EB" w14:textId="0AFCA7AF" w:rsidR="00154AD2" w:rsidRDefault="007F6BF3">
            <w:pPr>
              <w:pStyle w:val="P68B1DB1-Normal12"/>
              <w:spacing w:after="0" w:line="240" w:lineRule="auto"/>
              <w:jc w:val="center"/>
              <w:rPr>
                <w:rFonts w:eastAsia="Times New Roman" w:cstheme="minorHAnsi"/>
                <w:noProof/>
              </w:rPr>
            </w:pPr>
            <w:r>
              <w:rPr>
                <w:noProof/>
              </w:rPr>
              <w:t>RE-C02-i07-RAA</w:t>
            </w:r>
          </w:p>
        </w:tc>
        <w:tc>
          <w:tcPr>
            <w:tcW w:w="1077" w:type="dxa"/>
            <w:shd w:val="clear" w:color="auto" w:fill="C4EFCE"/>
            <w:vAlign w:val="center"/>
          </w:tcPr>
          <w:p w14:paraId="61FFCA13" w14:textId="7B8D2070" w:rsidR="00154AD2" w:rsidRDefault="007F6BF3">
            <w:pPr>
              <w:pStyle w:val="P68B1DB1-Normal12"/>
              <w:spacing w:after="0" w:line="240" w:lineRule="auto"/>
              <w:jc w:val="center"/>
              <w:rPr>
                <w:rFonts w:eastAsia="Times New Roman" w:cstheme="minorHAnsi"/>
                <w:noProof/>
              </w:rPr>
            </w:pPr>
            <w:r>
              <w:rPr>
                <w:noProof/>
              </w:rPr>
              <w:t>T</w:t>
            </w:r>
          </w:p>
        </w:tc>
        <w:tc>
          <w:tcPr>
            <w:tcW w:w="2026" w:type="dxa"/>
            <w:shd w:val="clear" w:color="auto" w:fill="C4EFCE"/>
            <w:vAlign w:val="center"/>
          </w:tcPr>
          <w:p w14:paraId="2CF83377" w14:textId="702263B8" w:rsidR="00154AD2" w:rsidRDefault="007F6BF3">
            <w:pPr>
              <w:pStyle w:val="P68B1DB1-Normal12"/>
              <w:spacing w:after="0" w:line="240" w:lineRule="auto"/>
              <w:rPr>
                <w:rFonts w:eastAsia="Times New Roman" w:cstheme="minorHAnsi"/>
                <w:noProof/>
              </w:rPr>
            </w:pPr>
            <w:r>
              <w:rPr>
                <w:noProof/>
              </w:rPr>
              <w:t>Υποδομή αγροτεμαχίων</w:t>
            </w:r>
          </w:p>
        </w:tc>
        <w:tc>
          <w:tcPr>
            <w:tcW w:w="1355" w:type="dxa"/>
            <w:shd w:val="clear" w:color="auto" w:fill="C4EFCE"/>
            <w:vAlign w:val="center"/>
          </w:tcPr>
          <w:p w14:paraId="48DB30AD" w14:textId="77777777" w:rsidR="00154AD2" w:rsidRDefault="00154AD2">
            <w:pPr>
              <w:spacing w:after="0" w:line="240" w:lineRule="auto"/>
              <w:rPr>
                <w:rFonts w:eastAsia="Times New Roman" w:cstheme="minorHAnsi"/>
                <w:noProof/>
                <w:sz w:val="16"/>
              </w:rPr>
            </w:pPr>
          </w:p>
        </w:tc>
        <w:tc>
          <w:tcPr>
            <w:tcW w:w="1021" w:type="dxa"/>
            <w:shd w:val="clear" w:color="auto" w:fill="C4EFCE"/>
            <w:vAlign w:val="center"/>
          </w:tcPr>
          <w:p w14:paraId="1BE72B86" w14:textId="72586D92" w:rsidR="00154AD2" w:rsidRDefault="007F6BF3">
            <w:pPr>
              <w:pStyle w:val="P68B1DB1-Normal12"/>
              <w:spacing w:after="0" w:line="240" w:lineRule="auto"/>
              <w:jc w:val="center"/>
              <w:rPr>
                <w:rFonts w:eastAsia="Times New Roman" w:cstheme="minorHAnsi"/>
                <w:noProof/>
              </w:rPr>
            </w:pPr>
            <w:r>
              <w:rPr>
                <w:noProof/>
              </w:rPr>
              <w:t>Αριθμός</w:t>
            </w:r>
          </w:p>
        </w:tc>
        <w:tc>
          <w:tcPr>
            <w:tcW w:w="1134" w:type="dxa"/>
            <w:shd w:val="clear" w:color="auto" w:fill="C4EFCE"/>
            <w:vAlign w:val="center"/>
          </w:tcPr>
          <w:p w14:paraId="0E7D82E2" w14:textId="45707140" w:rsidR="00154AD2" w:rsidRDefault="007F6BF3">
            <w:pPr>
              <w:pStyle w:val="P68B1DB1-Normal12"/>
              <w:spacing w:after="0" w:line="240" w:lineRule="auto"/>
              <w:jc w:val="center"/>
              <w:rPr>
                <w:rFonts w:eastAsia="Times New Roman" w:cstheme="minorHAnsi"/>
                <w:noProof/>
              </w:rPr>
            </w:pPr>
            <w:r>
              <w:rPr>
                <w:noProof/>
              </w:rPr>
              <w:t>0</w:t>
            </w:r>
          </w:p>
        </w:tc>
        <w:tc>
          <w:tcPr>
            <w:tcW w:w="897" w:type="dxa"/>
            <w:shd w:val="clear" w:color="auto" w:fill="C4EFCE"/>
            <w:vAlign w:val="center"/>
          </w:tcPr>
          <w:p w14:paraId="0012CB5B" w14:textId="05B57DCB" w:rsidR="00154AD2" w:rsidRDefault="007F6BF3">
            <w:pPr>
              <w:pStyle w:val="P68B1DB1-Normal12"/>
              <w:spacing w:after="0" w:line="240" w:lineRule="auto"/>
              <w:jc w:val="center"/>
              <w:rPr>
                <w:rFonts w:eastAsia="Times New Roman" w:cstheme="minorHAnsi"/>
                <w:noProof/>
              </w:rPr>
            </w:pPr>
            <w:r>
              <w:rPr>
                <w:noProof/>
              </w:rPr>
              <w:t>145</w:t>
            </w:r>
          </w:p>
        </w:tc>
        <w:tc>
          <w:tcPr>
            <w:tcW w:w="473" w:type="dxa"/>
            <w:shd w:val="clear" w:color="auto" w:fill="C4EFCE"/>
            <w:vAlign w:val="center"/>
          </w:tcPr>
          <w:p w14:paraId="6C101ED3" w14:textId="1EA78A8C" w:rsidR="00154AD2" w:rsidRDefault="007F6BF3">
            <w:pPr>
              <w:pStyle w:val="P68B1DB1-Normal12"/>
              <w:spacing w:after="0" w:line="240" w:lineRule="auto"/>
              <w:rPr>
                <w:rFonts w:eastAsia="Times New Roman" w:cstheme="minorHAnsi"/>
                <w:noProof/>
              </w:rPr>
            </w:pPr>
            <w:r>
              <w:rPr>
                <w:noProof/>
              </w:rPr>
              <w:t>ΤΡΊΜΗΝΟ 2</w:t>
            </w:r>
          </w:p>
        </w:tc>
        <w:tc>
          <w:tcPr>
            <w:tcW w:w="625" w:type="dxa"/>
            <w:shd w:val="clear" w:color="auto" w:fill="C4EFCE"/>
            <w:vAlign w:val="center"/>
          </w:tcPr>
          <w:p w14:paraId="417B6A68" w14:textId="1C7AE05F" w:rsidR="00154AD2" w:rsidRDefault="007F6BF3">
            <w:pPr>
              <w:pStyle w:val="P68B1DB1-Normal12"/>
              <w:spacing w:after="0" w:line="240" w:lineRule="auto"/>
              <w:rPr>
                <w:rFonts w:eastAsia="Times New Roman" w:cstheme="minorHAnsi"/>
                <w:noProof/>
              </w:rPr>
            </w:pPr>
            <w:r>
              <w:rPr>
                <w:noProof/>
              </w:rPr>
              <w:t>2026</w:t>
            </w:r>
          </w:p>
        </w:tc>
        <w:tc>
          <w:tcPr>
            <w:tcW w:w="4969" w:type="dxa"/>
            <w:shd w:val="clear" w:color="auto" w:fill="C4EFCE"/>
            <w:vAlign w:val="center"/>
          </w:tcPr>
          <w:p w14:paraId="36ADF2AC" w14:textId="5E49F17C" w:rsidR="00154AD2" w:rsidRDefault="007F6BF3">
            <w:pPr>
              <w:pStyle w:val="P68B1DB1-Normal12"/>
              <w:spacing w:after="0" w:line="240" w:lineRule="auto"/>
              <w:jc w:val="both"/>
              <w:rPr>
                <w:rFonts w:eastAsia="Times New Roman" w:cstheme="minorHAnsi"/>
                <w:noProof/>
              </w:rPr>
            </w:pPr>
            <w:r>
              <w:rPr>
                <w:noProof/>
              </w:rPr>
              <w:t>Αριθμός αγροτεμαχίων με υποδομές που δημιουργήθηκαν ή βελτιώθηκαν και κατανεμήθηκαν σε επιλεγμένους υποψηφίους, μετά από διαδικασία επιλογής που καθόρισε τους όρους και τις απαιτήσεις επιλογής. Δίνεται προτεραιότητα στους νέους, όπως ορίζεται στην περιγραφή της επένδυσης.</w:t>
            </w:r>
          </w:p>
        </w:tc>
      </w:tr>
      <w:tr w:rsidR="00154AD2" w14:paraId="01719C1D" w14:textId="77777777">
        <w:trPr>
          <w:trHeight w:val="981"/>
        </w:trPr>
        <w:tc>
          <w:tcPr>
            <w:tcW w:w="1134" w:type="dxa"/>
            <w:shd w:val="clear" w:color="auto" w:fill="C4EFCE"/>
            <w:vAlign w:val="center"/>
          </w:tcPr>
          <w:p w14:paraId="364FFF3B" w14:textId="22B6B22B" w:rsidR="00154AD2" w:rsidRDefault="007F6BF3">
            <w:pPr>
              <w:pStyle w:val="P68B1DB1-Normal11"/>
              <w:spacing w:after="0" w:line="240" w:lineRule="auto"/>
              <w:jc w:val="center"/>
              <w:rPr>
                <w:rFonts w:cstheme="minorHAnsi"/>
                <w:noProof/>
              </w:rPr>
            </w:pPr>
            <w:r>
              <w:rPr>
                <w:noProof/>
              </w:rPr>
              <w:t>2.31</w:t>
            </w:r>
          </w:p>
        </w:tc>
        <w:tc>
          <w:tcPr>
            <w:tcW w:w="1304" w:type="dxa"/>
            <w:shd w:val="clear" w:color="auto" w:fill="C4EFCE"/>
            <w:vAlign w:val="center"/>
          </w:tcPr>
          <w:p w14:paraId="35FF57B8" w14:textId="021904BB" w:rsidR="00154AD2" w:rsidRDefault="007F6BF3">
            <w:pPr>
              <w:pStyle w:val="P68B1DB1-Normal12"/>
              <w:spacing w:after="0" w:line="240" w:lineRule="auto"/>
              <w:jc w:val="center"/>
              <w:rPr>
                <w:rFonts w:cstheme="minorHAnsi"/>
                <w:noProof/>
              </w:rPr>
            </w:pPr>
            <w:r>
              <w:rPr>
                <w:noProof/>
              </w:rPr>
              <w:t>RE-C02-i08-RAA</w:t>
            </w:r>
          </w:p>
        </w:tc>
        <w:tc>
          <w:tcPr>
            <w:tcW w:w="1077" w:type="dxa"/>
            <w:shd w:val="clear" w:color="auto" w:fill="C4EFCE"/>
            <w:vAlign w:val="center"/>
          </w:tcPr>
          <w:p w14:paraId="1FD50D28" w14:textId="3A075D13" w:rsidR="00154AD2" w:rsidRDefault="007F6BF3">
            <w:pPr>
              <w:pStyle w:val="P68B1DB1-Normal12"/>
              <w:spacing w:after="0" w:line="240" w:lineRule="auto"/>
              <w:jc w:val="center"/>
              <w:rPr>
                <w:rFonts w:cstheme="minorHAnsi"/>
                <w:noProof/>
              </w:rPr>
            </w:pPr>
            <w:r>
              <w:rPr>
                <w:noProof/>
              </w:rPr>
              <w:t>T</w:t>
            </w:r>
          </w:p>
        </w:tc>
        <w:tc>
          <w:tcPr>
            <w:tcW w:w="2026" w:type="dxa"/>
            <w:shd w:val="clear" w:color="auto" w:fill="C4EFCE"/>
            <w:vAlign w:val="center"/>
          </w:tcPr>
          <w:p w14:paraId="4B666CCE" w14:textId="478A7D51" w:rsidR="00154AD2" w:rsidRDefault="007F6BF3">
            <w:pPr>
              <w:pStyle w:val="P68B1DB1-Normal12"/>
              <w:spacing w:after="0" w:line="240" w:lineRule="auto"/>
              <w:rPr>
                <w:rFonts w:cstheme="minorHAnsi"/>
                <w:noProof/>
              </w:rPr>
            </w:pPr>
            <w:r>
              <w:rPr>
                <w:noProof/>
              </w:rPr>
              <w:t>Ενίσχυση του αποθέματος κοινωνικών κατοικιών της Αυτόνομης Περιφέρειας των Αζορών — κατασκευασμένες κατοικίες</w:t>
            </w:r>
          </w:p>
        </w:tc>
        <w:tc>
          <w:tcPr>
            <w:tcW w:w="1355" w:type="dxa"/>
            <w:shd w:val="clear" w:color="auto" w:fill="C4EFCE"/>
            <w:vAlign w:val="center"/>
          </w:tcPr>
          <w:p w14:paraId="3368FA4C" w14:textId="77777777" w:rsidR="00154AD2" w:rsidRDefault="00154AD2">
            <w:pPr>
              <w:spacing w:after="0" w:line="240" w:lineRule="auto"/>
              <w:rPr>
                <w:rFonts w:eastAsia="Times New Roman" w:cstheme="minorHAnsi"/>
                <w:noProof/>
                <w:sz w:val="16"/>
              </w:rPr>
            </w:pPr>
          </w:p>
        </w:tc>
        <w:tc>
          <w:tcPr>
            <w:tcW w:w="1021" w:type="dxa"/>
            <w:shd w:val="clear" w:color="auto" w:fill="C4EFCE"/>
            <w:vAlign w:val="center"/>
          </w:tcPr>
          <w:p w14:paraId="5D56F8D2" w14:textId="26F656FB" w:rsidR="00154AD2" w:rsidRDefault="007F6BF3">
            <w:pPr>
              <w:pStyle w:val="P68B1DB1-Normal12"/>
              <w:spacing w:after="0" w:line="240" w:lineRule="auto"/>
              <w:jc w:val="center"/>
              <w:rPr>
                <w:rFonts w:cstheme="minorHAnsi"/>
                <w:noProof/>
              </w:rPr>
            </w:pPr>
            <w:r>
              <w:rPr>
                <w:noProof/>
              </w:rPr>
              <w:t>Αριθμός</w:t>
            </w:r>
          </w:p>
        </w:tc>
        <w:tc>
          <w:tcPr>
            <w:tcW w:w="1134" w:type="dxa"/>
            <w:shd w:val="clear" w:color="auto" w:fill="C4EFCE"/>
            <w:vAlign w:val="center"/>
          </w:tcPr>
          <w:p w14:paraId="6C946781" w14:textId="5373AAC2" w:rsidR="00154AD2" w:rsidRDefault="007F6BF3">
            <w:pPr>
              <w:pStyle w:val="P68B1DB1-Normal12"/>
              <w:spacing w:after="0" w:line="240" w:lineRule="auto"/>
              <w:jc w:val="center"/>
              <w:rPr>
                <w:rFonts w:cstheme="minorHAnsi"/>
                <w:noProof/>
              </w:rPr>
            </w:pPr>
            <w:r>
              <w:rPr>
                <w:noProof/>
              </w:rPr>
              <w:t>0</w:t>
            </w:r>
          </w:p>
        </w:tc>
        <w:tc>
          <w:tcPr>
            <w:tcW w:w="897" w:type="dxa"/>
            <w:shd w:val="clear" w:color="auto" w:fill="C4EFCE"/>
            <w:vAlign w:val="center"/>
          </w:tcPr>
          <w:p w14:paraId="1453AA31" w14:textId="176AAA92" w:rsidR="00154AD2" w:rsidRDefault="007F6BF3">
            <w:pPr>
              <w:pStyle w:val="P68B1DB1-Normal12"/>
              <w:spacing w:after="0" w:line="240" w:lineRule="auto"/>
              <w:jc w:val="center"/>
              <w:rPr>
                <w:rFonts w:cstheme="minorHAnsi"/>
                <w:noProof/>
              </w:rPr>
            </w:pPr>
            <w:r>
              <w:rPr>
                <w:noProof/>
              </w:rPr>
              <w:t>126</w:t>
            </w:r>
          </w:p>
        </w:tc>
        <w:tc>
          <w:tcPr>
            <w:tcW w:w="473" w:type="dxa"/>
            <w:shd w:val="clear" w:color="auto" w:fill="C4EFCE"/>
            <w:vAlign w:val="center"/>
          </w:tcPr>
          <w:p w14:paraId="68B4C3AF" w14:textId="721E7190" w:rsidR="00154AD2" w:rsidRDefault="007F6BF3">
            <w:pPr>
              <w:pStyle w:val="P68B1DB1-Normal12"/>
              <w:spacing w:after="0" w:line="240" w:lineRule="auto"/>
              <w:rPr>
                <w:rFonts w:cstheme="minorHAnsi"/>
                <w:noProof/>
              </w:rPr>
            </w:pPr>
            <w:r>
              <w:rPr>
                <w:noProof/>
              </w:rPr>
              <w:t>ΤΡΊΜΗΝΟ 4</w:t>
            </w:r>
          </w:p>
        </w:tc>
        <w:tc>
          <w:tcPr>
            <w:tcW w:w="625" w:type="dxa"/>
            <w:shd w:val="clear" w:color="auto" w:fill="C4EFCE"/>
            <w:vAlign w:val="center"/>
          </w:tcPr>
          <w:p w14:paraId="79C3FF04" w14:textId="14F788F1" w:rsidR="00154AD2" w:rsidRDefault="007F6BF3">
            <w:pPr>
              <w:pStyle w:val="P68B1DB1-Normal12"/>
              <w:spacing w:after="0" w:line="240" w:lineRule="auto"/>
              <w:rPr>
                <w:rFonts w:cstheme="minorHAnsi"/>
                <w:noProof/>
              </w:rPr>
            </w:pPr>
            <w:r>
              <w:rPr>
                <w:noProof/>
              </w:rPr>
              <w:t>2025</w:t>
            </w:r>
          </w:p>
        </w:tc>
        <w:tc>
          <w:tcPr>
            <w:tcW w:w="4969" w:type="dxa"/>
            <w:shd w:val="clear" w:color="auto" w:fill="C4EFCE"/>
            <w:vAlign w:val="center"/>
          </w:tcPr>
          <w:p w14:paraId="6F1B329D" w14:textId="70FC1EBF" w:rsidR="00154AD2" w:rsidRDefault="007F6BF3">
            <w:pPr>
              <w:pStyle w:val="P68B1DB1-Normal12"/>
              <w:spacing w:after="0" w:line="240" w:lineRule="auto"/>
              <w:jc w:val="both"/>
              <w:rPr>
                <w:rFonts w:cstheme="minorHAnsi"/>
                <w:noProof/>
              </w:rPr>
            </w:pPr>
            <w:r>
              <w:rPr>
                <w:noProof/>
              </w:rPr>
              <w:t xml:space="preserve">Αριθμός κατασκευασμένων κατοικιών που ολοκληρώθηκαν. Τα νέα κτίρια έχουν ζήτηση πρωτογενούς ενέργειας τουλάχιστον 20 % χαμηλότερη από τις απαιτήσεις των κτιρίων με σχεδόν μηδενική κατανάλωση ενέργειας. Το μέσο μέγεθος των κατοικιών είναι περίπου 101 τετραγωνικά μέτρα. </w:t>
            </w:r>
          </w:p>
        </w:tc>
      </w:tr>
    </w:tbl>
    <w:p w14:paraId="4EA37B94" w14:textId="77777777" w:rsidR="00154AD2" w:rsidRDefault="00154AD2">
      <w:pPr>
        <w:spacing w:before="40" w:after="0" w:line="259" w:lineRule="auto"/>
        <w:jc w:val="both"/>
        <w:rPr>
          <w:rFonts w:ascii="Times New Roman" w:eastAsiaTheme="minorEastAsia" w:hAnsi="Times New Roman" w:cs="Times New Roman"/>
          <w:b/>
          <w:noProof/>
          <w:sz w:val="24"/>
        </w:rPr>
      </w:pPr>
    </w:p>
    <w:p w14:paraId="5E20B4D8" w14:textId="77777777" w:rsidR="00154AD2" w:rsidRDefault="00154AD2">
      <w:pPr>
        <w:spacing w:before="40" w:after="0" w:line="259" w:lineRule="auto"/>
        <w:jc w:val="both"/>
        <w:rPr>
          <w:rFonts w:ascii="Times New Roman" w:eastAsiaTheme="minorEastAsia" w:hAnsi="Times New Roman" w:cs="Times New Roman"/>
          <w:b/>
          <w:noProof/>
          <w:sz w:val="24"/>
        </w:rPr>
      </w:pPr>
    </w:p>
    <w:p w14:paraId="097E5357" w14:textId="77777777" w:rsidR="00154AD2" w:rsidRDefault="00154AD2">
      <w:pPr>
        <w:spacing w:before="40" w:after="0" w:line="259" w:lineRule="auto"/>
        <w:jc w:val="both"/>
        <w:rPr>
          <w:rFonts w:ascii="Times New Roman" w:eastAsiaTheme="minorEastAsia" w:hAnsi="Times New Roman" w:cs="Times New Roman"/>
          <w:b/>
          <w:noProof/>
          <w:sz w:val="24"/>
        </w:rPr>
      </w:pPr>
    </w:p>
    <w:p w14:paraId="4E113063" w14:textId="77777777" w:rsidR="00154AD2" w:rsidRDefault="00154AD2">
      <w:pPr>
        <w:spacing w:before="40" w:after="0" w:line="259" w:lineRule="auto"/>
        <w:jc w:val="both"/>
        <w:rPr>
          <w:rFonts w:ascii="Times New Roman" w:eastAsiaTheme="minorEastAsia" w:hAnsi="Times New Roman" w:cs="Times New Roman"/>
          <w:b/>
          <w:noProof/>
          <w:sz w:val="24"/>
        </w:rPr>
        <w:sectPr w:rsidR="00154AD2" w:rsidSect="00E00EDD">
          <w:headerReference w:type="even" r:id="rId54"/>
          <w:headerReference w:type="default" r:id="rId55"/>
          <w:footerReference w:type="even" r:id="rId56"/>
          <w:footerReference w:type="default" r:id="rId57"/>
          <w:headerReference w:type="first" r:id="rId58"/>
          <w:footerReference w:type="first" r:id="rId59"/>
          <w:pgSz w:w="16839" w:h="11907" w:orient="landscape"/>
          <w:pgMar w:top="1134" w:right="1134" w:bottom="1134" w:left="1134" w:header="567" w:footer="567" w:gutter="0"/>
          <w:cols w:space="720"/>
          <w:docGrid w:linePitch="360"/>
        </w:sectPr>
      </w:pPr>
    </w:p>
    <w:p w14:paraId="047A1851" w14:textId="77777777" w:rsidR="00154AD2" w:rsidRDefault="00154AD2">
      <w:pPr>
        <w:spacing w:before="40" w:after="0" w:line="259" w:lineRule="auto"/>
        <w:jc w:val="both"/>
        <w:rPr>
          <w:rFonts w:ascii="Times New Roman" w:eastAsiaTheme="minorEastAsia" w:hAnsi="Times New Roman" w:cs="Times New Roman"/>
          <w:noProof/>
          <w:sz w:val="24"/>
        </w:rPr>
      </w:pPr>
    </w:p>
    <w:p w14:paraId="5B038070" w14:textId="77777777" w:rsidR="00154AD2" w:rsidRDefault="007F6BF3">
      <w:pPr>
        <w:pStyle w:val="P68B1DB1-Normal3"/>
        <w:spacing w:before="40" w:after="0" w:line="259" w:lineRule="auto"/>
        <w:ind w:left="130" w:firstLine="720"/>
        <w:jc w:val="both"/>
        <w:outlineLvl w:val="2"/>
        <w:rPr>
          <w:rFonts w:eastAsiaTheme="minorEastAsia" w:cs="Times New Roman"/>
          <w:noProof/>
        </w:rPr>
      </w:pPr>
      <w:r>
        <w:rPr>
          <w:noProof/>
        </w:rPr>
        <w:t>Β.3 Περιγραφή των μεταρρυθμίσεων και των επενδύσεων που συνδέονται με τη λήψη δανείου</w:t>
      </w:r>
    </w:p>
    <w:p w14:paraId="30633E8D" w14:textId="77777777" w:rsidR="00154AD2" w:rsidRDefault="007F6BF3">
      <w:pPr>
        <w:pStyle w:val="P68B1DB1-Normal5"/>
        <w:spacing w:before="240" w:after="0" w:line="259" w:lineRule="auto"/>
        <w:ind w:left="851"/>
        <w:jc w:val="both"/>
        <w:outlineLvl w:val="3"/>
        <w:rPr>
          <w:rFonts w:eastAsiaTheme="minorEastAsia" w:cs="Times New Roman"/>
          <w:b/>
          <w:noProof/>
        </w:rPr>
      </w:pPr>
      <w:r>
        <w:rPr>
          <w:noProof/>
        </w:rPr>
        <w:t>Επένδυση RE-C02-i05: Απόθεμα οικονομικά προσιτών δημόσιων κατοικιών</w:t>
      </w:r>
    </w:p>
    <w:p w14:paraId="6A637658" w14:textId="77777777" w:rsidR="00154AD2" w:rsidRDefault="007F6BF3">
      <w:pPr>
        <w:pStyle w:val="P68B1DB1-Normal4"/>
        <w:keepNext/>
        <w:spacing w:before="40" w:after="0" w:line="259" w:lineRule="auto"/>
        <w:jc w:val="both"/>
        <w:rPr>
          <w:rFonts w:eastAsia="Times New Roman" w:cs="Times New Roman"/>
          <w:noProof/>
        </w:rPr>
      </w:pPr>
      <w:r>
        <w:rPr>
          <w:noProof/>
        </w:rPr>
        <w:t xml:space="preserve">Στόχος της επένδυσης είναι να ανταποκριθεί στην τρέχουσα δυναμική των τιμών των κατοικιών σε σχέση με τα επίπεδα εισοδήματος των πορτογαλικών νοικοκυριών, ιδίως σε μεγάλα αστικά περιβάλλοντα, παρέχοντας ένα δημόσιο απόθεμα κατοικιών που μπορούν να ενοικιαστούν σε προσιτές τιμές για συγκεκριμένες ομάδες-στόχους. </w:t>
      </w:r>
    </w:p>
    <w:p w14:paraId="04C006FB" w14:textId="77777777" w:rsidR="00154AD2" w:rsidRDefault="007F6BF3">
      <w:pPr>
        <w:pStyle w:val="P68B1DB1-Normal4"/>
        <w:keepNext/>
        <w:spacing w:before="40" w:after="0" w:line="259" w:lineRule="auto"/>
        <w:jc w:val="both"/>
        <w:rPr>
          <w:rFonts w:eastAsia="Times New Roman" w:cs="Times New Roman"/>
          <w:noProof/>
        </w:rPr>
      </w:pPr>
      <w:r>
        <w:rPr>
          <w:noProof/>
        </w:rPr>
        <w:t xml:space="preserve">Η επένδυση συνίσταται στην κατασκευή, συμπεριλαμβανομένης της αγοράς, νέων κτιρίων και την αποκατάσταση δημόσιων κατοικιών για την παροχή 6 800 κατοικιών και την επακόλουθη ενοικίαση σε προσιτές τιμές για τις προσδιορισμένες ομάδες-στόχους. </w:t>
      </w:r>
    </w:p>
    <w:p w14:paraId="55D88C12" w14:textId="77777777" w:rsidR="00154AD2" w:rsidRDefault="007F6BF3">
      <w:pPr>
        <w:pStyle w:val="P68B1DB1-Normal4"/>
        <w:keepNext/>
        <w:spacing w:before="40" w:after="0" w:line="259" w:lineRule="auto"/>
        <w:jc w:val="both"/>
        <w:rPr>
          <w:rFonts w:eastAsiaTheme="minorEastAsia" w:cs="Times New Roman"/>
          <w:noProof/>
        </w:rPr>
      </w:pPr>
      <w:r>
        <w:rPr>
          <w:noProof/>
        </w:rPr>
        <w:t>Η υλοποίηση της επένδυσης θα ολοκληρωθεί έως τις 30 Ιουνίου 2026.</w:t>
      </w:r>
    </w:p>
    <w:p w14:paraId="6F8273EA" w14:textId="77777777" w:rsidR="00154AD2" w:rsidRDefault="007F6BF3">
      <w:pPr>
        <w:pStyle w:val="P68B1DB1-Normal5"/>
        <w:spacing w:before="240" w:after="0" w:line="259" w:lineRule="auto"/>
        <w:ind w:left="851"/>
        <w:jc w:val="both"/>
        <w:outlineLvl w:val="3"/>
        <w:rPr>
          <w:rFonts w:eastAsiaTheme="minorEastAsia" w:cs="Times New Roman"/>
          <w:noProof/>
        </w:rPr>
      </w:pPr>
      <w:r>
        <w:rPr>
          <w:noProof/>
        </w:rPr>
        <w:t>Επένδυση RE-C02-i06: Φοιτητικά καταλύματα σε προσιτές τιμές</w:t>
      </w:r>
    </w:p>
    <w:p w14:paraId="7AA5CEFE"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Στόχος αυτής της επένδυσης είναι να αυξηθεί η παροχή οικονομικά προσιτών φοιτητικών καταλυμάτων σε εθνικό επίπεδο, καθώς αυτό παραμένει ένα από τα μεγαλύτερα εμπόδια στην πρόσβαση στην τριτοβάθμια εκπαίδευση. Τα καταλύματα αυτά συμβάλλουν στη μείωση του άμεσου κόστους των σπουδαστών και των οικογενειών τους, με ιδιαίτερη έμφαση στους πλέον ευάλωτους από κοινωνική και οικονομική άποψη σπουδαστές. Η υφιστάμενη προσφορά στηρίζει μόνο ένα μικρό ποσοστό (περίπου 10 %) των σπουδαστών που έχουν ανάγκη στέγασης, στο πλαίσιο της σημαντικής αύξησης του κόστους στέγασης, ιδίως στα μεγαλύτερα αστικά κέντρα, όπου συγκεντρώνονται τα ιδρύματα τριτοβάθμιας εκπαίδευσης. </w:t>
      </w:r>
    </w:p>
    <w:p w14:paraId="4602D132" w14:textId="51E322E5" w:rsidR="00154AD2" w:rsidRDefault="007F6BF3">
      <w:pPr>
        <w:pStyle w:val="P68B1DB1-Normal4"/>
        <w:keepNext/>
        <w:spacing w:before="40" w:after="0" w:line="259" w:lineRule="auto"/>
        <w:jc w:val="both"/>
        <w:rPr>
          <w:rFonts w:eastAsiaTheme="minorEastAsia" w:cs="Times New Roman"/>
          <w:noProof/>
        </w:rPr>
      </w:pPr>
      <w:r>
        <w:rPr>
          <w:noProof/>
        </w:rPr>
        <w:t>Η επένδυση συνίσταται στην παροχή 18 000 νέων και ανακαινισμένων κλινών μέσω της κατασκευής νέων κτιρίων, της αποκατάστασης υφιστάμενων κτιρίων και του εκσυγχρονισμού και επέκτασης των υφιστάμενων μονάδων φοιτητικής φιλοξενίας για χρήση κατά προτεραιότητα από τους σπουδαστές. Επιπλέον, και μόνο μετά την κάλυψη των αναγκών των σπουδαστών, μπορούν επίσης να διατίθενται κλίνες σε ερευνητές, εκπαιδευτικούς και μη διδακτικό προσωπικό ιδρυμάτων τριτοβάθμιας εκπαίδευσης, ιδίως στο πλαίσιο της εθνικής ή διεθνούς κινητικότητας, μεταξύ άλλων στο πλαίσιο του ERASMUS +, δικτύων «ευρωπαϊκών πανεπιστημίων» και άλλων διεθνών συμφωνιών κινητικότητας με το πορτογαλικό κράτος.</w:t>
      </w:r>
    </w:p>
    <w:p w14:paraId="75204CCB" w14:textId="77777777" w:rsidR="00154AD2" w:rsidRDefault="007F6BF3">
      <w:pPr>
        <w:pStyle w:val="P68B1DB1-Normal4"/>
        <w:keepNext/>
        <w:spacing w:before="40" w:after="0" w:line="259" w:lineRule="auto"/>
        <w:jc w:val="both"/>
        <w:rPr>
          <w:rFonts w:eastAsia="Times New Roman" w:cs="Times New Roman"/>
          <w:noProof/>
        </w:rPr>
      </w:pPr>
      <w:r>
        <w:rPr>
          <w:noProof/>
        </w:rPr>
        <w:t xml:space="preserve">Η υλοποίηση της επένδυσης θα ολοκληρωθεί έως τις 31 Μαρτίου 2026. </w:t>
      </w:r>
    </w:p>
    <w:p w14:paraId="1558FB4C" w14:textId="1B1EAE65" w:rsidR="00154AD2" w:rsidRDefault="007F6BF3">
      <w:pPr>
        <w:pStyle w:val="P68B1DB1-Normal5"/>
        <w:spacing w:before="240" w:after="0" w:line="259" w:lineRule="auto"/>
        <w:ind w:left="851"/>
        <w:jc w:val="both"/>
        <w:outlineLvl w:val="3"/>
        <w:rPr>
          <w:rFonts w:eastAsiaTheme="minorEastAsia" w:cs="Times New Roman"/>
          <w:noProof/>
        </w:rPr>
      </w:pPr>
      <w:bookmarkStart w:id="4" w:name="_Hlk143873116"/>
      <w:r>
        <w:rPr>
          <w:noProof/>
        </w:rPr>
        <w:t>Επένδυση RE-C02-i09: Κλιμακούμενο μέτρο: Πρόγραμμα στήριξης της πρόσβασης στη στέγαση (δάνειο)</w:t>
      </w:r>
    </w:p>
    <w:p w14:paraId="11AD560D" w14:textId="5F5C3FC8" w:rsidR="00154AD2" w:rsidRDefault="007F6BF3">
      <w:pPr>
        <w:pStyle w:val="P68B1DB1-Normal4"/>
        <w:keepNext/>
        <w:spacing w:before="40" w:after="0" w:line="259" w:lineRule="auto"/>
        <w:jc w:val="both"/>
        <w:rPr>
          <w:rFonts w:eastAsiaTheme="minorEastAsia" w:cs="Times New Roman"/>
          <w:noProof/>
        </w:rPr>
      </w:pPr>
      <w:r>
        <w:rPr>
          <w:noProof/>
        </w:rPr>
        <w:t>Στόχος της επένδυσης είναι η κλιμάκωση των επενδύσεων RE-C02-i01: Πρόγραμμα στήριξης για την πρόσβαση στη στέγαση, στο πλαίσιο της συνιστώσας 2. Το κλιμακούμενο μέρος του μέτρου αυξάνει τον αριθμό των κατοικιών που παρέχονται στα νοικοκυριά.</w:t>
      </w:r>
    </w:p>
    <w:p w14:paraId="41CADB9F" w14:textId="77777777" w:rsidR="00154AD2" w:rsidRDefault="007F6BF3">
      <w:pPr>
        <w:pStyle w:val="P68B1DB1-Normal4"/>
        <w:keepNext/>
        <w:spacing w:before="40" w:after="0" w:line="259" w:lineRule="auto"/>
        <w:jc w:val="both"/>
        <w:rPr>
          <w:rFonts w:eastAsiaTheme="minorEastAsia" w:cs="Times New Roman"/>
          <w:noProof/>
        </w:rPr>
      </w:pPr>
      <w:r>
        <w:rPr>
          <w:noProof/>
        </w:rPr>
        <w:t>Η υλοποίηση της επένδυσης θα ολοκληρωθεί έως τις 30 Ιουνίου 2026.</w:t>
      </w:r>
    </w:p>
    <w:bookmarkEnd w:id="4"/>
    <w:p w14:paraId="3A847D52" w14:textId="77777777" w:rsidR="00154AD2" w:rsidRDefault="00154AD2">
      <w:pPr>
        <w:keepNext/>
        <w:spacing w:before="40" w:after="0" w:line="259" w:lineRule="auto"/>
        <w:jc w:val="both"/>
        <w:rPr>
          <w:rFonts w:ascii="Times New Roman" w:eastAsia="Times New Roman" w:hAnsi="Times New Roman" w:cs="Times New Roman"/>
          <w:noProof/>
          <w:sz w:val="24"/>
        </w:rPr>
      </w:pPr>
    </w:p>
    <w:p w14:paraId="0CBADF13" w14:textId="77777777" w:rsidR="00154AD2" w:rsidRDefault="00154AD2">
      <w:pPr>
        <w:spacing w:before="40" w:after="0" w:line="259" w:lineRule="auto"/>
        <w:ind w:left="130" w:firstLine="720"/>
        <w:jc w:val="both"/>
        <w:outlineLvl w:val="2"/>
        <w:rPr>
          <w:rFonts w:ascii="Times New Roman" w:eastAsiaTheme="minorEastAsia" w:hAnsi="Times New Roman" w:cs="Times New Roman"/>
          <w:b/>
          <w:noProof/>
          <w:sz w:val="24"/>
          <w:u w:val="single"/>
        </w:rPr>
        <w:sectPr w:rsidR="00154AD2" w:rsidSect="00E00EDD">
          <w:headerReference w:type="even" r:id="rId60"/>
          <w:headerReference w:type="default" r:id="rId61"/>
          <w:footerReference w:type="even" r:id="rId62"/>
          <w:footerReference w:type="default" r:id="rId63"/>
          <w:headerReference w:type="first" r:id="rId64"/>
          <w:footerReference w:type="first" r:id="rId65"/>
          <w:pgSz w:w="11907" w:h="16839"/>
          <w:pgMar w:top="1134" w:right="1134" w:bottom="1134" w:left="1134" w:header="567" w:footer="567" w:gutter="0"/>
          <w:cols w:space="720"/>
          <w:docGrid w:linePitch="360"/>
        </w:sectPr>
      </w:pPr>
    </w:p>
    <w:p w14:paraId="780C899B" w14:textId="77777777" w:rsidR="00154AD2" w:rsidRDefault="007F6BF3">
      <w:pPr>
        <w:spacing w:before="40" w:after="0" w:line="259" w:lineRule="auto"/>
        <w:ind w:left="130" w:firstLine="720"/>
        <w:jc w:val="both"/>
        <w:outlineLvl w:val="2"/>
        <w:rPr>
          <w:rFonts w:ascii="Times New Roman" w:eastAsiaTheme="minorEastAsia" w:hAnsi="Times New Roman" w:cs="Times New Roman"/>
          <w:b/>
          <w:noProof/>
          <w:sz w:val="24"/>
          <w:u w:val="single"/>
        </w:rPr>
      </w:pPr>
      <w:r>
        <w:rPr>
          <w:rFonts w:ascii="Times New Roman" w:hAnsi="Times New Roman"/>
          <w:b/>
          <w:noProof/>
          <w:sz w:val="24"/>
          <w:u w:val="single"/>
        </w:rPr>
        <w:t xml:space="preserve">Β.4 </w:t>
      </w:r>
      <w:r>
        <w:rPr>
          <w:noProof/>
        </w:rPr>
        <w:tab/>
      </w:r>
      <w:r>
        <w:rPr>
          <w:rFonts w:ascii="Times New Roman" w:hAnsi="Times New Roman"/>
          <w:b/>
          <w:noProof/>
          <w:sz w:val="24"/>
          <w:u w:val="single"/>
        </w:rPr>
        <w:t>Ορόσημα, στόχοι, δείκτες και χρονοδιάγραμμα για την παρακολούθηση και την υλοποίηση του δανείου</w:t>
      </w:r>
    </w:p>
    <w:p w14:paraId="1407F7DF" w14:textId="77777777" w:rsidR="00154AD2" w:rsidRDefault="00154AD2">
      <w:pPr>
        <w:spacing w:before="40" w:after="0" w:line="259" w:lineRule="auto"/>
        <w:jc w:val="both"/>
        <w:rPr>
          <w:rFonts w:ascii="Times New Roman" w:eastAsiaTheme="minorEastAsia" w:hAnsi="Times New Roman" w:cs="Times New Roman"/>
          <w:noProof/>
          <w:sz w:val="24"/>
        </w:rPr>
      </w:pPr>
    </w:p>
    <w:tbl>
      <w:tblPr>
        <w:tblW w:w="149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1259"/>
        <w:gridCol w:w="1119"/>
        <w:gridCol w:w="1677"/>
        <w:gridCol w:w="1258"/>
        <w:gridCol w:w="981"/>
        <w:gridCol w:w="980"/>
        <w:gridCol w:w="701"/>
        <w:gridCol w:w="561"/>
        <w:gridCol w:w="700"/>
        <w:gridCol w:w="4606"/>
      </w:tblGrid>
      <w:tr w:rsidR="00154AD2" w14:paraId="4C665869" w14:textId="77777777">
        <w:trPr>
          <w:trHeight w:val="910"/>
          <w:tblHeader/>
        </w:trPr>
        <w:tc>
          <w:tcPr>
            <w:tcW w:w="1121" w:type="dxa"/>
            <w:vMerge w:val="restart"/>
            <w:shd w:val="clear" w:color="auto" w:fill="BDD6EE"/>
            <w:vAlign w:val="center"/>
            <w:hideMark/>
          </w:tcPr>
          <w:p w14:paraId="10BCE388" w14:textId="77777777" w:rsidR="00154AD2" w:rsidRDefault="007F6BF3">
            <w:pPr>
              <w:pStyle w:val="P68B1DB1-Normal6"/>
              <w:spacing w:after="0" w:line="240" w:lineRule="auto"/>
              <w:jc w:val="center"/>
              <w:rPr>
                <w:rFonts w:eastAsia="Times New Roman" w:cs="Times New Roman"/>
                <w:noProof/>
              </w:rPr>
            </w:pPr>
            <w:r>
              <w:rPr>
                <w:noProof/>
              </w:rPr>
              <w:t>Αύξων αριθμός</w:t>
            </w:r>
          </w:p>
        </w:tc>
        <w:tc>
          <w:tcPr>
            <w:tcW w:w="1259" w:type="dxa"/>
            <w:vMerge w:val="restart"/>
            <w:shd w:val="clear" w:color="auto" w:fill="BDD6EE"/>
            <w:vAlign w:val="center"/>
            <w:hideMark/>
          </w:tcPr>
          <w:p w14:paraId="397190C1" w14:textId="77777777" w:rsidR="00154AD2" w:rsidRDefault="007F6BF3">
            <w:pPr>
              <w:pStyle w:val="P68B1DB1-Normal6"/>
              <w:spacing w:after="0" w:line="240" w:lineRule="auto"/>
              <w:jc w:val="center"/>
              <w:rPr>
                <w:rFonts w:eastAsia="Times New Roman" w:cs="Times New Roman"/>
                <w:noProof/>
              </w:rPr>
            </w:pPr>
            <w:r>
              <w:rPr>
                <w:noProof/>
              </w:rPr>
              <w:t>Μέτρο (Μεταρρύθμιση ή Επενδύσεις)</w:t>
            </w:r>
          </w:p>
        </w:tc>
        <w:tc>
          <w:tcPr>
            <w:tcW w:w="1119" w:type="dxa"/>
            <w:vMerge w:val="restart"/>
            <w:shd w:val="clear" w:color="auto" w:fill="BDD6EE"/>
            <w:vAlign w:val="center"/>
            <w:hideMark/>
          </w:tcPr>
          <w:p w14:paraId="42500290" w14:textId="77777777" w:rsidR="00154AD2" w:rsidRDefault="007F6BF3">
            <w:pPr>
              <w:pStyle w:val="P68B1DB1-Normal6"/>
              <w:spacing w:after="0" w:line="240" w:lineRule="auto"/>
              <w:jc w:val="center"/>
              <w:rPr>
                <w:rFonts w:eastAsia="Times New Roman" w:cs="Times New Roman"/>
                <w:noProof/>
              </w:rPr>
            </w:pPr>
            <w:r>
              <w:rPr>
                <w:noProof/>
              </w:rPr>
              <w:t>Milestone/</w:t>
            </w:r>
          </w:p>
          <w:p w14:paraId="54CB065E" w14:textId="127F2F46" w:rsidR="00154AD2" w:rsidRDefault="007F6BF3">
            <w:pPr>
              <w:pStyle w:val="P68B1DB1-Normal6"/>
              <w:spacing w:after="0" w:line="240" w:lineRule="auto"/>
              <w:jc w:val="center"/>
              <w:rPr>
                <w:rFonts w:eastAsia="Times New Roman" w:cs="Times New Roman"/>
                <w:noProof/>
              </w:rPr>
            </w:pPr>
            <w:r>
              <w:rPr>
                <w:noProof/>
              </w:rPr>
              <w:t>Στόχος</w:t>
            </w:r>
          </w:p>
        </w:tc>
        <w:tc>
          <w:tcPr>
            <w:tcW w:w="1677" w:type="dxa"/>
            <w:vMerge w:val="restart"/>
            <w:shd w:val="clear" w:color="auto" w:fill="BDD6EE"/>
            <w:vAlign w:val="center"/>
            <w:hideMark/>
          </w:tcPr>
          <w:p w14:paraId="0BC01E37" w14:textId="77777777" w:rsidR="00154AD2" w:rsidRDefault="007F6BF3">
            <w:pPr>
              <w:pStyle w:val="P68B1DB1-Normal6"/>
              <w:spacing w:after="0" w:line="240" w:lineRule="auto"/>
              <w:jc w:val="center"/>
              <w:rPr>
                <w:rFonts w:eastAsia="Times New Roman" w:cs="Times New Roman"/>
                <w:noProof/>
              </w:rPr>
            </w:pPr>
            <w:r>
              <w:rPr>
                <w:noProof/>
              </w:rPr>
              <w:t>Όνομα</w:t>
            </w:r>
          </w:p>
        </w:tc>
        <w:tc>
          <w:tcPr>
            <w:tcW w:w="1258" w:type="dxa"/>
            <w:vMerge w:val="restart"/>
            <w:shd w:val="clear" w:color="auto" w:fill="BDD6EE"/>
            <w:vAlign w:val="center"/>
            <w:hideMark/>
          </w:tcPr>
          <w:p w14:paraId="6453E431" w14:textId="77777777" w:rsidR="00154AD2" w:rsidRDefault="007F6BF3">
            <w:pPr>
              <w:pStyle w:val="P68B1DB1-Normal6"/>
              <w:spacing w:after="0" w:line="240" w:lineRule="auto"/>
              <w:jc w:val="center"/>
              <w:rPr>
                <w:rFonts w:eastAsia="Times New Roman" w:cs="Times New Roman"/>
                <w:noProof/>
              </w:rPr>
            </w:pPr>
            <w:r>
              <w:rPr>
                <w:noProof/>
              </w:rPr>
              <w:t>Ποιοτικοί δείκτες (για τα ορόσημα)</w:t>
            </w:r>
          </w:p>
        </w:tc>
        <w:tc>
          <w:tcPr>
            <w:tcW w:w="2662" w:type="dxa"/>
            <w:gridSpan w:val="3"/>
            <w:shd w:val="clear" w:color="auto" w:fill="BDD6EE"/>
            <w:vAlign w:val="center"/>
            <w:hideMark/>
          </w:tcPr>
          <w:p w14:paraId="01661F32" w14:textId="77777777" w:rsidR="00154AD2" w:rsidRDefault="007F6BF3">
            <w:pPr>
              <w:pStyle w:val="P68B1DB1-Normal6"/>
              <w:spacing w:after="0" w:line="240" w:lineRule="auto"/>
              <w:jc w:val="center"/>
              <w:rPr>
                <w:rFonts w:eastAsia="Times New Roman" w:cs="Times New Roman"/>
                <w:noProof/>
              </w:rPr>
            </w:pPr>
            <w:r>
              <w:rPr>
                <w:noProof/>
              </w:rPr>
              <w:t>Ποσοτικοί δείκτες (για τους στόχους)</w:t>
            </w:r>
          </w:p>
        </w:tc>
        <w:tc>
          <w:tcPr>
            <w:tcW w:w="1261" w:type="dxa"/>
            <w:gridSpan w:val="2"/>
            <w:shd w:val="clear" w:color="auto" w:fill="BDD6EE"/>
            <w:vAlign w:val="center"/>
            <w:hideMark/>
          </w:tcPr>
          <w:p w14:paraId="45C76A26" w14:textId="77777777" w:rsidR="00154AD2" w:rsidRDefault="007F6BF3">
            <w:pPr>
              <w:pStyle w:val="P68B1DB1-Normal6"/>
              <w:spacing w:after="0" w:line="240" w:lineRule="auto"/>
              <w:jc w:val="center"/>
              <w:rPr>
                <w:rFonts w:eastAsia="Times New Roman" w:cs="Times New Roman"/>
                <w:noProof/>
              </w:rPr>
            </w:pPr>
            <w:r>
              <w:rPr>
                <w:noProof/>
              </w:rPr>
              <w:t>Ενδεικτικό χρονοδιάγραμμα ολοκλήρωσης</w:t>
            </w:r>
          </w:p>
        </w:tc>
        <w:tc>
          <w:tcPr>
            <w:tcW w:w="4606" w:type="dxa"/>
            <w:vMerge w:val="restart"/>
            <w:shd w:val="clear" w:color="auto" w:fill="BDD6EE"/>
            <w:noWrap/>
            <w:vAlign w:val="center"/>
            <w:hideMark/>
          </w:tcPr>
          <w:p w14:paraId="0E401B5C" w14:textId="77777777" w:rsidR="00154AD2" w:rsidRDefault="007F6BF3">
            <w:pPr>
              <w:pStyle w:val="P68B1DB1-Normal6"/>
              <w:spacing w:after="0" w:line="240" w:lineRule="auto"/>
              <w:jc w:val="center"/>
              <w:rPr>
                <w:rFonts w:eastAsia="Times New Roman" w:cs="Times New Roman"/>
                <w:noProof/>
              </w:rPr>
            </w:pPr>
            <w:r>
              <w:rPr>
                <w:noProof/>
              </w:rPr>
              <w:t>Περιγραφή και σαφής ορισμός κάθε ορόσημου και στόχου</w:t>
            </w:r>
          </w:p>
        </w:tc>
      </w:tr>
      <w:tr w:rsidR="00154AD2" w14:paraId="5F9D413E" w14:textId="77777777">
        <w:trPr>
          <w:trHeight w:val="470"/>
          <w:tblHeader/>
        </w:trPr>
        <w:tc>
          <w:tcPr>
            <w:tcW w:w="1121" w:type="dxa"/>
            <w:vMerge/>
            <w:vAlign w:val="center"/>
            <w:hideMark/>
          </w:tcPr>
          <w:p w14:paraId="0D5A92A2" w14:textId="77777777" w:rsidR="00154AD2" w:rsidRDefault="00154AD2">
            <w:pPr>
              <w:spacing w:after="0" w:line="240" w:lineRule="auto"/>
              <w:rPr>
                <w:rFonts w:ascii="Times New Roman" w:eastAsia="Times New Roman" w:hAnsi="Times New Roman" w:cs="Times New Roman"/>
                <w:b/>
                <w:noProof/>
                <w:sz w:val="18"/>
              </w:rPr>
            </w:pPr>
          </w:p>
        </w:tc>
        <w:tc>
          <w:tcPr>
            <w:tcW w:w="1259" w:type="dxa"/>
            <w:vMerge/>
            <w:vAlign w:val="center"/>
            <w:hideMark/>
          </w:tcPr>
          <w:p w14:paraId="66B80633" w14:textId="77777777" w:rsidR="00154AD2" w:rsidRDefault="00154AD2">
            <w:pPr>
              <w:spacing w:after="0" w:line="240" w:lineRule="auto"/>
              <w:rPr>
                <w:rFonts w:ascii="Times New Roman" w:eastAsia="Times New Roman" w:hAnsi="Times New Roman" w:cs="Times New Roman"/>
                <w:b/>
                <w:noProof/>
                <w:sz w:val="18"/>
              </w:rPr>
            </w:pPr>
          </w:p>
        </w:tc>
        <w:tc>
          <w:tcPr>
            <w:tcW w:w="1119" w:type="dxa"/>
            <w:vMerge/>
            <w:vAlign w:val="center"/>
            <w:hideMark/>
          </w:tcPr>
          <w:p w14:paraId="3CD2B8F4" w14:textId="5872AC7C" w:rsidR="00154AD2" w:rsidRDefault="00154AD2">
            <w:pPr>
              <w:spacing w:after="0" w:line="240" w:lineRule="auto"/>
              <w:jc w:val="center"/>
              <w:rPr>
                <w:rFonts w:ascii="Times New Roman" w:eastAsia="Times New Roman" w:hAnsi="Times New Roman" w:cs="Times New Roman"/>
                <w:b/>
                <w:noProof/>
                <w:sz w:val="18"/>
              </w:rPr>
            </w:pPr>
          </w:p>
        </w:tc>
        <w:tc>
          <w:tcPr>
            <w:tcW w:w="1677" w:type="dxa"/>
            <w:vMerge/>
            <w:vAlign w:val="center"/>
            <w:hideMark/>
          </w:tcPr>
          <w:p w14:paraId="7B0E4E17" w14:textId="77777777" w:rsidR="00154AD2" w:rsidRDefault="00154AD2">
            <w:pPr>
              <w:spacing w:after="0" w:line="240" w:lineRule="auto"/>
              <w:rPr>
                <w:rFonts w:ascii="Times New Roman" w:eastAsia="Times New Roman" w:hAnsi="Times New Roman" w:cs="Times New Roman"/>
                <w:b/>
                <w:noProof/>
                <w:sz w:val="18"/>
              </w:rPr>
            </w:pPr>
          </w:p>
        </w:tc>
        <w:tc>
          <w:tcPr>
            <w:tcW w:w="1258" w:type="dxa"/>
            <w:vMerge/>
            <w:vAlign w:val="center"/>
            <w:hideMark/>
          </w:tcPr>
          <w:p w14:paraId="6ED6C64F" w14:textId="77777777" w:rsidR="00154AD2" w:rsidRDefault="00154AD2">
            <w:pPr>
              <w:spacing w:after="0" w:line="240" w:lineRule="auto"/>
              <w:rPr>
                <w:rFonts w:ascii="Times New Roman" w:eastAsia="Times New Roman" w:hAnsi="Times New Roman" w:cs="Times New Roman"/>
                <w:b/>
                <w:noProof/>
                <w:sz w:val="18"/>
              </w:rPr>
            </w:pPr>
          </w:p>
        </w:tc>
        <w:tc>
          <w:tcPr>
            <w:tcW w:w="981" w:type="dxa"/>
            <w:shd w:val="clear" w:color="auto" w:fill="BDD6EE"/>
            <w:vAlign w:val="center"/>
            <w:hideMark/>
          </w:tcPr>
          <w:p w14:paraId="4082AB93" w14:textId="77777777" w:rsidR="00154AD2" w:rsidRDefault="007F6BF3">
            <w:pPr>
              <w:pStyle w:val="P68B1DB1-Normal6"/>
              <w:spacing w:after="0" w:line="240" w:lineRule="auto"/>
              <w:jc w:val="center"/>
              <w:rPr>
                <w:rFonts w:eastAsia="Times New Roman" w:cs="Times New Roman"/>
                <w:noProof/>
              </w:rPr>
            </w:pPr>
            <w:r>
              <w:rPr>
                <w:noProof/>
              </w:rPr>
              <w:t>Μονάδα μέτρησης</w:t>
            </w:r>
          </w:p>
        </w:tc>
        <w:tc>
          <w:tcPr>
            <w:tcW w:w="980" w:type="dxa"/>
            <w:shd w:val="clear" w:color="auto" w:fill="BDD6EE"/>
            <w:vAlign w:val="center"/>
            <w:hideMark/>
          </w:tcPr>
          <w:p w14:paraId="6FFD0F60" w14:textId="77777777" w:rsidR="00154AD2" w:rsidRDefault="007F6BF3">
            <w:pPr>
              <w:pStyle w:val="P68B1DB1-Normal6"/>
              <w:spacing w:after="0" w:line="240" w:lineRule="auto"/>
              <w:jc w:val="center"/>
              <w:rPr>
                <w:rFonts w:eastAsia="Times New Roman" w:cs="Times New Roman"/>
                <w:noProof/>
              </w:rPr>
            </w:pPr>
            <w:r>
              <w:rPr>
                <w:noProof/>
              </w:rPr>
              <w:t>Γραμμή βάσης</w:t>
            </w:r>
          </w:p>
        </w:tc>
        <w:tc>
          <w:tcPr>
            <w:tcW w:w="701" w:type="dxa"/>
            <w:shd w:val="clear" w:color="auto" w:fill="BDD6EE"/>
            <w:vAlign w:val="center"/>
            <w:hideMark/>
          </w:tcPr>
          <w:p w14:paraId="5A43C212" w14:textId="77777777" w:rsidR="00154AD2" w:rsidRDefault="007F6BF3">
            <w:pPr>
              <w:pStyle w:val="P68B1DB1-Normal6"/>
              <w:spacing w:after="0" w:line="240" w:lineRule="auto"/>
              <w:jc w:val="center"/>
              <w:rPr>
                <w:rFonts w:eastAsia="Times New Roman" w:cs="Times New Roman"/>
                <w:noProof/>
              </w:rPr>
            </w:pPr>
            <w:r>
              <w:rPr>
                <w:noProof/>
              </w:rPr>
              <w:t>Στόχοι</w:t>
            </w:r>
          </w:p>
        </w:tc>
        <w:tc>
          <w:tcPr>
            <w:tcW w:w="561" w:type="dxa"/>
            <w:shd w:val="clear" w:color="auto" w:fill="BDD6EE"/>
            <w:vAlign w:val="center"/>
            <w:hideMark/>
          </w:tcPr>
          <w:p w14:paraId="74791177" w14:textId="77777777" w:rsidR="00154AD2" w:rsidRDefault="007F6BF3">
            <w:pPr>
              <w:pStyle w:val="P68B1DB1-Normal6"/>
              <w:spacing w:after="0" w:line="240" w:lineRule="auto"/>
              <w:jc w:val="center"/>
              <w:rPr>
                <w:rFonts w:eastAsia="Times New Roman" w:cs="Times New Roman"/>
                <w:noProof/>
              </w:rPr>
            </w:pPr>
            <w:r>
              <w:rPr>
                <w:noProof/>
              </w:rPr>
              <w:t>Ε</w:t>
            </w:r>
          </w:p>
        </w:tc>
        <w:tc>
          <w:tcPr>
            <w:tcW w:w="700" w:type="dxa"/>
            <w:shd w:val="clear" w:color="auto" w:fill="BDD6EE"/>
            <w:vAlign w:val="center"/>
            <w:hideMark/>
          </w:tcPr>
          <w:p w14:paraId="639FF5C5" w14:textId="77777777" w:rsidR="00154AD2" w:rsidRDefault="007F6BF3">
            <w:pPr>
              <w:pStyle w:val="P68B1DB1-Normal6"/>
              <w:spacing w:after="0" w:line="240" w:lineRule="auto"/>
              <w:jc w:val="center"/>
              <w:rPr>
                <w:rFonts w:eastAsia="Times New Roman" w:cs="Times New Roman"/>
                <w:noProof/>
              </w:rPr>
            </w:pPr>
            <w:r>
              <w:rPr>
                <w:noProof/>
              </w:rPr>
              <w:t>Έτος</w:t>
            </w:r>
          </w:p>
        </w:tc>
        <w:tc>
          <w:tcPr>
            <w:tcW w:w="4606" w:type="dxa"/>
            <w:vMerge/>
            <w:vAlign w:val="center"/>
            <w:hideMark/>
          </w:tcPr>
          <w:p w14:paraId="0AA46401" w14:textId="77777777" w:rsidR="00154AD2" w:rsidRDefault="00154AD2">
            <w:pPr>
              <w:spacing w:after="0" w:line="240" w:lineRule="auto"/>
              <w:rPr>
                <w:rFonts w:ascii="Times New Roman" w:eastAsia="Times New Roman" w:hAnsi="Times New Roman" w:cs="Times New Roman"/>
                <w:b/>
                <w:noProof/>
                <w:sz w:val="18"/>
              </w:rPr>
            </w:pPr>
          </w:p>
        </w:tc>
      </w:tr>
      <w:tr w:rsidR="00154AD2" w14:paraId="6365BE4E" w14:textId="77777777">
        <w:trPr>
          <w:trHeight w:val="1260"/>
        </w:trPr>
        <w:tc>
          <w:tcPr>
            <w:tcW w:w="1121" w:type="dxa"/>
            <w:shd w:val="clear" w:color="auto" w:fill="C4EFCE"/>
            <w:vAlign w:val="center"/>
            <w:hideMark/>
          </w:tcPr>
          <w:p w14:paraId="2EDCE149" w14:textId="77777777" w:rsidR="00154AD2" w:rsidRDefault="007F6BF3">
            <w:pPr>
              <w:pStyle w:val="P68B1DB1-Normal7"/>
              <w:spacing w:after="0" w:line="240" w:lineRule="auto"/>
              <w:jc w:val="center"/>
              <w:rPr>
                <w:rFonts w:eastAsia="Times New Roman" w:cs="Calibri"/>
                <w:noProof/>
              </w:rPr>
            </w:pPr>
            <w:r>
              <w:rPr>
                <w:noProof/>
              </w:rPr>
              <w:t>2.20</w:t>
            </w:r>
          </w:p>
        </w:tc>
        <w:tc>
          <w:tcPr>
            <w:tcW w:w="1259" w:type="dxa"/>
            <w:shd w:val="clear" w:color="auto" w:fill="C4EFCE"/>
            <w:vAlign w:val="center"/>
            <w:hideMark/>
          </w:tcPr>
          <w:p w14:paraId="6ABB675D" w14:textId="77777777" w:rsidR="00154AD2" w:rsidRDefault="007F6BF3">
            <w:pPr>
              <w:pStyle w:val="P68B1DB1-Normal8"/>
              <w:spacing w:after="0" w:line="240" w:lineRule="auto"/>
              <w:jc w:val="center"/>
              <w:rPr>
                <w:rFonts w:eastAsia="Times New Roman" w:cs="Calibri"/>
                <w:noProof/>
              </w:rPr>
            </w:pPr>
            <w:r>
              <w:rPr>
                <w:noProof/>
              </w:rPr>
              <w:t>RE-C02-i05</w:t>
            </w:r>
          </w:p>
        </w:tc>
        <w:tc>
          <w:tcPr>
            <w:tcW w:w="1119" w:type="dxa"/>
            <w:shd w:val="clear" w:color="auto" w:fill="C4EFCE"/>
            <w:vAlign w:val="center"/>
            <w:hideMark/>
          </w:tcPr>
          <w:p w14:paraId="32793D51" w14:textId="77777777" w:rsidR="00154AD2" w:rsidRDefault="007F6BF3">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703220CB" w14:textId="5E5D9102" w:rsidR="00154AD2" w:rsidRDefault="007F6BF3">
            <w:pPr>
              <w:pStyle w:val="P68B1DB1-Normal8"/>
              <w:spacing w:after="0" w:line="240" w:lineRule="auto"/>
              <w:jc w:val="center"/>
              <w:rPr>
                <w:rFonts w:eastAsia="Times New Roman" w:cs="Calibri"/>
                <w:noProof/>
              </w:rPr>
            </w:pPr>
            <w:r>
              <w:rPr>
                <w:noProof/>
              </w:rPr>
              <w:t>Οικονομικά προσιτό απόθεμα δημόσιων κατοικιών — Κατοικίες με έναρξη εργασιών (κατασκευασμένες με υψηλή ενεργειακή απόδοση ή αποκατεστημένες με βελτιωμένη ενεργειακή απόδοση)</w:t>
            </w:r>
          </w:p>
        </w:tc>
        <w:tc>
          <w:tcPr>
            <w:tcW w:w="1258" w:type="dxa"/>
            <w:shd w:val="clear" w:color="auto" w:fill="C4EFCE"/>
            <w:vAlign w:val="center"/>
            <w:hideMark/>
          </w:tcPr>
          <w:p w14:paraId="4E20F9D1" w14:textId="77777777" w:rsidR="00154AD2" w:rsidRDefault="007F6BF3">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621C9A52" w14:textId="77777777" w:rsidR="00154AD2" w:rsidRDefault="007F6BF3">
            <w:pPr>
              <w:pStyle w:val="P68B1DB1-Normal8"/>
              <w:spacing w:after="0" w:line="240" w:lineRule="auto"/>
              <w:jc w:val="center"/>
              <w:rPr>
                <w:rFonts w:eastAsia="Times New Roman" w:cs="Calibri"/>
                <w:noProof/>
              </w:rPr>
            </w:pPr>
            <w:r>
              <w:rPr>
                <w:noProof/>
              </w:rPr>
              <w:t xml:space="preserve">Αριθμός </w:t>
            </w:r>
          </w:p>
        </w:tc>
        <w:tc>
          <w:tcPr>
            <w:tcW w:w="980" w:type="dxa"/>
            <w:shd w:val="clear" w:color="auto" w:fill="C4EFCE"/>
            <w:vAlign w:val="center"/>
            <w:hideMark/>
          </w:tcPr>
          <w:p w14:paraId="7E591BFE" w14:textId="77777777" w:rsidR="00154AD2" w:rsidRDefault="007F6BF3">
            <w:pPr>
              <w:pStyle w:val="P68B1DB1-Normal8"/>
              <w:spacing w:after="0" w:line="240" w:lineRule="auto"/>
              <w:jc w:val="center"/>
              <w:rPr>
                <w:rFonts w:eastAsia="Times New Roman" w:cs="Calibri"/>
                <w:noProof/>
              </w:rPr>
            </w:pPr>
            <w:r>
              <w:rPr>
                <w:noProof/>
              </w:rPr>
              <w:t>0</w:t>
            </w:r>
          </w:p>
        </w:tc>
        <w:tc>
          <w:tcPr>
            <w:tcW w:w="701" w:type="dxa"/>
            <w:shd w:val="clear" w:color="auto" w:fill="C4EFCE"/>
            <w:vAlign w:val="center"/>
            <w:hideMark/>
          </w:tcPr>
          <w:p w14:paraId="3B93E82B" w14:textId="77777777" w:rsidR="00154AD2" w:rsidRDefault="007F6BF3">
            <w:pPr>
              <w:pStyle w:val="P68B1DB1-Normal8"/>
              <w:spacing w:after="0" w:line="240" w:lineRule="auto"/>
              <w:jc w:val="center"/>
              <w:rPr>
                <w:rFonts w:eastAsia="Times New Roman" w:cs="Calibri"/>
                <w:noProof/>
              </w:rPr>
            </w:pPr>
            <w:r>
              <w:rPr>
                <w:noProof/>
              </w:rPr>
              <w:t>520</w:t>
            </w:r>
          </w:p>
        </w:tc>
        <w:tc>
          <w:tcPr>
            <w:tcW w:w="561" w:type="dxa"/>
            <w:shd w:val="clear" w:color="auto" w:fill="C4EFCE"/>
            <w:vAlign w:val="center"/>
            <w:hideMark/>
          </w:tcPr>
          <w:p w14:paraId="343E8E11"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700" w:type="dxa"/>
            <w:shd w:val="clear" w:color="auto" w:fill="C4EFCE"/>
            <w:vAlign w:val="center"/>
            <w:hideMark/>
          </w:tcPr>
          <w:p w14:paraId="5EDCF0D9" w14:textId="77777777" w:rsidR="00154AD2" w:rsidRDefault="007F6BF3">
            <w:pPr>
              <w:pStyle w:val="P68B1DB1-Normal8"/>
              <w:spacing w:after="0" w:line="240" w:lineRule="auto"/>
              <w:jc w:val="center"/>
              <w:rPr>
                <w:rFonts w:eastAsia="Times New Roman" w:cs="Calibri"/>
                <w:noProof/>
              </w:rPr>
            </w:pPr>
            <w:r>
              <w:rPr>
                <w:noProof/>
              </w:rPr>
              <w:t>2022</w:t>
            </w:r>
          </w:p>
        </w:tc>
        <w:tc>
          <w:tcPr>
            <w:tcW w:w="4606" w:type="dxa"/>
            <w:shd w:val="clear" w:color="auto" w:fill="C4EFCE"/>
            <w:vAlign w:val="center"/>
            <w:hideMark/>
          </w:tcPr>
          <w:p w14:paraId="5D10AA65" w14:textId="77777777" w:rsidR="00154AD2" w:rsidRDefault="007F6BF3">
            <w:pPr>
              <w:pStyle w:val="P68B1DB1-Normal8"/>
              <w:spacing w:after="0" w:line="240" w:lineRule="auto"/>
              <w:jc w:val="both"/>
              <w:rPr>
                <w:rFonts w:eastAsia="Times New Roman" w:cs="Calibri"/>
                <w:noProof/>
              </w:rPr>
            </w:pPr>
            <w:r>
              <w:rPr>
                <w:noProof/>
              </w:rPr>
              <w:t>Αριθμός κατοικιών για τις οποίες αρχίζουν οι εργασίες μετά τη διαδικασία υποβολής προσφορών και την υπογραφή σύμβασης. Όταν πρόκειται για νέα κατασκευή, τα νέα κτίρια έχουν ζήτηση πρωτογενούς ενέργειας τουλάχιστον 20 % χαμηλότερη από τις απαιτήσεις των κτιρίων με σχεδόν μηδενική κατανάλωση ενέργειας.</w:t>
            </w:r>
          </w:p>
        </w:tc>
      </w:tr>
      <w:tr w:rsidR="00154AD2" w14:paraId="33B4307F" w14:textId="77777777">
        <w:trPr>
          <w:trHeight w:val="1066"/>
        </w:trPr>
        <w:tc>
          <w:tcPr>
            <w:tcW w:w="1121" w:type="dxa"/>
            <w:shd w:val="clear" w:color="auto" w:fill="C4EFCE"/>
            <w:vAlign w:val="center"/>
            <w:hideMark/>
          </w:tcPr>
          <w:p w14:paraId="0EA394FE" w14:textId="77777777" w:rsidR="00154AD2" w:rsidRDefault="007F6BF3">
            <w:pPr>
              <w:pStyle w:val="P68B1DB1-Normal7"/>
              <w:spacing w:after="0" w:line="240" w:lineRule="auto"/>
              <w:jc w:val="center"/>
              <w:rPr>
                <w:rFonts w:eastAsia="Times New Roman" w:cs="Calibri"/>
                <w:noProof/>
              </w:rPr>
            </w:pPr>
            <w:r>
              <w:rPr>
                <w:noProof/>
              </w:rPr>
              <w:t>2.21</w:t>
            </w:r>
          </w:p>
        </w:tc>
        <w:tc>
          <w:tcPr>
            <w:tcW w:w="1259" w:type="dxa"/>
            <w:shd w:val="clear" w:color="auto" w:fill="C4EFCE"/>
            <w:vAlign w:val="center"/>
            <w:hideMark/>
          </w:tcPr>
          <w:p w14:paraId="34979C95" w14:textId="77777777" w:rsidR="00154AD2" w:rsidRDefault="007F6BF3">
            <w:pPr>
              <w:pStyle w:val="P68B1DB1-Normal8"/>
              <w:spacing w:after="0" w:line="240" w:lineRule="auto"/>
              <w:jc w:val="center"/>
              <w:rPr>
                <w:rFonts w:eastAsia="Times New Roman" w:cs="Calibri"/>
                <w:noProof/>
              </w:rPr>
            </w:pPr>
            <w:r>
              <w:rPr>
                <w:noProof/>
              </w:rPr>
              <w:t>RE-C02-i05</w:t>
            </w:r>
          </w:p>
        </w:tc>
        <w:tc>
          <w:tcPr>
            <w:tcW w:w="1119" w:type="dxa"/>
            <w:shd w:val="clear" w:color="auto" w:fill="C4EFCE"/>
            <w:vAlign w:val="center"/>
            <w:hideMark/>
          </w:tcPr>
          <w:p w14:paraId="375EBE78" w14:textId="77777777" w:rsidR="00154AD2" w:rsidRDefault="007F6BF3">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48BDE03A" w14:textId="7879BBFF" w:rsidR="00154AD2" w:rsidRDefault="007F6BF3">
            <w:pPr>
              <w:pStyle w:val="P68B1DB1-Normal8"/>
              <w:spacing w:after="0" w:line="240" w:lineRule="auto"/>
              <w:jc w:val="center"/>
              <w:rPr>
                <w:rFonts w:eastAsia="Times New Roman" w:cs="Calibri"/>
                <w:noProof/>
              </w:rPr>
            </w:pPr>
            <w:r>
              <w:rPr>
                <w:noProof/>
              </w:rPr>
              <w:t>Οικονομικά προσιτό απόθεμα δημόσιων κατοικιών — Κατοικίες με έναρξη εργασιών (κατασκευασμένες με υψηλή ενεργειακή απόδοση ή αποκατεστημένες με βελτιωμένη ενεργειακή απόδοση)</w:t>
            </w:r>
          </w:p>
        </w:tc>
        <w:tc>
          <w:tcPr>
            <w:tcW w:w="1258" w:type="dxa"/>
            <w:shd w:val="clear" w:color="auto" w:fill="C4EFCE"/>
            <w:vAlign w:val="center"/>
            <w:hideMark/>
          </w:tcPr>
          <w:p w14:paraId="374FFAB8" w14:textId="77777777" w:rsidR="00154AD2" w:rsidRDefault="007F6BF3">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12524308" w14:textId="77777777" w:rsidR="00154AD2" w:rsidRDefault="007F6BF3">
            <w:pPr>
              <w:pStyle w:val="P68B1DB1-Normal8"/>
              <w:spacing w:after="0" w:line="240" w:lineRule="auto"/>
              <w:jc w:val="center"/>
              <w:rPr>
                <w:rFonts w:eastAsia="Times New Roman" w:cs="Calibri"/>
                <w:noProof/>
              </w:rPr>
            </w:pPr>
            <w:r>
              <w:rPr>
                <w:noProof/>
              </w:rPr>
              <w:t xml:space="preserve">Αριθμός </w:t>
            </w:r>
          </w:p>
        </w:tc>
        <w:tc>
          <w:tcPr>
            <w:tcW w:w="980" w:type="dxa"/>
            <w:shd w:val="clear" w:color="auto" w:fill="C4EFCE"/>
            <w:vAlign w:val="center"/>
            <w:hideMark/>
          </w:tcPr>
          <w:p w14:paraId="78E249BE" w14:textId="77777777" w:rsidR="00154AD2" w:rsidRDefault="007F6BF3">
            <w:pPr>
              <w:pStyle w:val="P68B1DB1-Normal8"/>
              <w:spacing w:after="0" w:line="240" w:lineRule="auto"/>
              <w:jc w:val="center"/>
              <w:rPr>
                <w:rFonts w:eastAsia="Times New Roman" w:cs="Calibri"/>
                <w:noProof/>
              </w:rPr>
            </w:pPr>
            <w:r>
              <w:rPr>
                <w:noProof/>
              </w:rPr>
              <w:t>520</w:t>
            </w:r>
          </w:p>
        </w:tc>
        <w:tc>
          <w:tcPr>
            <w:tcW w:w="701" w:type="dxa"/>
            <w:shd w:val="clear" w:color="auto" w:fill="C4EFCE"/>
            <w:vAlign w:val="center"/>
            <w:hideMark/>
          </w:tcPr>
          <w:p w14:paraId="1C33F4F0" w14:textId="11BE8C74" w:rsidR="00154AD2" w:rsidRDefault="007F6BF3">
            <w:pPr>
              <w:pStyle w:val="P68B1DB1-Normal8"/>
              <w:spacing w:after="0" w:line="240" w:lineRule="auto"/>
              <w:jc w:val="center"/>
              <w:rPr>
                <w:rFonts w:eastAsia="Calibri" w:cs="Calibri"/>
                <w:noProof/>
              </w:rPr>
            </w:pPr>
            <w:r>
              <w:rPr>
                <w:noProof/>
              </w:rPr>
              <w:t>1400</w:t>
            </w:r>
          </w:p>
        </w:tc>
        <w:tc>
          <w:tcPr>
            <w:tcW w:w="561" w:type="dxa"/>
            <w:shd w:val="clear" w:color="auto" w:fill="C4EFCE"/>
            <w:vAlign w:val="center"/>
            <w:hideMark/>
          </w:tcPr>
          <w:p w14:paraId="104858DB"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700" w:type="dxa"/>
            <w:shd w:val="clear" w:color="auto" w:fill="C4EFCE"/>
            <w:vAlign w:val="center"/>
            <w:hideMark/>
          </w:tcPr>
          <w:p w14:paraId="42858FD7" w14:textId="77777777" w:rsidR="00154AD2" w:rsidRDefault="007F6BF3">
            <w:pPr>
              <w:pStyle w:val="P68B1DB1-Normal8"/>
              <w:spacing w:after="0" w:line="240" w:lineRule="auto"/>
              <w:jc w:val="center"/>
              <w:rPr>
                <w:rFonts w:eastAsia="Times New Roman" w:cs="Calibri"/>
                <w:noProof/>
              </w:rPr>
            </w:pPr>
            <w:r>
              <w:rPr>
                <w:noProof/>
              </w:rPr>
              <w:t>2024</w:t>
            </w:r>
          </w:p>
        </w:tc>
        <w:tc>
          <w:tcPr>
            <w:tcW w:w="4606" w:type="dxa"/>
            <w:shd w:val="clear" w:color="auto" w:fill="C4EFCE"/>
            <w:vAlign w:val="center"/>
            <w:hideMark/>
          </w:tcPr>
          <w:p w14:paraId="18EC137C" w14:textId="77777777" w:rsidR="00154AD2" w:rsidRDefault="007F6BF3">
            <w:pPr>
              <w:pStyle w:val="P68B1DB1-Normal8"/>
              <w:spacing w:after="0" w:line="240" w:lineRule="auto"/>
              <w:jc w:val="both"/>
              <w:rPr>
                <w:rFonts w:eastAsia="Times New Roman" w:cs="Calibri"/>
                <w:noProof/>
              </w:rPr>
            </w:pPr>
            <w:r>
              <w:rPr>
                <w:noProof/>
              </w:rPr>
              <w:t>Αριθμός κατοικιών για τις οποίες αρχίζουν οι εργασίες μετά τη διαδικασία υποβολής προσφορών και την υπογραφή σύμβασης. Όταν πρόκειται για νέα κατασκευή, τα νέα κτίρια έχουν ζήτηση πρωτογενούς ενέργειας τουλάχιστον 20 % χαμηλότερη από τις απαιτήσεις των κτιρίων με σχεδόν μηδενική κατανάλωση ενέργειας.</w:t>
            </w:r>
          </w:p>
        </w:tc>
      </w:tr>
      <w:tr w:rsidR="00154AD2" w14:paraId="367756BF" w14:textId="77777777">
        <w:trPr>
          <w:trHeight w:val="1050"/>
        </w:trPr>
        <w:tc>
          <w:tcPr>
            <w:tcW w:w="1121" w:type="dxa"/>
            <w:shd w:val="clear" w:color="auto" w:fill="C4EFCE"/>
            <w:vAlign w:val="center"/>
            <w:hideMark/>
          </w:tcPr>
          <w:p w14:paraId="06EC68F7" w14:textId="77777777" w:rsidR="00154AD2" w:rsidRDefault="007F6BF3">
            <w:pPr>
              <w:pStyle w:val="P68B1DB1-Normal7"/>
              <w:spacing w:after="0" w:line="240" w:lineRule="auto"/>
              <w:jc w:val="center"/>
              <w:rPr>
                <w:rFonts w:eastAsia="Times New Roman" w:cs="Calibri"/>
                <w:noProof/>
              </w:rPr>
            </w:pPr>
            <w:r>
              <w:rPr>
                <w:noProof/>
              </w:rPr>
              <w:t>2.22</w:t>
            </w:r>
          </w:p>
        </w:tc>
        <w:tc>
          <w:tcPr>
            <w:tcW w:w="1259" w:type="dxa"/>
            <w:shd w:val="clear" w:color="auto" w:fill="C4EFCE"/>
            <w:vAlign w:val="center"/>
            <w:hideMark/>
          </w:tcPr>
          <w:p w14:paraId="36837DB5" w14:textId="77777777" w:rsidR="00154AD2" w:rsidRDefault="007F6BF3">
            <w:pPr>
              <w:pStyle w:val="P68B1DB1-Normal8"/>
              <w:spacing w:after="0" w:line="240" w:lineRule="auto"/>
              <w:jc w:val="center"/>
              <w:rPr>
                <w:rFonts w:eastAsia="Times New Roman" w:cs="Calibri"/>
                <w:noProof/>
              </w:rPr>
            </w:pPr>
            <w:r>
              <w:rPr>
                <w:noProof/>
              </w:rPr>
              <w:t>RE-C02-i05</w:t>
            </w:r>
          </w:p>
        </w:tc>
        <w:tc>
          <w:tcPr>
            <w:tcW w:w="1119" w:type="dxa"/>
            <w:shd w:val="clear" w:color="auto" w:fill="C4EFCE"/>
            <w:vAlign w:val="center"/>
            <w:hideMark/>
          </w:tcPr>
          <w:p w14:paraId="6D7A6883" w14:textId="77777777" w:rsidR="00154AD2" w:rsidRDefault="007F6BF3">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0C0848AD" w14:textId="599D6981" w:rsidR="00154AD2" w:rsidRDefault="007F6BF3">
            <w:pPr>
              <w:pStyle w:val="P68B1DB1-Normal8"/>
              <w:spacing w:after="0" w:line="240" w:lineRule="auto"/>
              <w:jc w:val="center"/>
              <w:rPr>
                <w:rFonts w:eastAsia="Times New Roman" w:cs="Calibri"/>
                <w:noProof/>
              </w:rPr>
            </w:pPr>
            <w:r>
              <w:rPr>
                <w:noProof/>
              </w:rPr>
              <w:t>Απόθεμα οικονομικά προσιτών δημόσιων κατοικιών — Αξιοποιημένες κατοικίες (κατασκευασμένες με υψηλή ενεργειακή απόδοση ή αποκατεστημένες με βελτιωμένη ενεργειακή απόδοση)</w:t>
            </w:r>
          </w:p>
        </w:tc>
        <w:tc>
          <w:tcPr>
            <w:tcW w:w="1258" w:type="dxa"/>
            <w:shd w:val="clear" w:color="auto" w:fill="C4EFCE"/>
            <w:vAlign w:val="center"/>
            <w:hideMark/>
          </w:tcPr>
          <w:p w14:paraId="34D8DBA8" w14:textId="77777777" w:rsidR="00154AD2" w:rsidRDefault="007F6BF3">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7E6F8874" w14:textId="77777777" w:rsidR="00154AD2" w:rsidRDefault="007F6BF3">
            <w:pPr>
              <w:pStyle w:val="P68B1DB1-Normal8"/>
              <w:spacing w:after="0" w:line="240" w:lineRule="auto"/>
              <w:jc w:val="center"/>
              <w:rPr>
                <w:rFonts w:eastAsia="Times New Roman" w:cs="Calibri"/>
                <w:noProof/>
              </w:rPr>
            </w:pPr>
            <w:r>
              <w:rPr>
                <w:noProof/>
              </w:rPr>
              <w:t xml:space="preserve">Αριθμός </w:t>
            </w:r>
          </w:p>
        </w:tc>
        <w:tc>
          <w:tcPr>
            <w:tcW w:w="980" w:type="dxa"/>
            <w:shd w:val="clear" w:color="auto" w:fill="C4EFCE"/>
            <w:vAlign w:val="center"/>
            <w:hideMark/>
          </w:tcPr>
          <w:p w14:paraId="17D2D4D6" w14:textId="77777777" w:rsidR="00154AD2" w:rsidRDefault="007F6BF3">
            <w:pPr>
              <w:pStyle w:val="P68B1DB1-Normal8"/>
              <w:spacing w:after="0" w:line="240" w:lineRule="auto"/>
              <w:jc w:val="center"/>
              <w:rPr>
                <w:rFonts w:eastAsia="Times New Roman" w:cs="Calibri"/>
                <w:noProof/>
              </w:rPr>
            </w:pPr>
            <w:r>
              <w:rPr>
                <w:noProof/>
              </w:rPr>
              <w:t>0</w:t>
            </w:r>
          </w:p>
        </w:tc>
        <w:tc>
          <w:tcPr>
            <w:tcW w:w="701" w:type="dxa"/>
            <w:shd w:val="clear" w:color="auto" w:fill="C4EFCE"/>
            <w:vAlign w:val="center"/>
            <w:hideMark/>
          </w:tcPr>
          <w:p w14:paraId="0E3BD19D" w14:textId="561EE8C6" w:rsidR="00154AD2" w:rsidRDefault="007F6BF3">
            <w:pPr>
              <w:pStyle w:val="P68B1DB1-Normal8"/>
              <w:spacing w:after="0" w:line="240" w:lineRule="auto"/>
              <w:jc w:val="center"/>
              <w:rPr>
                <w:rFonts w:eastAsia="Calibri" w:cs="Calibri"/>
                <w:noProof/>
              </w:rPr>
            </w:pPr>
            <w:r>
              <w:rPr>
                <w:noProof/>
              </w:rPr>
              <w:t>520</w:t>
            </w:r>
          </w:p>
        </w:tc>
        <w:tc>
          <w:tcPr>
            <w:tcW w:w="561" w:type="dxa"/>
            <w:shd w:val="clear" w:color="auto" w:fill="C4EFCE"/>
            <w:vAlign w:val="center"/>
            <w:hideMark/>
          </w:tcPr>
          <w:p w14:paraId="27E52C88"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700" w:type="dxa"/>
            <w:shd w:val="clear" w:color="auto" w:fill="C4EFCE"/>
            <w:vAlign w:val="center"/>
            <w:hideMark/>
          </w:tcPr>
          <w:p w14:paraId="1DEA3599" w14:textId="77777777" w:rsidR="00154AD2" w:rsidRDefault="007F6BF3">
            <w:pPr>
              <w:pStyle w:val="P68B1DB1-Normal8"/>
              <w:spacing w:after="0" w:line="240" w:lineRule="auto"/>
              <w:jc w:val="center"/>
              <w:rPr>
                <w:rFonts w:eastAsia="Times New Roman" w:cs="Calibri"/>
                <w:noProof/>
              </w:rPr>
            </w:pPr>
            <w:r>
              <w:rPr>
                <w:noProof/>
              </w:rPr>
              <w:t>2024</w:t>
            </w:r>
          </w:p>
        </w:tc>
        <w:tc>
          <w:tcPr>
            <w:tcW w:w="4606" w:type="dxa"/>
            <w:shd w:val="clear" w:color="auto" w:fill="C4EFCE"/>
            <w:vAlign w:val="center"/>
            <w:hideMark/>
          </w:tcPr>
          <w:p w14:paraId="3D170067" w14:textId="77777777" w:rsidR="00154AD2" w:rsidRDefault="007F6BF3">
            <w:pPr>
              <w:pStyle w:val="P68B1DB1-Normal8"/>
              <w:spacing w:after="0" w:line="240" w:lineRule="auto"/>
              <w:jc w:val="both"/>
              <w:rPr>
                <w:rFonts w:eastAsia="Times New Roman" w:cs="Calibri"/>
                <w:noProof/>
              </w:rPr>
            </w:pPr>
            <w:r>
              <w:rPr>
                <w:noProof/>
              </w:rPr>
              <w:t>Αριθμός παραδιδόμενων κατοικιών στα επιλέξιμα νοικοκυριά μέσω της ανταλλαγής κατοικιών σε προσιτό κόστος (DL 82/2020 της 2 Οκτωβρίου) ή μέσω δημοτικού προγράμματος. Η οικονομικά προσιτή στέγαση ορίζεται ως εκείνη που διατίθεται σύμφωνα με το πρόγραμμα μίσθωσης πρόσβασης, το οποίο θεσπίστηκε με το νομοθετικό διάταγμα αριθ. 68/2019 της 22 Μαΐου, του καθεστώτος ενοικίασης που υποστηρίζεται, το οποίο θεσπίστηκε με τον νόμο αριθ. 81/2014 της 19 Δεκεμβρίου, όπως τροποποιήθηκε, του καθεστώτος υπό όρους ενοικίασης, που θεσπίστηκε με τον νόμο αριθ. 80/2014 της 19 Δεκεμβρίου, του συστήματος ελεγχόμενων δαπανών, το οποίο διέπεται από την υπουργική απόφαση αριθ. 65/2019 της 19 Φεβρουαρίου, ή ειδικών δημοτικών προγραμμάτων. Όταν πρόκειται για νέα κατασκευή, τα νέα κτίρια έχουν ζήτηση πρωτογενούς ενέργειας τουλάχιστον 20 % χαμηλότερη από τις απαιτήσεις των κτιρίων με σχεδόν μηδενική κατανάλωση ενέργειας.</w:t>
            </w:r>
          </w:p>
        </w:tc>
      </w:tr>
      <w:tr w:rsidR="00154AD2" w14:paraId="3D12978B" w14:textId="77777777">
        <w:trPr>
          <w:trHeight w:val="1050"/>
        </w:trPr>
        <w:tc>
          <w:tcPr>
            <w:tcW w:w="1121" w:type="dxa"/>
            <w:shd w:val="clear" w:color="auto" w:fill="C4EFCE"/>
            <w:vAlign w:val="center"/>
            <w:hideMark/>
          </w:tcPr>
          <w:p w14:paraId="1C8AA54B" w14:textId="77777777" w:rsidR="00154AD2" w:rsidRDefault="007F6BF3">
            <w:pPr>
              <w:pStyle w:val="P68B1DB1-Normal7"/>
              <w:spacing w:after="0" w:line="240" w:lineRule="auto"/>
              <w:jc w:val="center"/>
              <w:rPr>
                <w:rFonts w:eastAsia="Times New Roman" w:cs="Calibri"/>
                <w:noProof/>
              </w:rPr>
            </w:pPr>
            <w:r>
              <w:rPr>
                <w:noProof/>
              </w:rPr>
              <w:t>2.23</w:t>
            </w:r>
          </w:p>
        </w:tc>
        <w:tc>
          <w:tcPr>
            <w:tcW w:w="1259" w:type="dxa"/>
            <w:shd w:val="clear" w:color="auto" w:fill="C4EFCE"/>
            <w:vAlign w:val="center"/>
            <w:hideMark/>
          </w:tcPr>
          <w:p w14:paraId="0DF3ED6A" w14:textId="77777777" w:rsidR="00154AD2" w:rsidRDefault="007F6BF3">
            <w:pPr>
              <w:pStyle w:val="P68B1DB1-Normal8"/>
              <w:spacing w:after="0" w:line="240" w:lineRule="auto"/>
              <w:jc w:val="center"/>
              <w:rPr>
                <w:rFonts w:eastAsia="Times New Roman" w:cs="Calibri"/>
                <w:noProof/>
              </w:rPr>
            </w:pPr>
            <w:r>
              <w:rPr>
                <w:noProof/>
              </w:rPr>
              <w:t>RE-C02-i05</w:t>
            </w:r>
          </w:p>
        </w:tc>
        <w:tc>
          <w:tcPr>
            <w:tcW w:w="1119" w:type="dxa"/>
            <w:shd w:val="clear" w:color="auto" w:fill="C4EFCE"/>
            <w:vAlign w:val="center"/>
            <w:hideMark/>
          </w:tcPr>
          <w:p w14:paraId="61E7B3B4" w14:textId="77777777" w:rsidR="00154AD2" w:rsidRDefault="007F6BF3">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10E5E313" w14:textId="292E0959" w:rsidR="00154AD2" w:rsidRDefault="007F6BF3">
            <w:pPr>
              <w:pStyle w:val="P68B1DB1-Normal8"/>
              <w:spacing w:after="0" w:line="240" w:lineRule="auto"/>
              <w:jc w:val="center"/>
              <w:rPr>
                <w:rFonts w:eastAsia="Times New Roman" w:cs="Calibri"/>
                <w:noProof/>
              </w:rPr>
            </w:pPr>
            <w:r>
              <w:rPr>
                <w:noProof/>
              </w:rPr>
              <w:t>Απόθεμα οικονομικά προσιτών δημόσιων κατοικιών — Αξιοποιημένες κατοικίες (κατασκευασμένες με υψηλή ενεργειακή απόδοση ή αποκατεστημένες με βελτιωμένη ενεργειακή απόδοση)</w:t>
            </w:r>
          </w:p>
        </w:tc>
        <w:tc>
          <w:tcPr>
            <w:tcW w:w="1258" w:type="dxa"/>
            <w:shd w:val="clear" w:color="auto" w:fill="C4EFCE"/>
            <w:vAlign w:val="center"/>
            <w:hideMark/>
          </w:tcPr>
          <w:p w14:paraId="5E450BD8" w14:textId="77777777" w:rsidR="00154AD2" w:rsidRDefault="007F6BF3">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19E4434D" w14:textId="77777777" w:rsidR="00154AD2" w:rsidRDefault="007F6BF3">
            <w:pPr>
              <w:pStyle w:val="P68B1DB1-Normal8"/>
              <w:spacing w:after="0" w:line="240" w:lineRule="auto"/>
              <w:jc w:val="center"/>
              <w:rPr>
                <w:rFonts w:eastAsia="Times New Roman" w:cs="Calibri"/>
                <w:noProof/>
              </w:rPr>
            </w:pPr>
            <w:r>
              <w:rPr>
                <w:noProof/>
              </w:rPr>
              <w:t xml:space="preserve">Αριθμός </w:t>
            </w:r>
          </w:p>
        </w:tc>
        <w:tc>
          <w:tcPr>
            <w:tcW w:w="980" w:type="dxa"/>
            <w:shd w:val="clear" w:color="auto" w:fill="C4EFCE"/>
            <w:vAlign w:val="center"/>
            <w:hideMark/>
          </w:tcPr>
          <w:p w14:paraId="64F68EAD" w14:textId="7AD4DB54" w:rsidR="00154AD2" w:rsidRDefault="007F6BF3">
            <w:pPr>
              <w:pStyle w:val="P68B1DB1-Normal8"/>
              <w:spacing w:after="0" w:line="240" w:lineRule="auto"/>
              <w:jc w:val="center"/>
              <w:rPr>
                <w:rFonts w:eastAsia="Calibri" w:cs="Calibri"/>
                <w:noProof/>
              </w:rPr>
            </w:pPr>
            <w:r>
              <w:rPr>
                <w:noProof/>
              </w:rPr>
              <w:t>520</w:t>
            </w:r>
          </w:p>
        </w:tc>
        <w:tc>
          <w:tcPr>
            <w:tcW w:w="701" w:type="dxa"/>
            <w:shd w:val="clear" w:color="auto" w:fill="C4EFCE"/>
            <w:vAlign w:val="center"/>
            <w:hideMark/>
          </w:tcPr>
          <w:p w14:paraId="61CC7B68" w14:textId="52EF18D4" w:rsidR="00154AD2" w:rsidRDefault="007F6BF3">
            <w:pPr>
              <w:pStyle w:val="P68B1DB1-Normal8"/>
              <w:spacing w:after="0" w:line="240" w:lineRule="auto"/>
              <w:jc w:val="center"/>
              <w:rPr>
                <w:rFonts w:eastAsia="Calibri" w:cs="Calibri"/>
                <w:noProof/>
              </w:rPr>
            </w:pPr>
            <w:r>
              <w:rPr>
                <w:noProof/>
              </w:rPr>
              <w:t>1400</w:t>
            </w:r>
          </w:p>
        </w:tc>
        <w:tc>
          <w:tcPr>
            <w:tcW w:w="561" w:type="dxa"/>
            <w:shd w:val="clear" w:color="auto" w:fill="C4EFCE"/>
            <w:vAlign w:val="center"/>
            <w:hideMark/>
          </w:tcPr>
          <w:p w14:paraId="7CA72895"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700" w:type="dxa"/>
            <w:shd w:val="clear" w:color="auto" w:fill="C4EFCE"/>
            <w:vAlign w:val="center"/>
            <w:hideMark/>
          </w:tcPr>
          <w:p w14:paraId="33CCDA3C" w14:textId="77777777" w:rsidR="00154AD2" w:rsidRDefault="007F6BF3">
            <w:pPr>
              <w:pStyle w:val="P68B1DB1-Normal8"/>
              <w:spacing w:after="0" w:line="240" w:lineRule="auto"/>
              <w:jc w:val="center"/>
              <w:rPr>
                <w:rFonts w:eastAsia="Times New Roman" w:cs="Calibri"/>
                <w:noProof/>
              </w:rPr>
            </w:pPr>
            <w:r>
              <w:rPr>
                <w:noProof/>
              </w:rPr>
              <w:t>2025</w:t>
            </w:r>
          </w:p>
        </w:tc>
        <w:tc>
          <w:tcPr>
            <w:tcW w:w="4606" w:type="dxa"/>
            <w:shd w:val="clear" w:color="auto" w:fill="C4EFCE"/>
            <w:vAlign w:val="center"/>
            <w:hideMark/>
          </w:tcPr>
          <w:p w14:paraId="54DCFE3F" w14:textId="77777777" w:rsidR="00154AD2" w:rsidRDefault="007F6BF3">
            <w:pPr>
              <w:pStyle w:val="P68B1DB1-Normal8"/>
              <w:spacing w:after="0" w:line="240" w:lineRule="auto"/>
              <w:jc w:val="both"/>
              <w:rPr>
                <w:rFonts w:eastAsia="Times New Roman" w:cs="Calibri"/>
                <w:noProof/>
              </w:rPr>
            </w:pPr>
            <w:r>
              <w:rPr>
                <w:noProof/>
              </w:rPr>
              <w:t>Αριθμός παραδιδόμενων κατοικιών στα επιλέξιμα νοικοκυριά μέσω της ανταλλαγής κατοικιών σε προσιτό κόστος (DL 82/2020 της 2 Οκτωβρίου) ή μέσω δημοτικού προγράμματος. Η οικονομικά προσιτή στέγαση ορίζεται ως εκείνη που διατίθεται σύμφωνα με το πρόγραμμα μίσθωσης πρόσβασης, το οποίο θεσπίστηκε με το νομοθετικό διάταγμα αριθ. 68/2019 της 22 Μαΐου, του καθεστώτος ενοικίασης που υποστηρίζεται, το οποίο θεσπίστηκε με τον νόμο αριθ. 81/2014 της 19 Δεκεμβρίου, όπως τροποποιήθηκε, του καθεστώτος υπό όρους ενοικίασης, που θεσπίστηκε με τον νόμο αριθ. 80/2014 της 19 Δεκεμβρίου, του συστήματος ελεγχόμενων δαπανών, το οποίο διέπεται από την υπουργική απόφαση αριθ. 65/2019 της 19 Φεβρουαρίου, ή ειδικών δημοτικών προγραμμάτων. Όταν πρόκειται για νέα κατασκευή, τα νέα κτίρια έχουν ζήτηση πρωτογενούς ενέργειας τουλάχιστον 20 % χαμηλότερη από τις απαιτήσεις των κτιρίων με σχεδόν μηδενική κατανάλωση ενέργειας.</w:t>
            </w:r>
          </w:p>
        </w:tc>
      </w:tr>
      <w:tr w:rsidR="00154AD2" w14:paraId="609C4778" w14:textId="77777777">
        <w:trPr>
          <w:trHeight w:val="1050"/>
        </w:trPr>
        <w:tc>
          <w:tcPr>
            <w:tcW w:w="1121" w:type="dxa"/>
            <w:shd w:val="clear" w:color="auto" w:fill="C4EFCE"/>
            <w:vAlign w:val="center"/>
            <w:hideMark/>
          </w:tcPr>
          <w:p w14:paraId="30CCA252" w14:textId="77777777" w:rsidR="00154AD2" w:rsidRDefault="007F6BF3">
            <w:pPr>
              <w:pStyle w:val="P68B1DB1-Normal7"/>
              <w:spacing w:after="0" w:line="240" w:lineRule="auto"/>
              <w:jc w:val="center"/>
              <w:rPr>
                <w:rFonts w:eastAsia="Times New Roman" w:cs="Calibri"/>
                <w:noProof/>
              </w:rPr>
            </w:pPr>
            <w:r>
              <w:rPr>
                <w:noProof/>
              </w:rPr>
              <w:t>2.24</w:t>
            </w:r>
          </w:p>
        </w:tc>
        <w:tc>
          <w:tcPr>
            <w:tcW w:w="1259" w:type="dxa"/>
            <w:shd w:val="clear" w:color="auto" w:fill="C4EFCE"/>
            <w:vAlign w:val="center"/>
            <w:hideMark/>
          </w:tcPr>
          <w:p w14:paraId="357BE13B" w14:textId="77777777" w:rsidR="00154AD2" w:rsidRDefault="007F6BF3">
            <w:pPr>
              <w:pStyle w:val="P68B1DB1-Normal8"/>
              <w:spacing w:after="0" w:line="240" w:lineRule="auto"/>
              <w:jc w:val="center"/>
              <w:rPr>
                <w:rFonts w:eastAsia="Times New Roman" w:cs="Calibri"/>
                <w:noProof/>
              </w:rPr>
            </w:pPr>
            <w:r>
              <w:rPr>
                <w:noProof/>
              </w:rPr>
              <w:t>RE-C02-i05</w:t>
            </w:r>
          </w:p>
        </w:tc>
        <w:tc>
          <w:tcPr>
            <w:tcW w:w="1119" w:type="dxa"/>
            <w:shd w:val="clear" w:color="auto" w:fill="C4EFCE"/>
            <w:vAlign w:val="center"/>
            <w:hideMark/>
          </w:tcPr>
          <w:p w14:paraId="6C7C6C2C" w14:textId="77777777" w:rsidR="00154AD2" w:rsidRDefault="007F6BF3">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7C4EC8B8" w14:textId="7569987A" w:rsidR="00154AD2" w:rsidRDefault="007F6BF3">
            <w:pPr>
              <w:pStyle w:val="P68B1DB1-Normal8"/>
              <w:spacing w:after="0" w:line="240" w:lineRule="auto"/>
              <w:jc w:val="center"/>
              <w:rPr>
                <w:rFonts w:eastAsia="Times New Roman" w:cs="Calibri"/>
                <w:noProof/>
              </w:rPr>
            </w:pPr>
            <w:r>
              <w:rPr>
                <w:noProof/>
              </w:rPr>
              <w:t>Απόθεμα οικονομικά προσιτών δημόσιων κατοικιών — Αξιοποιημένες κατοικίες (κατασκευασμένες με υψηλή ενεργειακή απόδοση ή αποκατεστημένες με βελτιωμένη ενεργειακή απόδοση)</w:t>
            </w:r>
          </w:p>
        </w:tc>
        <w:tc>
          <w:tcPr>
            <w:tcW w:w="1258" w:type="dxa"/>
            <w:shd w:val="clear" w:color="auto" w:fill="C4EFCE"/>
            <w:vAlign w:val="center"/>
            <w:hideMark/>
          </w:tcPr>
          <w:p w14:paraId="75773B0B" w14:textId="77777777" w:rsidR="00154AD2" w:rsidRDefault="007F6BF3">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7A210D1A" w14:textId="77777777" w:rsidR="00154AD2" w:rsidRDefault="007F6BF3">
            <w:pPr>
              <w:pStyle w:val="P68B1DB1-Normal8"/>
              <w:spacing w:after="0" w:line="240" w:lineRule="auto"/>
              <w:jc w:val="center"/>
              <w:rPr>
                <w:rFonts w:eastAsia="Times New Roman" w:cs="Calibri"/>
                <w:noProof/>
              </w:rPr>
            </w:pPr>
            <w:r>
              <w:rPr>
                <w:noProof/>
              </w:rPr>
              <w:t xml:space="preserve">Αριθμός </w:t>
            </w:r>
          </w:p>
        </w:tc>
        <w:tc>
          <w:tcPr>
            <w:tcW w:w="980" w:type="dxa"/>
            <w:shd w:val="clear" w:color="auto" w:fill="C4EFCE"/>
            <w:vAlign w:val="center"/>
            <w:hideMark/>
          </w:tcPr>
          <w:p w14:paraId="6100A53D" w14:textId="39986BD6" w:rsidR="00154AD2" w:rsidRDefault="007F6BF3">
            <w:pPr>
              <w:pStyle w:val="P68B1DB1-Normal8"/>
              <w:spacing w:after="0" w:line="240" w:lineRule="auto"/>
              <w:jc w:val="center"/>
              <w:rPr>
                <w:rFonts w:eastAsia="Calibri" w:cs="Calibri"/>
                <w:noProof/>
              </w:rPr>
            </w:pPr>
            <w:r>
              <w:rPr>
                <w:noProof/>
              </w:rPr>
              <w:t>1400</w:t>
            </w:r>
          </w:p>
        </w:tc>
        <w:tc>
          <w:tcPr>
            <w:tcW w:w="701" w:type="dxa"/>
            <w:shd w:val="clear" w:color="auto" w:fill="C4EFCE"/>
            <w:vAlign w:val="center"/>
            <w:hideMark/>
          </w:tcPr>
          <w:p w14:paraId="70D00CAB" w14:textId="77777777" w:rsidR="00154AD2" w:rsidRDefault="007F6BF3">
            <w:pPr>
              <w:pStyle w:val="P68B1DB1-Normal8"/>
              <w:spacing w:after="0" w:line="240" w:lineRule="auto"/>
              <w:jc w:val="center"/>
              <w:rPr>
                <w:rFonts w:eastAsia="Times New Roman" w:cs="Calibri"/>
                <w:noProof/>
              </w:rPr>
            </w:pPr>
            <w:r>
              <w:rPr>
                <w:noProof/>
              </w:rPr>
              <w:t>6 800</w:t>
            </w:r>
          </w:p>
        </w:tc>
        <w:tc>
          <w:tcPr>
            <w:tcW w:w="561" w:type="dxa"/>
            <w:shd w:val="clear" w:color="auto" w:fill="C4EFCE"/>
            <w:vAlign w:val="center"/>
            <w:hideMark/>
          </w:tcPr>
          <w:p w14:paraId="7882F175"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700" w:type="dxa"/>
            <w:shd w:val="clear" w:color="auto" w:fill="C4EFCE"/>
            <w:vAlign w:val="center"/>
            <w:hideMark/>
          </w:tcPr>
          <w:p w14:paraId="527600BA" w14:textId="77777777" w:rsidR="00154AD2" w:rsidRDefault="007F6BF3">
            <w:pPr>
              <w:pStyle w:val="P68B1DB1-Normal8"/>
              <w:spacing w:after="0" w:line="240" w:lineRule="auto"/>
              <w:jc w:val="center"/>
              <w:rPr>
                <w:rFonts w:eastAsia="Times New Roman" w:cs="Calibri"/>
                <w:noProof/>
              </w:rPr>
            </w:pPr>
            <w:r>
              <w:rPr>
                <w:noProof/>
              </w:rPr>
              <w:t>2026</w:t>
            </w:r>
          </w:p>
        </w:tc>
        <w:tc>
          <w:tcPr>
            <w:tcW w:w="4606" w:type="dxa"/>
            <w:shd w:val="clear" w:color="auto" w:fill="C4EFCE"/>
            <w:vAlign w:val="center"/>
            <w:hideMark/>
          </w:tcPr>
          <w:p w14:paraId="1406B6B7" w14:textId="77777777" w:rsidR="00154AD2" w:rsidRDefault="007F6BF3">
            <w:pPr>
              <w:pStyle w:val="P68B1DB1-Normal8"/>
              <w:spacing w:after="0" w:line="240" w:lineRule="auto"/>
              <w:jc w:val="both"/>
              <w:rPr>
                <w:rFonts w:eastAsia="Times New Roman" w:cs="Calibri"/>
                <w:noProof/>
              </w:rPr>
            </w:pPr>
            <w:r>
              <w:rPr>
                <w:noProof/>
              </w:rPr>
              <w:t>Αριθμός παραδιδόμενων κατοικιών στα επιλέξιμα νοικοκυριά μέσω της ανταλλαγής κατοικιών σε προσιτό κόστος (DL 82/2020 της 2 Οκτωβρίου) ή μέσω δημοτικού προγράμματος. Η οικονομικά προσιτή στέγαση ορίζεται ως εκείνη που διατίθεται σύμφωνα με το πρόγραμμα μίσθωσης πρόσβασης, το οποίο θεσπίστηκε με το νομοθετικό διάταγμα αριθ. 68/2019 της 22 Μαΐου, του καθεστώτος ενοικίασης που υποστηρίζεται, το οποίο θεσπίστηκε με τον νόμο αριθ. 81/2014 της 19 Δεκεμβρίου, όπως τροποποιήθηκε, του καθεστώτος υπό όρους ενοικίασης, που θεσπίστηκε με τον νόμο αριθ. 80/2014 της 19 Δεκεμβρίου, του συστήματος ελεγχόμενων δαπανών, το οποίο διέπεται από την υπουργική απόφαση αριθ. 65/2019 της 19 Φεβρουαρίου, ή ειδικών δημοτικών προγραμμάτων. Όταν πρόκειται για νέα κατασκευή, τα νέα κτίρια έχουν ζήτηση πρωτογενούς ενέργειας τουλάχιστον 20 % χαμηλότερη από τις απαιτήσεις των κτιρίων με σχεδόν μηδενική κατανάλωση ενέργειας.</w:t>
            </w:r>
          </w:p>
        </w:tc>
      </w:tr>
      <w:tr w:rsidR="00154AD2" w14:paraId="0C0D0EA3" w14:textId="77777777">
        <w:trPr>
          <w:trHeight w:val="2254"/>
        </w:trPr>
        <w:tc>
          <w:tcPr>
            <w:tcW w:w="1121" w:type="dxa"/>
            <w:shd w:val="clear" w:color="auto" w:fill="C4EFCE"/>
            <w:vAlign w:val="center"/>
            <w:hideMark/>
          </w:tcPr>
          <w:p w14:paraId="4DFAE66D" w14:textId="77777777" w:rsidR="00154AD2" w:rsidRDefault="007F6BF3">
            <w:pPr>
              <w:pStyle w:val="P68B1DB1-Normal7"/>
              <w:spacing w:after="0" w:line="240" w:lineRule="auto"/>
              <w:jc w:val="center"/>
              <w:rPr>
                <w:rFonts w:eastAsia="Times New Roman" w:cs="Calibri"/>
                <w:noProof/>
              </w:rPr>
            </w:pPr>
            <w:r>
              <w:rPr>
                <w:noProof/>
              </w:rPr>
              <w:t>2.25</w:t>
            </w:r>
          </w:p>
        </w:tc>
        <w:tc>
          <w:tcPr>
            <w:tcW w:w="1259" w:type="dxa"/>
            <w:shd w:val="clear" w:color="auto" w:fill="C4EFCE"/>
            <w:vAlign w:val="center"/>
            <w:hideMark/>
          </w:tcPr>
          <w:p w14:paraId="2D66C9F3" w14:textId="77777777" w:rsidR="00154AD2" w:rsidRDefault="007F6BF3">
            <w:pPr>
              <w:pStyle w:val="P68B1DB1-Normal8"/>
              <w:spacing w:after="0" w:line="240" w:lineRule="auto"/>
              <w:jc w:val="center"/>
              <w:rPr>
                <w:rFonts w:eastAsia="Times New Roman" w:cs="Calibri"/>
                <w:noProof/>
              </w:rPr>
            </w:pPr>
            <w:r>
              <w:rPr>
                <w:noProof/>
              </w:rPr>
              <w:t>RE-C02-i06</w:t>
            </w:r>
          </w:p>
        </w:tc>
        <w:tc>
          <w:tcPr>
            <w:tcW w:w="1119" w:type="dxa"/>
            <w:shd w:val="clear" w:color="auto" w:fill="C4EFCE"/>
            <w:vAlign w:val="center"/>
            <w:hideMark/>
          </w:tcPr>
          <w:p w14:paraId="5B5E4DC3" w14:textId="77777777" w:rsidR="00154AD2" w:rsidRDefault="007F6BF3">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405985C2" w14:textId="52462DC9" w:rsidR="00154AD2" w:rsidRDefault="007F6BF3">
            <w:pPr>
              <w:pStyle w:val="P68B1DB1-Normal8"/>
              <w:spacing w:after="0" w:line="240" w:lineRule="auto"/>
              <w:jc w:val="center"/>
              <w:rPr>
                <w:rFonts w:eastAsia="Times New Roman" w:cs="Calibri"/>
                <w:noProof/>
              </w:rPr>
            </w:pPr>
            <w:r>
              <w:rPr>
                <w:noProof/>
              </w:rPr>
              <w:t>Φοιτητική στέγαση με προσιτό κόστος — αριθμός θέσεων φοιτητικών καταλυμάτων με προκηρυχθείσες προσφορές</w:t>
            </w:r>
          </w:p>
        </w:tc>
        <w:tc>
          <w:tcPr>
            <w:tcW w:w="1258" w:type="dxa"/>
            <w:shd w:val="clear" w:color="auto" w:fill="C4EFCE"/>
            <w:vAlign w:val="center"/>
            <w:hideMark/>
          </w:tcPr>
          <w:p w14:paraId="456D3B11" w14:textId="77777777" w:rsidR="00154AD2" w:rsidRDefault="007F6BF3">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0A7FE1FB" w14:textId="77777777" w:rsidR="00154AD2" w:rsidRDefault="007F6BF3">
            <w:pPr>
              <w:pStyle w:val="P68B1DB1-Normal8"/>
              <w:spacing w:after="0" w:line="240" w:lineRule="auto"/>
              <w:jc w:val="center"/>
              <w:rPr>
                <w:rFonts w:eastAsia="Times New Roman" w:cs="Calibri"/>
                <w:noProof/>
              </w:rPr>
            </w:pPr>
            <w:r>
              <w:rPr>
                <w:noProof/>
              </w:rPr>
              <w:t xml:space="preserve">Αριθμός </w:t>
            </w:r>
          </w:p>
        </w:tc>
        <w:tc>
          <w:tcPr>
            <w:tcW w:w="980" w:type="dxa"/>
            <w:shd w:val="clear" w:color="auto" w:fill="C4EFCE"/>
            <w:vAlign w:val="center"/>
            <w:hideMark/>
          </w:tcPr>
          <w:p w14:paraId="670D15C0" w14:textId="77777777" w:rsidR="00154AD2" w:rsidRDefault="007F6BF3">
            <w:pPr>
              <w:pStyle w:val="P68B1DB1-Normal8"/>
              <w:spacing w:after="0" w:line="240" w:lineRule="auto"/>
              <w:jc w:val="center"/>
              <w:rPr>
                <w:rFonts w:eastAsia="Times New Roman" w:cs="Calibri"/>
                <w:noProof/>
              </w:rPr>
            </w:pPr>
            <w:r>
              <w:rPr>
                <w:noProof/>
              </w:rPr>
              <w:t>0</w:t>
            </w:r>
          </w:p>
        </w:tc>
        <w:tc>
          <w:tcPr>
            <w:tcW w:w="701" w:type="dxa"/>
            <w:shd w:val="clear" w:color="auto" w:fill="C4EFCE"/>
            <w:vAlign w:val="center"/>
            <w:hideMark/>
          </w:tcPr>
          <w:p w14:paraId="7C085019" w14:textId="77777777" w:rsidR="00154AD2" w:rsidRDefault="007F6BF3">
            <w:pPr>
              <w:pStyle w:val="P68B1DB1-Normal8"/>
              <w:spacing w:after="0" w:line="240" w:lineRule="auto"/>
              <w:jc w:val="center"/>
              <w:rPr>
                <w:rFonts w:eastAsia="Times New Roman" w:cs="Calibri"/>
                <w:noProof/>
              </w:rPr>
            </w:pPr>
            <w:r>
              <w:rPr>
                <w:noProof/>
              </w:rPr>
              <w:t>7000</w:t>
            </w:r>
          </w:p>
        </w:tc>
        <w:tc>
          <w:tcPr>
            <w:tcW w:w="561" w:type="dxa"/>
            <w:shd w:val="clear" w:color="auto" w:fill="C4EFCE"/>
            <w:vAlign w:val="center"/>
            <w:hideMark/>
          </w:tcPr>
          <w:p w14:paraId="65F5B7C1"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700" w:type="dxa"/>
            <w:shd w:val="clear" w:color="auto" w:fill="C4EFCE"/>
            <w:vAlign w:val="center"/>
            <w:hideMark/>
          </w:tcPr>
          <w:p w14:paraId="1E975DE1" w14:textId="77777777" w:rsidR="00154AD2" w:rsidRDefault="007F6BF3">
            <w:pPr>
              <w:pStyle w:val="P68B1DB1-Normal8"/>
              <w:spacing w:after="0" w:line="240" w:lineRule="auto"/>
              <w:jc w:val="center"/>
              <w:rPr>
                <w:rFonts w:eastAsia="Times New Roman" w:cs="Calibri"/>
                <w:noProof/>
              </w:rPr>
            </w:pPr>
            <w:r>
              <w:rPr>
                <w:noProof/>
              </w:rPr>
              <w:t>2022</w:t>
            </w:r>
          </w:p>
        </w:tc>
        <w:tc>
          <w:tcPr>
            <w:tcW w:w="4606" w:type="dxa"/>
            <w:shd w:val="clear" w:color="auto" w:fill="C4EFCE"/>
            <w:vAlign w:val="center"/>
            <w:hideMark/>
          </w:tcPr>
          <w:p w14:paraId="2FF93065" w14:textId="787D3203" w:rsidR="00154AD2" w:rsidRDefault="007F6BF3">
            <w:pPr>
              <w:pStyle w:val="P68B1DB1-Normal8"/>
              <w:spacing w:after="0" w:line="240" w:lineRule="auto"/>
              <w:jc w:val="both"/>
              <w:rPr>
                <w:rFonts w:eastAsia="Times New Roman" w:cs="Calibri"/>
                <w:noProof/>
              </w:rPr>
            </w:pPr>
            <w:r>
              <w:rPr>
                <w:noProof/>
              </w:rPr>
              <w:t>Αριθμός νέων και ανακαινισμένων χώρων στέγασης κυρίως φοιτητών τριτοβάθμιας εκπαίδευσης για τους οποίους έχουν προκηρυχθεί δημόσιοι διαγωνισμοί.</w:t>
            </w:r>
          </w:p>
          <w:p w14:paraId="05C25A40" w14:textId="77777777" w:rsidR="00154AD2" w:rsidRDefault="007F6BF3">
            <w:pPr>
              <w:pStyle w:val="P68B1DB1-Normal8"/>
              <w:spacing w:after="0" w:line="240" w:lineRule="auto"/>
              <w:jc w:val="both"/>
              <w:rPr>
                <w:rFonts w:eastAsia="Times New Roman" w:cs="Calibri"/>
                <w:noProof/>
              </w:rPr>
            </w:pPr>
            <w:r>
              <w:rPr>
                <w:noProof/>
              </w:rPr>
              <w:t>Τα νέα κτίρια έχουν ζήτηση πρωτογενούς ενέργειας τουλάχιστον 20 % χαμηλότερη από τις απαιτήσεις των κτιρίων με σχεδόν μηδενική κατανάλωση ενέργειας. Οι ανακαινίσεις ενεργειακής απόδοσης επιτυγχάνουν, κατά μέσο όρο, τουλάχιστον μεσαίας κλίμακας ανακαίνιση, όπως ορίζεται στη σύσταση της Επιτροπής για την ανακαίνιση κτιρίων (ΕΕ) 2019/786.</w:t>
            </w:r>
          </w:p>
        </w:tc>
      </w:tr>
      <w:tr w:rsidR="00154AD2" w14:paraId="0D33B44C" w14:textId="77777777">
        <w:trPr>
          <w:trHeight w:val="543"/>
        </w:trPr>
        <w:tc>
          <w:tcPr>
            <w:tcW w:w="1121" w:type="dxa"/>
            <w:shd w:val="clear" w:color="auto" w:fill="C4EFCE"/>
            <w:vAlign w:val="center"/>
            <w:hideMark/>
          </w:tcPr>
          <w:p w14:paraId="6BF73E55" w14:textId="77777777" w:rsidR="00154AD2" w:rsidRDefault="007F6BF3">
            <w:pPr>
              <w:pStyle w:val="P68B1DB1-Normal7"/>
              <w:spacing w:after="0" w:line="240" w:lineRule="auto"/>
              <w:jc w:val="center"/>
              <w:rPr>
                <w:rFonts w:eastAsia="Times New Roman" w:cs="Calibri"/>
                <w:noProof/>
              </w:rPr>
            </w:pPr>
            <w:r>
              <w:rPr>
                <w:noProof/>
              </w:rPr>
              <w:t>2.26</w:t>
            </w:r>
          </w:p>
        </w:tc>
        <w:tc>
          <w:tcPr>
            <w:tcW w:w="1259" w:type="dxa"/>
            <w:shd w:val="clear" w:color="auto" w:fill="C4EFCE"/>
            <w:vAlign w:val="center"/>
            <w:hideMark/>
          </w:tcPr>
          <w:p w14:paraId="071F28C9" w14:textId="77777777" w:rsidR="00154AD2" w:rsidRDefault="007F6BF3">
            <w:pPr>
              <w:pStyle w:val="P68B1DB1-Normal8"/>
              <w:spacing w:after="0" w:line="240" w:lineRule="auto"/>
              <w:jc w:val="center"/>
              <w:rPr>
                <w:rFonts w:eastAsia="Times New Roman" w:cs="Calibri"/>
                <w:noProof/>
              </w:rPr>
            </w:pPr>
            <w:r>
              <w:rPr>
                <w:noProof/>
              </w:rPr>
              <w:t>RE-C02-i06</w:t>
            </w:r>
          </w:p>
        </w:tc>
        <w:tc>
          <w:tcPr>
            <w:tcW w:w="1119" w:type="dxa"/>
            <w:shd w:val="clear" w:color="auto" w:fill="C4EFCE"/>
            <w:vAlign w:val="center"/>
            <w:hideMark/>
          </w:tcPr>
          <w:p w14:paraId="516C5BB2" w14:textId="77777777" w:rsidR="00154AD2" w:rsidRDefault="007F6BF3">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450689BD" w14:textId="77777777" w:rsidR="00154AD2" w:rsidRDefault="007F6BF3">
            <w:pPr>
              <w:pStyle w:val="P68B1DB1-Normal8"/>
              <w:spacing w:after="0" w:line="240" w:lineRule="auto"/>
              <w:jc w:val="center"/>
              <w:rPr>
                <w:rFonts w:eastAsia="Times New Roman" w:cs="Calibri"/>
                <w:noProof/>
              </w:rPr>
            </w:pPr>
            <w:r>
              <w:rPr>
                <w:noProof/>
              </w:rPr>
              <w:t xml:space="preserve">Φοιτητική στέγαση με προσιτό κόστος </w:t>
            </w:r>
          </w:p>
        </w:tc>
        <w:tc>
          <w:tcPr>
            <w:tcW w:w="1258" w:type="dxa"/>
            <w:shd w:val="clear" w:color="auto" w:fill="C4EFCE"/>
            <w:vAlign w:val="center"/>
            <w:hideMark/>
          </w:tcPr>
          <w:p w14:paraId="26DEFBD7" w14:textId="77777777" w:rsidR="00154AD2" w:rsidRDefault="007F6BF3">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53703B53" w14:textId="77777777" w:rsidR="00154AD2" w:rsidRDefault="007F6BF3">
            <w:pPr>
              <w:pStyle w:val="P68B1DB1-Normal8"/>
              <w:spacing w:after="0" w:line="240" w:lineRule="auto"/>
              <w:jc w:val="center"/>
              <w:rPr>
                <w:rFonts w:eastAsia="Times New Roman" w:cs="Calibri"/>
                <w:noProof/>
              </w:rPr>
            </w:pPr>
            <w:r>
              <w:rPr>
                <w:noProof/>
              </w:rPr>
              <w:t xml:space="preserve">Αριθμός </w:t>
            </w:r>
          </w:p>
        </w:tc>
        <w:tc>
          <w:tcPr>
            <w:tcW w:w="980" w:type="dxa"/>
            <w:shd w:val="clear" w:color="auto" w:fill="C4EFCE"/>
            <w:vAlign w:val="center"/>
            <w:hideMark/>
          </w:tcPr>
          <w:p w14:paraId="13A0BF4A" w14:textId="77777777" w:rsidR="00154AD2" w:rsidRDefault="007F6BF3">
            <w:pPr>
              <w:pStyle w:val="P68B1DB1-Normal8"/>
              <w:spacing w:after="0" w:line="240" w:lineRule="auto"/>
              <w:jc w:val="center"/>
              <w:rPr>
                <w:rFonts w:eastAsia="Times New Roman" w:cs="Calibri"/>
                <w:noProof/>
              </w:rPr>
            </w:pPr>
            <w:r>
              <w:rPr>
                <w:noProof/>
              </w:rPr>
              <w:t>0</w:t>
            </w:r>
          </w:p>
        </w:tc>
        <w:tc>
          <w:tcPr>
            <w:tcW w:w="701" w:type="dxa"/>
            <w:shd w:val="clear" w:color="auto" w:fill="C4EFCE"/>
            <w:vAlign w:val="center"/>
            <w:hideMark/>
          </w:tcPr>
          <w:p w14:paraId="18D72F16" w14:textId="276DBD05" w:rsidR="00154AD2" w:rsidRDefault="007F6BF3">
            <w:pPr>
              <w:pStyle w:val="P68B1DB1-Normal8"/>
              <w:spacing w:after="0" w:line="240" w:lineRule="auto"/>
              <w:jc w:val="center"/>
              <w:rPr>
                <w:rFonts w:eastAsia="Times New Roman" w:cs="Calibri"/>
                <w:noProof/>
              </w:rPr>
            </w:pPr>
            <w:r>
              <w:rPr>
                <w:noProof/>
              </w:rPr>
              <w:t>7 200</w:t>
            </w:r>
          </w:p>
        </w:tc>
        <w:tc>
          <w:tcPr>
            <w:tcW w:w="561" w:type="dxa"/>
            <w:shd w:val="clear" w:color="auto" w:fill="C4EFCE"/>
            <w:vAlign w:val="center"/>
            <w:hideMark/>
          </w:tcPr>
          <w:p w14:paraId="1236111F"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700" w:type="dxa"/>
            <w:shd w:val="clear" w:color="auto" w:fill="C4EFCE"/>
            <w:vAlign w:val="center"/>
            <w:hideMark/>
          </w:tcPr>
          <w:p w14:paraId="3F3B9998" w14:textId="37F93F36" w:rsidR="00154AD2" w:rsidRDefault="007F6BF3">
            <w:pPr>
              <w:pStyle w:val="P68B1DB1-Normal8"/>
              <w:spacing w:after="0" w:line="240" w:lineRule="auto"/>
              <w:jc w:val="both"/>
              <w:rPr>
                <w:rFonts w:eastAsia="Times New Roman" w:cs="Calibri"/>
                <w:noProof/>
              </w:rPr>
            </w:pPr>
            <w:r>
              <w:rPr>
                <w:noProof/>
              </w:rPr>
              <w:t>2024</w:t>
            </w:r>
          </w:p>
        </w:tc>
        <w:tc>
          <w:tcPr>
            <w:tcW w:w="4606" w:type="dxa"/>
            <w:shd w:val="clear" w:color="auto" w:fill="C4EFCE"/>
            <w:vAlign w:val="center"/>
            <w:hideMark/>
          </w:tcPr>
          <w:p w14:paraId="778022FF" w14:textId="62E05FA1" w:rsidR="00154AD2" w:rsidRDefault="007F6BF3">
            <w:pPr>
              <w:pStyle w:val="P68B1DB1-Normal8"/>
              <w:spacing w:after="0" w:line="240" w:lineRule="auto"/>
              <w:jc w:val="both"/>
              <w:rPr>
                <w:rFonts w:eastAsia="Times New Roman" w:cs="Calibri"/>
                <w:noProof/>
              </w:rPr>
            </w:pPr>
            <w:r>
              <w:rPr>
                <w:noProof/>
              </w:rPr>
              <w:t xml:space="preserve">Αριθμός νέων και ανακαινισμένων θέσεων που διατίθενται κυρίως σε φοιτητές τριτοβάθμιας εκπαίδευσης σε αστικά ή μεικτά κτίρια και προορίζονται, εν όλω ή εν μέρει, για προσωρινή στέγαση από σπουδαστές που σπουδάζουν σε τόπο διαφορετικό από τον τόπο κατοικίας τους και χρειάζονται διαμονή για σκοπούς τριτοβάθμιας εκπαίδευσης, συμπεριλαμβανομένων των φοιτητικών κατοικιών τριτοβάθμιας εκπαίδευσης, που περιλαμβάνουν απαραιτήτως δωμάτια, λουτρά, κουζίνες και χώρους γευμάτων, και μπορεί να περιλαμβάνουν τόπους σπουδών και στέγασης, στάθμευση και εξοπλισμό· </w:t>
            </w:r>
          </w:p>
          <w:p w14:paraId="6C80330F" w14:textId="606400D0" w:rsidR="00154AD2" w:rsidRDefault="007F6BF3">
            <w:pPr>
              <w:pStyle w:val="P68B1DB1-Normal8"/>
              <w:spacing w:after="0" w:line="240" w:lineRule="auto"/>
              <w:jc w:val="both"/>
              <w:rPr>
                <w:rFonts w:eastAsia="Times New Roman" w:cs="Calibri"/>
                <w:noProof/>
              </w:rPr>
            </w:pPr>
            <w:r>
              <w:rPr>
                <w:noProof/>
              </w:rPr>
              <w:t>Τα νέα κτίρια έχουν ζήτηση πρωτογενούς ενέργειας τουλάχιστον 20 % χαμηλότερη από τις απαιτήσεις των κτιρίων με σχεδόν μηδενική κατανάλωση ενέργειας. Οι ανακαινίσεις ενεργειακής απόδοσης επιτυγχάνουν, κατά μέσο όρο, τουλάχιστον μεσαίας κλίμακας ανακαίνιση, όπως ορίζεται στη σύσταση της Επιτροπής για την ανακαίνιση κτιρίων (ΕΕ) 2019/786</w:t>
            </w:r>
          </w:p>
        </w:tc>
      </w:tr>
      <w:tr w:rsidR="00154AD2" w14:paraId="6E7A4C44" w14:textId="77777777">
        <w:trPr>
          <w:trHeight w:val="543"/>
        </w:trPr>
        <w:tc>
          <w:tcPr>
            <w:tcW w:w="1121" w:type="dxa"/>
            <w:shd w:val="clear" w:color="auto" w:fill="C4EFCE"/>
            <w:vAlign w:val="center"/>
            <w:hideMark/>
          </w:tcPr>
          <w:p w14:paraId="2FE553C4" w14:textId="77777777" w:rsidR="00154AD2" w:rsidRDefault="007F6BF3">
            <w:pPr>
              <w:pStyle w:val="P68B1DB1-Normal7"/>
              <w:spacing w:after="0" w:line="240" w:lineRule="auto"/>
              <w:jc w:val="center"/>
              <w:rPr>
                <w:rFonts w:eastAsia="Times New Roman" w:cs="Calibri"/>
                <w:noProof/>
              </w:rPr>
            </w:pPr>
            <w:r>
              <w:rPr>
                <w:noProof/>
              </w:rPr>
              <w:t>2.27</w:t>
            </w:r>
          </w:p>
        </w:tc>
        <w:tc>
          <w:tcPr>
            <w:tcW w:w="1259" w:type="dxa"/>
            <w:shd w:val="clear" w:color="auto" w:fill="C4EFCE"/>
            <w:vAlign w:val="center"/>
            <w:hideMark/>
          </w:tcPr>
          <w:p w14:paraId="0BCB48BE" w14:textId="77777777" w:rsidR="00154AD2" w:rsidRDefault="007F6BF3">
            <w:pPr>
              <w:pStyle w:val="P68B1DB1-Normal8"/>
              <w:spacing w:after="0" w:line="240" w:lineRule="auto"/>
              <w:jc w:val="center"/>
              <w:rPr>
                <w:rFonts w:eastAsia="Times New Roman" w:cs="Calibri"/>
                <w:noProof/>
              </w:rPr>
            </w:pPr>
            <w:r>
              <w:rPr>
                <w:noProof/>
              </w:rPr>
              <w:t>RE-C02-i06</w:t>
            </w:r>
          </w:p>
        </w:tc>
        <w:tc>
          <w:tcPr>
            <w:tcW w:w="1119" w:type="dxa"/>
            <w:shd w:val="clear" w:color="auto" w:fill="C4EFCE"/>
            <w:vAlign w:val="center"/>
            <w:hideMark/>
          </w:tcPr>
          <w:p w14:paraId="10B25FE4" w14:textId="77777777" w:rsidR="00154AD2" w:rsidRDefault="007F6BF3">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26157084" w14:textId="77777777" w:rsidR="00154AD2" w:rsidRDefault="007F6BF3">
            <w:pPr>
              <w:pStyle w:val="P68B1DB1-Normal8"/>
              <w:spacing w:after="0" w:line="240" w:lineRule="auto"/>
              <w:jc w:val="center"/>
              <w:rPr>
                <w:rFonts w:eastAsia="Times New Roman" w:cs="Calibri"/>
                <w:noProof/>
              </w:rPr>
            </w:pPr>
            <w:r>
              <w:rPr>
                <w:noProof/>
              </w:rPr>
              <w:t xml:space="preserve">Φοιτητική στέγαση με προσιτό κόστος </w:t>
            </w:r>
          </w:p>
        </w:tc>
        <w:tc>
          <w:tcPr>
            <w:tcW w:w="1258" w:type="dxa"/>
            <w:shd w:val="clear" w:color="auto" w:fill="C4EFCE"/>
            <w:vAlign w:val="center"/>
            <w:hideMark/>
          </w:tcPr>
          <w:p w14:paraId="1F8A44C2" w14:textId="77777777" w:rsidR="00154AD2" w:rsidRDefault="007F6BF3">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167C80EC"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80" w:type="dxa"/>
            <w:shd w:val="clear" w:color="auto" w:fill="C4EFCE"/>
            <w:vAlign w:val="center"/>
            <w:hideMark/>
          </w:tcPr>
          <w:p w14:paraId="416AAB49" w14:textId="54C17EC0" w:rsidR="00154AD2" w:rsidRDefault="007F6BF3">
            <w:pPr>
              <w:pStyle w:val="P68B1DB1-Normal8"/>
              <w:spacing w:after="0" w:line="240" w:lineRule="auto"/>
              <w:jc w:val="center"/>
              <w:rPr>
                <w:rFonts w:eastAsia="Times New Roman" w:cs="Calibri"/>
                <w:noProof/>
              </w:rPr>
            </w:pPr>
            <w:r>
              <w:rPr>
                <w:noProof/>
              </w:rPr>
              <w:t>7 200</w:t>
            </w:r>
          </w:p>
        </w:tc>
        <w:tc>
          <w:tcPr>
            <w:tcW w:w="701" w:type="dxa"/>
            <w:shd w:val="clear" w:color="auto" w:fill="C4EFCE"/>
            <w:vAlign w:val="center"/>
            <w:hideMark/>
          </w:tcPr>
          <w:p w14:paraId="3439E949" w14:textId="1E287A32" w:rsidR="00154AD2" w:rsidRDefault="007F6BF3">
            <w:pPr>
              <w:pStyle w:val="P68B1DB1-Normal8"/>
              <w:spacing w:after="0" w:line="240" w:lineRule="auto"/>
              <w:jc w:val="center"/>
              <w:rPr>
                <w:rFonts w:eastAsia="Times New Roman" w:cs="Calibri"/>
                <w:noProof/>
              </w:rPr>
            </w:pPr>
            <w:r>
              <w:rPr>
                <w:noProof/>
              </w:rPr>
              <w:t>13 300</w:t>
            </w:r>
          </w:p>
        </w:tc>
        <w:tc>
          <w:tcPr>
            <w:tcW w:w="561" w:type="dxa"/>
            <w:shd w:val="clear" w:color="auto" w:fill="C4EFCE"/>
            <w:vAlign w:val="center"/>
            <w:hideMark/>
          </w:tcPr>
          <w:p w14:paraId="2CB76039"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700" w:type="dxa"/>
            <w:shd w:val="clear" w:color="auto" w:fill="C4EFCE"/>
            <w:vAlign w:val="center"/>
            <w:hideMark/>
          </w:tcPr>
          <w:p w14:paraId="11F34838" w14:textId="11E49FF7" w:rsidR="00154AD2" w:rsidRDefault="007F6BF3">
            <w:pPr>
              <w:pStyle w:val="P68B1DB1-Normal8"/>
              <w:spacing w:after="0" w:line="240" w:lineRule="auto"/>
              <w:jc w:val="center"/>
              <w:rPr>
                <w:rFonts w:eastAsia="Times New Roman" w:cs="Calibri"/>
                <w:noProof/>
              </w:rPr>
            </w:pPr>
            <w:r>
              <w:rPr>
                <w:noProof/>
              </w:rPr>
              <w:t>2025</w:t>
            </w:r>
          </w:p>
        </w:tc>
        <w:tc>
          <w:tcPr>
            <w:tcW w:w="4606" w:type="dxa"/>
            <w:shd w:val="clear" w:color="auto" w:fill="C4EFCE"/>
            <w:vAlign w:val="center"/>
            <w:hideMark/>
          </w:tcPr>
          <w:p w14:paraId="3D265A32" w14:textId="56C4574F" w:rsidR="00154AD2" w:rsidRDefault="007F6BF3">
            <w:pPr>
              <w:pStyle w:val="P68B1DB1-Normal8"/>
              <w:spacing w:after="0" w:line="240" w:lineRule="auto"/>
              <w:jc w:val="both"/>
              <w:rPr>
                <w:rFonts w:eastAsia="Times New Roman" w:cs="Calibri"/>
                <w:noProof/>
              </w:rPr>
            </w:pPr>
            <w:r>
              <w:rPr>
                <w:noProof/>
              </w:rPr>
              <w:t>Αριθμός νέων και ανακαινισμένων θέσεων που διατίθενται κυρίως σε φοιτητές τριτοβάθμιας εκπαίδευσης σε αστικά ή μεικτά κτίρια που προορίζονται, εν όλω ή εν μέρει, για προσωρινή στέγαση από σπουδαστές που σπουδάζουν σε τόπο διαφορετικό από τον τόπο κατοικίας τους και χρειάζονται διαμονή για σκοπούς τριτοβάθμιας εκπαίδευσης, συμπεριλαμβανομένων των φοιτητικών κατοικιών τριτοβάθμιας εκπαίδευσης, που περιλαμβάνουν απαραιτήτως δωμάτια, λουτρά, κουζίνες και χώρους γευμάτων, και μπορεί να περιλαμβάνουν τόπους σπουδών και στέγασης, στάθμευση και εξοπλισμό·</w:t>
            </w:r>
          </w:p>
          <w:p w14:paraId="035EFF71" w14:textId="77777777" w:rsidR="00154AD2" w:rsidRDefault="007F6BF3">
            <w:pPr>
              <w:pStyle w:val="P68B1DB1-Normal8"/>
              <w:spacing w:after="0" w:line="240" w:lineRule="auto"/>
              <w:jc w:val="both"/>
              <w:rPr>
                <w:rFonts w:eastAsia="Times New Roman" w:cs="Calibri"/>
                <w:noProof/>
              </w:rPr>
            </w:pPr>
            <w:r>
              <w:rPr>
                <w:noProof/>
              </w:rPr>
              <w:t>Τα νέα κτίρια έχουν ζήτηση πρωτογενούς ενέργειας τουλάχιστον 20 % χαμηλότερη από τις απαιτήσεις των κτιρίων με σχεδόν μηδενική κατανάλωση ενέργειας. Οι ανακαινίσεις ενεργειακής απόδοσης επιτυγχάνουν, κατά μέσο όρο, τουλάχιστον μεσαίας κλίμακας ανακαίνιση, όπως ορίζεται στη σύσταση της Επιτροπής για την ανακαίνιση κτιρίων (ΕΕ) 2019/786</w:t>
            </w:r>
          </w:p>
        </w:tc>
      </w:tr>
      <w:tr w:rsidR="00154AD2" w14:paraId="3787F6D4" w14:textId="77777777">
        <w:trPr>
          <w:trHeight w:val="1050"/>
        </w:trPr>
        <w:tc>
          <w:tcPr>
            <w:tcW w:w="1121" w:type="dxa"/>
            <w:shd w:val="clear" w:color="auto" w:fill="C4EFCE"/>
            <w:vAlign w:val="center"/>
            <w:hideMark/>
          </w:tcPr>
          <w:p w14:paraId="64CCD213" w14:textId="77777777" w:rsidR="00154AD2" w:rsidRDefault="007F6BF3">
            <w:pPr>
              <w:pStyle w:val="P68B1DB1-Normal7"/>
              <w:spacing w:after="0" w:line="240" w:lineRule="auto"/>
              <w:jc w:val="center"/>
              <w:rPr>
                <w:rFonts w:eastAsia="Times New Roman" w:cs="Calibri"/>
                <w:noProof/>
              </w:rPr>
            </w:pPr>
            <w:r>
              <w:rPr>
                <w:noProof/>
              </w:rPr>
              <w:t>2.28</w:t>
            </w:r>
          </w:p>
        </w:tc>
        <w:tc>
          <w:tcPr>
            <w:tcW w:w="1259" w:type="dxa"/>
            <w:shd w:val="clear" w:color="auto" w:fill="C4EFCE"/>
            <w:vAlign w:val="center"/>
            <w:hideMark/>
          </w:tcPr>
          <w:p w14:paraId="20A40908" w14:textId="77777777" w:rsidR="00154AD2" w:rsidRDefault="007F6BF3">
            <w:pPr>
              <w:pStyle w:val="P68B1DB1-Normal8"/>
              <w:spacing w:after="0" w:line="240" w:lineRule="auto"/>
              <w:jc w:val="center"/>
              <w:rPr>
                <w:rFonts w:eastAsia="Times New Roman" w:cs="Calibri"/>
                <w:noProof/>
              </w:rPr>
            </w:pPr>
            <w:r>
              <w:rPr>
                <w:noProof/>
              </w:rPr>
              <w:t>RE-C02-i06</w:t>
            </w:r>
          </w:p>
        </w:tc>
        <w:tc>
          <w:tcPr>
            <w:tcW w:w="1119" w:type="dxa"/>
            <w:shd w:val="clear" w:color="auto" w:fill="C4EFCE"/>
            <w:vAlign w:val="center"/>
            <w:hideMark/>
          </w:tcPr>
          <w:p w14:paraId="4FFB417C" w14:textId="77777777" w:rsidR="00154AD2" w:rsidRDefault="007F6BF3">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750C1A1F" w14:textId="77777777" w:rsidR="00154AD2" w:rsidRDefault="007F6BF3">
            <w:pPr>
              <w:pStyle w:val="P68B1DB1-Normal8"/>
              <w:spacing w:after="0" w:line="240" w:lineRule="auto"/>
              <w:jc w:val="center"/>
              <w:rPr>
                <w:rFonts w:eastAsia="Times New Roman" w:cs="Calibri"/>
                <w:noProof/>
              </w:rPr>
            </w:pPr>
            <w:r>
              <w:rPr>
                <w:noProof/>
              </w:rPr>
              <w:t xml:space="preserve">Φοιτητική στέγαση με προσιτό κόστος </w:t>
            </w:r>
          </w:p>
        </w:tc>
        <w:tc>
          <w:tcPr>
            <w:tcW w:w="1258" w:type="dxa"/>
            <w:shd w:val="clear" w:color="auto" w:fill="C4EFCE"/>
            <w:vAlign w:val="center"/>
            <w:hideMark/>
          </w:tcPr>
          <w:p w14:paraId="6C52FC90" w14:textId="77777777" w:rsidR="00154AD2" w:rsidRDefault="007F6BF3">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46B01055" w14:textId="77777777" w:rsidR="00154AD2" w:rsidRDefault="007F6BF3">
            <w:pPr>
              <w:pStyle w:val="P68B1DB1-Normal8"/>
              <w:spacing w:after="0" w:line="240" w:lineRule="auto"/>
              <w:jc w:val="center"/>
              <w:rPr>
                <w:rFonts w:eastAsia="Times New Roman" w:cs="Calibri"/>
                <w:noProof/>
              </w:rPr>
            </w:pPr>
            <w:r>
              <w:rPr>
                <w:noProof/>
              </w:rPr>
              <w:t xml:space="preserve">Αριθμός </w:t>
            </w:r>
          </w:p>
        </w:tc>
        <w:tc>
          <w:tcPr>
            <w:tcW w:w="980" w:type="dxa"/>
            <w:shd w:val="clear" w:color="auto" w:fill="C4EFCE"/>
            <w:vAlign w:val="center"/>
            <w:hideMark/>
          </w:tcPr>
          <w:p w14:paraId="6B6F55A2" w14:textId="430D0E78" w:rsidR="00154AD2" w:rsidRDefault="007F6BF3">
            <w:pPr>
              <w:pStyle w:val="P68B1DB1-Normal8"/>
              <w:spacing w:after="0" w:line="240" w:lineRule="auto"/>
              <w:jc w:val="center"/>
              <w:rPr>
                <w:rFonts w:eastAsia="Times New Roman" w:cs="Calibri"/>
                <w:noProof/>
              </w:rPr>
            </w:pPr>
            <w:r>
              <w:rPr>
                <w:noProof/>
              </w:rPr>
              <w:t>13 300</w:t>
            </w:r>
          </w:p>
        </w:tc>
        <w:tc>
          <w:tcPr>
            <w:tcW w:w="701" w:type="dxa"/>
            <w:shd w:val="clear" w:color="auto" w:fill="C4EFCE"/>
            <w:vAlign w:val="center"/>
            <w:hideMark/>
          </w:tcPr>
          <w:p w14:paraId="29351001" w14:textId="66F0DDA5" w:rsidR="00154AD2" w:rsidRDefault="007F6BF3">
            <w:pPr>
              <w:pStyle w:val="P68B1DB1-Normal8"/>
              <w:spacing w:after="0" w:line="240" w:lineRule="auto"/>
              <w:jc w:val="center"/>
              <w:rPr>
                <w:rFonts w:eastAsia="Times New Roman" w:cs="Calibri"/>
                <w:noProof/>
              </w:rPr>
            </w:pPr>
            <w:r>
              <w:rPr>
                <w:noProof/>
              </w:rPr>
              <w:t>18 000</w:t>
            </w:r>
          </w:p>
        </w:tc>
        <w:tc>
          <w:tcPr>
            <w:tcW w:w="561" w:type="dxa"/>
            <w:shd w:val="clear" w:color="auto" w:fill="C4EFCE"/>
            <w:vAlign w:val="center"/>
            <w:hideMark/>
          </w:tcPr>
          <w:p w14:paraId="73B3BC6B"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700" w:type="dxa"/>
            <w:shd w:val="clear" w:color="auto" w:fill="C4EFCE"/>
            <w:vAlign w:val="center"/>
            <w:hideMark/>
          </w:tcPr>
          <w:p w14:paraId="51504EB4" w14:textId="77777777" w:rsidR="00154AD2" w:rsidRDefault="007F6BF3">
            <w:pPr>
              <w:pStyle w:val="P68B1DB1-Normal8"/>
              <w:spacing w:after="0" w:line="240" w:lineRule="auto"/>
              <w:jc w:val="center"/>
              <w:rPr>
                <w:rFonts w:eastAsia="Times New Roman" w:cs="Calibri"/>
                <w:noProof/>
              </w:rPr>
            </w:pPr>
            <w:r>
              <w:rPr>
                <w:noProof/>
              </w:rPr>
              <w:t>2026</w:t>
            </w:r>
          </w:p>
        </w:tc>
        <w:tc>
          <w:tcPr>
            <w:tcW w:w="4606" w:type="dxa"/>
            <w:shd w:val="clear" w:color="auto" w:fill="C4EFCE"/>
            <w:vAlign w:val="center"/>
            <w:hideMark/>
          </w:tcPr>
          <w:p w14:paraId="41184E03" w14:textId="7273E775" w:rsidR="00154AD2" w:rsidRDefault="007F6BF3">
            <w:pPr>
              <w:pStyle w:val="P68B1DB1-Normal8"/>
              <w:spacing w:after="0" w:line="240" w:lineRule="auto"/>
              <w:jc w:val="both"/>
              <w:rPr>
                <w:rFonts w:eastAsia="Times New Roman" w:cs="Calibri"/>
                <w:noProof/>
              </w:rPr>
            </w:pPr>
            <w:r>
              <w:rPr>
                <w:noProof/>
              </w:rPr>
              <w:t xml:space="preserve">Αριθμός νέων και ανακαινισμένων θέσεων που διατίθενται κυρίως σε φοιτητές τριτοβάθμιας εκπαίδευσης σε αστικά ή μεικτά κτίρια που προορίζονται, εν όλω ή εν μέρει, για προσωρινή στέγαση από σπουδαστές που σπουδάζουν σε τόπο διαφορετικό από τον τόπο κατοικίας τους και χρειάζονται διαμονή για σκοπούς τριτοβάθμιας εκπαίδευσης, συμπεριλαμβανομένων των φοιτητικών κατοικιών τριτοβάθμιας εκπαίδευσης, που περιλαμβάνουν απαραιτήτως δωμάτια, λουτρά, κουζίνες και χώρους γευμάτων, και μπορεί να περιλαμβάνουν τόπους σπουδών και στέγασης, στάθμευση και εξοπλισμό· </w:t>
            </w:r>
          </w:p>
          <w:p w14:paraId="10E836B8" w14:textId="26AC752F" w:rsidR="00154AD2" w:rsidRDefault="007F6BF3">
            <w:pPr>
              <w:pStyle w:val="P68B1DB1-Normal8"/>
              <w:spacing w:after="0" w:line="240" w:lineRule="auto"/>
              <w:jc w:val="both"/>
              <w:rPr>
                <w:rFonts w:eastAsia="Times New Roman" w:cs="Calibri"/>
                <w:noProof/>
              </w:rPr>
            </w:pPr>
            <w:r>
              <w:rPr>
                <w:noProof/>
              </w:rPr>
              <w:t>Τα νέα κτίρια έχουν ζήτηση πρωτογενούς ενέργειας τουλάχιστον 20 % χαμηλότερη από τις απαιτήσεις των κτιρίων με σχεδόν μηδενική κατανάλωση ενέργειας. Οι ανακαινίσεις ενεργειακής απόδοσης επιτυγχάνουν, κατά μέσο όρο, τουλάχιστον μεσαίας κλίμακας ανακαίνιση, όπως ορίζεται στη σύσταση της Επιτροπής για την ανακαίνιση κτιρίων (ΕΕ) 2019/786</w:t>
            </w:r>
          </w:p>
        </w:tc>
      </w:tr>
      <w:tr w:rsidR="00154AD2" w14:paraId="60C698ED" w14:textId="77777777">
        <w:trPr>
          <w:trHeight w:val="1050"/>
        </w:trPr>
        <w:tc>
          <w:tcPr>
            <w:tcW w:w="1121" w:type="dxa"/>
            <w:shd w:val="clear" w:color="auto" w:fill="C4EFCE"/>
            <w:vAlign w:val="center"/>
          </w:tcPr>
          <w:p w14:paraId="4705E034" w14:textId="4AC666D2" w:rsidR="00154AD2" w:rsidRDefault="007F6BF3">
            <w:pPr>
              <w:pStyle w:val="P68B1DB1-Normal11"/>
              <w:spacing w:after="0" w:line="240" w:lineRule="auto"/>
              <w:jc w:val="center"/>
              <w:rPr>
                <w:rFonts w:eastAsia="Times New Roman" w:cstheme="minorHAnsi"/>
                <w:noProof/>
              </w:rPr>
            </w:pPr>
            <w:r>
              <w:rPr>
                <w:noProof/>
              </w:rPr>
              <w:t>2.32</w:t>
            </w:r>
          </w:p>
        </w:tc>
        <w:tc>
          <w:tcPr>
            <w:tcW w:w="1259" w:type="dxa"/>
            <w:shd w:val="clear" w:color="auto" w:fill="C4EFCE"/>
            <w:vAlign w:val="center"/>
          </w:tcPr>
          <w:p w14:paraId="4776F9DD" w14:textId="58DFAFA4" w:rsidR="00154AD2" w:rsidRDefault="007F6BF3">
            <w:pPr>
              <w:pStyle w:val="P68B1DB1-Normal12"/>
              <w:spacing w:after="0" w:line="240" w:lineRule="auto"/>
              <w:jc w:val="center"/>
              <w:rPr>
                <w:rFonts w:eastAsia="Times New Roman" w:cstheme="minorHAnsi"/>
                <w:noProof/>
              </w:rPr>
            </w:pPr>
            <w:r>
              <w:rPr>
                <w:noProof/>
              </w:rPr>
              <w:t>RE-C02-i09</w:t>
            </w:r>
          </w:p>
        </w:tc>
        <w:tc>
          <w:tcPr>
            <w:tcW w:w="1119" w:type="dxa"/>
            <w:shd w:val="clear" w:color="auto" w:fill="C4EFCE"/>
            <w:vAlign w:val="center"/>
          </w:tcPr>
          <w:p w14:paraId="3A5C7E5C" w14:textId="2BCC6FAF" w:rsidR="00154AD2" w:rsidRDefault="007F6BF3">
            <w:pPr>
              <w:pStyle w:val="P68B1DB1-Normal12"/>
              <w:spacing w:after="0" w:line="240" w:lineRule="auto"/>
              <w:jc w:val="center"/>
              <w:rPr>
                <w:rFonts w:eastAsia="Times New Roman" w:cstheme="minorHAnsi"/>
                <w:noProof/>
              </w:rPr>
            </w:pPr>
            <w:r>
              <w:rPr>
                <w:noProof/>
              </w:rPr>
              <w:t>T</w:t>
            </w:r>
          </w:p>
        </w:tc>
        <w:tc>
          <w:tcPr>
            <w:tcW w:w="1677" w:type="dxa"/>
            <w:shd w:val="clear" w:color="auto" w:fill="C4EFCE"/>
            <w:vAlign w:val="center"/>
          </w:tcPr>
          <w:p w14:paraId="0968588E" w14:textId="5CE5582D" w:rsidR="00154AD2" w:rsidRDefault="007F6BF3">
            <w:pPr>
              <w:pStyle w:val="P68B1DB1-Normal12"/>
              <w:spacing w:after="0" w:line="240" w:lineRule="auto"/>
              <w:jc w:val="center"/>
              <w:rPr>
                <w:rFonts w:eastAsia="Times New Roman" w:cstheme="minorHAnsi"/>
                <w:noProof/>
              </w:rPr>
            </w:pPr>
            <w:r>
              <w:rPr>
                <w:noProof/>
              </w:rPr>
              <w:t>Πρόγραμμα στήριξης για την πρόσβαση σε στέγαση (δάνειο) — Αγορασθείσες, κατασκευασμένες (υψηλής ενεργειακής απόδοσης) ή αποκατεστημένες (με βελτιωμένη ενεργειακή απόδοση) κατοικίες που παρέχονται σε νοικοκυριά</w:t>
            </w:r>
          </w:p>
        </w:tc>
        <w:tc>
          <w:tcPr>
            <w:tcW w:w="1258" w:type="dxa"/>
            <w:shd w:val="clear" w:color="auto" w:fill="C4EFCE"/>
            <w:vAlign w:val="center"/>
          </w:tcPr>
          <w:p w14:paraId="0319FDDB" w14:textId="77777777" w:rsidR="00154AD2" w:rsidRDefault="00154AD2">
            <w:pPr>
              <w:spacing w:after="0" w:line="240" w:lineRule="auto"/>
              <w:jc w:val="center"/>
              <w:rPr>
                <w:rFonts w:eastAsia="Times New Roman" w:cstheme="minorHAnsi"/>
                <w:noProof/>
                <w:sz w:val="16"/>
              </w:rPr>
            </w:pPr>
          </w:p>
        </w:tc>
        <w:tc>
          <w:tcPr>
            <w:tcW w:w="981" w:type="dxa"/>
            <w:shd w:val="clear" w:color="auto" w:fill="C4EFCE"/>
            <w:vAlign w:val="center"/>
          </w:tcPr>
          <w:p w14:paraId="172C6BDD" w14:textId="4AB1B921" w:rsidR="00154AD2" w:rsidRDefault="007F6BF3">
            <w:pPr>
              <w:pStyle w:val="P68B1DB1-Normal12"/>
              <w:spacing w:after="0" w:line="240" w:lineRule="auto"/>
              <w:jc w:val="center"/>
              <w:rPr>
                <w:rFonts w:eastAsia="Times New Roman" w:cstheme="minorHAnsi"/>
                <w:noProof/>
              </w:rPr>
            </w:pPr>
            <w:r>
              <w:rPr>
                <w:noProof/>
              </w:rPr>
              <w:t>Αριθμός</w:t>
            </w:r>
          </w:p>
        </w:tc>
        <w:tc>
          <w:tcPr>
            <w:tcW w:w="980" w:type="dxa"/>
            <w:shd w:val="clear" w:color="auto" w:fill="C4EFCE"/>
            <w:vAlign w:val="center"/>
          </w:tcPr>
          <w:p w14:paraId="1E32C4B2" w14:textId="13724816" w:rsidR="00154AD2" w:rsidRDefault="007F6BF3">
            <w:pPr>
              <w:pStyle w:val="P68B1DB1-Normal12"/>
              <w:spacing w:after="0" w:line="240" w:lineRule="auto"/>
              <w:jc w:val="center"/>
              <w:rPr>
                <w:rFonts w:eastAsia="Times New Roman" w:cstheme="minorHAnsi"/>
                <w:noProof/>
              </w:rPr>
            </w:pPr>
            <w:r>
              <w:rPr>
                <w:noProof/>
              </w:rPr>
              <w:t>22 360</w:t>
            </w:r>
          </w:p>
        </w:tc>
        <w:tc>
          <w:tcPr>
            <w:tcW w:w="701" w:type="dxa"/>
            <w:shd w:val="clear" w:color="auto" w:fill="C4EFCE"/>
            <w:vAlign w:val="center"/>
          </w:tcPr>
          <w:p w14:paraId="1CB0AF1E" w14:textId="43D15A0F" w:rsidR="00154AD2" w:rsidRDefault="007F6BF3">
            <w:pPr>
              <w:pStyle w:val="P68B1DB1-Normal12"/>
              <w:spacing w:after="0" w:line="240" w:lineRule="auto"/>
              <w:jc w:val="center"/>
              <w:rPr>
                <w:rFonts w:eastAsia="Times New Roman" w:cstheme="minorHAnsi"/>
                <w:noProof/>
              </w:rPr>
            </w:pPr>
            <w:r>
              <w:rPr>
                <w:noProof/>
              </w:rPr>
              <w:t>26 000</w:t>
            </w:r>
          </w:p>
        </w:tc>
        <w:tc>
          <w:tcPr>
            <w:tcW w:w="561" w:type="dxa"/>
            <w:shd w:val="clear" w:color="auto" w:fill="C4EFCE"/>
            <w:vAlign w:val="center"/>
          </w:tcPr>
          <w:p w14:paraId="413ACC31" w14:textId="3CB9F2B6" w:rsidR="00154AD2" w:rsidRDefault="007F6BF3">
            <w:pPr>
              <w:pStyle w:val="P68B1DB1-Normal12"/>
              <w:spacing w:after="0" w:line="240" w:lineRule="auto"/>
              <w:jc w:val="center"/>
              <w:rPr>
                <w:rFonts w:eastAsia="Times New Roman" w:cstheme="minorHAnsi"/>
                <w:noProof/>
              </w:rPr>
            </w:pPr>
            <w:r>
              <w:rPr>
                <w:noProof/>
              </w:rPr>
              <w:t>ΤΡΊΜΗΝΟ 2</w:t>
            </w:r>
          </w:p>
        </w:tc>
        <w:tc>
          <w:tcPr>
            <w:tcW w:w="700" w:type="dxa"/>
            <w:shd w:val="clear" w:color="auto" w:fill="C4EFCE"/>
            <w:vAlign w:val="center"/>
          </w:tcPr>
          <w:p w14:paraId="07B859C8" w14:textId="44A10FA7" w:rsidR="00154AD2" w:rsidRDefault="007F6BF3">
            <w:pPr>
              <w:pStyle w:val="P68B1DB1-Normal12"/>
              <w:spacing w:after="0" w:line="240" w:lineRule="auto"/>
              <w:jc w:val="center"/>
              <w:rPr>
                <w:rFonts w:eastAsia="Times New Roman" w:cstheme="minorHAnsi"/>
                <w:noProof/>
              </w:rPr>
            </w:pPr>
            <w:r>
              <w:rPr>
                <w:noProof/>
              </w:rPr>
              <w:t>2026</w:t>
            </w:r>
          </w:p>
        </w:tc>
        <w:tc>
          <w:tcPr>
            <w:tcW w:w="4606" w:type="dxa"/>
            <w:shd w:val="clear" w:color="auto" w:fill="C4EFCE"/>
            <w:vAlign w:val="center"/>
          </w:tcPr>
          <w:p w14:paraId="4659094D" w14:textId="2882B7AB" w:rsidR="00154AD2" w:rsidRDefault="007F6BF3">
            <w:pPr>
              <w:pStyle w:val="P68B1DB1-Normal12"/>
              <w:spacing w:after="0" w:line="240" w:lineRule="auto"/>
              <w:jc w:val="both"/>
              <w:rPr>
                <w:rFonts w:eastAsia="Times New Roman" w:cstheme="minorHAnsi"/>
                <w:noProof/>
              </w:rPr>
            </w:pPr>
            <w:r>
              <w:rPr>
                <w:noProof/>
              </w:rPr>
              <w:t xml:space="preserve">Αριθμός κατοικιών που παραδόθηκαν σε επιλέξιμα νοικοκυριά του προγράμματος. Τα νέα κτίρια έχουν ζήτηση πρωτογενούς ενέργειας τουλάχιστον 20 % χαμηλότερη από τις απαιτήσεις των κτιρίων με σχεδόν μηδενική κατανάλωση ενέργειας. Για την αποκατάσταση, η μονάδα αναφοράς ανά κατοικία είναι 73 τετραγωνικά μέτρα, για νέες κατασκευές 95 τετραγωνικά μέτρα για τις 3 640 κατοικίες.  </w:t>
            </w:r>
          </w:p>
        </w:tc>
      </w:tr>
    </w:tbl>
    <w:p w14:paraId="3369A928" w14:textId="77777777" w:rsidR="00154AD2" w:rsidRDefault="00154AD2">
      <w:pPr>
        <w:spacing w:before="40" w:after="0" w:line="259" w:lineRule="auto"/>
        <w:jc w:val="both"/>
        <w:rPr>
          <w:rFonts w:ascii="Times New Roman" w:eastAsiaTheme="minorEastAsia" w:hAnsi="Times New Roman" w:cs="Times New Roman"/>
          <w:noProof/>
          <w:sz w:val="24"/>
        </w:rPr>
        <w:sectPr w:rsidR="00154AD2" w:rsidSect="00E00EDD">
          <w:headerReference w:type="even" r:id="rId66"/>
          <w:headerReference w:type="default" r:id="rId67"/>
          <w:footerReference w:type="even" r:id="rId68"/>
          <w:footerReference w:type="default" r:id="rId69"/>
          <w:headerReference w:type="first" r:id="rId70"/>
          <w:footerReference w:type="first" r:id="rId71"/>
          <w:pgSz w:w="16839" w:h="11907" w:orient="landscape"/>
          <w:pgMar w:top="1134" w:right="1134" w:bottom="1134" w:left="1134" w:header="567" w:footer="567" w:gutter="0"/>
          <w:cols w:space="720"/>
          <w:docGrid w:linePitch="360"/>
        </w:sectPr>
      </w:pPr>
    </w:p>
    <w:p w14:paraId="778B2B3C" w14:textId="77777777" w:rsidR="00154AD2" w:rsidRDefault="007F6BF3">
      <w:pPr>
        <w:pStyle w:val="P68B1DB1-Normal3"/>
        <w:keepNext/>
        <w:spacing w:before="40" w:after="0" w:line="259" w:lineRule="auto"/>
        <w:ind w:left="130" w:firstLine="720"/>
        <w:jc w:val="both"/>
        <w:outlineLvl w:val="1"/>
        <w:rPr>
          <w:rFonts w:eastAsiaTheme="minorEastAsia" w:cs="Times New Roman"/>
          <w:noProof/>
        </w:rPr>
      </w:pPr>
      <w:r>
        <w:rPr>
          <w:noProof/>
        </w:rPr>
        <w:t>Γ. ΣΥΝΙΣΤΩΣΑ 3: Κοινωνικές απαντήσεις</w:t>
      </w:r>
    </w:p>
    <w:p w14:paraId="3106967B"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Πορτογαλία αντιμετωπίζει εδώ και πολλά χρόνια σημαντικές δημογραφικές και κοινωνικοοικονομικές προκλήσεις, οι οποίες ενισχύθηκαν από την πανδημία COVID-19. Αυτή η συνιστώσα του πορτογαλικού σχεδίου ανάκαμψης και ανθεκτικότητας αντιμετωπίζει τις ακόλουθες προκλήσεις: δημογραφική γήρανση, δικαιώματα των ατόμων με αναπηρία και άλλων ατόμων με εξάρτηση και καταστάσεις φτώχειας και κοινωνικού αποκλεισμού μεταξύ μειονεκτουσών κοινοτήτων και ομάδων. </w:t>
      </w:r>
    </w:p>
    <w:p w14:paraId="64C7C5EC"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Στο πλαίσιο αυτό, η συνιστώσα αυτή αντιμετωπίζει τις διαρθρωτικές προκλήσεις που σχετίζονται με την κοινωνική πολιτική και τις ελλείψεις στην κάλυψη των κοινωνικών υπηρεσιών για πληθυσμούς/περιφέρειες που έχουν ανάγκη, τόσο στην ηπειρωτική Πορτογαλία όσο και στις αυτόνομες περιφέρειες των Αζορών και της Μαδέρας. </w:t>
      </w:r>
    </w:p>
    <w:p w14:paraId="5F00D562" w14:textId="77777777" w:rsidR="00154AD2" w:rsidRDefault="007F6BF3">
      <w:pPr>
        <w:pStyle w:val="P68B1DB1-Normal4"/>
        <w:keepNext/>
        <w:spacing w:before="40" w:after="0" w:line="259" w:lineRule="auto"/>
        <w:jc w:val="both"/>
        <w:rPr>
          <w:rFonts w:eastAsiaTheme="minorEastAsia" w:cs="Times New Roman"/>
          <w:noProof/>
        </w:rPr>
      </w:pPr>
      <w:r>
        <w:rPr>
          <w:noProof/>
        </w:rPr>
        <w:t>Οι κύριοι στόχοι της συνιστώσας είναι οι εξής: I) βελτίωση των εγκαταστάσεων κοινωνικής φροντίδας και εξασφάλιση καλύτερης εδαφικής κάλυψης· ενίσχυση και επέκταση του δικτύου κοινωνικών απαντήσεων με καινοτόμες λύσεις και πιλοτικά έργα και παρεμβάσεις· ανάπτυξη καινοτόμων λύσεων στήριξης σε επίπεδο κοινότητας, που συμβάλλουν στην προώθηση της ανεξάρτητης διαβίωσης, στην πρόληψη της εξάρτησης και στην ανάπτυξη απαντήσεων για τη μη ιδρυματοποίηση σύμφωνα με τη Σύμβαση των Ηνωμένων Εθνών για τα δικαιώματα των ατόμων με αναπηρία· IV) διασφάλιση της προσβασιμότητας των ατόμων με αναπηρία σε συνθήκες διαβίωσης χωρίς αποκλεισμούς και συμμετοχή στην κοινωνία και την οικονομία· και v) προώθηση της εξάλειψης της φτώχειας με την ανάπτυξη μιας συνολικής εθνικής στρατηγικής που θα επικεντρώνεται στις πλέον ευάλωτες και μειονεκτούσες κοινότητες.</w:t>
      </w:r>
    </w:p>
    <w:p w14:paraId="3E070AF6" w14:textId="6383616C" w:rsidR="00154AD2" w:rsidRDefault="007F6BF3">
      <w:pPr>
        <w:pStyle w:val="P68B1DB1-Normal4"/>
        <w:keepNext/>
        <w:spacing w:before="40" w:after="0" w:line="259" w:lineRule="auto"/>
        <w:jc w:val="both"/>
        <w:rPr>
          <w:rFonts w:eastAsiaTheme="minorEastAsia" w:cs="Times New Roman"/>
          <w:noProof/>
        </w:rPr>
      </w:pPr>
      <w:r>
        <w:rPr>
          <w:noProof/>
        </w:rPr>
        <w:t>Η συνιστώσα στηρίζει την εφαρμογή της ειδικής ανά χώρα σύστασης για την ενίσχυση της ανθεκτικότητας του συστήματος υγείας και τη διασφάλιση ισότιμης πρόσβασης σε ποιοτική υγειονομική και μακροχρόνια περίθαλψη (ειδική ανά χώρα σύσταση 1 2020). Επιπλέον, συμβάλλει στην εφαρμογή της ειδικής ανά χώρα σύστασης για τη βελτίωση της αποτελεσματικότητας και της επάρκειας του κοινωνικού διχτυού ασφαλείας και για τη βελτίωση του επιπέδου δεξιοτήτων του πληθυσμού (ειδική ανά χώρα σύσταση 2 2019), τη διασφάλιση επαρκούς κοινωνικής προστασίας και εισοδηματικής στήριξης και τη διασφάλιση ισότιμης πρόσβασης σε ποιοτική εκπαίδευση και κατάρτιση (ειδική ανά χώρα σύσταση 2 2020) και τη βελτίωση της αποτελεσματικότητας του πορτογαλικού συστήματος κοινωνικής προστασίας, ιδίως με την απλούστευση του πλαισίου του (ειδικές ανά χώρα συστάσεις 1 2022 και 2023). Η συνιστώσα στηρίζει επίσης έμμεσα την εφαρμογή της ειδικής ανά χώρα σύστασης σχετικά με την εστίαση των επενδύσεων στην πράσινη και την ψηφιακή μετάβαση (ειδική ανά χώρα σύσταση 3 2020).</w:t>
      </w:r>
    </w:p>
    <w:p w14:paraId="2F3C4A99"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συνιστώσα αυτή αναμένεται να συμβάλει τόσο στην πράσινη όσο και στην ψηφιακή μετάβαση. Τα έργα που σχετίζονται με την κατασκευή, την επέκταση και την ανακαίνιση των εγκαταστάσεων κοινωνικής αντίδρασης επικεντρώνονται στην ενεργειακή απόδοση, στη χρήση ανανεώσιμων πηγών ενέργειας για αυτοκατανάλωση και στη μείωση του κόστους ενέργειας και καυσίμων. Οι περιβαλλοντικές διαστάσεις ενσωματώνονται μέσω της προώθησης νέων κατασκευών με υψηλά πρότυπα ενεργειακής απόδοσης. Επιπλέον, οι εμπλεκόμενες οντότητες είναι εξοπλισμένες με ελαφρά οχήματα μηδενικών εκπομπών. Τέλος, η συνιστώσα αυτή ενσωματώνει μέτρα που ενισχύουν τη χρήση ψηφιακών εργαλείων, ιδίως από τις κοινωνικές υπηρεσίες που παρέχουν στήριξη στους ηλικιωμένους και από την κυβέρνηση μέσω της δημιουργίας εργαλείων ΤΠΕ και ηλεκτρονικών υπηρεσιών που απευθύνονται σε άτομα με αναπηρία. </w:t>
      </w:r>
    </w:p>
    <w:p w14:paraId="37069125" w14:textId="77777777" w:rsidR="00154AD2" w:rsidRDefault="007F6BF3">
      <w:pPr>
        <w:pStyle w:val="P68B1DB1-Normal4"/>
        <w:keepNext/>
        <w:spacing w:before="40" w:after="0" w:line="259" w:lineRule="auto"/>
        <w:jc w:val="both"/>
        <w:rPr>
          <w:rFonts w:eastAsiaTheme="minorEastAsia" w:cs="Times New Roman"/>
          <w:noProof/>
        </w:rPr>
      </w:pPr>
      <w:r>
        <w:rPr>
          <w:noProof/>
        </w:rPr>
        <w:t>Αναμένεται ότι κανένα μέτρο στη συνιστώσα αυτή δεν βλάπτει σημαντικά τους περιβαλλοντικούς στόχους κατά την έννοια του άρθρου 17 του κανονισμού (ΕΕ) 2020/852, λαμβανομένης υπόψη της περιγραφής των μέτρων και των μέτρων μετριασμού που ορίζονται στο σχέδιο σύμφωνα με την τεχνική καθοδήγηση σχετικά με την αρχή της μη πρόκλησης σημαντικής βλάβης (2021/C58/01).</w:t>
      </w:r>
    </w:p>
    <w:p w14:paraId="11FB0FD0"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679A4A18" w14:textId="77777777" w:rsidR="00154AD2" w:rsidRDefault="007F6BF3">
      <w:pPr>
        <w:pStyle w:val="P68B1DB1-Normal3"/>
        <w:keepNext/>
        <w:spacing w:before="40" w:after="0" w:line="259" w:lineRule="auto"/>
        <w:ind w:left="130" w:firstLine="720"/>
        <w:jc w:val="both"/>
        <w:outlineLvl w:val="2"/>
        <w:rPr>
          <w:rFonts w:eastAsiaTheme="minorEastAsia" w:cs="Times New Roman"/>
          <w:noProof/>
        </w:rPr>
      </w:pPr>
      <w:r>
        <w:rPr>
          <w:noProof/>
        </w:rPr>
        <w:t>Γ.1 Περιγραφή των μεταρρυθμίσεων και των επενδύσεων για μη επιστρεπτέα χρηματοδοτική στήριξη</w:t>
      </w:r>
    </w:p>
    <w:p w14:paraId="25196904"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 xml:space="preserve">Μεταρρύθμιση RE-r05: Μεταρρύθμιση των εγκαταστάσεων και της κοινωνικής ανταπόκρισης στον εφοδιασμό </w:t>
      </w:r>
    </w:p>
    <w:p w14:paraId="5ADE8050" w14:textId="77777777" w:rsidR="00154AD2" w:rsidRDefault="007F6BF3">
      <w:pPr>
        <w:pStyle w:val="P68B1DB1-Normal4"/>
        <w:keepNext/>
        <w:spacing w:before="40" w:after="0" w:line="259" w:lineRule="auto"/>
        <w:jc w:val="both"/>
        <w:rPr>
          <w:rFonts w:eastAsia="Times New Roman" w:cs="Times New Roman"/>
          <w:noProof/>
        </w:rPr>
      </w:pPr>
      <w:r>
        <w:rPr>
          <w:noProof/>
        </w:rPr>
        <w:t>Στόχος του μέτρου αυτού είναι η επέκταση, αναβάθμιση και αποκατάσταση του δικτύου κοινωνικών υπηρεσιών και των εγκαταστάσεων που παρέχονται από δημόσιους και ιδιωτικούς κοινωνικούς φορείς. Το μέτρο απευθύνεται σε ιδιαίτερα ευάλωτες ομάδες από οικονομική, κοινωνική και υγειονομική άποψη, όπως τα άτομα και οι οικογένειες που βρίσκονται σε κατάσταση φτώχειας ή με χαμηλό εισόδημα, οι ηλικιωμένοι και τα άτομα που βρίσκονται σε κατάσταση εξάρτησης, τα άτομα με αναπηρία και τα παιδιά και οι νέοι. Επιπλέον, οι ολοκληρωμένες παρεμβάσεις υγειονομικής και κοινωνικής στήριξης που προβλέπονται από το παρόν μέτρο προωθούν την αυτονομία των εξαρτώμενων ατόμων μέσω της αποκατάστασης και της κοινωνικής επανένταξής τους σύμφωνα με τη Σύμβαση των Ηνωμένων Εθνών για τα δικαιώματα των ατόμων με αναπηρία</w:t>
      </w:r>
      <w:r>
        <w:rPr>
          <w:noProof/>
        </w:rPr>
        <w:footnoteReference w:id="2"/>
      </w:r>
      <w:r>
        <w:rPr>
          <w:noProof/>
        </w:rPr>
        <w:t xml:space="preserve"> και την ευρωπαϊκή στρατηγική για τα δικαιώματα των ατόμων με αναπηρία 2021-2030</w:t>
      </w:r>
      <w:r>
        <w:rPr>
          <w:noProof/>
        </w:rPr>
        <w:footnoteReference w:id="3"/>
      </w:r>
      <w:r>
        <w:rPr>
          <w:noProof/>
        </w:rPr>
        <w:t xml:space="preserve"> και την Πράσινη Βίβλο για τη γήρανση — Προώθηση της αλληλεγγύης και της ευθύνης μεταξύ των γενεών</w:t>
      </w:r>
      <w:r>
        <w:rPr>
          <w:noProof/>
        </w:rPr>
        <w:footnoteReference w:id="4"/>
      </w:r>
      <w:r>
        <w:rPr>
          <w:noProof/>
        </w:rPr>
        <w:t xml:space="preserve">. </w:t>
      </w:r>
    </w:p>
    <w:p w14:paraId="036C6475" w14:textId="77777777" w:rsidR="00154AD2" w:rsidRDefault="007F6BF3">
      <w:pPr>
        <w:pStyle w:val="P68B1DB1-Normal4"/>
        <w:keepNext/>
        <w:spacing w:before="40" w:after="0" w:line="259" w:lineRule="auto"/>
        <w:jc w:val="both"/>
        <w:rPr>
          <w:rFonts w:eastAsia="Times New Roman" w:cs="Times New Roman"/>
          <w:noProof/>
        </w:rPr>
      </w:pPr>
      <w:r>
        <w:rPr>
          <w:noProof/>
        </w:rPr>
        <w:t xml:space="preserve">Η μεταρρύθμιση αυτή συνίσταται στη δρομολόγηση του προγράμματος νέας γενιάς εξοπλισμού και κοινωνικής αντιμετώπισης μέσω της έναρξης ισχύος του καθεστώτος απλούστευσης του καθεστώτος εγκατάστασης κοινωνικού εξοπλισμού. Το πρόγραμμα επικεντρώνεται σε μέτρα όπως: </w:t>
      </w:r>
    </w:p>
    <w:p w14:paraId="70568603" w14:textId="77777777" w:rsidR="00154AD2" w:rsidRDefault="007F6BF3">
      <w:pPr>
        <w:pStyle w:val="P68B1DB1-Normal4"/>
        <w:keepNext/>
        <w:numPr>
          <w:ilvl w:val="0"/>
          <w:numId w:val="62"/>
        </w:numPr>
        <w:spacing w:before="40" w:after="160" w:line="259" w:lineRule="auto"/>
        <w:contextualSpacing/>
        <w:jc w:val="both"/>
        <w:rPr>
          <w:rFonts w:eastAsia="Times New Roman" w:cs="Times New Roman"/>
          <w:noProof/>
        </w:rPr>
      </w:pPr>
      <w:r>
        <w:rPr>
          <w:noProof/>
        </w:rPr>
        <w:t>Βελτίωση της κοινωνικής φροντίδας και των εξατομικευμένων υπηρεσιών που παρέχονται σε οίκους ευγηρίας (ERPIs), κατόπιν αξιολόγησης των αναγκών·</w:t>
      </w:r>
    </w:p>
    <w:p w14:paraId="4260130E" w14:textId="77777777" w:rsidR="00154AD2" w:rsidRDefault="007F6BF3">
      <w:pPr>
        <w:pStyle w:val="P68B1DB1-Normal4"/>
        <w:keepNext/>
        <w:numPr>
          <w:ilvl w:val="0"/>
          <w:numId w:val="62"/>
        </w:numPr>
        <w:spacing w:before="40" w:after="160" w:line="259" w:lineRule="auto"/>
        <w:contextualSpacing/>
        <w:jc w:val="both"/>
        <w:rPr>
          <w:rFonts w:eastAsia="Times New Roman" w:cs="Times New Roman"/>
          <w:noProof/>
        </w:rPr>
      </w:pPr>
      <w:r>
        <w:rPr>
          <w:noProof/>
        </w:rPr>
        <w:t>Προώθηση της αδειοδότησης και/ή της τακτοποίησης των ERPI εκτός του επίσημου συστήματος·</w:t>
      </w:r>
    </w:p>
    <w:p w14:paraId="7AC7E490" w14:textId="77777777" w:rsidR="00154AD2" w:rsidRDefault="007F6BF3">
      <w:pPr>
        <w:pStyle w:val="P68B1DB1-Normal4"/>
        <w:keepNext/>
        <w:numPr>
          <w:ilvl w:val="0"/>
          <w:numId w:val="62"/>
        </w:numPr>
        <w:spacing w:before="40" w:after="160" w:line="259" w:lineRule="auto"/>
        <w:contextualSpacing/>
        <w:jc w:val="both"/>
        <w:rPr>
          <w:rFonts w:eastAsia="Times New Roman" w:cs="Times New Roman"/>
          <w:noProof/>
        </w:rPr>
      </w:pPr>
      <w:r>
        <w:rPr>
          <w:noProof/>
        </w:rPr>
        <w:t xml:space="preserve">Αναθεώρηση του νομοθετικού πλαισίου για την αδειοδότηση των κοινωνικών εγκαταστάσεων, </w:t>
      </w:r>
    </w:p>
    <w:p w14:paraId="61985867" w14:textId="77777777" w:rsidR="00154AD2" w:rsidRDefault="007F6BF3">
      <w:pPr>
        <w:pStyle w:val="P68B1DB1-Normal4"/>
        <w:keepNext/>
        <w:numPr>
          <w:ilvl w:val="0"/>
          <w:numId w:val="62"/>
        </w:numPr>
        <w:spacing w:before="40" w:after="160" w:line="259" w:lineRule="auto"/>
        <w:contextualSpacing/>
        <w:jc w:val="both"/>
        <w:rPr>
          <w:rFonts w:eastAsia="Times New Roman" w:cs="Times New Roman"/>
          <w:noProof/>
        </w:rPr>
      </w:pPr>
      <w:r>
        <w:rPr>
          <w:noProof/>
        </w:rPr>
        <w:t>Προώθηση καινοτόμων κοινωνικών απαντήσεων, όπως η συνεργατική στέγαση μικρής κλίμακας·</w:t>
      </w:r>
    </w:p>
    <w:p w14:paraId="2C845D6E" w14:textId="77777777" w:rsidR="00154AD2" w:rsidRDefault="007F6BF3">
      <w:pPr>
        <w:pStyle w:val="P68B1DB1-Normal4"/>
        <w:keepNext/>
        <w:numPr>
          <w:ilvl w:val="0"/>
          <w:numId w:val="62"/>
        </w:numPr>
        <w:spacing w:before="40" w:after="160" w:line="259" w:lineRule="auto"/>
        <w:contextualSpacing/>
        <w:jc w:val="both"/>
        <w:rPr>
          <w:rFonts w:eastAsia="Times New Roman" w:cs="Times New Roman"/>
          <w:noProof/>
        </w:rPr>
      </w:pPr>
      <w:r>
        <w:rPr>
          <w:noProof/>
        </w:rPr>
        <w:t>Ανάπτυξη ενός καινοτόμου μοντέλου κατ’ οίκον υποστήριξης·</w:t>
      </w:r>
    </w:p>
    <w:p w14:paraId="6D012205" w14:textId="77777777" w:rsidR="00154AD2" w:rsidRDefault="007F6BF3">
      <w:pPr>
        <w:pStyle w:val="P68B1DB1-Normal4"/>
        <w:keepNext/>
        <w:numPr>
          <w:ilvl w:val="0"/>
          <w:numId w:val="62"/>
        </w:numPr>
        <w:spacing w:before="40" w:after="160" w:line="259" w:lineRule="auto"/>
        <w:contextualSpacing/>
        <w:jc w:val="both"/>
        <w:rPr>
          <w:rFonts w:eastAsia="Times New Roman" w:cs="Times New Roman"/>
          <w:noProof/>
        </w:rPr>
      </w:pPr>
      <w:r>
        <w:rPr>
          <w:noProof/>
        </w:rPr>
        <w:t>Ενίσχυση της κοινωνικής στήριξης των ατόμων που βρίσκονται σε κατάσταση κοινωνικής απομόνωσης, μέσω της δημιουργίας διεπιστημονικών ομάδων και ενός μηχανισμού χαρτογράφησης και παρακολούθησης των κοινωνικά ευάλωτων καταστάσεων (κοινωνικά έργα Radar)·</w:t>
      </w:r>
    </w:p>
    <w:p w14:paraId="5F830A95" w14:textId="77777777" w:rsidR="00154AD2" w:rsidRDefault="007F6BF3">
      <w:pPr>
        <w:pStyle w:val="P68B1DB1-Normal4"/>
        <w:keepNext/>
        <w:numPr>
          <w:ilvl w:val="0"/>
          <w:numId w:val="62"/>
        </w:numPr>
        <w:spacing w:before="40" w:after="160" w:line="259" w:lineRule="auto"/>
        <w:contextualSpacing/>
        <w:jc w:val="both"/>
        <w:rPr>
          <w:rFonts w:eastAsia="Times New Roman" w:cs="Times New Roman"/>
          <w:noProof/>
        </w:rPr>
      </w:pPr>
      <w:r>
        <w:rPr>
          <w:noProof/>
        </w:rPr>
        <w:t>Αύξηση των επιπέδων του εργατικού δυναμικού και της ποιότητας της παροχής κοινωνικών υπηρεσιών, κυρίως σε περιοχές με χαμηλά επίπεδα κάλυψης·</w:t>
      </w:r>
    </w:p>
    <w:p w14:paraId="4139DE34" w14:textId="77777777" w:rsidR="00154AD2" w:rsidRDefault="007F6BF3">
      <w:pPr>
        <w:pStyle w:val="P68B1DB1-Normal4"/>
        <w:keepNext/>
        <w:numPr>
          <w:ilvl w:val="0"/>
          <w:numId w:val="62"/>
        </w:numPr>
        <w:spacing w:before="40" w:after="160" w:line="259" w:lineRule="auto"/>
        <w:contextualSpacing/>
        <w:jc w:val="both"/>
        <w:rPr>
          <w:rFonts w:eastAsia="Times New Roman" w:cs="Times New Roman"/>
          <w:noProof/>
        </w:rPr>
      </w:pPr>
      <w:r>
        <w:rPr>
          <w:noProof/>
        </w:rPr>
        <w:t>Ενίσχυση των κοινωνικών υπηρεσιών και της στήριξης των ατόμων με αναπηρία ή εξάρτηση και προώθηση της αυτονομίας και της ανεξάρτητης διαβίωσής τους.</w:t>
      </w:r>
    </w:p>
    <w:p w14:paraId="640E5631" w14:textId="77777777" w:rsidR="00154AD2" w:rsidRDefault="007F6BF3">
      <w:pPr>
        <w:pStyle w:val="P68B1DB1-Normal4"/>
        <w:keepNext/>
        <w:spacing w:before="40" w:after="0" w:line="259" w:lineRule="auto"/>
        <w:jc w:val="both"/>
        <w:rPr>
          <w:rFonts w:eastAsia="Times New Roman" w:cs="Times New Roman"/>
          <w:noProof/>
        </w:rPr>
      </w:pPr>
      <w:r>
        <w:rPr>
          <w:noProof/>
        </w:rPr>
        <w:t xml:space="preserve">Η επένδυση RE-C03-i01 — Νέα γενιά εξοπλισμού και κοινωνικές απαντήσεις θα συμβάλουν στην υλοποίηση της μεταρρύθμισης. </w:t>
      </w:r>
    </w:p>
    <w:p w14:paraId="150D85D2" w14:textId="77777777" w:rsidR="00154AD2" w:rsidRDefault="007F6BF3">
      <w:pPr>
        <w:pStyle w:val="P68B1DB1-Normal4"/>
        <w:keepNext/>
        <w:spacing w:before="40" w:after="0" w:line="259" w:lineRule="auto"/>
        <w:jc w:val="both"/>
        <w:rPr>
          <w:rFonts w:eastAsia="Times New Roman" w:cs="Times New Roman"/>
          <w:noProof/>
        </w:rPr>
      </w:pPr>
      <w:r>
        <w:rPr>
          <w:noProof/>
        </w:rPr>
        <w:t>Το ορόσημο που σχετίζεται με την εφαρμογή της μεταρρύθμισης ολοκληρώνεται έως τις 31 Δεκεμβρίου 2021.</w:t>
      </w:r>
    </w:p>
    <w:p w14:paraId="42D391F8"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Μεταρρύθμιση RE-r06: Εθνική στρατηγική για την ένταξη των ατόμων με αναπηρία 2021-2025</w:t>
      </w:r>
    </w:p>
    <w:p w14:paraId="4993B847" w14:textId="77777777" w:rsidR="00154AD2" w:rsidRDefault="007F6BF3">
      <w:pPr>
        <w:pStyle w:val="P68B1DB1-Normal4"/>
        <w:keepNext/>
        <w:spacing w:before="40" w:after="0" w:line="259" w:lineRule="auto"/>
        <w:jc w:val="both"/>
        <w:rPr>
          <w:rFonts w:eastAsia="Times New Roman" w:cs="Times New Roman"/>
          <w:noProof/>
        </w:rPr>
      </w:pPr>
      <w:r>
        <w:rPr>
          <w:noProof/>
        </w:rPr>
        <w:t>Στόχος του μέτρου αυτού είναι να διευκολύνει και να εμβαθύνει την ένταξη των ατόμων με αναπηρία σε όλους τους τομείς της ζωής, να προωθήσει την αυτονομία, την ανεξαρτησία και την αυτοδιάθεσή τους, καθώς και να εξασφαλίσει ίσες ευκαιρίες για όλους τους πολίτες, ανεξάρτητα από τις ικανότητές τους.</w:t>
      </w:r>
    </w:p>
    <w:p w14:paraId="431145D2" w14:textId="77777777" w:rsidR="00154AD2" w:rsidRDefault="007F6BF3">
      <w:pPr>
        <w:pStyle w:val="P68B1DB1-Normal4"/>
        <w:keepNext/>
        <w:spacing w:before="40" w:after="0" w:line="259" w:lineRule="auto"/>
        <w:jc w:val="both"/>
        <w:rPr>
          <w:rFonts w:eastAsia="Times New Roman" w:cs="Times New Roman"/>
          <w:noProof/>
        </w:rPr>
      </w:pPr>
      <w:r>
        <w:rPr>
          <w:noProof/>
        </w:rPr>
        <w:t>Η μεταρρύθμιση αυτή συνίσταται στην έγκριση της εθνικής στρατηγικής για την ένταξη των ατόμων με αναπηρία 2021-2025. Η στρατηγική αντικατοπτρίζει τις δεσμεύσεις της Σύμβασης των Ηνωμένων Εθνών για τα δικαιώματα των ατόμων με αναπηρία</w:t>
      </w:r>
      <w:r>
        <w:rPr>
          <w:noProof/>
        </w:rPr>
        <w:footnoteReference w:id="5"/>
      </w:r>
      <w:r>
        <w:rPr>
          <w:noProof/>
        </w:rPr>
        <w:t xml:space="preserve"> και επιτρέπει τη δρομολόγηση δέσμης μέτρων, όπως:</w:t>
      </w:r>
    </w:p>
    <w:p w14:paraId="747E1C23" w14:textId="77777777" w:rsidR="00154AD2" w:rsidRDefault="007F6BF3">
      <w:pPr>
        <w:pStyle w:val="P68B1DB1-Normal4"/>
        <w:keepNext/>
        <w:numPr>
          <w:ilvl w:val="0"/>
          <w:numId w:val="63"/>
        </w:numPr>
        <w:spacing w:before="40" w:after="160" w:line="259" w:lineRule="auto"/>
        <w:contextualSpacing/>
        <w:jc w:val="both"/>
        <w:rPr>
          <w:rFonts w:eastAsia="Times New Roman" w:cs="Times New Roman"/>
          <w:noProof/>
        </w:rPr>
      </w:pPr>
      <w:r>
        <w:rPr>
          <w:noProof/>
        </w:rPr>
        <w:t xml:space="preserve">Την αναδιατύπωση του ισχύοντος κανονιστικού πλαισίου όποτε είναι αναγκαίο· </w:t>
      </w:r>
    </w:p>
    <w:p w14:paraId="250A5CFC" w14:textId="77777777" w:rsidR="00154AD2" w:rsidRDefault="007F6BF3">
      <w:pPr>
        <w:pStyle w:val="P68B1DB1-Normal4"/>
        <w:keepNext/>
        <w:numPr>
          <w:ilvl w:val="0"/>
          <w:numId w:val="63"/>
        </w:numPr>
        <w:spacing w:before="40" w:after="160" w:line="259" w:lineRule="auto"/>
        <w:contextualSpacing/>
        <w:jc w:val="both"/>
        <w:rPr>
          <w:rFonts w:eastAsia="Times New Roman" w:cs="Times New Roman"/>
          <w:noProof/>
        </w:rPr>
      </w:pPr>
      <w:r>
        <w:rPr>
          <w:noProof/>
        </w:rPr>
        <w:t>Την αναδιατύπωση του συστήματος αξιολόγησης και πιστοποίησης αναπηρίας·</w:t>
      </w:r>
    </w:p>
    <w:p w14:paraId="199DE32D" w14:textId="77777777" w:rsidR="00154AD2" w:rsidRDefault="007F6BF3">
      <w:pPr>
        <w:pStyle w:val="P68B1DB1-Normal4"/>
        <w:keepNext/>
        <w:numPr>
          <w:ilvl w:val="0"/>
          <w:numId w:val="63"/>
        </w:numPr>
        <w:spacing w:before="40" w:after="160" w:line="259" w:lineRule="auto"/>
        <w:contextualSpacing/>
        <w:jc w:val="both"/>
        <w:rPr>
          <w:rFonts w:eastAsia="Times New Roman" w:cs="Times New Roman"/>
          <w:noProof/>
        </w:rPr>
      </w:pPr>
      <w:r>
        <w:rPr>
          <w:noProof/>
        </w:rPr>
        <w:t>Ολοκληρωμένη διάγνωση των ατόμων με αναπηρία μέσω της ανάπτυξης συστημάτων συλλογής δεδομένων και δεικτών παρακολούθησης για την υποστήριξη της λήψης αποφάσεων·</w:t>
      </w:r>
    </w:p>
    <w:p w14:paraId="5920EE97" w14:textId="77777777" w:rsidR="00154AD2" w:rsidRDefault="007F6BF3">
      <w:pPr>
        <w:pStyle w:val="P68B1DB1-Normal4"/>
        <w:keepNext/>
        <w:numPr>
          <w:ilvl w:val="0"/>
          <w:numId w:val="63"/>
        </w:numPr>
        <w:spacing w:before="40" w:after="160" w:line="259" w:lineRule="auto"/>
        <w:contextualSpacing/>
        <w:jc w:val="both"/>
        <w:rPr>
          <w:rFonts w:eastAsia="Times New Roman" w:cs="Times New Roman"/>
          <w:noProof/>
        </w:rPr>
      </w:pPr>
      <w:r>
        <w:rPr>
          <w:noProof/>
        </w:rPr>
        <w:t>Παρεμβάσεις σε δημόσιους χώρους για τη διευκόλυνση της πρόσβασης των ατόμων με αναπηρία·</w:t>
      </w:r>
    </w:p>
    <w:p w14:paraId="5F6E0E5D" w14:textId="77777777" w:rsidR="00154AD2" w:rsidRDefault="007F6BF3">
      <w:pPr>
        <w:pStyle w:val="P68B1DB1-Normal4"/>
        <w:keepNext/>
        <w:numPr>
          <w:ilvl w:val="0"/>
          <w:numId w:val="63"/>
        </w:numPr>
        <w:spacing w:before="40" w:after="160" w:line="259" w:lineRule="auto"/>
        <w:contextualSpacing/>
        <w:jc w:val="both"/>
        <w:rPr>
          <w:rFonts w:eastAsia="Times New Roman" w:cs="Times New Roman"/>
          <w:noProof/>
        </w:rPr>
      </w:pPr>
      <w:r>
        <w:rPr>
          <w:noProof/>
        </w:rPr>
        <w:t>Την προσαρμογή των συστημάτων κατάρτισης, απασχόλησης και προσόντων για τα άτομα με αναπηρία·</w:t>
      </w:r>
    </w:p>
    <w:p w14:paraId="1C29FB20" w14:textId="77777777" w:rsidR="00154AD2" w:rsidRDefault="007F6BF3">
      <w:pPr>
        <w:pStyle w:val="P68B1DB1-Normal4"/>
        <w:keepNext/>
        <w:numPr>
          <w:ilvl w:val="0"/>
          <w:numId w:val="63"/>
        </w:numPr>
        <w:spacing w:before="40" w:after="160" w:line="259" w:lineRule="auto"/>
        <w:contextualSpacing/>
        <w:jc w:val="both"/>
        <w:rPr>
          <w:rFonts w:eastAsia="Times New Roman" w:cs="Times New Roman"/>
          <w:noProof/>
        </w:rPr>
      </w:pPr>
      <w:r>
        <w:rPr>
          <w:noProof/>
        </w:rPr>
        <w:t>Ανάπτυξη καινοτόμων κοινωνικών υπηρεσιών και προσεγγίσεων σε επίπεδο κοινότητας·</w:t>
      </w:r>
    </w:p>
    <w:p w14:paraId="1193BF56" w14:textId="77777777" w:rsidR="00154AD2" w:rsidRDefault="007F6BF3">
      <w:pPr>
        <w:pStyle w:val="P68B1DB1-Normal4"/>
        <w:keepNext/>
        <w:numPr>
          <w:ilvl w:val="0"/>
          <w:numId w:val="63"/>
        </w:numPr>
        <w:spacing w:before="40" w:after="160" w:line="259" w:lineRule="auto"/>
        <w:contextualSpacing/>
        <w:jc w:val="both"/>
        <w:rPr>
          <w:rFonts w:eastAsia="Times New Roman" w:cs="Times New Roman"/>
          <w:noProof/>
        </w:rPr>
      </w:pPr>
      <w:r>
        <w:rPr>
          <w:noProof/>
        </w:rPr>
        <w:t>Τη συμμετοχή των ατόμων με αναπηρία σε αθλητικές, πολιτιστικές και ψυχαγωγικές δραστηριότητες.</w:t>
      </w:r>
    </w:p>
    <w:p w14:paraId="6C200F5F" w14:textId="77777777" w:rsidR="00154AD2" w:rsidRDefault="007F6BF3">
      <w:pPr>
        <w:pStyle w:val="P68B1DB1-Normal4"/>
        <w:keepNext/>
        <w:numPr>
          <w:ilvl w:val="0"/>
          <w:numId w:val="63"/>
        </w:numPr>
        <w:spacing w:before="40" w:after="160" w:line="259" w:lineRule="auto"/>
        <w:contextualSpacing/>
        <w:jc w:val="both"/>
        <w:rPr>
          <w:rFonts w:eastAsia="Times New Roman" w:cs="Times New Roman"/>
          <w:noProof/>
        </w:rPr>
      </w:pPr>
      <w:r>
        <w:rPr>
          <w:noProof/>
        </w:rPr>
        <w:t>Την επέκταση του μοντέλου υποστήριξης για ανεξάρτητη διαβίωση, το οποίο παρέχει προσωπική βοήθεια σε άτομα με αναπηρία·</w:t>
      </w:r>
    </w:p>
    <w:p w14:paraId="24FA9424" w14:textId="77777777" w:rsidR="00154AD2" w:rsidRDefault="007F6BF3">
      <w:pPr>
        <w:pStyle w:val="P68B1DB1-Normal4"/>
        <w:keepNext/>
        <w:spacing w:before="40" w:after="0" w:line="259" w:lineRule="auto"/>
        <w:jc w:val="both"/>
        <w:rPr>
          <w:rFonts w:eastAsia="Times New Roman" w:cs="Times New Roman"/>
          <w:noProof/>
        </w:rPr>
      </w:pPr>
      <w:r>
        <w:rPr>
          <w:noProof/>
        </w:rPr>
        <w:t xml:space="preserve">Επενδύσεις RE-C03-i02: Προσβασιμότητα 360° και RE-C03-i05: Πλατφόρμα και πρόσβαση, καθώς και επένδυση RE-C01-i02: Το εθνικό δίκτυο ολοκληρωμένης συνεχούς φροντίδας και το εθνικό δίκτυο ανακουφιστικής φροντίδας συμβάλλουν στην υλοποίηση της μεταρρύθμισης. </w:t>
      </w:r>
    </w:p>
    <w:p w14:paraId="3C1200D2" w14:textId="77777777" w:rsidR="00154AD2" w:rsidRDefault="007F6BF3">
      <w:pPr>
        <w:pStyle w:val="P68B1DB1-Normal4"/>
        <w:keepNext/>
        <w:spacing w:before="40" w:after="0" w:line="259" w:lineRule="auto"/>
        <w:jc w:val="both"/>
        <w:rPr>
          <w:rFonts w:eastAsia="Times New Roman" w:cs="Times New Roman"/>
          <w:noProof/>
        </w:rPr>
      </w:pPr>
      <w:r>
        <w:rPr>
          <w:noProof/>
        </w:rPr>
        <w:t>Το ορόσημο που σχετίζεται με την εφαρμογή της μεταρρύθμισης ολοκληρώνεται έως τις 31 Δεκεμβρίου 2021.</w:t>
      </w:r>
    </w:p>
    <w:p w14:paraId="19B646AB"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Μεταρρύθμιση RE-r07: Σύναψη συμβάσεων για ολοκληρωμένα προγράμματα στήριξης των μειονεκτουσών κοινοτήτων στις μητροπολιτικές περιοχές</w:t>
      </w:r>
    </w:p>
    <w:p w14:paraId="00C1C173"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Στόχος του μέτρου αυτού είναι η καταπολέμηση της φτώχειας και του κοινωνικού αποκλεισμού στους πλέον μειονεκτούντες δήμους των μητροπολιτικών περιοχών της Λισαβόνας και του Πόρτο. </w:t>
      </w:r>
    </w:p>
    <w:p w14:paraId="24271C84"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μεταρρύθμιση αυτή συνίσταται σε ένα σύνολο ολοκληρωμένων πιλοτικών δράσεων που θα αναπτυχθούν μετά από αξιολόγηση και προσδιορισμό των ειδικών αναγκών της κοινότητας. Μετά την εν λόγω διαγνωστική φάση, οι ολοκληρωμένες παρεμβάσεις σχεδιάζονται και εστιάζονται σε δύο τομείς: </w:t>
      </w:r>
    </w:p>
    <w:p w14:paraId="0B7DAF3A" w14:textId="77777777" w:rsidR="00154AD2" w:rsidRDefault="007F6BF3">
      <w:pPr>
        <w:pStyle w:val="P68B1DB1-Normal4"/>
        <w:keepNext/>
        <w:numPr>
          <w:ilvl w:val="0"/>
          <w:numId w:val="52"/>
        </w:numPr>
        <w:spacing w:before="40" w:after="160" w:line="259" w:lineRule="auto"/>
        <w:contextualSpacing/>
        <w:jc w:val="both"/>
        <w:rPr>
          <w:rFonts w:eastAsiaTheme="minorEastAsia" w:cs="Times New Roman"/>
          <w:noProof/>
        </w:rPr>
      </w:pPr>
      <w:r>
        <w:rPr>
          <w:noProof/>
        </w:rPr>
        <w:t>Παρεμβάσεις σε δημόσιους χώρους και κοινωνικές υποδομές, όπως βρεφονηπιακούς σταθμούς και δημοτικά σχολεία, εγκαταστάσεις υγειονομικής περίθαλψης και εγκαταστάσεις για κοινωνικές και πολιτιστικές εκδηλώσεις, εργαστήρια ή/και μαθήματα κατάρτισης· και</w:t>
      </w:r>
    </w:p>
    <w:p w14:paraId="6FB7F6AF" w14:textId="423D580E" w:rsidR="00154AD2" w:rsidRDefault="007F6BF3">
      <w:pPr>
        <w:pStyle w:val="P68B1DB1-Normal4"/>
        <w:keepNext/>
        <w:numPr>
          <w:ilvl w:val="0"/>
          <w:numId w:val="52"/>
        </w:numPr>
        <w:spacing w:before="40" w:after="160" w:line="259" w:lineRule="auto"/>
        <w:contextualSpacing/>
        <w:jc w:val="both"/>
        <w:rPr>
          <w:rFonts w:eastAsiaTheme="minorEastAsia" w:cs="Times New Roman"/>
          <w:noProof/>
        </w:rPr>
      </w:pPr>
      <w:r>
        <w:rPr>
          <w:noProof/>
        </w:rPr>
        <w:t xml:space="preserve">Παρεμβάσεις άυλης φύσης για την προώθηση της κοινωνικής συνοχής, όπως η ενεργός συμμετοχή των κοινοτήτων στον σχεδιασμό και την εφαρμογή τους, η προώθηση της επιχειρηματικότητας των μικρών τοπικών επιχειρήσεων, ο σχεδιασμός έργων για την καταπολέμηση της σχολικής αποτυχίας και της εγκατάλειψης του σχολείου, η προσφορά επαγγελματικής κατάρτισης και η προώθηση του αθλητισμού. </w:t>
      </w:r>
    </w:p>
    <w:p w14:paraId="7F7F7904"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μεταρρύθμιση αυτή θα υποστηριχθεί και θα διαρθρωθεί σύμφωνα με την πρώτη εθνική στρατηγική της Πορτογαλίας για την καταπολέμηση της φτώχειας (ENCP) και τις θεματικές παρεμβάσεις για συγκεκριμένες ομάδες που προσδιορίζονται σε αυτήν. </w:t>
      </w:r>
    </w:p>
    <w:p w14:paraId="5852842A" w14:textId="77777777" w:rsidR="00154AD2" w:rsidRDefault="007F6BF3">
      <w:pPr>
        <w:pStyle w:val="P68B1DB1-Normal4"/>
        <w:keepNext/>
        <w:spacing w:before="40" w:after="0" w:line="259" w:lineRule="auto"/>
        <w:jc w:val="both"/>
        <w:rPr>
          <w:rFonts w:eastAsiaTheme="minorEastAsia" w:cs="Times New Roman"/>
          <w:noProof/>
        </w:rPr>
      </w:pPr>
      <w:r>
        <w:rPr>
          <w:noProof/>
        </w:rPr>
        <w:t>Η μεταρρύθμιση θα υλοποιηθεί μέσω της επένδυσης RE-C03-i06 — Ολοκληρωμένες δράσεις σε μειονεκτούσες κοινότητες στις μητροπολιτικές περιοχές της Λισαβόνας και του Πόρτο.</w:t>
      </w:r>
    </w:p>
    <w:p w14:paraId="70A526E2" w14:textId="77777777" w:rsidR="00154AD2" w:rsidRDefault="007F6BF3">
      <w:pPr>
        <w:pStyle w:val="P68B1DB1-Normal4"/>
        <w:keepNext/>
        <w:spacing w:before="40" w:after="0" w:line="259" w:lineRule="auto"/>
        <w:jc w:val="both"/>
        <w:rPr>
          <w:rFonts w:eastAsiaTheme="minorEastAsia" w:cs="Times New Roman"/>
          <w:noProof/>
        </w:rPr>
      </w:pPr>
      <w:r>
        <w:rPr>
          <w:noProof/>
        </w:rPr>
        <w:t>Το ορόσημο που σχετίζεται με την εφαρμογή της μεταρρύθμισης ολοκληρώνεται έως τις 31 Δεκεμβρίου 2021.</w:t>
      </w:r>
    </w:p>
    <w:p w14:paraId="0AD18DF6"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Μεταρρύθμιση RE-r08: Εθνική στρατηγική για την καταπολέμηση της φτώχειας</w:t>
      </w:r>
    </w:p>
    <w:p w14:paraId="243FD289" w14:textId="77777777" w:rsidR="00154AD2" w:rsidRDefault="007F6BF3">
      <w:pPr>
        <w:pStyle w:val="P68B1DB1-Normal4"/>
        <w:keepNext/>
        <w:spacing w:before="40" w:after="0" w:line="259" w:lineRule="auto"/>
        <w:jc w:val="both"/>
        <w:rPr>
          <w:rFonts w:eastAsia="Times New Roman" w:cs="Times New Roman"/>
          <w:noProof/>
        </w:rPr>
      </w:pPr>
      <w:r>
        <w:rPr>
          <w:noProof/>
        </w:rPr>
        <w:t>Στόχος του μέτρου αυτού είναι η καταπολέμηση της φτώχειας μέσω της ανάπτυξης μιας πολυδιάστατης, ολοκληρωμένης, μεσοπρόθεσμης και μακροπρόθεσμης προσέγγισης.</w:t>
      </w:r>
    </w:p>
    <w:p w14:paraId="3F7CA624" w14:textId="77777777" w:rsidR="00154AD2" w:rsidRDefault="007F6BF3">
      <w:pPr>
        <w:pStyle w:val="P68B1DB1-Normal4"/>
        <w:keepNext/>
        <w:spacing w:before="40" w:after="0" w:line="259" w:lineRule="auto"/>
        <w:jc w:val="both"/>
        <w:rPr>
          <w:rFonts w:eastAsia="Times New Roman" w:cs="Times New Roman"/>
          <w:noProof/>
        </w:rPr>
      </w:pPr>
      <w:r>
        <w:rPr>
          <w:noProof/>
        </w:rPr>
        <w:t>Η μεταρρύθμιση συνίσταται στην έγκριση της εθνικής στρατηγικής για την καταπολέμηση της φτώχειας (ENCP). Η στρατηγική παρέχει το πλαίσιο για θεματικές παρεμβάσεις που απευθύνονται σε συγκεκριμένες ομάδες, από τα παιδιά έως τους ηλικιωμένους, συμπεριλαμβανομένων των πλέον ευάλωτων ομάδων. Καθορίζει τις προϋποθέσεις για την ανάπτυξη και την εφαρμογή ολοκληρωμένων πολιτικών που εστιάζουν στις ιδιαιτερότητες του κοινωνικού αποκλεισμού και της φτώχειας σε τοπικό επίπεδο. Επιπλέον, αναθέτει επίσης τη δημιουργία ενιαίου πλαισίου παρακολούθησης για τους δείκτες που σχετίζονται με τη φτώχεια.</w:t>
      </w:r>
    </w:p>
    <w:p w14:paraId="2BFE7AC9" w14:textId="77777777" w:rsidR="00154AD2" w:rsidRDefault="007F6BF3">
      <w:pPr>
        <w:pStyle w:val="P68B1DB1-Normal4"/>
        <w:keepNext/>
        <w:spacing w:before="40" w:after="0" w:line="259" w:lineRule="auto"/>
        <w:jc w:val="both"/>
        <w:rPr>
          <w:rFonts w:eastAsia="Times New Roman" w:cs="Times New Roman"/>
          <w:noProof/>
        </w:rPr>
      </w:pPr>
      <w:r>
        <w:rPr>
          <w:noProof/>
        </w:rPr>
        <w:t>InvestmentRE-C03-i06 — Ολοκληρωμένες δράσεις σε μειονεκτούσες κοινότητες στις μητροπολιτικές περιοχές της Λισαβόνας και του Πόρτο θα συμβάλουν στην υλοποίηση της μεταρρύθμισης.</w:t>
      </w:r>
    </w:p>
    <w:p w14:paraId="5CB94457" w14:textId="77777777" w:rsidR="00154AD2" w:rsidRDefault="007F6BF3">
      <w:pPr>
        <w:pStyle w:val="P68B1DB1-Normal4"/>
        <w:keepNext/>
        <w:spacing w:before="40" w:after="0" w:line="259" w:lineRule="auto"/>
        <w:jc w:val="both"/>
        <w:rPr>
          <w:rFonts w:eastAsiaTheme="minorEastAsia" w:cs="Times New Roman"/>
          <w:noProof/>
          <w:highlight w:val="yellow"/>
        </w:rPr>
      </w:pPr>
      <w:r>
        <w:rPr>
          <w:noProof/>
        </w:rPr>
        <w:t>Το ορόσημο που σχετίζεται με την εφαρμογή της μεταρρύθμισης ολοκληρώνεται έως τις 30 Σεπτεμβρίου 2021.</w:t>
      </w:r>
    </w:p>
    <w:p w14:paraId="4A7F96D8"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Επένδυση RE-C03-i01: Νέα γενιά εξοπλισμού και κοινωνικές αντιδράσεις</w:t>
      </w:r>
    </w:p>
    <w:p w14:paraId="1BCAC31F" w14:textId="77777777" w:rsidR="00154AD2" w:rsidRDefault="007F6BF3">
      <w:pPr>
        <w:pStyle w:val="P68B1DB1-Normal4"/>
        <w:keepNext/>
        <w:spacing w:before="40" w:after="0" w:line="259" w:lineRule="auto"/>
        <w:jc w:val="both"/>
        <w:rPr>
          <w:rFonts w:eastAsiaTheme="minorEastAsia" w:cs="Times New Roman"/>
          <w:noProof/>
        </w:rPr>
      </w:pPr>
      <w:r>
        <w:rPr>
          <w:noProof/>
        </w:rPr>
        <w:t>Στόχος του μέτρου αυτού είναι η αναβάθμιση και η επέκταση του δικτύου των υπηρεσιών κοινωνικής φροντίδας προκειμένου να αναπτυχθούν αποτελεσματικότερες μέθοδοι παροχής υπηρεσιών, να επιτευχθεί ευρύτερη εθνική εδαφική κάλυψη και να βελτιωθούν οι συνθήκες εργασίας των επαγγελματιών στις δομές αυτές και η ποιότητα της περίθαλψης που παρέχεται στους χρήστες.</w:t>
      </w:r>
    </w:p>
    <w:p w14:paraId="4CAC5042" w14:textId="77777777" w:rsidR="00154AD2" w:rsidRDefault="007F6BF3">
      <w:pPr>
        <w:pStyle w:val="P68B1DB1-Normal4"/>
        <w:keepNext/>
        <w:spacing w:before="40" w:after="0" w:line="259" w:lineRule="auto"/>
        <w:jc w:val="both"/>
        <w:rPr>
          <w:rFonts w:eastAsiaTheme="minorEastAsia" w:cs="Times New Roman"/>
          <w:noProof/>
        </w:rPr>
      </w:pPr>
      <w:r>
        <w:rPr>
          <w:noProof/>
        </w:rPr>
        <w:t>Η επένδυση αυτή αποτελείται από:</w:t>
      </w:r>
    </w:p>
    <w:p w14:paraId="098FBF35" w14:textId="77777777" w:rsidR="00154AD2" w:rsidRDefault="007F6BF3">
      <w:pPr>
        <w:pStyle w:val="P68B1DB1-Normal4"/>
        <w:keepNext/>
        <w:numPr>
          <w:ilvl w:val="0"/>
          <w:numId w:val="52"/>
        </w:numPr>
        <w:spacing w:before="40" w:after="160" w:line="259" w:lineRule="auto"/>
        <w:contextualSpacing/>
        <w:jc w:val="both"/>
        <w:rPr>
          <w:rFonts w:eastAsiaTheme="minorEastAsia" w:cs="Times New Roman"/>
          <w:noProof/>
        </w:rPr>
      </w:pPr>
      <w:r>
        <w:rPr>
          <w:noProof/>
        </w:rPr>
        <w:t>την ανακαίνιση και επέκταση των υφιστάμενων εγκαταστάσεων κοινωνικών υπηρεσιών και την κατασκευή νέων, όπως βρεφονηπιακούς σταθμούς, οίκους ευγηρίας (ERPIs) και κέντρα δραστηριοτήτων και ενδυνάμωσης για την ένταξη (CACI)·</w:t>
      </w:r>
    </w:p>
    <w:p w14:paraId="6AA715D0" w14:textId="4667F989" w:rsidR="00154AD2" w:rsidRDefault="007F6BF3">
      <w:pPr>
        <w:pStyle w:val="P68B1DB1-Normal4"/>
        <w:keepNext/>
        <w:numPr>
          <w:ilvl w:val="0"/>
          <w:numId w:val="52"/>
        </w:numPr>
        <w:spacing w:before="40" w:after="160" w:line="259" w:lineRule="auto"/>
        <w:contextualSpacing/>
        <w:jc w:val="both"/>
        <w:rPr>
          <w:rFonts w:eastAsiaTheme="minorEastAsia" w:cs="Times New Roman"/>
          <w:noProof/>
        </w:rPr>
      </w:pPr>
      <w:r>
        <w:rPr>
          <w:noProof/>
        </w:rPr>
        <w:t xml:space="preserve">την επέκταση των δικτύων κοινωνικής ανταπόκρισης των κατοικιών για την αυτονομία και την ένταξη και των υπηρεσιών υποστήριξης κατ’ οίκον, με την αύξηση του αριθμού των χρηστών που θα μπορούσαν να καλυφθούν· </w:t>
      </w:r>
    </w:p>
    <w:p w14:paraId="26FCCA4B" w14:textId="77777777" w:rsidR="00154AD2" w:rsidRDefault="007F6BF3">
      <w:pPr>
        <w:pStyle w:val="P68B1DB1-Normal4"/>
        <w:keepNext/>
        <w:numPr>
          <w:ilvl w:val="0"/>
          <w:numId w:val="52"/>
        </w:numPr>
        <w:spacing w:before="40" w:after="160" w:line="259" w:lineRule="auto"/>
        <w:contextualSpacing/>
        <w:jc w:val="both"/>
        <w:rPr>
          <w:rFonts w:eastAsiaTheme="minorEastAsia" w:cs="Times New Roman"/>
          <w:noProof/>
        </w:rPr>
      </w:pPr>
      <w:r>
        <w:rPr>
          <w:noProof/>
        </w:rPr>
        <w:t>την επέκταση του δικτύου κοινωνικών απαντήσεων με νέες τυπολογίες, όπως η συνστέγαση·</w:t>
      </w:r>
    </w:p>
    <w:p w14:paraId="4AE97124" w14:textId="77777777" w:rsidR="00154AD2" w:rsidRDefault="007F6BF3">
      <w:pPr>
        <w:pStyle w:val="P68B1DB1-Normal4"/>
        <w:keepNext/>
        <w:numPr>
          <w:ilvl w:val="0"/>
          <w:numId w:val="52"/>
        </w:numPr>
        <w:spacing w:before="40" w:after="160" w:line="259" w:lineRule="auto"/>
        <w:contextualSpacing/>
        <w:jc w:val="both"/>
        <w:rPr>
          <w:rFonts w:eastAsiaTheme="minorEastAsia" w:cs="Times New Roman"/>
          <w:noProof/>
        </w:rPr>
      </w:pPr>
      <w:r>
        <w:rPr>
          <w:noProof/>
        </w:rPr>
        <w:t xml:space="preserve">την αγορά τεχνικού και ψηφιακού εξοπλισμού, συμπεριλαμβανομένης της αγοράς ηλεκτρικών οχημάτων· και </w:t>
      </w:r>
    </w:p>
    <w:p w14:paraId="78A6605F" w14:textId="1354886C" w:rsidR="00154AD2" w:rsidRDefault="007F6BF3">
      <w:pPr>
        <w:pStyle w:val="P68B1DB1-Normal4"/>
        <w:keepNext/>
        <w:numPr>
          <w:ilvl w:val="0"/>
          <w:numId w:val="52"/>
        </w:numPr>
        <w:spacing w:before="40" w:after="160" w:line="259" w:lineRule="auto"/>
        <w:contextualSpacing/>
        <w:jc w:val="both"/>
        <w:rPr>
          <w:rFonts w:eastAsiaTheme="minorEastAsia" w:cs="Times New Roman"/>
          <w:noProof/>
        </w:rPr>
      </w:pPr>
      <w:r>
        <w:rPr>
          <w:noProof/>
        </w:rPr>
        <w:t>δρομολόγηση πιλοτικού σχεδίου με την ονομασία «Radar Social», το οποίο αποσκοπεί στη δοκιμή, σε εθνικό επίπεδο, ενός σχεδόν προδραστικού και καινοτόμου μοντέλου ολοκληρωμένης κοινωνικής στήριξης. Το μοντέλο αυτό έχει ήδη δοκιμαστεί στον δήμο της Λισαβόνας, καλύπτοντας μόνο μία ομάδα-στόχο (ηλικιωμένοι) και τώρα προορίζεται να καλύψει ολόκληρη την ηπειρωτική χώρα με ευρύτερο πεδίο εφαρμογής όσον αφορά την ομάδα-στόχο (κάθε άτομο που διατρέχει κίνδυνο κοινωνικού αποκλεισμού, με ανεπαρκή κοινωνική ή/και οικογενειακή στήριξη). Το έργο περιλαμβάνει τον προσδιορισμό και τη χαρτογράφηση των αναγκών, καθώς και άλλες δράσεις, όπως η προώθηση της συμμετοχής των πολιτών στα κοινά, η προώθηση της χρήσης ψηφιακών εργαλείων και εργαλείων ΤΠ για την πρόσβαση σε βασικές κοινοτικές υπηρεσίες και η προώθηση του αθλητισμού. Για τον σκοπό αυτό, δημιουργούνται 278 ομάδες κοινωνικής παρέμβασης στους δήμους της ηπειρωτικής Πορτογαλίας. Οι ομάδες είναι υπεύθυνες για τον εντοπισμό ηλικιωμένων και άλλων ευάλωτων ατόμων που διατρέχουν κίνδυνο κοινωνικού αποκλεισμού και για την παροχή στήριξης με βάση τις ατομικές τους ανάγκες.</w:t>
      </w:r>
    </w:p>
    <w:p w14:paraId="21CC04BD" w14:textId="77777777" w:rsidR="00154AD2" w:rsidRDefault="007F6BF3">
      <w:pPr>
        <w:pStyle w:val="P68B1DB1-Normal4"/>
        <w:keepNext/>
        <w:spacing w:before="40" w:after="0" w:line="259" w:lineRule="auto"/>
        <w:jc w:val="both"/>
        <w:rPr>
          <w:rFonts w:eastAsiaTheme="minorEastAsia" w:cs="Times New Roman"/>
          <w:noProof/>
        </w:rPr>
      </w:pPr>
      <w:r>
        <w:rPr>
          <w:noProof/>
        </w:rPr>
        <w:t>Η υλοποίηση της επένδυσης θα ολοκληρωθεί έως τις 31 Μαρτίου 2026.</w:t>
      </w:r>
    </w:p>
    <w:p w14:paraId="2ADE939D"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Επένδυση RE-C03-i02: Προσβασιμότητα 360°</w:t>
      </w:r>
    </w:p>
    <w:p w14:paraId="37D1B66B"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Στόχος του μέτρου αυτού είναι η βελτίωση των συνθηκών προσβασιμότητας για τα άτομα με αναπηρία σε δημόσιους χώρους, δημόσια κτίρια και κατοικίες, σε ολόκληρη την επικράτεια. </w:t>
      </w:r>
    </w:p>
    <w:p w14:paraId="034FEC2F" w14:textId="77777777" w:rsidR="00154AD2" w:rsidRDefault="007F6BF3">
      <w:pPr>
        <w:pStyle w:val="P68B1DB1-Normal4"/>
        <w:keepNext/>
        <w:spacing w:before="40" w:after="0" w:line="259" w:lineRule="auto"/>
        <w:jc w:val="both"/>
        <w:rPr>
          <w:rFonts w:eastAsiaTheme="minorEastAsia" w:cs="Times New Roman"/>
          <w:noProof/>
        </w:rPr>
      </w:pPr>
      <w:r>
        <w:rPr>
          <w:noProof/>
        </w:rPr>
        <w:t>Η επένδυση αυτή συνάδει πλήρως με την ευρωπαϊκή στρατηγική για τα δικαιώματα των ατόμων με αναπηρία 2021-2030</w:t>
      </w:r>
      <w:r>
        <w:rPr>
          <w:noProof/>
        </w:rPr>
        <w:footnoteReference w:id="6"/>
      </w:r>
      <w:r>
        <w:rPr>
          <w:noProof/>
        </w:rPr>
        <w:t xml:space="preserve"> και αποτελείται από τρία σκέλη:</w:t>
      </w:r>
    </w:p>
    <w:p w14:paraId="0E9823BC" w14:textId="1DDCDE8E" w:rsidR="00154AD2" w:rsidRDefault="007F6BF3">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το πρόγραμμα παρέμβασης «Public Way Intervention Programme 2021-2025» (PIVP), το οποίο περιλαμβάνει δραστηριότητες και κατασκευαστικά έργα σε τουλάχιστον 200 000 m² δημόσιου χώρου, όπως πεζοδρόμια και πλατείες· </w:t>
      </w:r>
    </w:p>
    <w:p w14:paraId="7D9FAE99" w14:textId="77777777" w:rsidR="00154AD2" w:rsidRDefault="007F6BF3">
      <w:pPr>
        <w:pStyle w:val="P68B1DB1-Normal4"/>
        <w:keepNext/>
        <w:numPr>
          <w:ilvl w:val="0"/>
          <w:numId w:val="20"/>
        </w:numPr>
        <w:spacing w:before="40" w:after="160" w:line="259" w:lineRule="auto"/>
        <w:contextualSpacing/>
        <w:jc w:val="both"/>
        <w:rPr>
          <w:rFonts w:eastAsiaTheme="minorEastAsia" w:cs="Times New Roman"/>
          <w:noProof/>
        </w:rPr>
      </w:pPr>
      <w:r>
        <w:rPr>
          <w:noProof/>
        </w:rPr>
        <w:t>το πρόγραμμα παρέμβασης στα δημόσια κτίρια 2021-2025 (PIEP), το οποίο περιλαμβάνει λειτουργίες και κατασκευαστικά έργα σε τουλάχιστον 1 500 κτίρια δημόσιων υπηρεσιών· και</w:t>
      </w:r>
    </w:p>
    <w:p w14:paraId="71FA1279" w14:textId="77777777" w:rsidR="00154AD2" w:rsidRDefault="007F6BF3">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το πρόγραμμα παρέμβασης για τη στέγαση 2021-2025 (PIH), το οποίο περιλαμβάνει εργασίες ανακαίνισης και κατασκευής σε τουλάχιστον 1 000 υφιστάμενες κατοικίες ατόμων με αναπηρία. </w:t>
      </w:r>
    </w:p>
    <w:p w14:paraId="21A3A591" w14:textId="77777777" w:rsidR="00154AD2" w:rsidRDefault="007F6BF3">
      <w:pPr>
        <w:pStyle w:val="P68B1DB1-Normal4"/>
        <w:keepNext/>
        <w:spacing w:before="40" w:after="0" w:line="259" w:lineRule="auto"/>
        <w:jc w:val="both"/>
        <w:rPr>
          <w:rFonts w:eastAsiaTheme="minorEastAsia" w:cs="Times New Roman"/>
          <w:noProof/>
        </w:rPr>
      </w:pPr>
      <w:r>
        <w:rPr>
          <w:noProof/>
        </w:rPr>
        <w:t>Η υλοποίηση της επένδυσης θα ολοκληρωθεί έως τις 31 Δεκεμβρίου 2025.</w:t>
      </w:r>
    </w:p>
    <w:p w14:paraId="1E137E06"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Επένδυση RE-C03-i03-RAM: Ενίσχυση των κοινωνικών αντιδράσεων στην αυτόνομη περιφέρεια της Μαδέρας (ARM)</w:t>
      </w:r>
    </w:p>
    <w:p w14:paraId="6CD6778E" w14:textId="77777777" w:rsidR="00154AD2" w:rsidRDefault="007F6BF3">
      <w:pPr>
        <w:pStyle w:val="P68B1DB1-Normal4"/>
        <w:keepNext/>
        <w:spacing w:before="40" w:after="0" w:line="259" w:lineRule="auto"/>
        <w:jc w:val="both"/>
        <w:rPr>
          <w:rFonts w:eastAsiaTheme="minorEastAsia" w:cs="Times New Roman"/>
          <w:noProof/>
        </w:rPr>
      </w:pPr>
      <w:r>
        <w:rPr>
          <w:noProof/>
        </w:rPr>
        <w:t>Στόχος του μέτρου αυτού είναι η ενίσχυση του δικτύου κοινωνικών υπηρεσιών στην αυτόνομη περιφέρεια της Μαδέρας.</w:t>
      </w:r>
    </w:p>
    <w:p w14:paraId="7AB57872"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επένδυση αυτή θα συνίσταται σε παρεμβάσεις στους οίκους ευγηρίας (ERPIs) και στην επέκταση των δομών κοινωνικής στήριξης των αστέγων. Οι παρεμβάσεις αυτές περιλαμβάνουν την κατασκευή νέων και την ανακαίνιση και αναβάθμιση υφιστάμενων εγκαταστάσεων και την αγορά του απαραίτητου τεχνικού και ψηφιακού εξοπλισμού και εξοπλισμού ΤΠ, συμπεριλαμβανομένης της αγοράς ηλεκτρικών οχημάτων για τη διευκόλυνση και τη βελτίωση της εμβέλειας των επαγγελματιών των κοινωνικών υπηρεσιών σε απομακρυσμένες περιοχές. </w:t>
      </w:r>
    </w:p>
    <w:p w14:paraId="1EDAA2FB" w14:textId="263611C5" w:rsidR="00154AD2" w:rsidRDefault="007F6BF3">
      <w:pPr>
        <w:pStyle w:val="P68B1DB1-Normal4"/>
        <w:keepNext/>
        <w:spacing w:before="40" w:after="0" w:line="259" w:lineRule="auto"/>
        <w:jc w:val="both"/>
        <w:rPr>
          <w:rFonts w:eastAsiaTheme="minorEastAsia" w:cs="Times New Roman"/>
          <w:noProof/>
        </w:rPr>
      </w:pPr>
      <w:r>
        <w:rPr>
          <w:noProof/>
        </w:rPr>
        <w:t xml:space="preserve">Οι παρεμβάσεις περιλαμβάνουν την αποκατάσταση και επέκταση οικιστικών και μη οικιστικών δομών για ηλικιωμένους, οι οποίες προορίζονται για άτομα ηλικίας 65 ετών και άνω τα οποία δεν είναι σε θέση να παραμείνουν στην κατοικία τους. Μπορούν επίσης να φιλοξενούν ενήλικα άτομα ηλικίας κάτω των 65 ετών, σε δεόντως αιτιολογημένες εξαιρετικές περιπτώσεις. </w:t>
      </w:r>
    </w:p>
    <w:p w14:paraId="44AB2A82" w14:textId="4A6664DB" w:rsidR="00154AD2" w:rsidRDefault="007F6BF3">
      <w:pPr>
        <w:pStyle w:val="P68B1DB1-Normal4"/>
        <w:keepNext/>
        <w:spacing w:before="40" w:after="0" w:line="259" w:lineRule="auto"/>
        <w:jc w:val="both"/>
        <w:rPr>
          <w:rFonts w:eastAsiaTheme="minorEastAsia" w:cs="Times New Roman"/>
          <w:noProof/>
        </w:rPr>
      </w:pPr>
      <w:r>
        <w:rPr>
          <w:noProof/>
        </w:rPr>
        <w:t xml:space="preserve">Οι παρεμβάσεις που απευθύνονται στους αστέγους περιλαμβάνουν τη δημιουργία νυχτερινής υποδοχής για την αντιμετώπιση καταστάσεων έκτακτης ανάγκης και την παροχή στέγασης, τη δημιουργία λουτρού και πλυντηρίου για την προώθηση της προσωπικής υγιεινής, την ανακαίνιση χώρου για την παροχή γευμάτων και δραστηριοτήτων τύπου εργαστηρίου για την ανάπτυξη κοινωνικών δεξιοτήτων και ικανοτήτων μεταξύ των δικαιούχων. </w:t>
      </w:r>
    </w:p>
    <w:p w14:paraId="758AA752" w14:textId="5537FE59" w:rsidR="00154AD2" w:rsidRDefault="007F6BF3">
      <w:pPr>
        <w:pStyle w:val="P68B1DB1-Normal4"/>
        <w:keepNext/>
        <w:spacing w:before="40" w:after="0" w:line="259" w:lineRule="auto"/>
        <w:jc w:val="both"/>
        <w:rPr>
          <w:rFonts w:eastAsiaTheme="minorEastAsia" w:cs="Times New Roman"/>
          <w:noProof/>
        </w:rPr>
      </w:pPr>
      <w:r>
        <w:rPr>
          <w:noProof/>
        </w:rPr>
        <w:t>Η υλοποίηση της επένδυσης θα ολοκληρωθεί έως τις 30 Δεκεμβρίου 2025.</w:t>
      </w:r>
    </w:p>
    <w:p w14:paraId="6341FCC8"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Επένδυση RE-C03-i04-RAA: Εφαρμογή της Περιφερειακής Στρατηγικής για την Καταπολέμηση της Φτώχειας και του Κοινωνικού Αποκλεισμού — Δίκτυα Κοινωνικής Στήριξης (ARA)</w:t>
      </w:r>
    </w:p>
    <w:p w14:paraId="758B7891"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Στόχος του μέτρου αυτού είναι η υλοποίηση των προτεραιοτήτων της περιφερειακής στρατηγικής για την καταπολέμηση της φτώχειας και του κοινωνικού αποκλεισμού 2018-2028 (ERCPES) της Αυτόνομης Περιφέρειας των Αζορών. Τέσσερις στρατηγικές προτεραιότητες που αλληλοσυμπληρώνονται έχουν καθοριστεί στη στρατηγική: </w:t>
      </w:r>
    </w:p>
    <w:p w14:paraId="029D52CF" w14:textId="77777777" w:rsidR="00154AD2" w:rsidRDefault="007F6BF3">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P1 — Διασφάλιση μιας πλήρους και χωρίς αποκλεισμούς διαδικασίας ανάπτυξης για όλα τα παιδιά και τους νέους από την αρχή της ζωής· </w:t>
      </w:r>
    </w:p>
    <w:p w14:paraId="687E73B0" w14:textId="77777777" w:rsidR="00154AD2" w:rsidRDefault="007F6BF3">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P2 — Ενίσχυση της κοινωνικής συνοχής στην περιοχή· </w:t>
      </w:r>
    </w:p>
    <w:p w14:paraId="56291263" w14:textId="77777777" w:rsidR="00154AD2" w:rsidRDefault="007F6BF3">
      <w:pPr>
        <w:pStyle w:val="P68B1DB1-Normal4"/>
        <w:keepNext/>
        <w:numPr>
          <w:ilvl w:val="0"/>
          <w:numId w:val="20"/>
        </w:numPr>
        <w:spacing w:before="40" w:after="160" w:line="259" w:lineRule="auto"/>
        <w:contextualSpacing/>
        <w:jc w:val="both"/>
        <w:rPr>
          <w:rFonts w:eastAsiaTheme="minorEastAsia" w:cs="Times New Roman"/>
          <w:noProof/>
        </w:rPr>
      </w:pPr>
      <w:r>
        <w:rPr>
          <w:noProof/>
        </w:rPr>
        <w:t>P3 — Προώθηση της εδαφικής παρέμβασης· και</w:t>
      </w:r>
    </w:p>
    <w:p w14:paraId="00B33C95" w14:textId="77777777" w:rsidR="00154AD2" w:rsidRDefault="007F6BF3">
      <w:pPr>
        <w:pStyle w:val="P68B1DB1-Normal4"/>
        <w:keepNext/>
        <w:numPr>
          <w:ilvl w:val="0"/>
          <w:numId w:val="20"/>
        </w:numPr>
        <w:spacing w:before="40" w:after="160" w:line="259" w:lineRule="auto"/>
        <w:contextualSpacing/>
        <w:jc w:val="both"/>
        <w:rPr>
          <w:rFonts w:eastAsiaTheme="minorEastAsia" w:cs="Times New Roman"/>
          <w:noProof/>
        </w:rPr>
      </w:pPr>
      <w:r>
        <w:rPr>
          <w:noProof/>
        </w:rPr>
        <w:t>P4 — Διασφάλιση επαρκούς γνώσης του φαινομένου της φτώχειας στην περιοχή.</w:t>
      </w:r>
    </w:p>
    <w:p w14:paraId="7727C0B8" w14:textId="5AB285C1" w:rsidR="00154AD2" w:rsidRDefault="007F6BF3">
      <w:pPr>
        <w:pStyle w:val="P68B1DB1-Normal4"/>
        <w:keepNext/>
        <w:spacing w:before="40" w:after="0" w:line="259" w:lineRule="auto"/>
        <w:jc w:val="both"/>
        <w:rPr>
          <w:rFonts w:eastAsiaTheme="minorEastAsia" w:cs="Times New Roman"/>
          <w:noProof/>
        </w:rPr>
      </w:pPr>
      <w:r>
        <w:rPr>
          <w:noProof/>
        </w:rPr>
        <w:t xml:space="preserve">Η επένδυση αυτή συνίσταται σε ένα σύνολο παρεμβάσεων που αυξάνουν την πρόσβαση των παιδιών και των νέων σε κοινωνικές και εκπαιδευτικές υπηρεσίες και ενισχύουν την κοινωνική συνοχή μέσω της στήριξης των οικογενειών που έχουν ανάγκη και των ατόμων με αναπηρία για την ένταξή τους στην κοινωνία και στην αγορά εργασίας. Σε αυτές περιλαμβάνονται τουλάχιστον η δημιουργία σχολικών μονάδων για την καταπολέμηση της πρόωρης εγκατάλειψης του σχολείου, οι επιδοτήσεις σε νοικοκυριά χαμηλού εισοδήματος ως κίνητρο για την προώθηση της συμμετοχής του βρεφονηπιακού σταθμού, η δημιουργία πρόσθετων (φυσικών) θέσεων σε βρεφονηπιακούς σταθμούς και κέντρα ημερήσιας φροντίδας, η δημιουργία νέων θέσεων για άτομα με αναπηρία σε κέντρα υποστήριξης ατόμων με αναπηρία, η αγορά αυτοκινήτων για την ανανέωση του στόλου κοινωνικών αυτοκινήτων Instituições Particulares de Solidariedade και η κατάρτιση ατόμων από οικογένειες που καλύπτονται από το εισόδημα κοινωνικής ένταξης για την παροχή συμπληρωματικών βασικών δεξιοτήτων που θα τους επιτρέψουν να εισέλθουν στην αγορά εργασίας. </w:t>
      </w:r>
    </w:p>
    <w:p w14:paraId="4B195392"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Τέλος, η επένδυση αυτή περιλαμβάνει επίσης τη δρομολόγηση πιλοτικού προγράμματος με τίτλο «Γήρανση σε ισχύ», το οποίο αποσκοπεί στην προώθηση της εξωιδρυματικής φροντίδας των ηλικιωμένων και/ή των ατόμων με αναπηρία. </w:t>
      </w:r>
    </w:p>
    <w:p w14:paraId="25A7EFAB" w14:textId="3AA9570B" w:rsidR="00154AD2" w:rsidRDefault="007F6BF3">
      <w:pPr>
        <w:pStyle w:val="P68B1DB1-Normal4"/>
        <w:keepNext/>
        <w:spacing w:before="40" w:after="0" w:line="259" w:lineRule="auto"/>
        <w:jc w:val="both"/>
        <w:rPr>
          <w:rFonts w:eastAsiaTheme="minorEastAsia" w:cs="Times New Roman"/>
          <w:noProof/>
        </w:rPr>
      </w:pPr>
      <w:r>
        <w:rPr>
          <w:noProof/>
        </w:rPr>
        <w:t>Η υλοποίηση της επένδυσης θα ολοκληρωθεί έως τις 30 Ιουνίου 2026.</w:t>
      </w:r>
    </w:p>
    <w:p w14:paraId="36A22E9D"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Επένδυση RE-C03-i05: Πλατφόρμα + Πρόσβαση</w:t>
      </w:r>
    </w:p>
    <w:p w14:paraId="06E31F6B"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Στόχος του μέτρου αυτού είναι η προώθηση της ένταξης των ατόμων με αναπηρία μέσω της παροχής ενός συνόλου ψηφιακών εργαλείων και υπηρεσιών πληροφόρησης που θα διευκολύνουν την ικανοποίηση των αναγκών τους και θα διευκολύνουν τη συμμετοχή τους στην κοινωνία. </w:t>
      </w:r>
    </w:p>
    <w:p w14:paraId="5239124E" w14:textId="77777777" w:rsidR="00154AD2" w:rsidRDefault="007F6BF3">
      <w:pPr>
        <w:pStyle w:val="P68B1DB1-Normal4"/>
        <w:keepNext/>
        <w:spacing w:before="40" w:after="0" w:line="259" w:lineRule="auto"/>
        <w:jc w:val="both"/>
        <w:rPr>
          <w:rFonts w:eastAsiaTheme="minorEastAsia" w:cs="Times New Roman"/>
          <w:noProof/>
        </w:rPr>
      </w:pPr>
      <w:r>
        <w:rPr>
          <w:noProof/>
        </w:rPr>
        <w:t>Η επένδυση αποτελείται από πέντε προγράμματα:</w:t>
      </w:r>
    </w:p>
    <w:p w14:paraId="72800A48" w14:textId="77777777" w:rsidR="00154AD2" w:rsidRDefault="007F6BF3">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Γεωαναφορά της τοποθεσίας και των συνθηκών προσβασιμότητας των δημόσιων κτιρίων· </w:t>
      </w:r>
    </w:p>
    <w:p w14:paraId="35176517" w14:textId="77777777" w:rsidR="00154AD2" w:rsidRDefault="007F6BF3">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Παγκόσμια συστήματα πληροφοριών και εντοπισμού θέσης (GPS) για μεγάλα δημόσια κτίρια και δυνατότητα ένταξης ιδιωτικών κτιρίων· </w:t>
      </w:r>
    </w:p>
    <w:p w14:paraId="5D8E03C9" w14:textId="77777777" w:rsidR="00154AD2" w:rsidRDefault="007F6BF3">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Γεωαναφορά θέσεων στάθμευσης για άτομα μειωμένης κινητικότητας· </w:t>
      </w:r>
    </w:p>
    <w:p w14:paraId="2C342D75" w14:textId="77777777" w:rsidR="00154AD2" w:rsidRDefault="007F6BF3">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Ψηφιακή πλατφόρμα πληροφοριών· </w:t>
      </w:r>
    </w:p>
    <w:p w14:paraId="68C0A982" w14:textId="77777777" w:rsidR="00154AD2" w:rsidRDefault="007F6BF3">
      <w:pPr>
        <w:pStyle w:val="P68B1DB1-Normal4"/>
        <w:keepNext/>
        <w:numPr>
          <w:ilvl w:val="0"/>
          <w:numId w:val="20"/>
        </w:numPr>
        <w:spacing w:before="40" w:after="160" w:line="259" w:lineRule="auto"/>
        <w:contextualSpacing/>
        <w:jc w:val="both"/>
        <w:rPr>
          <w:rFonts w:eastAsiaTheme="minorEastAsia" w:cs="Times New Roman"/>
          <w:noProof/>
        </w:rPr>
      </w:pPr>
      <w:r>
        <w:rPr>
          <w:noProof/>
        </w:rPr>
        <w:t>Δημιουργία κέντρου κλήσεων για τη διερμηνεία της νοηματικής γλώσσας της Πορτογαλίας.</w:t>
      </w:r>
    </w:p>
    <w:p w14:paraId="4233CF6C" w14:textId="1521E268" w:rsidR="00154AD2" w:rsidRDefault="007F6BF3">
      <w:pPr>
        <w:pStyle w:val="P68B1DB1-Normal4"/>
        <w:keepNext/>
        <w:spacing w:before="40" w:after="0" w:line="259" w:lineRule="auto"/>
        <w:jc w:val="both"/>
        <w:rPr>
          <w:rFonts w:eastAsiaTheme="minorEastAsia" w:cs="Times New Roman"/>
          <w:noProof/>
        </w:rPr>
      </w:pPr>
      <w:r>
        <w:rPr>
          <w:noProof/>
        </w:rPr>
        <w:t xml:space="preserve">Τα προγράμματα αυτά έχουν σχεδιαστεί για την παροχή λύσεων γεωαναφοράς σχετικά με τις συνθήκες προσβασιμότητας σε δημόσιους δρόμους, δημόσια και ιδιωτικά κτίρια και χώρους στάθμευσης σε άτομα με μειωμένη κινητικότητα, για τη δημιουργία μιας ψηφιακής πλατφόρμας πληροφόρησης που θα συγκεντρώνει και θα απλουστεύει τις πληροφορίες σχετικά με τη σχετική νομοθεσία και θα υποστηρίζει τους πόρους για τα άτομα με αναπηρία, και για να παρέχει στους κωφούς πολίτες ένα κέντρο κλήσεων που θα εγγυάται διερμηνεία σε πραγματικό χρόνο στην πορτογαλική νοηματική γλώσσα (LGP), το οποίο θα είναι διαθέσιμο σε όλη τη δημόσια διοίκηση. </w:t>
      </w:r>
    </w:p>
    <w:p w14:paraId="58A92AFD" w14:textId="77777777" w:rsidR="00154AD2" w:rsidRDefault="007F6BF3">
      <w:pPr>
        <w:pStyle w:val="P68B1DB1-Normal4"/>
        <w:keepNext/>
        <w:spacing w:before="40" w:after="0" w:line="259" w:lineRule="auto"/>
        <w:jc w:val="both"/>
        <w:rPr>
          <w:rFonts w:eastAsiaTheme="minorEastAsia" w:cs="Times New Roman"/>
          <w:noProof/>
        </w:rPr>
      </w:pPr>
      <w:r>
        <w:rPr>
          <w:noProof/>
        </w:rPr>
        <w:t>Η υλοποίηση της επένδυσης θα ολοκληρωθεί έως τις 31 Δεκεμβρίου 2025.</w:t>
      </w:r>
    </w:p>
    <w:p w14:paraId="6CE3140F"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Επένδυση RE-C03-i06: Ολοκληρωμένες δράσεις σε μειονεκτούσες κοινότητες στις μητροπολιτικές περιοχές της Λισαβόνας και του Πόρτο</w:t>
      </w:r>
    </w:p>
    <w:p w14:paraId="5E856FB8" w14:textId="77777777" w:rsidR="00154AD2" w:rsidRDefault="007F6BF3">
      <w:pPr>
        <w:pStyle w:val="P68B1DB1-Normal4"/>
        <w:keepNext/>
        <w:spacing w:before="40" w:after="0" w:line="259" w:lineRule="auto"/>
        <w:jc w:val="both"/>
        <w:rPr>
          <w:rFonts w:eastAsiaTheme="minorEastAsia" w:cs="Times New Roman"/>
          <w:noProof/>
        </w:rPr>
      </w:pPr>
      <w:r>
        <w:rPr>
          <w:noProof/>
        </w:rPr>
        <w:t>Στόχος αυτού του ευρέος και καινοτόμου πιλοτικού μέτρου είναι η καταπολέμηση της φτώχειας και του κοινωνικού αποκλεισμού στους πλέον μειονεκτούντες δήμους των μητροπολιτικών περιοχών της Λισαβόνας και του Πόρτο. Υπό την προϋπόθεση ότι οι παρεμβάσεις είναι επιτυχείς, μπορούν να κλιμακωθούν.</w:t>
      </w:r>
    </w:p>
    <w:p w14:paraId="401BD1D1"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επένδυση αυτή συνίσταται σε ένα σύνολο δράσεων που συνδέονται με τις ειδικές ανάγκες των εν λόγω δήμων. Οι δράσεις αυτές περιλαμβάνουν την ενδυνάμωση των κοινοτήτων, την ανάπτυξη νέων και καινοτόμων προσεγγίσεων για την κοινωνική συνοχή και παρεμβάσεις σε δημόσιους χώρους, κοινωνικές και αθλητικές υποδομές και κατοικίες. Οι κυριότεροι στόχοι των δράσεων αυτών είναι οι εξής: </w:t>
      </w:r>
    </w:p>
    <w:p w14:paraId="064D0EF4" w14:textId="77777777" w:rsidR="00154AD2" w:rsidRDefault="007F6BF3">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Προώθηση της υγείας και της ποιότητας ζωής των κοινοτήτων με την υποστήριξη σχεδίων που υποβάλλονται από ενώσεις τοπικών αρχών, ΜΚΟ, κινήματα πολιτών και οργανώσεις κατοίκων, υγειονομικές αρχές ή άλλους δημόσιους φορείς· </w:t>
      </w:r>
    </w:p>
    <w:p w14:paraId="554359D1" w14:textId="77777777" w:rsidR="00154AD2" w:rsidRDefault="007F6BF3">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Τη φυσική αναβάθμιση του δημόσιου χώρου και των κοινωνικών, υγειονομικών, στεγαστικών ή αθλητικών υποδομών· </w:t>
      </w:r>
    </w:p>
    <w:p w14:paraId="13D98317" w14:textId="77777777" w:rsidR="00154AD2" w:rsidRDefault="007F6BF3">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Αναζωογόνηση των κοινωνικά μειονεκτικών περιοχών, προώθηση της κοινωνικής συνοχής στις μητροπολιτικές περιοχές· </w:t>
      </w:r>
    </w:p>
    <w:p w14:paraId="1A86CCDE" w14:textId="77777777" w:rsidR="00154AD2" w:rsidRDefault="007F6BF3">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Την ενθάρρυνση της επιχειρηματικότητας μικρών, τοπικών επιχειρήσεων· </w:t>
      </w:r>
    </w:p>
    <w:p w14:paraId="406E2D60" w14:textId="77777777" w:rsidR="00154AD2" w:rsidRDefault="007F6BF3">
      <w:pPr>
        <w:pStyle w:val="P68B1DB1-Normal4"/>
        <w:keepNext/>
        <w:numPr>
          <w:ilvl w:val="0"/>
          <w:numId w:val="21"/>
        </w:numPr>
        <w:spacing w:before="40" w:after="160" w:line="259" w:lineRule="auto"/>
        <w:contextualSpacing/>
        <w:jc w:val="both"/>
        <w:rPr>
          <w:rFonts w:eastAsiaTheme="minorEastAsia" w:cs="Times New Roman"/>
          <w:noProof/>
        </w:rPr>
      </w:pPr>
      <w:r>
        <w:rPr>
          <w:noProof/>
        </w:rPr>
        <w:t>Βελτίωση της πρόσβασης στην υγεία και καταπολέμηση των εξαρτήσεων·</w:t>
      </w:r>
    </w:p>
    <w:p w14:paraId="5DCF95B6" w14:textId="77777777" w:rsidR="00154AD2" w:rsidRDefault="007F6BF3">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Την ανάπτυξη προγραμμάτων ενεργού και υγιούς γήρανσης· </w:t>
      </w:r>
    </w:p>
    <w:p w14:paraId="7FAF5F26" w14:textId="77777777" w:rsidR="00154AD2" w:rsidRDefault="007F6BF3">
      <w:pPr>
        <w:pStyle w:val="P68B1DB1-Normal4"/>
        <w:keepNext/>
        <w:numPr>
          <w:ilvl w:val="0"/>
          <w:numId w:val="21"/>
        </w:numPr>
        <w:spacing w:before="40" w:after="160" w:line="259" w:lineRule="auto"/>
        <w:contextualSpacing/>
        <w:jc w:val="both"/>
        <w:rPr>
          <w:rFonts w:eastAsiaTheme="minorEastAsia" w:cs="Times New Roman"/>
          <w:noProof/>
        </w:rPr>
      </w:pPr>
      <w:r>
        <w:rPr>
          <w:noProof/>
        </w:rPr>
        <w:t>Σχεδιασμός σχεδίων για την καταπολέμηση της σχολικής αποτυχίας και της εγκατάλειψης του σχολείου·</w:t>
      </w:r>
    </w:p>
    <w:p w14:paraId="05E23490" w14:textId="77777777" w:rsidR="00154AD2" w:rsidRDefault="007F6BF3">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Τη βελτίωση των προσόντων των ενηλίκων και την πιστοποίηση των δεξιοτήτων τους· </w:t>
      </w:r>
    </w:p>
    <w:p w14:paraId="52072040" w14:textId="77777777" w:rsidR="00154AD2" w:rsidRDefault="007F6BF3">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Τη διάγνωση των αναγκών του πληθυσμού και την ανάπτυξη του γραμματισμού των ενηλίκων, της εκμάθησης πορτογαλικής γλώσσας και των προγραμμάτων ψηφιακής ένταξης· </w:t>
      </w:r>
    </w:p>
    <w:p w14:paraId="766D09F8" w14:textId="77777777" w:rsidR="00154AD2" w:rsidRDefault="007F6BF3">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Επαγγελματική κατάρτιση και πολιτικές για την προώθηση της απασχολησιμότητας, προσαρμοσμένες στις τοπικές πραγματικότητες και δυναμικές· </w:t>
      </w:r>
    </w:p>
    <w:p w14:paraId="50245D50" w14:textId="77777777" w:rsidR="00154AD2" w:rsidRDefault="007F6BF3">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Πρόσβαση στον πολιτισμό και τη δημιουργικότητα και αξιοποίηση της διαπολιτισμικότητας· </w:t>
      </w:r>
    </w:p>
    <w:p w14:paraId="1E1CA766" w14:textId="77777777" w:rsidR="00154AD2" w:rsidRDefault="007F6BF3">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Ενθάρρυνση της συμμετοχής της κοινότητας στη διαχείριση του ίδιου του προγράμματος· </w:t>
      </w:r>
    </w:p>
    <w:p w14:paraId="4C4EA5A8" w14:textId="77777777" w:rsidR="00154AD2" w:rsidRDefault="007F6BF3">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Ενδυνάμωση των τοπικών φορέων στα δίκτυα εταιρικής σχέσης· </w:t>
      </w:r>
    </w:p>
    <w:p w14:paraId="00360151" w14:textId="77777777" w:rsidR="00154AD2" w:rsidRDefault="007F6BF3">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Λύσεις για την καταπολέμηση της φτώχειας και του κοινωνικού αποκλεισμού· </w:t>
      </w:r>
    </w:p>
    <w:p w14:paraId="32DD2764" w14:textId="77777777" w:rsidR="00154AD2" w:rsidRDefault="007F6BF3">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Την προώθηση του αθλητισμού ως ενός από τα κοινωνικά μέσα που φέρνουν σε επαφή τα μέλη της κοινότητας, προωθούν τις αξίες και καταπολεμούν τις κοινωνικές ανισότητες· </w:t>
      </w:r>
    </w:p>
    <w:p w14:paraId="693CEC30" w14:textId="77777777" w:rsidR="00154AD2" w:rsidRDefault="007F6BF3">
      <w:pPr>
        <w:pStyle w:val="P68B1DB1-Normal4"/>
        <w:keepNext/>
        <w:numPr>
          <w:ilvl w:val="0"/>
          <w:numId w:val="21"/>
        </w:numPr>
        <w:spacing w:before="40" w:after="160" w:line="259" w:lineRule="auto"/>
        <w:contextualSpacing/>
        <w:jc w:val="both"/>
        <w:rPr>
          <w:rFonts w:eastAsiaTheme="minorEastAsia" w:cs="Times New Roman"/>
          <w:noProof/>
        </w:rPr>
      </w:pPr>
      <w:r>
        <w:rPr>
          <w:noProof/>
        </w:rPr>
        <w:t>Ιθαγένεια και πρόσβαση στα δικαιώματα και συμμετοχή στα κοινά.</w:t>
      </w:r>
    </w:p>
    <w:p w14:paraId="613DD2E4" w14:textId="77777777" w:rsidR="00154AD2" w:rsidRDefault="007F6BF3">
      <w:pPr>
        <w:pStyle w:val="P68B1DB1-Normal4"/>
        <w:keepNext/>
        <w:spacing w:before="40" w:after="0" w:line="259" w:lineRule="auto"/>
        <w:jc w:val="both"/>
        <w:rPr>
          <w:rFonts w:eastAsiaTheme="minorEastAsia" w:cs="Times New Roman"/>
          <w:noProof/>
        </w:rPr>
      </w:pPr>
      <w:r>
        <w:rPr>
          <w:noProof/>
        </w:rPr>
        <w:t>Προκειμένου να διασφαλιστεί ότι το μέτρο είναι σύμφωνο με την τεχνική καθοδήγηση σχετικά με την εφαρμογή της αρχής της «μη πρόκλησης σημαντικής βλάβης» (2021/C58/01), τα κριτήρια επιλεξιμότητας που περιλαμβάνονται σε όρους αναφοράς για επικείμενες προσκλήσεις υποβολής έργων αποκλείουν τον ακόλουθο κατάλογο δραστηριοτήτων: I) δραστηριότητες που σχετίζονται με ορυκτά καύσιμα, συμπεριλαμβανομένης της μεταγενέστερης χρήσης</w:t>
      </w:r>
      <w:r>
        <w:rPr>
          <w:noProof/>
        </w:rPr>
        <w:footnoteReference w:id="7"/>
      </w:r>
      <w:r>
        <w:rPr>
          <w:noProof/>
        </w:rPr>
        <w:t>· II) δραστηριότητες στο πλαίσιο του συστήματος εμπορίας δικαιωμάτων εκπομπής (ΣΕΔΕ) της ΕΕ που επιτυγχάνουν προβλεπόμενες εκπομπές αερίων του θερμοκηπίου που δεν είναι χαμηλότερες από τους σχετικούς δείκτες αναφοράς</w:t>
      </w:r>
      <w:r>
        <w:rPr>
          <w:noProof/>
        </w:rPr>
        <w:footnoteReference w:id="8"/>
      </w:r>
      <w:r>
        <w:rPr>
          <w:noProof/>
        </w:rPr>
        <w:t>· III) δραστηριότητες που σχετίζονται με χώρους υγειονομικής ταφής αποβλήτων, αποτεφρωτήρες</w:t>
      </w:r>
      <w:r>
        <w:rPr>
          <w:noProof/>
        </w:rPr>
        <w:footnoteReference w:id="9"/>
      </w:r>
      <w:r>
        <w:rPr>
          <w:noProof/>
        </w:rPr>
        <w:t xml:space="preserve"> και μονάδες μηχανικής βιολογικής επεξεργασίας</w:t>
      </w:r>
      <w:r>
        <w:rPr>
          <w:noProof/>
        </w:rPr>
        <w:footnoteReference w:id="10"/>
      </w:r>
      <w:r>
        <w:rPr>
          <w:noProof/>
        </w:rPr>
        <w:t xml:space="preserve">· και iv) δραστηριότητες στις οποίες η μακροπρόθεσμη διάθεση αποβλήτων μπορεί να βλάψει το περιβάλλον. Οι όροι εντολής απαιτούν επιπλέον να επιλέγονται μόνο οι δραστηριότητες που συμμορφώνονται με τη σχετική ενωσιακή και εθνική περιβαλλοντική νομοθεσία. </w:t>
      </w:r>
    </w:p>
    <w:p w14:paraId="1112183D"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υλοποίηση της επένδυσης θα ολοκληρωθεί έως τις 31 Δεκεμβρίου 2025. </w:t>
      </w:r>
    </w:p>
    <w:p w14:paraId="365B9857" w14:textId="03150B32" w:rsidR="00154AD2" w:rsidRDefault="007F6BF3">
      <w:pPr>
        <w:pStyle w:val="P68B1DB1-Normal5"/>
        <w:keepNext/>
        <w:spacing w:before="240" w:after="0" w:line="259" w:lineRule="auto"/>
        <w:ind w:left="851"/>
        <w:jc w:val="both"/>
        <w:outlineLvl w:val="3"/>
        <w:rPr>
          <w:rFonts w:eastAsiaTheme="minorEastAsia" w:cs="Times New Roman"/>
          <w:noProof/>
        </w:rPr>
      </w:pPr>
      <w:bookmarkStart w:id="5" w:name="_Toc137472441"/>
      <w:r>
        <w:rPr>
          <w:noProof/>
        </w:rPr>
        <w:t>Επένδυση RE-C03-i07-RAA: Αναβάθμιση και επέκταση του δικτύου οίκων ευγηρίας (ERPIs)</w:t>
      </w:r>
      <w:bookmarkEnd w:id="5"/>
      <w:r>
        <w:rPr>
          <w:noProof/>
        </w:rPr>
        <w:t xml:space="preserve"> </w:t>
      </w:r>
    </w:p>
    <w:p w14:paraId="72F021BC" w14:textId="06996ABE" w:rsidR="00154AD2" w:rsidRDefault="007F6BF3">
      <w:pPr>
        <w:pStyle w:val="P68B1DB1-Normal4"/>
        <w:keepNext/>
        <w:spacing w:before="40" w:after="0" w:line="259" w:lineRule="auto"/>
        <w:jc w:val="both"/>
        <w:rPr>
          <w:rFonts w:eastAsiaTheme="minorEastAsia" w:cs="Times New Roman"/>
          <w:noProof/>
        </w:rPr>
      </w:pPr>
      <w:r>
        <w:rPr>
          <w:noProof/>
        </w:rPr>
        <w:t xml:space="preserve">Στόχος του μέτρου αυτού είναι η παροχή στήριξης στους ηλικιωμένους στην Αυτόνομη Περιφέρεια των Αζορών. </w:t>
      </w:r>
    </w:p>
    <w:p w14:paraId="014B2B3A" w14:textId="3DD1A0F6" w:rsidR="00154AD2" w:rsidRDefault="007F6BF3">
      <w:pPr>
        <w:pStyle w:val="P68B1DB1-Normal4"/>
        <w:keepNext/>
        <w:spacing w:before="40" w:after="0" w:line="259" w:lineRule="auto"/>
        <w:jc w:val="both"/>
        <w:rPr>
          <w:rFonts w:eastAsiaTheme="minorEastAsia" w:cs="Times New Roman"/>
          <w:noProof/>
        </w:rPr>
      </w:pPr>
      <w:r>
        <w:rPr>
          <w:noProof/>
        </w:rPr>
        <w:t xml:space="preserve">Η επένδυση αυτή θα συνίσταται σε παρεμβάσεις σε οίκους ευγηρίας (ERPIs). Οι παρεμβάσεις αυτές περιλαμβάνουν την επέκταση και την ανακαίνιση υφιστάμενων εγκαταστάσεων, καλύπτοντας 91 θέσεις σε οίκους ευγηρίας. </w:t>
      </w:r>
    </w:p>
    <w:p w14:paraId="3BC60259" w14:textId="69F9FA5D" w:rsidR="00154AD2" w:rsidRDefault="007F6BF3">
      <w:pPr>
        <w:pStyle w:val="P68B1DB1-Normal4"/>
        <w:keepNext/>
        <w:spacing w:before="40" w:after="0" w:line="259" w:lineRule="auto"/>
        <w:jc w:val="both"/>
        <w:rPr>
          <w:rFonts w:eastAsiaTheme="minorEastAsia" w:cs="Times New Roman"/>
          <w:noProof/>
        </w:rPr>
      </w:pPr>
      <w:r>
        <w:rPr>
          <w:noProof/>
        </w:rPr>
        <w:t xml:space="preserve">Η επένδυση συμβάλλει στην παροχή εξειδικευμένης και συνεχούς φροντίδας σε όσους έχουν επίπεδο εξάρτησης ή ζουν σε επισφαλείς καταστάσεις που δεν τους επιτρέπουν να λαμβάνουν υπηρεσίες κατ’ οίκον υποστήριξης. Η υποδομή αποφεύγει τα εμπόδια και τους φραγμούς στη φυσική προσβασιμότητα, σύμφωνα με τη Σύμβαση των Ηνωμένων Εθνών για τα δικαιώματα των ατόμων με αναπηρία και την εθνική νομοθεσία, και συγκεκριμένα την εθνική στρατηγική για την ένταξη των ατόμων με αναπηρία. </w:t>
      </w:r>
    </w:p>
    <w:p w14:paraId="3654E59A" w14:textId="77777777" w:rsidR="00154AD2" w:rsidRDefault="007F6BF3">
      <w:pPr>
        <w:pStyle w:val="P68B1DB1-Normal4"/>
        <w:keepNext/>
        <w:spacing w:before="40" w:after="0" w:line="259" w:lineRule="auto"/>
        <w:jc w:val="both"/>
        <w:rPr>
          <w:rFonts w:eastAsiaTheme="minorEastAsia" w:cs="Times New Roman"/>
          <w:noProof/>
        </w:rPr>
      </w:pPr>
      <w:r>
        <w:rPr>
          <w:noProof/>
        </w:rPr>
        <w:t>Η υλοποίηση της επένδυσης θα ολοκληρωθεί έως τις 31 Μαρτίου 2026.</w:t>
      </w:r>
    </w:p>
    <w:p w14:paraId="4C31BC3F"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65F48950" w14:textId="595B40F9" w:rsidR="00154AD2" w:rsidRDefault="007F6BF3">
      <w:pPr>
        <w:pStyle w:val="P68B1DB1-Heading214"/>
        <w:rPr>
          <w:noProof/>
        </w:rPr>
      </w:pPr>
      <w:bookmarkStart w:id="6" w:name="_Toc137472442"/>
      <w:r>
        <w:rPr>
          <w:noProof/>
        </w:rPr>
        <w:t>Μεταρρύθμιση RE-C03-r38: Απλούστευση και αποτελεσματικότητα του συστήματος κοινωνικής ασφάλισης</w:t>
      </w:r>
    </w:p>
    <w:p w14:paraId="7144A198" w14:textId="0CEAF0E9" w:rsidR="00154AD2" w:rsidRDefault="007F6BF3">
      <w:pPr>
        <w:pStyle w:val="P68B1DB1-Normal4"/>
        <w:keepNext/>
        <w:spacing w:before="40" w:after="0" w:line="259" w:lineRule="auto"/>
        <w:jc w:val="both"/>
        <w:rPr>
          <w:rFonts w:eastAsiaTheme="minorEastAsia" w:cs="Times New Roman"/>
          <w:noProof/>
        </w:rPr>
      </w:pPr>
      <w:r>
        <w:rPr>
          <w:noProof/>
        </w:rPr>
        <w:t>Στόχος της μεταρρύθμισης αυτής είναι η απλούστευση του πορτογαλικού συστήματος κοινωνικής ασφάλισης («Sistema de Segurança Social»), ώστε να ενισχυθεί η αποτελεσματικότητά του όσον αφορά την καταπολέμηση της φτώχειας και του κοινωνικού αποκλεισμού μέσω της βελτίωσης της επάρκειας, της κάλυψης και της λήψης κοινωνικών παροχών. Η μεταρρύθμιση έχει ως στόχο να συμβάλει στους εθνικούς στόχους του σχεδίου δράσης για τον ευρωπαϊκό πυλώνα κοινωνικών δικαιωμάτων, και συγκεκριμένα στον στόχο της μείωσης της φτώχειας κατά 765 000 άτομα έως το 2030, και στην εφαρμογή των αρχών της σύστασης του Συμβουλίου (MIR) σχετικά με επαρκές ελάχιστο εισόδημα που διασφαλίζει την ενεργό ένταξη.</w:t>
      </w:r>
    </w:p>
    <w:p w14:paraId="70F834C2" w14:textId="77777777" w:rsidR="00154AD2" w:rsidRDefault="007F6BF3">
      <w:pPr>
        <w:pStyle w:val="P68B1DB1-Normal4"/>
        <w:keepNext/>
        <w:spacing w:before="40" w:after="0" w:line="259" w:lineRule="auto"/>
        <w:jc w:val="both"/>
        <w:rPr>
          <w:rFonts w:eastAsiaTheme="minorEastAsia" w:cs="Times New Roman"/>
          <w:noProof/>
        </w:rPr>
      </w:pPr>
      <w:r>
        <w:rPr>
          <w:noProof/>
        </w:rPr>
        <w:t>Το πορτογαλικό σύστημα κοινωνικής ασφάλισης περιλαμβάνει τρία υποσυστήματα: I) το σύστημα κοινωνικής προστασίας της ιθαγένειας («Proteção Social de Cidadania») ή το μη ανταποδοτικό καθεστώς· II) το ασφαλιστικό σύστημα που βασίζεται στις εισφορές των εργαζομένων και των εργοδοτών («Sistema Previdencial») ή το ανταποδοτικό καθεστώς· και iii) το συμπληρωματικό σύστημα («Sistema Complementar»), το οποίο είναι προαιρετικό και περιλαμβάνει δημόσια και ιδιωτικά συμπληρωματικά συστήματα.</w:t>
      </w:r>
    </w:p>
    <w:p w14:paraId="7D0CF015" w14:textId="77777777" w:rsidR="00154AD2" w:rsidRDefault="007F6BF3">
      <w:pPr>
        <w:pStyle w:val="P68B1DB1-Normal4"/>
        <w:keepNext/>
        <w:spacing w:before="40" w:after="0" w:line="259" w:lineRule="auto"/>
        <w:jc w:val="both"/>
        <w:rPr>
          <w:rFonts w:eastAsiaTheme="minorEastAsia" w:cs="Times New Roman"/>
          <w:noProof/>
        </w:rPr>
      </w:pPr>
      <w:r>
        <w:rPr>
          <w:noProof/>
        </w:rPr>
        <w:t>Η μεταρρύθμιση λαμβάνει υπόψη έκθεση που καταρτίζεται από ομάδα εργασίας εμπειρογνωμόνων και κατάλληλες σχετικές διαβουλεύσεις με τα ενδιαφερόμενα μέρη, και καθορίζει τα ακόλουθα στοιχεία:</w:t>
      </w:r>
    </w:p>
    <w:p w14:paraId="74634E56" w14:textId="77777777" w:rsidR="00154AD2" w:rsidRDefault="007F6BF3">
      <w:pPr>
        <w:pStyle w:val="ListParagraph"/>
        <w:keepNext w:val="0"/>
        <w:numPr>
          <w:ilvl w:val="0"/>
          <w:numId w:val="73"/>
        </w:numPr>
        <w:spacing w:before="120" w:after="120" w:line="240" w:lineRule="auto"/>
        <w:rPr>
          <w:noProof/>
        </w:rPr>
      </w:pPr>
      <w:r>
        <w:rPr>
          <w:noProof/>
        </w:rPr>
        <w:t>Ένα ενιαίο κοινωνικό επίδομα. Με τον τρόπο αυτό ενοποιούνται τουλάχιστον οκτώ μη ανταποδοτικού χαρακτήρα κοινωνικές παροχές στο πλαίσιο του συστήματος κοινωνικής προστασίας της ιθαγένειας, συμπεριλαμβανομένου του συστήματος ελάχιστου εισοδήματος («</w:t>
      </w:r>
      <w:r>
        <w:rPr>
          <w:i/>
          <w:noProof/>
        </w:rPr>
        <w:t>Rendimento Social de Inserção»</w:t>
      </w:r>
      <w:r>
        <w:rPr>
          <w:noProof/>
        </w:rPr>
        <w:t>). Σε σύγκριση με τις κοινωνικές παροχές προς ενοποίηση, το Ενιαίο Κοινωνικό Παροχές εξασφαλίζει τουλάχιστον ισοδύναμη κάλυψη για τα άτομα που βρίσκονται σε κατάσταση υψηλής οικονομικής και κοινωνικής ευπάθειας. Το Ενιαίο Κοινωνικό Παροχές συμβάλλει στην εξάλειψη των επικαλύψεων μεταξύ των υφιστάμενων συστημάτων και ο σχεδιασμός του προωθεί απλούστερη και αμεσότερη πρόσβαση στις κοινωνικές παροχές. Κατά τη διάρκεια της διαδικασίας σχεδιασμού και εφαρμογής διασφαλίζεται η συμμετοχή και η διαβούλευση με τους σχετικούς κοινωνικούς εταίρους.</w:t>
      </w:r>
    </w:p>
    <w:bookmarkEnd w:id="6"/>
    <w:p w14:paraId="2D9DB4FE" w14:textId="2090F351" w:rsidR="00154AD2" w:rsidRDefault="007F6BF3">
      <w:pPr>
        <w:pStyle w:val="ListParagraph"/>
        <w:keepNext w:val="0"/>
        <w:numPr>
          <w:ilvl w:val="0"/>
          <w:numId w:val="73"/>
        </w:numPr>
        <w:spacing w:before="120" w:after="120" w:line="240" w:lineRule="auto"/>
        <w:rPr>
          <w:noProof/>
        </w:rPr>
      </w:pPr>
      <w:r>
        <w:rPr>
          <w:noProof/>
        </w:rPr>
        <w:t>Κώδικας κοινωνικών παροχών. Αυτό θα απλουστεύσει, θα εναρμονίσει και θα ενοποιήσει τη νομοθεσία που διέπει τις κοινωνικές παροχές, ώστε να εξασφαλιστεί μεγαλύτερη διαφάνεια και καλύτερη κατανόηση των διαθέσιμων κοινωνικών παροχών. Ο κώδικας κοινωνικών παροχών ακολουθεί το πρότυπο του κώδικα ανταποδοτικών συστημάτων («</w:t>
      </w:r>
      <w:r>
        <w:rPr>
          <w:i/>
          <w:noProof/>
        </w:rPr>
        <w:t>Código dos Regimes Contributivos do Sistema Previdencial de Segurança Social»</w:t>
      </w:r>
      <w:r>
        <w:rPr>
          <w:noProof/>
        </w:rPr>
        <w:t>), ο οποίος επί του παρόντος καλύπτει μόνο ένα από τα τρία προαναφερθέντα υποσυστήματα κοινωνικής ασφάλισης.</w:t>
      </w:r>
    </w:p>
    <w:p w14:paraId="65BAB00F" w14:textId="14D4ADCA" w:rsidR="00154AD2" w:rsidRDefault="007F6BF3">
      <w:pPr>
        <w:pStyle w:val="P68B1DB1-Normal4"/>
        <w:keepNext/>
        <w:spacing w:before="40" w:after="0" w:line="259" w:lineRule="auto"/>
        <w:jc w:val="both"/>
        <w:rPr>
          <w:rFonts w:eastAsiaTheme="minorEastAsia" w:cs="Times New Roman"/>
          <w:noProof/>
        </w:rPr>
      </w:pPr>
      <w:r>
        <w:rPr>
          <w:noProof/>
        </w:rPr>
        <w:t>Η εφαρμογή της μεταρρύθμισης ολοκληρώνεται έως τις 30 Ιουνίου 2026.</w:t>
      </w:r>
    </w:p>
    <w:p w14:paraId="1686E08F"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33E4D1C0" w14:textId="77777777" w:rsidR="00154AD2" w:rsidRDefault="00154AD2">
      <w:pPr>
        <w:keepNext/>
        <w:spacing w:before="40" w:after="0" w:line="259" w:lineRule="auto"/>
        <w:jc w:val="both"/>
        <w:rPr>
          <w:rFonts w:ascii="Times New Roman" w:hAnsi="Times New Roman" w:cs="Times New Roman"/>
          <w:noProof/>
          <w:sz w:val="24"/>
        </w:rPr>
        <w:sectPr w:rsidR="00154AD2" w:rsidSect="00E00EDD">
          <w:headerReference w:type="even" r:id="rId72"/>
          <w:headerReference w:type="default" r:id="rId73"/>
          <w:footerReference w:type="even" r:id="rId74"/>
          <w:footerReference w:type="default" r:id="rId75"/>
          <w:headerReference w:type="first" r:id="rId76"/>
          <w:footerReference w:type="first" r:id="rId77"/>
          <w:pgSz w:w="11907" w:h="16839"/>
          <w:pgMar w:top="1134" w:right="1134" w:bottom="1134" w:left="1134" w:header="567" w:footer="567" w:gutter="0"/>
          <w:cols w:space="720"/>
          <w:docGrid w:linePitch="360"/>
        </w:sectPr>
      </w:pPr>
    </w:p>
    <w:p w14:paraId="6C4F7390" w14:textId="77777777" w:rsidR="00154AD2" w:rsidRDefault="007F6BF3">
      <w:pPr>
        <w:pStyle w:val="P68B1DB1-Normal3"/>
        <w:keepNext/>
        <w:spacing w:before="40" w:after="0" w:line="259" w:lineRule="auto"/>
        <w:ind w:left="130" w:firstLine="720"/>
        <w:jc w:val="both"/>
        <w:outlineLvl w:val="2"/>
        <w:rPr>
          <w:rFonts w:eastAsiaTheme="minorEastAsia" w:cs="Times New Roman"/>
          <w:noProof/>
        </w:rPr>
      </w:pPr>
      <w:r>
        <w:rPr>
          <w:noProof/>
        </w:rPr>
        <w:t>Γ.2. Ορόσημα, στόχοι, δείκτες και χρονοδιάγραμμα για την παρακολούθηση και την υλοποίηση της μη επιστρεπτέας χρηματοδοτικής στήριξης</w:t>
      </w:r>
    </w:p>
    <w:p w14:paraId="3F759351" w14:textId="07276F59" w:rsidR="00154AD2" w:rsidRDefault="00154AD2">
      <w:pPr>
        <w:keepNext/>
        <w:spacing w:before="40" w:after="0" w:line="259" w:lineRule="auto"/>
        <w:jc w:val="both"/>
        <w:rPr>
          <w:rFonts w:ascii="Times New Roman" w:eastAsiaTheme="minorEastAsia" w:hAnsi="Times New Roman" w:cs="Times New Roman"/>
          <w:noProof/>
          <w:sz w:val="24"/>
        </w:rPr>
      </w:pPr>
    </w:p>
    <w:tbl>
      <w:tblPr>
        <w:tblW w:w="151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143"/>
        <w:gridCol w:w="982"/>
        <w:gridCol w:w="1740"/>
        <w:gridCol w:w="1486"/>
        <w:gridCol w:w="1014"/>
        <w:gridCol w:w="1014"/>
        <w:gridCol w:w="882"/>
        <w:gridCol w:w="680"/>
        <w:gridCol w:w="845"/>
        <w:gridCol w:w="4277"/>
      </w:tblGrid>
      <w:tr w:rsidR="00154AD2" w14:paraId="14AD79ED" w14:textId="77777777">
        <w:trPr>
          <w:trHeight w:val="910"/>
          <w:tblHeader/>
        </w:trPr>
        <w:tc>
          <w:tcPr>
            <w:tcW w:w="1124" w:type="dxa"/>
            <w:vMerge w:val="restart"/>
            <w:shd w:val="clear" w:color="auto" w:fill="BDD6EE"/>
            <w:vAlign w:val="center"/>
            <w:hideMark/>
          </w:tcPr>
          <w:p w14:paraId="12E042F4" w14:textId="77777777" w:rsidR="00154AD2" w:rsidRDefault="007F6BF3">
            <w:pPr>
              <w:pStyle w:val="P68B1DB1-Normal6"/>
              <w:spacing w:after="0" w:line="240" w:lineRule="auto"/>
              <w:jc w:val="center"/>
              <w:rPr>
                <w:rFonts w:eastAsia="Times New Roman" w:cs="Times New Roman"/>
                <w:noProof/>
              </w:rPr>
            </w:pPr>
            <w:r>
              <w:rPr>
                <w:noProof/>
              </w:rPr>
              <w:t>Αύξων αριθμός</w:t>
            </w:r>
          </w:p>
        </w:tc>
        <w:tc>
          <w:tcPr>
            <w:tcW w:w="1143" w:type="dxa"/>
            <w:vMerge w:val="restart"/>
            <w:shd w:val="clear" w:color="auto" w:fill="BDD6EE"/>
            <w:vAlign w:val="center"/>
            <w:hideMark/>
          </w:tcPr>
          <w:p w14:paraId="40754ED3" w14:textId="77777777" w:rsidR="00154AD2" w:rsidRDefault="007F6BF3">
            <w:pPr>
              <w:pStyle w:val="P68B1DB1-Normal6"/>
              <w:spacing w:after="0" w:line="240" w:lineRule="auto"/>
              <w:jc w:val="center"/>
              <w:rPr>
                <w:rFonts w:eastAsia="Times New Roman" w:cs="Times New Roman"/>
                <w:noProof/>
              </w:rPr>
            </w:pPr>
            <w:r>
              <w:rPr>
                <w:noProof/>
              </w:rPr>
              <w:t>Μέτρο (Μεταρρύθμιση ή Επενδύσεις)</w:t>
            </w:r>
          </w:p>
        </w:tc>
        <w:tc>
          <w:tcPr>
            <w:tcW w:w="982" w:type="dxa"/>
            <w:vMerge w:val="restart"/>
            <w:shd w:val="clear" w:color="auto" w:fill="BDD6EE"/>
            <w:vAlign w:val="center"/>
            <w:hideMark/>
          </w:tcPr>
          <w:p w14:paraId="6F5DD9BA" w14:textId="0EE9A1D3" w:rsidR="00154AD2" w:rsidRDefault="007F6BF3">
            <w:pPr>
              <w:pStyle w:val="P68B1DB1-Normal6"/>
              <w:spacing w:after="0" w:line="240" w:lineRule="auto"/>
              <w:jc w:val="center"/>
              <w:rPr>
                <w:rFonts w:eastAsia="Times New Roman" w:cs="Times New Roman"/>
                <w:noProof/>
              </w:rPr>
            </w:pPr>
            <w:r>
              <w:rPr>
                <w:noProof/>
              </w:rPr>
              <w:t>Ορόσημο/Στόχος</w:t>
            </w:r>
          </w:p>
        </w:tc>
        <w:tc>
          <w:tcPr>
            <w:tcW w:w="1740" w:type="dxa"/>
            <w:vMerge w:val="restart"/>
            <w:shd w:val="clear" w:color="auto" w:fill="BDD6EE"/>
            <w:vAlign w:val="center"/>
            <w:hideMark/>
          </w:tcPr>
          <w:p w14:paraId="7E76B60B" w14:textId="77777777" w:rsidR="00154AD2" w:rsidRDefault="007F6BF3">
            <w:pPr>
              <w:pStyle w:val="P68B1DB1-Normal6"/>
              <w:spacing w:after="0" w:line="240" w:lineRule="auto"/>
              <w:jc w:val="center"/>
              <w:rPr>
                <w:rFonts w:eastAsia="Times New Roman" w:cs="Times New Roman"/>
                <w:noProof/>
              </w:rPr>
            </w:pPr>
            <w:r>
              <w:rPr>
                <w:noProof/>
              </w:rPr>
              <w:t>Όνομα</w:t>
            </w:r>
          </w:p>
        </w:tc>
        <w:tc>
          <w:tcPr>
            <w:tcW w:w="1486" w:type="dxa"/>
            <w:vMerge w:val="restart"/>
            <w:shd w:val="clear" w:color="auto" w:fill="BDD6EE"/>
            <w:vAlign w:val="center"/>
            <w:hideMark/>
          </w:tcPr>
          <w:p w14:paraId="2B32BF68" w14:textId="77777777" w:rsidR="00154AD2" w:rsidRDefault="007F6BF3">
            <w:pPr>
              <w:pStyle w:val="P68B1DB1-Normal6"/>
              <w:spacing w:after="0" w:line="240" w:lineRule="auto"/>
              <w:jc w:val="center"/>
              <w:rPr>
                <w:rFonts w:eastAsia="Times New Roman" w:cs="Times New Roman"/>
                <w:noProof/>
              </w:rPr>
            </w:pPr>
            <w:r>
              <w:rPr>
                <w:noProof/>
              </w:rPr>
              <w:t>Ποιοτικοί δείκτες (για τα ορόσημα)</w:t>
            </w:r>
          </w:p>
        </w:tc>
        <w:tc>
          <w:tcPr>
            <w:tcW w:w="2910" w:type="dxa"/>
            <w:gridSpan w:val="3"/>
            <w:shd w:val="clear" w:color="auto" w:fill="BDD6EE"/>
            <w:vAlign w:val="center"/>
            <w:hideMark/>
          </w:tcPr>
          <w:p w14:paraId="54E5B28D" w14:textId="77777777" w:rsidR="00154AD2" w:rsidRDefault="007F6BF3">
            <w:pPr>
              <w:pStyle w:val="P68B1DB1-Normal6"/>
              <w:spacing w:after="0" w:line="240" w:lineRule="auto"/>
              <w:jc w:val="center"/>
              <w:rPr>
                <w:rFonts w:eastAsia="Times New Roman" w:cs="Times New Roman"/>
                <w:noProof/>
              </w:rPr>
            </w:pPr>
            <w:r>
              <w:rPr>
                <w:noProof/>
              </w:rPr>
              <w:t>Ποσοτικοί δείκτες (για τους στόχους)</w:t>
            </w:r>
          </w:p>
        </w:tc>
        <w:tc>
          <w:tcPr>
            <w:tcW w:w="1525" w:type="dxa"/>
            <w:gridSpan w:val="2"/>
            <w:shd w:val="clear" w:color="auto" w:fill="BDD6EE"/>
            <w:vAlign w:val="center"/>
            <w:hideMark/>
          </w:tcPr>
          <w:p w14:paraId="0AFFA6CA" w14:textId="77777777" w:rsidR="00154AD2" w:rsidRDefault="007F6BF3">
            <w:pPr>
              <w:pStyle w:val="P68B1DB1-Normal6"/>
              <w:spacing w:after="0" w:line="240" w:lineRule="auto"/>
              <w:jc w:val="center"/>
              <w:rPr>
                <w:rFonts w:eastAsia="Times New Roman" w:cs="Times New Roman"/>
                <w:noProof/>
              </w:rPr>
            </w:pPr>
            <w:r>
              <w:rPr>
                <w:noProof/>
              </w:rPr>
              <w:t>Ενδεικτικό χρονοδιάγραμμα ολοκλήρωσης</w:t>
            </w:r>
          </w:p>
        </w:tc>
        <w:tc>
          <w:tcPr>
            <w:tcW w:w="4277" w:type="dxa"/>
            <w:vMerge w:val="restart"/>
            <w:shd w:val="clear" w:color="auto" w:fill="BDD6EE"/>
            <w:vAlign w:val="center"/>
            <w:hideMark/>
          </w:tcPr>
          <w:p w14:paraId="0CAE4583" w14:textId="77777777" w:rsidR="00154AD2" w:rsidRDefault="007F6BF3">
            <w:pPr>
              <w:pStyle w:val="P68B1DB1-Normal6"/>
              <w:spacing w:after="0" w:line="240" w:lineRule="auto"/>
              <w:jc w:val="center"/>
              <w:rPr>
                <w:rFonts w:eastAsia="Times New Roman" w:cs="Times New Roman"/>
                <w:noProof/>
              </w:rPr>
            </w:pPr>
            <w:r>
              <w:rPr>
                <w:noProof/>
              </w:rPr>
              <w:t>Περιγραφή και σαφής ορισμός κάθε ορόσημου και στόχου</w:t>
            </w:r>
          </w:p>
        </w:tc>
      </w:tr>
      <w:tr w:rsidR="00154AD2" w14:paraId="3DC9B5E4" w14:textId="77777777">
        <w:trPr>
          <w:trHeight w:val="470"/>
          <w:tblHeader/>
        </w:trPr>
        <w:tc>
          <w:tcPr>
            <w:tcW w:w="1124" w:type="dxa"/>
            <w:vMerge/>
            <w:vAlign w:val="center"/>
            <w:hideMark/>
          </w:tcPr>
          <w:p w14:paraId="5E2B2993" w14:textId="77777777" w:rsidR="00154AD2" w:rsidRDefault="00154AD2">
            <w:pPr>
              <w:spacing w:after="0" w:line="240" w:lineRule="auto"/>
              <w:rPr>
                <w:rFonts w:ascii="Times New Roman" w:eastAsia="Times New Roman" w:hAnsi="Times New Roman" w:cs="Times New Roman"/>
                <w:b/>
                <w:noProof/>
                <w:sz w:val="18"/>
              </w:rPr>
            </w:pPr>
          </w:p>
        </w:tc>
        <w:tc>
          <w:tcPr>
            <w:tcW w:w="1143" w:type="dxa"/>
            <w:vMerge/>
            <w:vAlign w:val="center"/>
            <w:hideMark/>
          </w:tcPr>
          <w:p w14:paraId="38E6DA3F" w14:textId="77777777" w:rsidR="00154AD2" w:rsidRDefault="00154AD2">
            <w:pPr>
              <w:spacing w:after="0" w:line="240" w:lineRule="auto"/>
              <w:rPr>
                <w:rFonts w:ascii="Times New Roman" w:eastAsia="Times New Roman" w:hAnsi="Times New Roman" w:cs="Times New Roman"/>
                <w:b/>
                <w:noProof/>
                <w:sz w:val="18"/>
              </w:rPr>
            </w:pPr>
          </w:p>
        </w:tc>
        <w:tc>
          <w:tcPr>
            <w:tcW w:w="982" w:type="dxa"/>
            <w:vMerge/>
            <w:shd w:val="clear" w:color="auto" w:fill="BDD6EE"/>
            <w:vAlign w:val="center"/>
            <w:hideMark/>
          </w:tcPr>
          <w:p w14:paraId="0B4F87AB" w14:textId="41568FFB" w:rsidR="00154AD2" w:rsidRDefault="00154AD2">
            <w:pPr>
              <w:spacing w:after="0" w:line="240" w:lineRule="auto"/>
              <w:jc w:val="center"/>
              <w:rPr>
                <w:rFonts w:ascii="Times New Roman" w:eastAsia="Times New Roman" w:hAnsi="Times New Roman" w:cs="Times New Roman"/>
                <w:b/>
                <w:noProof/>
                <w:sz w:val="18"/>
              </w:rPr>
            </w:pPr>
          </w:p>
        </w:tc>
        <w:tc>
          <w:tcPr>
            <w:tcW w:w="1740" w:type="dxa"/>
            <w:vMerge/>
            <w:vAlign w:val="center"/>
            <w:hideMark/>
          </w:tcPr>
          <w:p w14:paraId="05146A5D" w14:textId="77777777" w:rsidR="00154AD2" w:rsidRDefault="00154AD2">
            <w:pPr>
              <w:spacing w:after="0" w:line="240" w:lineRule="auto"/>
              <w:rPr>
                <w:rFonts w:ascii="Times New Roman" w:eastAsia="Times New Roman" w:hAnsi="Times New Roman" w:cs="Times New Roman"/>
                <w:b/>
                <w:noProof/>
                <w:sz w:val="18"/>
              </w:rPr>
            </w:pPr>
          </w:p>
        </w:tc>
        <w:tc>
          <w:tcPr>
            <w:tcW w:w="1486" w:type="dxa"/>
            <w:vMerge/>
            <w:vAlign w:val="center"/>
            <w:hideMark/>
          </w:tcPr>
          <w:p w14:paraId="7B4130F2" w14:textId="77777777" w:rsidR="00154AD2" w:rsidRDefault="00154AD2">
            <w:pPr>
              <w:spacing w:after="0" w:line="240" w:lineRule="auto"/>
              <w:rPr>
                <w:rFonts w:ascii="Times New Roman" w:eastAsia="Times New Roman" w:hAnsi="Times New Roman" w:cs="Times New Roman"/>
                <w:b/>
                <w:noProof/>
                <w:sz w:val="18"/>
              </w:rPr>
            </w:pPr>
          </w:p>
        </w:tc>
        <w:tc>
          <w:tcPr>
            <w:tcW w:w="1014" w:type="dxa"/>
            <w:shd w:val="clear" w:color="auto" w:fill="BDD6EE"/>
            <w:vAlign w:val="center"/>
            <w:hideMark/>
          </w:tcPr>
          <w:p w14:paraId="0EFFB8D7" w14:textId="77777777" w:rsidR="00154AD2" w:rsidRDefault="007F6BF3">
            <w:pPr>
              <w:pStyle w:val="P68B1DB1-Normal6"/>
              <w:spacing w:after="0" w:line="240" w:lineRule="auto"/>
              <w:jc w:val="center"/>
              <w:rPr>
                <w:rFonts w:eastAsia="Times New Roman" w:cs="Times New Roman"/>
                <w:noProof/>
              </w:rPr>
            </w:pPr>
            <w:r>
              <w:rPr>
                <w:noProof/>
              </w:rPr>
              <w:t>Μονάδα μέτρησης</w:t>
            </w:r>
          </w:p>
        </w:tc>
        <w:tc>
          <w:tcPr>
            <w:tcW w:w="1014" w:type="dxa"/>
            <w:shd w:val="clear" w:color="auto" w:fill="BDD6EE"/>
            <w:vAlign w:val="center"/>
            <w:hideMark/>
          </w:tcPr>
          <w:p w14:paraId="0362CC94" w14:textId="77777777" w:rsidR="00154AD2" w:rsidRDefault="007F6BF3">
            <w:pPr>
              <w:pStyle w:val="P68B1DB1-Normal6"/>
              <w:spacing w:after="0" w:line="240" w:lineRule="auto"/>
              <w:jc w:val="center"/>
              <w:rPr>
                <w:rFonts w:eastAsia="Times New Roman" w:cs="Times New Roman"/>
                <w:noProof/>
              </w:rPr>
            </w:pPr>
            <w:r>
              <w:rPr>
                <w:noProof/>
              </w:rPr>
              <w:t>Γραμμή βάσης</w:t>
            </w:r>
          </w:p>
        </w:tc>
        <w:tc>
          <w:tcPr>
            <w:tcW w:w="882" w:type="dxa"/>
            <w:shd w:val="clear" w:color="auto" w:fill="BDD6EE"/>
            <w:vAlign w:val="center"/>
            <w:hideMark/>
          </w:tcPr>
          <w:p w14:paraId="004EED49" w14:textId="77777777" w:rsidR="00154AD2" w:rsidRDefault="007F6BF3">
            <w:pPr>
              <w:pStyle w:val="P68B1DB1-Normal6"/>
              <w:spacing w:after="0" w:line="240" w:lineRule="auto"/>
              <w:jc w:val="center"/>
              <w:rPr>
                <w:rFonts w:eastAsia="Times New Roman" w:cs="Times New Roman"/>
                <w:noProof/>
              </w:rPr>
            </w:pPr>
            <w:r>
              <w:rPr>
                <w:noProof/>
              </w:rPr>
              <w:t>Στόχοι</w:t>
            </w:r>
          </w:p>
        </w:tc>
        <w:tc>
          <w:tcPr>
            <w:tcW w:w="680" w:type="dxa"/>
            <w:shd w:val="clear" w:color="auto" w:fill="BDD6EE"/>
            <w:vAlign w:val="center"/>
            <w:hideMark/>
          </w:tcPr>
          <w:p w14:paraId="6EF1C0BD" w14:textId="77777777" w:rsidR="00154AD2" w:rsidRDefault="007F6BF3">
            <w:pPr>
              <w:pStyle w:val="P68B1DB1-Normal6"/>
              <w:spacing w:after="0" w:line="240" w:lineRule="auto"/>
              <w:jc w:val="center"/>
              <w:rPr>
                <w:rFonts w:eastAsia="Times New Roman" w:cs="Times New Roman"/>
                <w:noProof/>
              </w:rPr>
            </w:pPr>
            <w:r>
              <w:rPr>
                <w:noProof/>
              </w:rPr>
              <w:t>Ε</w:t>
            </w:r>
          </w:p>
        </w:tc>
        <w:tc>
          <w:tcPr>
            <w:tcW w:w="845" w:type="dxa"/>
            <w:shd w:val="clear" w:color="auto" w:fill="BDD6EE"/>
            <w:vAlign w:val="center"/>
            <w:hideMark/>
          </w:tcPr>
          <w:p w14:paraId="4B7C0DD8" w14:textId="77777777" w:rsidR="00154AD2" w:rsidRDefault="007F6BF3">
            <w:pPr>
              <w:pStyle w:val="P68B1DB1-Normal6"/>
              <w:spacing w:after="0" w:line="240" w:lineRule="auto"/>
              <w:jc w:val="center"/>
              <w:rPr>
                <w:rFonts w:eastAsia="Times New Roman" w:cs="Times New Roman"/>
                <w:noProof/>
              </w:rPr>
            </w:pPr>
            <w:r>
              <w:rPr>
                <w:noProof/>
              </w:rPr>
              <w:t>Έτος</w:t>
            </w:r>
          </w:p>
        </w:tc>
        <w:tc>
          <w:tcPr>
            <w:tcW w:w="4277" w:type="dxa"/>
            <w:vMerge/>
            <w:vAlign w:val="center"/>
            <w:hideMark/>
          </w:tcPr>
          <w:p w14:paraId="712BF101" w14:textId="77777777" w:rsidR="00154AD2" w:rsidRDefault="00154AD2">
            <w:pPr>
              <w:spacing w:after="0" w:line="240" w:lineRule="auto"/>
              <w:rPr>
                <w:rFonts w:ascii="Times New Roman" w:eastAsia="Times New Roman" w:hAnsi="Times New Roman" w:cs="Times New Roman"/>
                <w:b/>
                <w:noProof/>
                <w:sz w:val="18"/>
              </w:rPr>
            </w:pPr>
          </w:p>
        </w:tc>
      </w:tr>
      <w:tr w:rsidR="00154AD2" w14:paraId="4FB1DEE7" w14:textId="77777777">
        <w:trPr>
          <w:trHeight w:val="640"/>
        </w:trPr>
        <w:tc>
          <w:tcPr>
            <w:tcW w:w="1124" w:type="dxa"/>
            <w:shd w:val="clear" w:color="auto" w:fill="C5EFCE"/>
            <w:vAlign w:val="center"/>
            <w:hideMark/>
          </w:tcPr>
          <w:p w14:paraId="7E53AF7C" w14:textId="77777777" w:rsidR="00154AD2" w:rsidRDefault="007F6BF3">
            <w:pPr>
              <w:pStyle w:val="P68B1DB1-Normal7"/>
              <w:spacing w:after="0" w:line="240" w:lineRule="auto"/>
              <w:jc w:val="center"/>
              <w:rPr>
                <w:rFonts w:eastAsia="Times New Roman" w:cs="Calibri"/>
                <w:noProof/>
              </w:rPr>
            </w:pPr>
            <w:r>
              <w:rPr>
                <w:noProof/>
              </w:rPr>
              <w:t>3.1</w:t>
            </w:r>
          </w:p>
        </w:tc>
        <w:tc>
          <w:tcPr>
            <w:tcW w:w="1143" w:type="dxa"/>
            <w:shd w:val="clear" w:color="auto" w:fill="C4EFCE"/>
            <w:vAlign w:val="center"/>
            <w:hideMark/>
          </w:tcPr>
          <w:p w14:paraId="6B802912" w14:textId="77777777" w:rsidR="00154AD2" w:rsidRDefault="007F6BF3">
            <w:pPr>
              <w:pStyle w:val="P68B1DB1-Normal8"/>
              <w:spacing w:after="0" w:line="240" w:lineRule="auto"/>
              <w:jc w:val="center"/>
              <w:rPr>
                <w:rFonts w:eastAsia="Times New Roman" w:cs="Calibri"/>
                <w:noProof/>
              </w:rPr>
            </w:pPr>
            <w:r>
              <w:rPr>
                <w:noProof/>
              </w:rPr>
              <w:t>RE-C03-i01</w:t>
            </w:r>
          </w:p>
        </w:tc>
        <w:tc>
          <w:tcPr>
            <w:tcW w:w="982" w:type="dxa"/>
            <w:shd w:val="clear" w:color="auto" w:fill="C4EFCE"/>
            <w:vAlign w:val="center"/>
            <w:hideMark/>
          </w:tcPr>
          <w:p w14:paraId="2EB48FA7" w14:textId="77777777" w:rsidR="00154AD2" w:rsidRDefault="007F6BF3">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5FF7B3BC" w14:textId="77777777" w:rsidR="00154AD2" w:rsidRDefault="007F6BF3">
            <w:pPr>
              <w:pStyle w:val="P68B1DB1-Normal8"/>
              <w:spacing w:after="0" w:line="240" w:lineRule="auto"/>
              <w:jc w:val="center"/>
              <w:rPr>
                <w:rFonts w:eastAsia="Times New Roman" w:cs="Calibri"/>
                <w:noProof/>
              </w:rPr>
            </w:pPr>
            <w:r>
              <w:rPr>
                <w:noProof/>
              </w:rPr>
              <w:t>Παράδοση ηλεκτρικών οχημάτων</w:t>
            </w:r>
          </w:p>
        </w:tc>
        <w:tc>
          <w:tcPr>
            <w:tcW w:w="1486" w:type="dxa"/>
            <w:shd w:val="clear" w:color="auto" w:fill="C4EFCE"/>
            <w:vAlign w:val="center"/>
            <w:hideMark/>
          </w:tcPr>
          <w:p w14:paraId="3CB72ABC" w14:textId="77777777" w:rsidR="00154AD2" w:rsidRDefault="007F6BF3">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59EF364D"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1014" w:type="dxa"/>
            <w:shd w:val="clear" w:color="auto" w:fill="C4EFCE"/>
            <w:vAlign w:val="center"/>
            <w:hideMark/>
          </w:tcPr>
          <w:p w14:paraId="4903172A" w14:textId="77777777" w:rsidR="00154AD2" w:rsidRDefault="007F6BF3">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169C9561" w14:textId="77777777" w:rsidR="00154AD2" w:rsidRDefault="007F6BF3">
            <w:pPr>
              <w:pStyle w:val="P68B1DB1-Normal8"/>
              <w:spacing w:after="0" w:line="240" w:lineRule="auto"/>
              <w:jc w:val="center"/>
              <w:rPr>
                <w:rFonts w:eastAsia="Times New Roman" w:cs="Calibri"/>
                <w:noProof/>
              </w:rPr>
            </w:pPr>
            <w:r>
              <w:rPr>
                <w:noProof/>
              </w:rPr>
              <w:t>2 500</w:t>
            </w:r>
          </w:p>
        </w:tc>
        <w:tc>
          <w:tcPr>
            <w:tcW w:w="680" w:type="dxa"/>
            <w:shd w:val="clear" w:color="auto" w:fill="C4EFCE"/>
            <w:vAlign w:val="center"/>
            <w:hideMark/>
          </w:tcPr>
          <w:p w14:paraId="101B6C07"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845" w:type="dxa"/>
            <w:shd w:val="clear" w:color="auto" w:fill="C4EFCE"/>
            <w:vAlign w:val="center"/>
            <w:hideMark/>
          </w:tcPr>
          <w:p w14:paraId="070C0E74" w14:textId="77777777" w:rsidR="00154AD2" w:rsidRDefault="007F6BF3">
            <w:pPr>
              <w:pStyle w:val="P68B1DB1-Normal8"/>
              <w:spacing w:after="0" w:line="240" w:lineRule="auto"/>
              <w:jc w:val="center"/>
              <w:rPr>
                <w:rFonts w:eastAsia="Times New Roman" w:cs="Calibri"/>
                <w:noProof/>
              </w:rPr>
            </w:pPr>
            <w:r>
              <w:rPr>
                <w:noProof/>
              </w:rPr>
              <w:t>2026</w:t>
            </w:r>
          </w:p>
        </w:tc>
        <w:tc>
          <w:tcPr>
            <w:tcW w:w="4277" w:type="dxa"/>
            <w:shd w:val="clear" w:color="auto" w:fill="C4EFCE"/>
            <w:vAlign w:val="center"/>
            <w:hideMark/>
          </w:tcPr>
          <w:p w14:paraId="74933DAC" w14:textId="77777777" w:rsidR="00154AD2" w:rsidRDefault="007F6BF3">
            <w:pPr>
              <w:pStyle w:val="P68B1DB1-Normal8"/>
              <w:spacing w:after="0" w:line="240" w:lineRule="auto"/>
              <w:jc w:val="both"/>
              <w:rPr>
                <w:rFonts w:eastAsia="Times New Roman" w:cs="Calibri"/>
                <w:noProof/>
              </w:rPr>
            </w:pPr>
            <w:r>
              <w:rPr>
                <w:noProof/>
              </w:rPr>
              <w:t>Παροχή σε παρόχους κοινωνικής και οικιακής υποστήριξης του Instituições Particulares de Solidariedade Social (IPSS) ή παρόμοιων επιλέξιμων φορέων κοινωνικών υπηρεσιών, νέων ηλεκτρικών οχημάτων προσαρμοσμένων για οικιακή βοήθεια ή/και για τη μεταφορά ατόμων με μειωμένη κινητικότητα.</w:t>
            </w:r>
          </w:p>
        </w:tc>
      </w:tr>
      <w:tr w:rsidR="00154AD2" w14:paraId="695A83D6" w14:textId="77777777">
        <w:trPr>
          <w:trHeight w:val="797"/>
        </w:trPr>
        <w:tc>
          <w:tcPr>
            <w:tcW w:w="1124" w:type="dxa"/>
            <w:shd w:val="clear" w:color="auto" w:fill="C5EFCE"/>
            <w:vAlign w:val="center"/>
            <w:hideMark/>
          </w:tcPr>
          <w:p w14:paraId="75C121A6" w14:textId="77777777" w:rsidR="00154AD2" w:rsidRDefault="007F6BF3">
            <w:pPr>
              <w:pStyle w:val="P68B1DB1-Normal7"/>
              <w:spacing w:after="0" w:line="240" w:lineRule="auto"/>
              <w:jc w:val="center"/>
              <w:rPr>
                <w:rFonts w:eastAsia="Times New Roman" w:cs="Calibri"/>
                <w:noProof/>
              </w:rPr>
            </w:pPr>
            <w:r>
              <w:rPr>
                <w:noProof/>
              </w:rPr>
              <w:t>3.2</w:t>
            </w:r>
          </w:p>
        </w:tc>
        <w:tc>
          <w:tcPr>
            <w:tcW w:w="1143" w:type="dxa"/>
            <w:shd w:val="clear" w:color="auto" w:fill="C4EFCE"/>
            <w:vAlign w:val="center"/>
            <w:hideMark/>
          </w:tcPr>
          <w:p w14:paraId="0D34E66D" w14:textId="77777777" w:rsidR="00154AD2" w:rsidRDefault="007F6BF3">
            <w:pPr>
              <w:pStyle w:val="P68B1DB1-Normal8"/>
              <w:spacing w:after="0" w:line="240" w:lineRule="auto"/>
              <w:jc w:val="center"/>
              <w:rPr>
                <w:rFonts w:eastAsia="Times New Roman" w:cs="Calibri"/>
                <w:noProof/>
              </w:rPr>
            </w:pPr>
            <w:r>
              <w:rPr>
                <w:noProof/>
              </w:rPr>
              <w:t>RE-C03-i01</w:t>
            </w:r>
          </w:p>
        </w:tc>
        <w:tc>
          <w:tcPr>
            <w:tcW w:w="982" w:type="dxa"/>
            <w:shd w:val="clear" w:color="auto" w:fill="C4EFCE"/>
            <w:vAlign w:val="center"/>
            <w:hideMark/>
          </w:tcPr>
          <w:p w14:paraId="4178A6A9" w14:textId="77777777" w:rsidR="00154AD2" w:rsidRDefault="007F6BF3">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4C9E6AAD" w14:textId="77777777" w:rsidR="00154AD2" w:rsidRDefault="007F6BF3">
            <w:pPr>
              <w:pStyle w:val="P68B1DB1-Normal8"/>
              <w:spacing w:after="0" w:line="240" w:lineRule="auto"/>
              <w:jc w:val="center"/>
              <w:rPr>
                <w:rFonts w:eastAsia="Times New Roman" w:cs="Calibri"/>
                <w:noProof/>
              </w:rPr>
            </w:pPr>
            <w:r>
              <w:rPr>
                <w:noProof/>
              </w:rPr>
              <w:t>Δημιουργία των Ομάδων Κοινωνικής Παρέμβασης (Radar Social)</w:t>
            </w:r>
          </w:p>
        </w:tc>
        <w:tc>
          <w:tcPr>
            <w:tcW w:w="1486" w:type="dxa"/>
            <w:shd w:val="clear" w:color="auto" w:fill="C4EFCE"/>
            <w:vAlign w:val="center"/>
            <w:hideMark/>
          </w:tcPr>
          <w:p w14:paraId="746F3B0C" w14:textId="77777777" w:rsidR="00154AD2" w:rsidRDefault="007F6BF3">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6A393125"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1014" w:type="dxa"/>
            <w:shd w:val="clear" w:color="auto" w:fill="C4EFCE"/>
            <w:vAlign w:val="center"/>
            <w:hideMark/>
          </w:tcPr>
          <w:p w14:paraId="2F1F46F6" w14:textId="77777777" w:rsidR="00154AD2" w:rsidRDefault="007F6BF3">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5DF22222" w14:textId="77777777" w:rsidR="00154AD2" w:rsidRDefault="007F6BF3">
            <w:pPr>
              <w:pStyle w:val="P68B1DB1-Normal8"/>
              <w:spacing w:after="0" w:line="240" w:lineRule="auto"/>
              <w:jc w:val="center"/>
              <w:rPr>
                <w:rFonts w:eastAsia="Times New Roman" w:cs="Calibri"/>
                <w:noProof/>
              </w:rPr>
            </w:pPr>
            <w:r>
              <w:rPr>
                <w:noProof/>
              </w:rPr>
              <w:t>278</w:t>
            </w:r>
          </w:p>
        </w:tc>
        <w:tc>
          <w:tcPr>
            <w:tcW w:w="680" w:type="dxa"/>
            <w:shd w:val="clear" w:color="auto" w:fill="C4EFCE"/>
            <w:vAlign w:val="center"/>
            <w:hideMark/>
          </w:tcPr>
          <w:p w14:paraId="2D14593B"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845" w:type="dxa"/>
            <w:shd w:val="clear" w:color="auto" w:fill="C4EFCE"/>
            <w:vAlign w:val="center"/>
            <w:hideMark/>
          </w:tcPr>
          <w:p w14:paraId="00AFEEF9" w14:textId="77777777" w:rsidR="00154AD2" w:rsidRDefault="007F6BF3">
            <w:pPr>
              <w:pStyle w:val="P68B1DB1-Normal8"/>
              <w:spacing w:after="0" w:line="240" w:lineRule="auto"/>
              <w:jc w:val="center"/>
              <w:rPr>
                <w:rFonts w:eastAsia="Times New Roman" w:cs="Calibri"/>
                <w:noProof/>
              </w:rPr>
            </w:pPr>
            <w:r>
              <w:rPr>
                <w:noProof/>
              </w:rPr>
              <w:t>2024</w:t>
            </w:r>
          </w:p>
        </w:tc>
        <w:tc>
          <w:tcPr>
            <w:tcW w:w="4277" w:type="dxa"/>
            <w:shd w:val="clear" w:color="auto" w:fill="C4EFCE"/>
            <w:vAlign w:val="center"/>
            <w:hideMark/>
          </w:tcPr>
          <w:p w14:paraId="786F8552" w14:textId="77777777" w:rsidR="00154AD2" w:rsidRDefault="007F6BF3">
            <w:pPr>
              <w:pStyle w:val="P68B1DB1-Normal8"/>
              <w:spacing w:after="0" w:line="240" w:lineRule="auto"/>
              <w:jc w:val="both"/>
              <w:rPr>
                <w:rFonts w:eastAsia="Times New Roman" w:cs="Calibri"/>
                <w:noProof/>
              </w:rPr>
            </w:pPr>
            <w:r>
              <w:rPr>
                <w:noProof/>
              </w:rPr>
              <w:t>Δημιουργία 278 ομάδων κοινωνικής παρέμβασης στους δήμους της ηπειρωτικής Πορτογαλίας.</w:t>
            </w:r>
          </w:p>
        </w:tc>
      </w:tr>
      <w:tr w:rsidR="00154AD2" w14:paraId="6CA14E84" w14:textId="77777777">
        <w:trPr>
          <w:trHeight w:val="290"/>
        </w:trPr>
        <w:tc>
          <w:tcPr>
            <w:tcW w:w="1124" w:type="dxa"/>
            <w:shd w:val="clear" w:color="auto" w:fill="C5EFCE"/>
            <w:vAlign w:val="center"/>
            <w:hideMark/>
          </w:tcPr>
          <w:p w14:paraId="5080A772" w14:textId="77777777" w:rsidR="00154AD2" w:rsidRDefault="007F6BF3">
            <w:pPr>
              <w:pStyle w:val="P68B1DB1-Normal7"/>
              <w:spacing w:after="0" w:line="240" w:lineRule="auto"/>
              <w:jc w:val="center"/>
              <w:rPr>
                <w:rFonts w:eastAsia="Times New Roman" w:cs="Calibri"/>
                <w:noProof/>
              </w:rPr>
            </w:pPr>
            <w:r>
              <w:rPr>
                <w:noProof/>
              </w:rPr>
              <w:t>3.3</w:t>
            </w:r>
          </w:p>
        </w:tc>
        <w:tc>
          <w:tcPr>
            <w:tcW w:w="1143" w:type="dxa"/>
            <w:shd w:val="clear" w:color="auto" w:fill="C4EFCE"/>
            <w:vAlign w:val="center"/>
            <w:hideMark/>
          </w:tcPr>
          <w:p w14:paraId="72A4A02B" w14:textId="77777777" w:rsidR="00154AD2" w:rsidRDefault="007F6BF3">
            <w:pPr>
              <w:pStyle w:val="P68B1DB1-Normal8"/>
              <w:spacing w:after="0" w:line="240" w:lineRule="auto"/>
              <w:jc w:val="center"/>
              <w:rPr>
                <w:rFonts w:eastAsia="Times New Roman" w:cs="Calibri"/>
                <w:noProof/>
              </w:rPr>
            </w:pPr>
            <w:r>
              <w:rPr>
                <w:noProof/>
              </w:rPr>
              <w:t>RE-C03-i01</w:t>
            </w:r>
          </w:p>
        </w:tc>
        <w:tc>
          <w:tcPr>
            <w:tcW w:w="982" w:type="dxa"/>
            <w:shd w:val="clear" w:color="auto" w:fill="C4EFCE"/>
            <w:vAlign w:val="center"/>
            <w:hideMark/>
          </w:tcPr>
          <w:p w14:paraId="30A19712" w14:textId="77777777" w:rsidR="00154AD2" w:rsidRDefault="007F6BF3">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422D5459" w14:textId="31604FA9" w:rsidR="00154AD2" w:rsidRDefault="007F6BF3">
            <w:pPr>
              <w:pStyle w:val="P68B1DB1-Normal8"/>
              <w:spacing w:after="0" w:line="240" w:lineRule="auto"/>
              <w:jc w:val="center"/>
              <w:rPr>
                <w:rFonts w:eastAsia="Times New Roman" w:cs="Calibri"/>
                <w:noProof/>
              </w:rPr>
            </w:pPr>
            <w:r>
              <w:rPr>
                <w:noProof/>
              </w:rPr>
              <w:t xml:space="preserve"> Ανάθεση συμβάσεων στήριξης σε φορείς προώθησης για τη δημιουργία και επέκταση του δικτύου κοινωνικών εγκαταστάσεων/κοινωνικών απαντήσεων.</w:t>
            </w:r>
          </w:p>
        </w:tc>
        <w:tc>
          <w:tcPr>
            <w:tcW w:w="1486" w:type="dxa"/>
            <w:shd w:val="clear" w:color="auto" w:fill="C4EFCE"/>
            <w:vAlign w:val="center"/>
            <w:hideMark/>
          </w:tcPr>
          <w:p w14:paraId="6009A6C2" w14:textId="77777777" w:rsidR="00154AD2" w:rsidRDefault="007F6BF3">
            <w:pPr>
              <w:pStyle w:val="P68B1DB1-Normal8"/>
              <w:spacing w:after="0" w:line="240" w:lineRule="auto"/>
              <w:jc w:val="center"/>
              <w:rPr>
                <w:rFonts w:eastAsia="Times New Roman" w:cs="Calibri"/>
                <w:noProof/>
              </w:rPr>
            </w:pPr>
            <w:r>
              <w:rPr>
                <w:noProof/>
              </w:rPr>
              <w:t>Ανάθεση συμβάσεων υποστήριξης στους φορείς προώθησης του δικτύου κοινωνικών εγκαταστάσεων/απαντήσεων</w:t>
            </w:r>
          </w:p>
        </w:tc>
        <w:tc>
          <w:tcPr>
            <w:tcW w:w="1014" w:type="dxa"/>
            <w:shd w:val="clear" w:color="auto" w:fill="C4EFCE"/>
            <w:vAlign w:val="center"/>
            <w:hideMark/>
          </w:tcPr>
          <w:p w14:paraId="6D4F44CE" w14:textId="77777777" w:rsidR="00154AD2" w:rsidRDefault="007F6BF3">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150F74FF" w14:textId="77777777" w:rsidR="00154AD2" w:rsidRDefault="007F6BF3">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0D080C51" w14:textId="77777777" w:rsidR="00154AD2" w:rsidRDefault="007F6BF3">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08CD4351"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845" w:type="dxa"/>
            <w:shd w:val="clear" w:color="auto" w:fill="C4EFCE"/>
            <w:vAlign w:val="center"/>
            <w:hideMark/>
          </w:tcPr>
          <w:p w14:paraId="459C1D44" w14:textId="77777777" w:rsidR="00154AD2" w:rsidRDefault="007F6BF3">
            <w:pPr>
              <w:pStyle w:val="P68B1DB1-Normal8"/>
              <w:spacing w:after="0" w:line="240" w:lineRule="auto"/>
              <w:jc w:val="center"/>
              <w:rPr>
                <w:rFonts w:eastAsia="Times New Roman" w:cs="Calibri"/>
                <w:noProof/>
              </w:rPr>
            </w:pPr>
            <w:r>
              <w:rPr>
                <w:noProof/>
              </w:rPr>
              <w:t>2022</w:t>
            </w:r>
          </w:p>
        </w:tc>
        <w:tc>
          <w:tcPr>
            <w:tcW w:w="4277" w:type="dxa"/>
            <w:shd w:val="clear" w:color="auto" w:fill="C4EFCE"/>
            <w:vAlign w:val="center"/>
            <w:hideMark/>
          </w:tcPr>
          <w:p w14:paraId="111BA54E" w14:textId="77777777" w:rsidR="00154AD2" w:rsidRDefault="007F6BF3">
            <w:pPr>
              <w:pStyle w:val="P68B1DB1-Normal8"/>
              <w:spacing w:after="0" w:line="240" w:lineRule="auto"/>
              <w:jc w:val="both"/>
              <w:rPr>
                <w:rFonts w:eastAsia="Times New Roman" w:cs="Calibri"/>
                <w:noProof/>
              </w:rPr>
            </w:pPr>
            <w:r>
              <w:rPr>
                <w:noProof/>
              </w:rPr>
              <w:t>Ανάθεση σύμβασης στήριξης σε φορείς προώθησης που έχουν υποβάλει αίτηση για τον διαγωνισμό για τη δημιουργία και επέκταση του δικτύου κοινωνικών δομών/κοινωνικών αντιδράσεων (που καλύπτουν παιδιά, ηλικιωμένους, άτομα με αναπηρίες και άλλους) και οι οποίοι έχουν κριθεί σύμφωνοι με τον καθορισμένο Κανονισμό, εντός του διαθέσιμου κονδυλίου. Σε περίπτωση νέας κατασκευής κτιρίων, η διαδικασία υποβολής προσφορών διασφαλίζει ότι τα νέα κτίρια έχουν ζήτηση πρωτογενούς ενέργειας τουλάχιστον κατά 20 % χαμηλότερη από τις απαιτήσεις των κτιρίων με σχεδόν μηδενική κατανάλωση ενέργειας.</w:t>
            </w:r>
          </w:p>
        </w:tc>
      </w:tr>
      <w:tr w:rsidR="00154AD2" w14:paraId="4DD2693C" w14:textId="77777777">
        <w:trPr>
          <w:trHeight w:val="1690"/>
        </w:trPr>
        <w:tc>
          <w:tcPr>
            <w:tcW w:w="1124" w:type="dxa"/>
            <w:shd w:val="clear" w:color="auto" w:fill="C5EFCE"/>
            <w:vAlign w:val="center"/>
            <w:hideMark/>
          </w:tcPr>
          <w:p w14:paraId="1A616AE0" w14:textId="0FB7E1D9" w:rsidR="00154AD2" w:rsidRDefault="007F6BF3">
            <w:pPr>
              <w:pStyle w:val="P68B1DB1-Normal7"/>
              <w:spacing w:after="0" w:line="240" w:lineRule="auto"/>
              <w:jc w:val="center"/>
              <w:rPr>
                <w:rFonts w:eastAsia="Times New Roman" w:cs="Calibri"/>
                <w:noProof/>
              </w:rPr>
            </w:pPr>
            <w:r>
              <w:rPr>
                <w:noProof/>
              </w:rPr>
              <w:t>3.4</w:t>
            </w:r>
          </w:p>
        </w:tc>
        <w:tc>
          <w:tcPr>
            <w:tcW w:w="1143" w:type="dxa"/>
            <w:shd w:val="clear" w:color="auto" w:fill="C4EFCE"/>
            <w:vAlign w:val="center"/>
            <w:hideMark/>
          </w:tcPr>
          <w:p w14:paraId="264DD2D7" w14:textId="77777777" w:rsidR="00154AD2" w:rsidRDefault="007F6BF3">
            <w:pPr>
              <w:pStyle w:val="P68B1DB1-Normal8"/>
              <w:spacing w:after="0" w:line="240" w:lineRule="auto"/>
              <w:jc w:val="center"/>
              <w:rPr>
                <w:rFonts w:eastAsia="Times New Roman" w:cs="Calibri"/>
                <w:noProof/>
              </w:rPr>
            </w:pPr>
            <w:r>
              <w:rPr>
                <w:noProof/>
              </w:rPr>
              <w:t>RE-C03-i01</w:t>
            </w:r>
          </w:p>
        </w:tc>
        <w:tc>
          <w:tcPr>
            <w:tcW w:w="982" w:type="dxa"/>
            <w:shd w:val="clear" w:color="auto" w:fill="C4EFCE"/>
            <w:vAlign w:val="center"/>
            <w:hideMark/>
          </w:tcPr>
          <w:p w14:paraId="129E562E" w14:textId="77777777" w:rsidR="00154AD2" w:rsidRDefault="007F6BF3">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5F5CCE8B" w14:textId="77777777" w:rsidR="00154AD2" w:rsidRDefault="007F6BF3">
            <w:pPr>
              <w:pStyle w:val="P68B1DB1-Normal8"/>
              <w:spacing w:after="0" w:line="240" w:lineRule="auto"/>
              <w:jc w:val="center"/>
              <w:rPr>
                <w:rFonts w:eastAsia="Times New Roman" w:cs="Calibri"/>
                <w:noProof/>
              </w:rPr>
            </w:pPr>
            <w:r>
              <w:rPr>
                <w:noProof/>
              </w:rPr>
              <w:t>Δημιουργία νέων χώρων και ανακαίνιση υφιστάμενων χώρων σε κοινωνικές εγκαταστάσεις</w:t>
            </w:r>
          </w:p>
        </w:tc>
        <w:tc>
          <w:tcPr>
            <w:tcW w:w="1486" w:type="dxa"/>
            <w:shd w:val="clear" w:color="auto" w:fill="C4EFCE"/>
            <w:vAlign w:val="center"/>
            <w:hideMark/>
          </w:tcPr>
          <w:p w14:paraId="066C8E4E" w14:textId="77777777" w:rsidR="00154AD2" w:rsidRDefault="007F6BF3">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0D9BF7B8"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1014" w:type="dxa"/>
            <w:shd w:val="clear" w:color="auto" w:fill="C4EFCE"/>
            <w:vAlign w:val="center"/>
            <w:hideMark/>
          </w:tcPr>
          <w:p w14:paraId="337AF5DB" w14:textId="77777777" w:rsidR="00154AD2" w:rsidRDefault="007F6BF3">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0F36AC40" w14:textId="12FABD58" w:rsidR="00154AD2" w:rsidRDefault="007F6BF3">
            <w:pPr>
              <w:pStyle w:val="P68B1DB1-Normal8"/>
              <w:spacing w:after="0" w:line="240" w:lineRule="auto"/>
              <w:jc w:val="center"/>
              <w:rPr>
                <w:rFonts w:eastAsia="Times New Roman" w:cs="Calibri"/>
                <w:noProof/>
              </w:rPr>
            </w:pPr>
            <w:r>
              <w:rPr>
                <w:noProof/>
              </w:rPr>
              <w:t>39 405</w:t>
            </w:r>
          </w:p>
        </w:tc>
        <w:tc>
          <w:tcPr>
            <w:tcW w:w="680" w:type="dxa"/>
            <w:shd w:val="clear" w:color="auto" w:fill="C4EFCE"/>
            <w:vAlign w:val="center"/>
            <w:hideMark/>
          </w:tcPr>
          <w:p w14:paraId="3F7AD6FC"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845" w:type="dxa"/>
            <w:shd w:val="clear" w:color="auto" w:fill="C4EFCE"/>
            <w:vAlign w:val="center"/>
            <w:hideMark/>
          </w:tcPr>
          <w:p w14:paraId="6696632D" w14:textId="77777777" w:rsidR="00154AD2" w:rsidRDefault="007F6BF3">
            <w:pPr>
              <w:pStyle w:val="P68B1DB1-Normal8"/>
              <w:spacing w:after="0" w:line="240" w:lineRule="auto"/>
              <w:jc w:val="center"/>
              <w:rPr>
                <w:rFonts w:eastAsia="Times New Roman" w:cs="Calibri"/>
                <w:noProof/>
              </w:rPr>
            </w:pPr>
            <w:r>
              <w:rPr>
                <w:noProof/>
              </w:rPr>
              <w:t>2026</w:t>
            </w:r>
          </w:p>
        </w:tc>
        <w:tc>
          <w:tcPr>
            <w:tcW w:w="4277" w:type="dxa"/>
            <w:shd w:val="clear" w:color="auto" w:fill="C4EFCE"/>
            <w:vAlign w:val="center"/>
            <w:hideMark/>
          </w:tcPr>
          <w:p w14:paraId="1334CAC8" w14:textId="2AA60661" w:rsidR="00154AD2" w:rsidRDefault="007F6BF3">
            <w:pPr>
              <w:pStyle w:val="P68B1DB1-Normal8"/>
              <w:spacing w:after="0" w:line="240" w:lineRule="auto"/>
              <w:jc w:val="both"/>
              <w:rPr>
                <w:rFonts w:eastAsia="Times New Roman" w:cs="Calibri"/>
                <w:noProof/>
              </w:rPr>
            </w:pPr>
            <w:r>
              <w:rPr>
                <w:noProof/>
              </w:rPr>
              <w:t xml:space="preserve">Δημιουργία τουλάχιστον 15 000 νέων θέσεων και ανακαίνιση των υπόλοιπων θέσεων για παιδιά, ηλικιωμένους, άτομα με αναπηρία και άλλα ευάλωτα άτομα σε βρεφονηπιακούς σταθμούς, οίκους ευγηρίας (ERPI), κέντρα ημερήσιας φροντίδας, υπηρεσίες υποστήριξης τομέων (DAS), κέντρα δραστηριοτήτων και ενδυνάμωσης για την ένταξη (CACI), κατοικίες για αυτονομία και ένταξη και καινοτόμες τυπολογίες. </w:t>
            </w:r>
          </w:p>
          <w:p w14:paraId="3267A930" w14:textId="663DC4DC" w:rsidR="00154AD2" w:rsidRDefault="007F6BF3">
            <w:pPr>
              <w:pStyle w:val="P68B1DB1-Normal8"/>
              <w:spacing w:after="0" w:line="240" w:lineRule="auto"/>
              <w:jc w:val="both"/>
              <w:rPr>
                <w:rFonts w:eastAsia="Times New Roman" w:cs="Calibri"/>
                <w:noProof/>
              </w:rPr>
            </w:pPr>
            <w:r>
              <w:rPr>
                <w:noProof/>
              </w:rPr>
              <w:t>Σε περίπτωση κατασκευής νέων κτιρίων, τα νέα κτίρια έχουν ζήτηση πρωτογενούς ενέργειας τουλάχιστον 20 % χαμηλότερη από τις απαιτήσεις των κτιρίων με σχεδόν μηδενική κατανάλωση ενέργειας.</w:t>
            </w:r>
          </w:p>
        </w:tc>
      </w:tr>
      <w:tr w:rsidR="00154AD2" w14:paraId="276146CB" w14:textId="77777777">
        <w:trPr>
          <w:trHeight w:val="1278"/>
        </w:trPr>
        <w:tc>
          <w:tcPr>
            <w:tcW w:w="1124" w:type="dxa"/>
            <w:shd w:val="clear" w:color="auto" w:fill="C5EFCE"/>
            <w:vAlign w:val="center"/>
            <w:hideMark/>
          </w:tcPr>
          <w:p w14:paraId="1C1BF1A0" w14:textId="77777777" w:rsidR="00154AD2" w:rsidRDefault="007F6BF3">
            <w:pPr>
              <w:pStyle w:val="P68B1DB1-Normal7"/>
              <w:spacing w:after="0" w:line="240" w:lineRule="auto"/>
              <w:jc w:val="center"/>
              <w:rPr>
                <w:rFonts w:eastAsia="Times New Roman" w:cs="Calibri"/>
                <w:noProof/>
              </w:rPr>
            </w:pPr>
            <w:r>
              <w:rPr>
                <w:noProof/>
              </w:rPr>
              <w:t>3.5</w:t>
            </w:r>
          </w:p>
        </w:tc>
        <w:tc>
          <w:tcPr>
            <w:tcW w:w="1143" w:type="dxa"/>
            <w:shd w:val="clear" w:color="auto" w:fill="C4EFCE"/>
            <w:vAlign w:val="center"/>
            <w:hideMark/>
          </w:tcPr>
          <w:p w14:paraId="77113DE5" w14:textId="77777777" w:rsidR="00154AD2" w:rsidRDefault="007F6BF3">
            <w:pPr>
              <w:pStyle w:val="P68B1DB1-Normal8"/>
              <w:spacing w:after="0" w:line="240" w:lineRule="auto"/>
              <w:jc w:val="center"/>
              <w:rPr>
                <w:rFonts w:eastAsia="Times New Roman" w:cs="Calibri"/>
                <w:noProof/>
              </w:rPr>
            </w:pPr>
            <w:r>
              <w:rPr>
                <w:noProof/>
              </w:rPr>
              <w:t>RE-C03-i01</w:t>
            </w:r>
          </w:p>
        </w:tc>
        <w:tc>
          <w:tcPr>
            <w:tcW w:w="982" w:type="dxa"/>
            <w:shd w:val="clear" w:color="auto" w:fill="C4EFCE"/>
            <w:vAlign w:val="center"/>
            <w:hideMark/>
          </w:tcPr>
          <w:p w14:paraId="6B8071ED" w14:textId="77777777" w:rsidR="00154AD2" w:rsidRDefault="007F6BF3">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399F7521" w14:textId="500588C1" w:rsidR="00154AD2" w:rsidRDefault="007F6BF3">
            <w:pPr>
              <w:pStyle w:val="P68B1DB1-Normal8"/>
              <w:spacing w:after="0" w:line="240" w:lineRule="auto"/>
              <w:jc w:val="center"/>
              <w:rPr>
                <w:rFonts w:eastAsia="Times New Roman" w:cs="Calibri"/>
                <w:noProof/>
              </w:rPr>
            </w:pPr>
            <w:r>
              <w:rPr>
                <w:noProof/>
              </w:rPr>
              <w:t>Χρήστες υπηρεσιών υποστήριξης κατ’ οίκον και προσωπικό που λαμβάνουν πρόσβαση σε ταμπλέτες και άλλο εξοπλισμό ΤΠ και επικοινωνίας, εξοπλισμό τεχνικής βοήθειας ή κατάρτιση.</w:t>
            </w:r>
          </w:p>
        </w:tc>
        <w:tc>
          <w:tcPr>
            <w:tcW w:w="1486" w:type="dxa"/>
            <w:shd w:val="clear" w:color="auto" w:fill="C4EFCE"/>
            <w:vAlign w:val="center"/>
            <w:hideMark/>
          </w:tcPr>
          <w:p w14:paraId="355D3959" w14:textId="77777777" w:rsidR="00154AD2" w:rsidRDefault="007F6BF3">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546DD450"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1014" w:type="dxa"/>
            <w:shd w:val="clear" w:color="auto" w:fill="C4EFCE"/>
            <w:vAlign w:val="center"/>
            <w:hideMark/>
          </w:tcPr>
          <w:p w14:paraId="1476D7C2" w14:textId="77777777" w:rsidR="00154AD2" w:rsidRDefault="007F6BF3">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2E3FE706" w14:textId="7F5C4600" w:rsidR="00154AD2" w:rsidRDefault="007F6BF3">
            <w:pPr>
              <w:pStyle w:val="P68B1DB1-Normal8"/>
              <w:spacing w:after="0" w:line="240" w:lineRule="auto"/>
              <w:jc w:val="center"/>
              <w:rPr>
                <w:rFonts w:eastAsia="Times New Roman" w:cs="Calibri"/>
                <w:noProof/>
              </w:rPr>
            </w:pPr>
            <w:r>
              <w:rPr>
                <w:noProof/>
              </w:rPr>
              <w:t>63 825</w:t>
            </w:r>
          </w:p>
        </w:tc>
        <w:tc>
          <w:tcPr>
            <w:tcW w:w="680" w:type="dxa"/>
            <w:shd w:val="clear" w:color="auto" w:fill="C4EFCE"/>
            <w:vAlign w:val="center"/>
            <w:hideMark/>
          </w:tcPr>
          <w:p w14:paraId="648E97D6"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845" w:type="dxa"/>
            <w:shd w:val="clear" w:color="auto" w:fill="C4EFCE"/>
            <w:vAlign w:val="center"/>
            <w:hideMark/>
          </w:tcPr>
          <w:p w14:paraId="4D63D198" w14:textId="77777777" w:rsidR="00154AD2" w:rsidRDefault="007F6BF3">
            <w:pPr>
              <w:pStyle w:val="P68B1DB1-Normal8"/>
              <w:spacing w:after="0" w:line="240" w:lineRule="auto"/>
              <w:jc w:val="center"/>
              <w:rPr>
                <w:rFonts w:eastAsia="Times New Roman" w:cs="Calibri"/>
                <w:noProof/>
              </w:rPr>
            </w:pPr>
            <w:r>
              <w:rPr>
                <w:noProof/>
              </w:rPr>
              <w:t>2026</w:t>
            </w:r>
          </w:p>
        </w:tc>
        <w:tc>
          <w:tcPr>
            <w:tcW w:w="4277" w:type="dxa"/>
            <w:shd w:val="clear" w:color="auto" w:fill="C4EFCE"/>
            <w:vAlign w:val="center"/>
            <w:hideMark/>
          </w:tcPr>
          <w:p w14:paraId="096CA0CB" w14:textId="5268AE85" w:rsidR="00154AD2" w:rsidRDefault="007F6BF3">
            <w:pPr>
              <w:pStyle w:val="P68B1DB1-Normal8"/>
              <w:spacing w:after="0" w:line="240" w:lineRule="auto"/>
              <w:jc w:val="both"/>
              <w:rPr>
                <w:rFonts w:eastAsia="Times New Roman" w:cs="Calibri"/>
                <w:noProof/>
              </w:rPr>
            </w:pPr>
            <w:r>
              <w:rPr>
                <w:noProof/>
              </w:rPr>
              <w:t>Αριθμός χρηστών ή προσωπικού υπηρεσιών υποστήριξης κατ’ οίκον που λαμβάνουν πρόσβαση τουλάχιστον σε ταμπλέτα και σε άλλο εξοπλισμό ΤΠ και επικοινωνίας, ή σε εξοπλισμό τεχνικής βοήθειας ή κατάρτιση.</w:t>
            </w:r>
          </w:p>
        </w:tc>
      </w:tr>
      <w:tr w:rsidR="00154AD2" w14:paraId="40CC812A" w14:textId="77777777">
        <w:trPr>
          <w:trHeight w:val="509"/>
        </w:trPr>
        <w:tc>
          <w:tcPr>
            <w:tcW w:w="1124" w:type="dxa"/>
            <w:shd w:val="clear" w:color="auto" w:fill="C5EFCE"/>
            <w:vAlign w:val="center"/>
            <w:hideMark/>
          </w:tcPr>
          <w:p w14:paraId="59E59251" w14:textId="6D4000F0" w:rsidR="00154AD2" w:rsidRDefault="007F6BF3">
            <w:pPr>
              <w:pStyle w:val="P68B1DB1-Normal7"/>
              <w:spacing w:after="0" w:line="240" w:lineRule="auto"/>
              <w:jc w:val="center"/>
              <w:rPr>
                <w:rFonts w:eastAsia="Times New Roman" w:cs="Calibri"/>
                <w:noProof/>
              </w:rPr>
            </w:pPr>
            <w:r>
              <w:rPr>
                <w:noProof/>
              </w:rPr>
              <w:t>3.6</w:t>
            </w:r>
          </w:p>
        </w:tc>
        <w:tc>
          <w:tcPr>
            <w:tcW w:w="1143" w:type="dxa"/>
            <w:shd w:val="clear" w:color="auto" w:fill="C4EFCE"/>
            <w:vAlign w:val="center"/>
            <w:hideMark/>
          </w:tcPr>
          <w:p w14:paraId="572B0C95" w14:textId="77777777" w:rsidR="00154AD2" w:rsidRDefault="007F6BF3">
            <w:pPr>
              <w:pStyle w:val="P68B1DB1-Normal8"/>
              <w:spacing w:after="0" w:line="240" w:lineRule="auto"/>
              <w:jc w:val="center"/>
              <w:rPr>
                <w:rFonts w:eastAsia="Times New Roman" w:cs="Calibri"/>
                <w:noProof/>
              </w:rPr>
            </w:pPr>
            <w:r>
              <w:rPr>
                <w:noProof/>
              </w:rPr>
              <w:t>RE-C03-i02</w:t>
            </w:r>
          </w:p>
        </w:tc>
        <w:tc>
          <w:tcPr>
            <w:tcW w:w="982" w:type="dxa"/>
            <w:shd w:val="clear" w:color="auto" w:fill="C4EFCE"/>
            <w:vAlign w:val="center"/>
            <w:hideMark/>
          </w:tcPr>
          <w:p w14:paraId="298EA432" w14:textId="77777777" w:rsidR="00154AD2" w:rsidRDefault="007F6BF3">
            <w:pPr>
              <w:pStyle w:val="P68B1DB1-Normal8"/>
              <w:spacing w:after="0" w:line="240" w:lineRule="auto"/>
              <w:jc w:val="center"/>
              <w:rPr>
                <w:rFonts w:eastAsia="Times New Roman" w:cs="Calibri"/>
                <w:noProof/>
              </w:rPr>
            </w:pPr>
            <w:r>
              <w:rPr>
                <w:noProof/>
              </w:rPr>
              <w:t> T</w:t>
            </w:r>
          </w:p>
        </w:tc>
        <w:tc>
          <w:tcPr>
            <w:tcW w:w="1740" w:type="dxa"/>
            <w:shd w:val="clear" w:color="auto" w:fill="C4EFCE"/>
            <w:vAlign w:val="center"/>
            <w:hideMark/>
          </w:tcPr>
          <w:p w14:paraId="603DD380" w14:textId="77777777" w:rsidR="00154AD2" w:rsidRDefault="007F6BF3">
            <w:pPr>
              <w:pStyle w:val="P68B1DB1-Normal8"/>
              <w:spacing w:after="0" w:line="240" w:lineRule="auto"/>
              <w:jc w:val="center"/>
              <w:rPr>
                <w:rFonts w:eastAsia="Times New Roman" w:cs="Calibri"/>
                <w:noProof/>
              </w:rPr>
            </w:pPr>
            <w:r>
              <w:rPr>
                <w:noProof/>
              </w:rPr>
              <w:t>Κατοικίες με βελτιωμένη προσβασιμότητα για άτομα μειωμένης κινητικότητας</w:t>
            </w:r>
          </w:p>
        </w:tc>
        <w:tc>
          <w:tcPr>
            <w:tcW w:w="1486" w:type="dxa"/>
            <w:shd w:val="clear" w:color="auto" w:fill="C4EFCE"/>
            <w:vAlign w:val="center"/>
            <w:hideMark/>
          </w:tcPr>
          <w:p w14:paraId="3EE7BE53" w14:textId="77777777" w:rsidR="00154AD2" w:rsidRDefault="007F6BF3">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5B7D5469"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1014" w:type="dxa"/>
            <w:shd w:val="clear" w:color="auto" w:fill="C4EFCE"/>
            <w:vAlign w:val="center"/>
            <w:hideMark/>
          </w:tcPr>
          <w:p w14:paraId="721C2D50" w14:textId="77777777" w:rsidR="00154AD2" w:rsidRDefault="007F6BF3">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3E0348DA" w14:textId="77777777" w:rsidR="00154AD2" w:rsidRDefault="007F6BF3">
            <w:pPr>
              <w:pStyle w:val="P68B1DB1-Normal8"/>
              <w:spacing w:after="0" w:line="240" w:lineRule="auto"/>
              <w:jc w:val="center"/>
              <w:rPr>
                <w:rFonts w:eastAsia="Times New Roman" w:cs="Calibri"/>
                <w:noProof/>
              </w:rPr>
            </w:pPr>
            <w:r>
              <w:rPr>
                <w:noProof/>
              </w:rPr>
              <w:t>190</w:t>
            </w:r>
          </w:p>
        </w:tc>
        <w:tc>
          <w:tcPr>
            <w:tcW w:w="680" w:type="dxa"/>
            <w:shd w:val="clear" w:color="auto" w:fill="C4EFCE"/>
            <w:vAlign w:val="center"/>
            <w:hideMark/>
          </w:tcPr>
          <w:p w14:paraId="1F0EB787"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845" w:type="dxa"/>
            <w:shd w:val="clear" w:color="auto" w:fill="C4EFCE"/>
            <w:vAlign w:val="center"/>
            <w:hideMark/>
          </w:tcPr>
          <w:p w14:paraId="12A371D7" w14:textId="11F671CD" w:rsidR="00154AD2" w:rsidRDefault="007F6BF3">
            <w:pPr>
              <w:pStyle w:val="P68B1DB1-Normal8"/>
              <w:spacing w:after="0" w:line="240" w:lineRule="auto"/>
              <w:jc w:val="center"/>
              <w:rPr>
                <w:rFonts w:eastAsia="Times New Roman" w:cs="Calibri"/>
                <w:noProof/>
              </w:rPr>
            </w:pPr>
            <w:r>
              <w:rPr>
                <w:noProof/>
              </w:rPr>
              <w:t>2024</w:t>
            </w:r>
          </w:p>
        </w:tc>
        <w:tc>
          <w:tcPr>
            <w:tcW w:w="4277" w:type="dxa"/>
            <w:shd w:val="clear" w:color="auto" w:fill="C4EFCE"/>
            <w:vAlign w:val="center"/>
            <w:hideMark/>
          </w:tcPr>
          <w:p w14:paraId="2352F6A3" w14:textId="77777777" w:rsidR="00154AD2" w:rsidRDefault="007F6BF3">
            <w:pPr>
              <w:pStyle w:val="P68B1DB1-Normal8"/>
              <w:spacing w:after="0" w:line="240" w:lineRule="auto"/>
              <w:jc w:val="both"/>
              <w:rPr>
                <w:rFonts w:eastAsia="Times New Roman" w:cs="Calibri"/>
                <w:noProof/>
              </w:rPr>
            </w:pPr>
            <w:r>
              <w:rPr>
                <w:noProof/>
              </w:rPr>
              <w:t>Αριθμός κατοικιών (με μέση επιφάνεια 40 m²) που επωφελούνται από παρεμβάσεις για τη βελτίωση των συνθηκών προσβασιμότητας για τα άτομα με μειωμένη κινητικότητα.</w:t>
            </w:r>
          </w:p>
        </w:tc>
      </w:tr>
      <w:tr w:rsidR="00154AD2" w14:paraId="105F1008" w14:textId="77777777">
        <w:trPr>
          <w:trHeight w:val="969"/>
        </w:trPr>
        <w:tc>
          <w:tcPr>
            <w:tcW w:w="1124" w:type="dxa"/>
            <w:shd w:val="clear" w:color="auto" w:fill="C5EFCE"/>
            <w:vAlign w:val="center"/>
            <w:hideMark/>
          </w:tcPr>
          <w:p w14:paraId="28A12150" w14:textId="77777777" w:rsidR="00154AD2" w:rsidRDefault="007F6BF3">
            <w:pPr>
              <w:pStyle w:val="P68B1DB1-Normal7"/>
              <w:spacing w:after="0" w:line="240" w:lineRule="auto"/>
              <w:jc w:val="center"/>
              <w:rPr>
                <w:rFonts w:eastAsia="Times New Roman" w:cs="Calibri"/>
                <w:noProof/>
              </w:rPr>
            </w:pPr>
            <w:r>
              <w:rPr>
                <w:noProof/>
              </w:rPr>
              <w:t>3.7</w:t>
            </w:r>
          </w:p>
        </w:tc>
        <w:tc>
          <w:tcPr>
            <w:tcW w:w="1143" w:type="dxa"/>
            <w:shd w:val="clear" w:color="auto" w:fill="C4EFCE"/>
            <w:vAlign w:val="center"/>
            <w:hideMark/>
          </w:tcPr>
          <w:p w14:paraId="4887AF7C" w14:textId="77777777" w:rsidR="00154AD2" w:rsidRDefault="007F6BF3">
            <w:pPr>
              <w:pStyle w:val="P68B1DB1-Normal8"/>
              <w:spacing w:after="0" w:line="240" w:lineRule="auto"/>
              <w:jc w:val="center"/>
              <w:rPr>
                <w:rFonts w:eastAsia="Times New Roman" w:cs="Calibri"/>
                <w:noProof/>
              </w:rPr>
            </w:pPr>
            <w:r>
              <w:rPr>
                <w:noProof/>
              </w:rPr>
              <w:t>RE-C03-i02</w:t>
            </w:r>
          </w:p>
        </w:tc>
        <w:tc>
          <w:tcPr>
            <w:tcW w:w="982" w:type="dxa"/>
            <w:shd w:val="clear" w:color="auto" w:fill="C4EFCE"/>
            <w:vAlign w:val="center"/>
            <w:hideMark/>
          </w:tcPr>
          <w:p w14:paraId="18641572" w14:textId="77777777" w:rsidR="00154AD2" w:rsidRDefault="007F6BF3">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52977162" w14:textId="77777777" w:rsidR="00154AD2" w:rsidRDefault="007F6BF3">
            <w:pPr>
              <w:pStyle w:val="P68B1DB1-Normal8"/>
              <w:spacing w:after="0" w:line="240" w:lineRule="auto"/>
              <w:jc w:val="center"/>
              <w:rPr>
                <w:rFonts w:eastAsia="Times New Roman" w:cs="Calibri"/>
                <w:noProof/>
              </w:rPr>
            </w:pPr>
            <w:r>
              <w:rPr>
                <w:noProof/>
              </w:rPr>
              <w:t>Κατοικίες με βελτιωμένη προσβασιμότητα για άτομα μειωμένης κινητικότητας</w:t>
            </w:r>
          </w:p>
        </w:tc>
        <w:tc>
          <w:tcPr>
            <w:tcW w:w="1486" w:type="dxa"/>
            <w:shd w:val="clear" w:color="auto" w:fill="C4EFCE"/>
            <w:vAlign w:val="center"/>
            <w:hideMark/>
          </w:tcPr>
          <w:p w14:paraId="16E59492" w14:textId="77777777" w:rsidR="00154AD2" w:rsidRDefault="007F6BF3">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008161F6"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1014" w:type="dxa"/>
            <w:shd w:val="clear" w:color="auto" w:fill="C4EFCE"/>
            <w:vAlign w:val="center"/>
            <w:hideMark/>
          </w:tcPr>
          <w:p w14:paraId="7E97C154" w14:textId="77777777" w:rsidR="00154AD2" w:rsidRDefault="007F6BF3">
            <w:pPr>
              <w:pStyle w:val="P68B1DB1-Normal8"/>
              <w:spacing w:after="0" w:line="240" w:lineRule="auto"/>
              <w:jc w:val="center"/>
              <w:rPr>
                <w:rFonts w:eastAsia="Times New Roman" w:cs="Calibri"/>
                <w:noProof/>
              </w:rPr>
            </w:pPr>
            <w:r>
              <w:rPr>
                <w:noProof/>
              </w:rPr>
              <w:t>190</w:t>
            </w:r>
          </w:p>
        </w:tc>
        <w:tc>
          <w:tcPr>
            <w:tcW w:w="882" w:type="dxa"/>
            <w:shd w:val="clear" w:color="auto" w:fill="C4EFCE"/>
            <w:vAlign w:val="center"/>
            <w:hideMark/>
          </w:tcPr>
          <w:p w14:paraId="1EE09EBE" w14:textId="77777777" w:rsidR="00154AD2" w:rsidRDefault="007F6BF3">
            <w:pPr>
              <w:pStyle w:val="P68B1DB1-Normal8"/>
              <w:spacing w:after="0" w:line="240" w:lineRule="auto"/>
              <w:jc w:val="center"/>
              <w:rPr>
                <w:rFonts w:eastAsia="Times New Roman" w:cs="Calibri"/>
                <w:noProof/>
              </w:rPr>
            </w:pPr>
            <w:r>
              <w:rPr>
                <w:noProof/>
              </w:rPr>
              <w:t>1 000</w:t>
            </w:r>
          </w:p>
        </w:tc>
        <w:tc>
          <w:tcPr>
            <w:tcW w:w="680" w:type="dxa"/>
            <w:shd w:val="clear" w:color="auto" w:fill="C4EFCE"/>
            <w:vAlign w:val="center"/>
            <w:hideMark/>
          </w:tcPr>
          <w:p w14:paraId="2A369B58"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845" w:type="dxa"/>
            <w:shd w:val="clear" w:color="auto" w:fill="C4EFCE"/>
            <w:vAlign w:val="center"/>
            <w:hideMark/>
          </w:tcPr>
          <w:p w14:paraId="0BF23AEA" w14:textId="77777777" w:rsidR="00154AD2" w:rsidRDefault="007F6BF3">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66CAE278" w14:textId="36788C6E" w:rsidR="00154AD2" w:rsidRDefault="007F6BF3">
            <w:pPr>
              <w:pStyle w:val="P68B1DB1-Normal8"/>
              <w:spacing w:after="0" w:line="240" w:lineRule="auto"/>
              <w:jc w:val="both"/>
              <w:rPr>
                <w:rFonts w:eastAsia="Times New Roman" w:cs="Calibri"/>
                <w:noProof/>
              </w:rPr>
            </w:pPr>
            <w:r>
              <w:rPr>
                <w:noProof/>
              </w:rPr>
              <w:t xml:space="preserve">Αριθμός κατοικιών (με μέση επιφάνεια 40 m²) που επωφελούνται από παρεμβάσεις για τη βελτίωση των συνθηκών προσβασιμότητας για τα άτομα με μειωμένη κινητικότητα. </w:t>
            </w:r>
          </w:p>
        </w:tc>
      </w:tr>
      <w:tr w:rsidR="00154AD2" w14:paraId="0E79D576" w14:textId="77777777">
        <w:trPr>
          <w:trHeight w:val="509"/>
        </w:trPr>
        <w:tc>
          <w:tcPr>
            <w:tcW w:w="1124" w:type="dxa"/>
            <w:shd w:val="clear" w:color="auto" w:fill="C5EFCE"/>
            <w:vAlign w:val="center"/>
            <w:hideMark/>
          </w:tcPr>
          <w:p w14:paraId="29F6AEBE" w14:textId="77777777" w:rsidR="00154AD2" w:rsidRDefault="007F6BF3">
            <w:pPr>
              <w:pStyle w:val="P68B1DB1-Normal7"/>
              <w:spacing w:after="0" w:line="240" w:lineRule="auto"/>
              <w:jc w:val="center"/>
              <w:rPr>
                <w:rFonts w:eastAsia="Times New Roman" w:cs="Calibri"/>
                <w:noProof/>
              </w:rPr>
            </w:pPr>
            <w:r>
              <w:rPr>
                <w:noProof/>
              </w:rPr>
              <w:t>3.8</w:t>
            </w:r>
          </w:p>
        </w:tc>
        <w:tc>
          <w:tcPr>
            <w:tcW w:w="1143" w:type="dxa"/>
            <w:shd w:val="clear" w:color="auto" w:fill="C4EFCE"/>
            <w:vAlign w:val="center"/>
            <w:hideMark/>
          </w:tcPr>
          <w:p w14:paraId="779A6C76" w14:textId="77777777" w:rsidR="00154AD2" w:rsidRDefault="007F6BF3">
            <w:pPr>
              <w:pStyle w:val="P68B1DB1-Normal8"/>
              <w:spacing w:after="0" w:line="240" w:lineRule="auto"/>
              <w:jc w:val="center"/>
              <w:rPr>
                <w:rFonts w:eastAsia="Times New Roman" w:cs="Calibri"/>
                <w:noProof/>
              </w:rPr>
            </w:pPr>
            <w:r>
              <w:rPr>
                <w:noProof/>
              </w:rPr>
              <w:t>RE-C03-i02</w:t>
            </w:r>
          </w:p>
        </w:tc>
        <w:tc>
          <w:tcPr>
            <w:tcW w:w="982" w:type="dxa"/>
            <w:shd w:val="clear" w:color="auto" w:fill="C4EFCE"/>
            <w:vAlign w:val="center"/>
            <w:hideMark/>
          </w:tcPr>
          <w:p w14:paraId="7A3FE8F8" w14:textId="77777777" w:rsidR="00154AD2" w:rsidRDefault="007F6BF3">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00D966E9" w14:textId="77777777" w:rsidR="00154AD2" w:rsidRDefault="007F6BF3">
            <w:pPr>
              <w:pStyle w:val="P68B1DB1-Normal8"/>
              <w:spacing w:after="0" w:line="240" w:lineRule="auto"/>
              <w:jc w:val="center"/>
              <w:rPr>
                <w:rFonts w:eastAsia="Times New Roman" w:cs="Calibri"/>
                <w:noProof/>
              </w:rPr>
            </w:pPr>
            <w:r>
              <w:rPr>
                <w:noProof/>
              </w:rPr>
              <w:t xml:space="preserve">Δημόσιος χώρος με βελτιωμένη προσβασιμότητα για άτομα με μειωμένη κινητικότητα </w:t>
            </w:r>
          </w:p>
        </w:tc>
        <w:tc>
          <w:tcPr>
            <w:tcW w:w="1486" w:type="dxa"/>
            <w:shd w:val="clear" w:color="auto" w:fill="C4EFCE"/>
            <w:vAlign w:val="center"/>
            <w:hideMark/>
          </w:tcPr>
          <w:p w14:paraId="2F4DB304" w14:textId="77777777" w:rsidR="00154AD2" w:rsidRDefault="007F6BF3">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52D96709"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1014" w:type="dxa"/>
            <w:shd w:val="clear" w:color="auto" w:fill="C4EFCE"/>
            <w:vAlign w:val="center"/>
            <w:hideMark/>
          </w:tcPr>
          <w:p w14:paraId="7952ADA7" w14:textId="77777777" w:rsidR="00154AD2" w:rsidRDefault="007F6BF3">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73DCDF0B" w14:textId="3EC07D00" w:rsidR="00154AD2" w:rsidRDefault="007F6BF3">
            <w:pPr>
              <w:pStyle w:val="P68B1DB1-Normal8"/>
              <w:spacing w:after="0" w:line="240" w:lineRule="auto"/>
              <w:jc w:val="center"/>
              <w:rPr>
                <w:rFonts w:eastAsia="Times New Roman" w:cs="Calibri"/>
                <w:noProof/>
              </w:rPr>
            </w:pPr>
            <w:r>
              <w:rPr>
                <w:noProof/>
              </w:rPr>
              <w:t>200 000</w:t>
            </w:r>
          </w:p>
        </w:tc>
        <w:tc>
          <w:tcPr>
            <w:tcW w:w="680" w:type="dxa"/>
            <w:shd w:val="clear" w:color="auto" w:fill="C4EFCE"/>
            <w:vAlign w:val="center"/>
            <w:hideMark/>
          </w:tcPr>
          <w:p w14:paraId="7B65A11A"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845" w:type="dxa"/>
            <w:shd w:val="clear" w:color="auto" w:fill="C4EFCE"/>
            <w:vAlign w:val="center"/>
            <w:hideMark/>
          </w:tcPr>
          <w:p w14:paraId="04E2693F" w14:textId="77777777" w:rsidR="00154AD2" w:rsidRDefault="007F6BF3">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7CEC40AB" w14:textId="77777777" w:rsidR="00154AD2" w:rsidRDefault="007F6BF3">
            <w:pPr>
              <w:pStyle w:val="P68B1DB1-Normal8"/>
              <w:spacing w:after="0" w:line="240" w:lineRule="auto"/>
              <w:jc w:val="both"/>
              <w:rPr>
                <w:rFonts w:eastAsia="Times New Roman" w:cs="Calibri"/>
                <w:noProof/>
              </w:rPr>
            </w:pPr>
            <w:r>
              <w:rPr>
                <w:noProof/>
              </w:rPr>
              <w:t>Χώρος δημόσιου χώρου (πλατείες, πλευρικά πεζοδρόμια κ.λπ.) σε τετραγωνικά μέτρα που επωφελούνται από παρεμβάσεις (κυρίως ισοπέδωση των πεζοδρόμων, διέλευση από τροχιές, ρύθμιση της κυκλοφορίας, επανατοποθέτηση των υποδομών και των επίπλων του δρόμου, βελτίωση της πρόσβασης στα κτίρια) για τη βελτίωση των συνθηκών προσβασιμότητας για τα άτομα με μειωμένη κινητικότητα.</w:t>
            </w:r>
          </w:p>
        </w:tc>
      </w:tr>
      <w:tr w:rsidR="00154AD2" w14:paraId="5F588498" w14:textId="77777777">
        <w:trPr>
          <w:trHeight w:val="1120"/>
        </w:trPr>
        <w:tc>
          <w:tcPr>
            <w:tcW w:w="1124" w:type="dxa"/>
            <w:shd w:val="clear" w:color="auto" w:fill="C5EFCE"/>
            <w:vAlign w:val="center"/>
            <w:hideMark/>
          </w:tcPr>
          <w:p w14:paraId="36901FF3" w14:textId="77777777" w:rsidR="00154AD2" w:rsidRDefault="007F6BF3">
            <w:pPr>
              <w:pStyle w:val="P68B1DB1-Normal7"/>
              <w:spacing w:after="0" w:line="240" w:lineRule="auto"/>
              <w:jc w:val="center"/>
              <w:rPr>
                <w:rFonts w:eastAsia="Times New Roman" w:cs="Calibri"/>
                <w:noProof/>
              </w:rPr>
            </w:pPr>
            <w:r>
              <w:rPr>
                <w:noProof/>
              </w:rPr>
              <w:t>3.9</w:t>
            </w:r>
          </w:p>
        </w:tc>
        <w:tc>
          <w:tcPr>
            <w:tcW w:w="1143" w:type="dxa"/>
            <w:shd w:val="clear" w:color="auto" w:fill="C4EFCE"/>
            <w:vAlign w:val="center"/>
            <w:hideMark/>
          </w:tcPr>
          <w:p w14:paraId="52268B9C" w14:textId="77777777" w:rsidR="00154AD2" w:rsidRDefault="007F6BF3">
            <w:pPr>
              <w:pStyle w:val="P68B1DB1-Normal8"/>
              <w:spacing w:after="0" w:line="240" w:lineRule="auto"/>
              <w:jc w:val="center"/>
              <w:rPr>
                <w:rFonts w:eastAsia="Times New Roman" w:cs="Calibri"/>
                <w:noProof/>
              </w:rPr>
            </w:pPr>
            <w:r>
              <w:rPr>
                <w:noProof/>
              </w:rPr>
              <w:t>RE-C03-i02</w:t>
            </w:r>
          </w:p>
        </w:tc>
        <w:tc>
          <w:tcPr>
            <w:tcW w:w="982" w:type="dxa"/>
            <w:shd w:val="clear" w:color="auto" w:fill="C4EFCE"/>
            <w:vAlign w:val="center"/>
            <w:hideMark/>
          </w:tcPr>
          <w:p w14:paraId="2BC6D3D0" w14:textId="77777777" w:rsidR="00154AD2" w:rsidRDefault="007F6BF3">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05B89ADF" w14:textId="77777777" w:rsidR="00154AD2" w:rsidRDefault="007F6BF3">
            <w:pPr>
              <w:pStyle w:val="P68B1DB1-Normal8"/>
              <w:spacing w:after="0" w:line="240" w:lineRule="auto"/>
              <w:jc w:val="center"/>
              <w:rPr>
                <w:rFonts w:eastAsia="Times New Roman" w:cs="Calibri"/>
                <w:noProof/>
              </w:rPr>
            </w:pPr>
            <w:r>
              <w:rPr>
                <w:noProof/>
              </w:rPr>
              <w:t xml:space="preserve">Δημόσιες υπηρεσίες με βελτιωμένη προσβασιμότητα για άτομα με περιορισμένη κινητικότητα </w:t>
            </w:r>
          </w:p>
        </w:tc>
        <w:tc>
          <w:tcPr>
            <w:tcW w:w="1486" w:type="dxa"/>
            <w:shd w:val="clear" w:color="auto" w:fill="C4EFCE"/>
            <w:vAlign w:val="center"/>
            <w:hideMark/>
          </w:tcPr>
          <w:p w14:paraId="161A1B5B" w14:textId="77777777" w:rsidR="00154AD2" w:rsidRDefault="007F6BF3">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02982A55"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1014" w:type="dxa"/>
            <w:shd w:val="clear" w:color="auto" w:fill="C4EFCE"/>
            <w:vAlign w:val="center"/>
            <w:hideMark/>
          </w:tcPr>
          <w:p w14:paraId="229CC22B" w14:textId="77777777" w:rsidR="00154AD2" w:rsidRDefault="007F6BF3">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72D1A371" w14:textId="77777777" w:rsidR="00154AD2" w:rsidRDefault="007F6BF3">
            <w:pPr>
              <w:pStyle w:val="P68B1DB1-Normal8"/>
              <w:spacing w:after="0" w:line="240" w:lineRule="auto"/>
              <w:jc w:val="center"/>
              <w:rPr>
                <w:rFonts w:eastAsia="Times New Roman" w:cs="Calibri"/>
                <w:noProof/>
              </w:rPr>
            </w:pPr>
            <w:r>
              <w:rPr>
                <w:noProof/>
              </w:rPr>
              <w:t>1 500</w:t>
            </w:r>
          </w:p>
        </w:tc>
        <w:tc>
          <w:tcPr>
            <w:tcW w:w="680" w:type="dxa"/>
            <w:shd w:val="clear" w:color="auto" w:fill="C4EFCE"/>
            <w:vAlign w:val="center"/>
            <w:hideMark/>
          </w:tcPr>
          <w:p w14:paraId="6F782341"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845" w:type="dxa"/>
            <w:shd w:val="clear" w:color="auto" w:fill="C4EFCE"/>
            <w:vAlign w:val="center"/>
            <w:hideMark/>
          </w:tcPr>
          <w:p w14:paraId="6EED6288" w14:textId="77777777" w:rsidR="00154AD2" w:rsidRDefault="007F6BF3">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23E9E73B" w14:textId="77777777" w:rsidR="00154AD2" w:rsidRDefault="007F6BF3">
            <w:pPr>
              <w:pStyle w:val="P68B1DB1-Normal8"/>
              <w:spacing w:after="0" w:line="240" w:lineRule="auto"/>
              <w:jc w:val="both"/>
              <w:rPr>
                <w:rFonts w:eastAsia="Times New Roman" w:cs="Calibri"/>
                <w:noProof/>
              </w:rPr>
            </w:pPr>
            <w:r>
              <w:rPr>
                <w:noProof/>
              </w:rPr>
              <w:t xml:space="preserve">Αριθμός εγκαταστάσεων δημόσιας υπηρεσίας που επωφελούνται από παρεμβάσεις (κυρίως ράμπες και πόρτες πρόσβασης σε κτίρια, θυρίδες και εγκαταστάσεις υγιεινής που χρησιμοποιούνται για άτομα με αναπηρία) για τη βελτίωση των συνθηκών προσβασιμότητας για τα άτομα με μειωμένη κινητικότητα. </w:t>
            </w:r>
          </w:p>
        </w:tc>
      </w:tr>
      <w:tr w:rsidR="00154AD2" w14:paraId="69D82E93" w14:textId="77777777">
        <w:trPr>
          <w:trHeight w:val="1395"/>
        </w:trPr>
        <w:tc>
          <w:tcPr>
            <w:tcW w:w="1124" w:type="dxa"/>
            <w:shd w:val="clear" w:color="auto" w:fill="C5EFCE"/>
            <w:vAlign w:val="center"/>
            <w:hideMark/>
          </w:tcPr>
          <w:p w14:paraId="61E3A3F7" w14:textId="77777777" w:rsidR="00154AD2" w:rsidRDefault="007F6BF3">
            <w:pPr>
              <w:pStyle w:val="P68B1DB1-Normal7"/>
              <w:spacing w:after="0" w:line="240" w:lineRule="auto"/>
              <w:jc w:val="center"/>
              <w:rPr>
                <w:rFonts w:eastAsia="Times New Roman" w:cs="Calibri"/>
                <w:noProof/>
              </w:rPr>
            </w:pPr>
            <w:r>
              <w:rPr>
                <w:noProof/>
              </w:rPr>
              <w:t>3.10</w:t>
            </w:r>
          </w:p>
        </w:tc>
        <w:tc>
          <w:tcPr>
            <w:tcW w:w="1143" w:type="dxa"/>
            <w:shd w:val="clear" w:color="auto" w:fill="C4EFCE"/>
            <w:vAlign w:val="center"/>
            <w:hideMark/>
          </w:tcPr>
          <w:p w14:paraId="75163862" w14:textId="77777777" w:rsidR="00154AD2" w:rsidRDefault="007F6BF3">
            <w:pPr>
              <w:pStyle w:val="P68B1DB1-Normal8"/>
              <w:spacing w:after="0" w:line="240" w:lineRule="auto"/>
              <w:jc w:val="center"/>
              <w:rPr>
                <w:rFonts w:eastAsia="Times New Roman" w:cs="Calibri"/>
                <w:noProof/>
              </w:rPr>
            </w:pPr>
            <w:r>
              <w:rPr>
                <w:noProof/>
              </w:rPr>
              <w:t>RE-C03-i03-RAM</w:t>
            </w:r>
          </w:p>
        </w:tc>
        <w:tc>
          <w:tcPr>
            <w:tcW w:w="982" w:type="dxa"/>
            <w:shd w:val="clear" w:color="auto" w:fill="C4EFCE"/>
            <w:vAlign w:val="center"/>
            <w:hideMark/>
          </w:tcPr>
          <w:p w14:paraId="707DF8E4" w14:textId="77777777" w:rsidR="00154AD2" w:rsidRDefault="007F6BF3">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2BC2353F" w14:textId="04A2B32C" w:rsidR="00154AD2" w:rsidRDefault="007F6BF3">
            <w:pPr>
              <w:pStyle w:val="P68B1DB1-Normal8"/>
              <w:spacing w:after="0" w:line="240" w:lineRule="auto"/>
              <w:jc w:val="center"/>
              <w:rPr>
                <w:rFonts w:eastAsia="Times New Roman" w:cs="Calibri"/>
                <w:noProof/>
              </w:rPr>
            </w:pPr>
            <w:r>
              <w:rPr>
                <w:noProof/>
              </w:rPr>
              <w:t xml:space="preserve">Νέοι και αποκατεστημένοι χώροι σε οίκους ευγηρίας και μη κατ’ οίκον φροντίδας </w:t>
            </w:r>
          </w:p>
        </w:tc>
        <w:tc>
          <w:tcPr>
            <w:tcW w:w="1486" w:type="dxa"/>
            <w:shd w:val="clear" w:color="auto" w:fill="C4EFCE"/>
            <w:vAlign w:val="center"/>
            <w:hideMark/>
          </w:tcPr>
          <w:p w14:paraId="54817373" w14:textId="77777777" w:rsidR="00154AD2" w:rsidRDefault="007F6BF3">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0536DA26"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1014" w:type="dxa"/>
            <w:shd w:val="clear" w:color="auto" w:fill="C4EFCE"/>
            <w:vAlign w:val="center"/>
            <w:hideMark/>
          </w:tcPr>
          <w:p w14:paraId="245B8F57" w14:textId="77777777" w:rsidR="00154AD2" w:rsidRDefault="007F6BF3">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6796C489" w14:textId="77777777" w:rsidR="00154AD2" w:rsidRDefault="007F6BF3">
            <w:pPr>
              <w:pStyle w:val="P68B1DB1-Normal8"/>
              <w:spacing w:after="0" w:line="240" w:lineRule="auto"/>
              <w:jc w:val="center"/>
              <w:rPr>
                <w:rFonts w:eastAsia="Times New Roman" w:cs="Calibri"/>
                <w:noProof/>
              </w:rPr>
            </w:pPr>
            <w:r>
              <w:rPr>
                <w:noProof/>
              </w:rPr>
              <w:t>910</w:t>
            </w:r>
          </w:p>
        </w:tc>
        <w:tc>
          <w:tcPr>
            <w:tcW w:w="680" w:type="dxa"/>
            <w:shd w:val="clear" w:color="auto" w:fill="C4EFCE"/>
            <w:vAlign w:val="center"/>
            <w:hideMark/>
          </w:tcPr>
          <w:p w14:paraId="1DFEA3FF" w14:textId="13AEB4A7" w:rsidR="00154AD2" w:rsidRDefault="007F6BF3">
            <w:pPr>
              <w:pStyle w:val="P68B1DB1-Normal8"/>
              <w:spacing w:after="0" w:line="240" w:lineRule="auto"/>
              <w:jc w:val="center"/>
              <w:rPr>
                <w:rFonts w:eastAsia="Times New Roman" w:cs="Calibri"/>
                <w:noProof/>
              </w:rPr>
            </w:pPr>
            <w:r>
              <w:rPr>
                <w:noProof/>
              </w:rPr>
              <w:t>ΤΡΊΜΗΝΟ 3</w:t>
            </w:r>
          </w:p>
        </w:tc>
        <w:tc>
          <w:tcPr>
            <w:tcW w:w="845" w:type="dxa"/>
            <w:shd w:val="clear" w:color="auto" w:fill="C4EFCE"/>
            <w:vAlign w:val="center"/>
            <w:hideMark/>
          </w:tcPr>
          <w:p w14:paraId="4CE63A83" w14:textId="65E00CC5" w:rsidR="00154AD2" w:rsidRDefault="007F6BF3">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375F9B5E" w14:textId="7A69E91F" w:rsidR="00154AD2" w:rsidRDefault="007F6BF3">
            <w:pPr>
              <w:pStyle w:val="P68B1DB1-Normal8"/>
              <w:spacing w:after="0" w:line="240" w:lineRule="auto"/>
              <w:jc w:val="both"/>
              <w:rPr>
                <w:rFonts w:eastAsia="Times New Roman" w:cs="Calibri"/>
                <w:noProof/>
              </w:rPr>
            </w:pPr>
            <w:r>
              <w:rPr>
                <w:noProof/>
              </w:rPr>
              <w:t>Αριθμός νέων και αποκατεστημένων θέσεων που διατίθενται σε οίκους ευγηρίας και μη κατ’ οίκον φροντίδας (συμπεριλαμβανομένων των κέντρων ημέρας και των νυχτερινών κέντρων) στην αυτόνομη περιφέρεια της Μαδέρας. Τα νέα κτίρια έχουν ζήτηση πρωτογενούς ενέργειας τουλάχιστον 20 % χαμηλότερη από τις απαιτήσεις των κτιρίων με σχεδόν μηδενική κατανάλωση ενέργειας και των αποκατεστημένων κτιρίων βελτιωμένης ενεργειακής απόδοσης.</w:t>
            </w:r>
          </w:p>
        </w:tc>
      </w:tr>
      <w:tr w:rsidR="00154AD2" w14:paraId="707B112D" w14:textId="77777777">
        <w:trPr>
          <w:trHeight w:val="821"/>
        </w:trPr>
        <w:tc>
          <w:tcPr>
            <w:tcW w:w="1124" w:type="dxa"/>
            <w:shd w:val="clear" w:color="auto" w:fill="C5EFCE"/>
            <w:vAlign w:val="center"/>
            <w:hideMark/>
          </w:tcPr>
          <w:p w14:paraId="257FBDE8" w14:textId="77777777" w:rsidR="00154AD2" w:rsidRDefault="007F6BF3">
            <w:pPr>
              <w:pStyle w:val="P68B1DB1-Normal7"/>
              <w:spacing w:after="0" w:line="240" w:lineRule="auto"/>
              <w:jc w:val="center"/>
              <w:rPr>
                <w:rFonts w:eastAsia="Times New Roman" w:cs="Calibri"/>
                <w:noProof/>
              </w:rPr>
            </w:pPr>
            <w:r>
              <w:rPr>
                <w:noProof/>
              </w:rPr>
              <w:t>3.11</w:t>
            </w:r>
          </w:p>
        </w:tc>
        <w:tc>
          <w:tcPr>
            <w:tcW w:w="1143" w:type="dxa"/>
            <w:shd w:val="clear" w:color="auto" w:fill="C4EFCE"/>
            <w:vAlign w:val="center"/>
            <w:hideMark/>
          </w:tcPr>
          <w:p w14:paraId="30A53477" w14:textId="77777777" w:rsidR="00154AD2" w:rsidRDefault="007F6BF3">
            <w:pPr>
              <w:pStyle w:val="P68B1DB1-Normal8"/>
              <w:spacing w:after="0" w:line="240" w:lineRule="auto"/>
              <w:jc w:val="center"/>
              <w:rPr>
                <w:rFonts w:eastAsia="Times New Roman" w:cs="Calibri"/>
                <w:noProof/>
              </w:rPr>
            </w:pPr>
            <w:r>
              <w:rPr>
                <w:noProof/>
              </w:rPr>
              <w:t>RE-C03-i03-RAM</w:t>
            </w:r>
          </w:p>
        </w:tc>
        <w:tc>
          <w:tcPr>
            <w:tcW w:w="982" w:type="dxa"/>
            <w:shd w:val="clear" w:color="auto" w:fill="C4EFCE"/>
            <w:vAlign w:val="center"/>
            <w:hideMark/>
          </w:tcPr>
          <w:p w14:paraId="4CDA8223" w14:textId="77777777" w:rsidR="00154AD2" w:rsidRDefault="007F6BF3">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75BF4870" w14:textId="0787763E" w:rsidR="00154AD2" w:rsidRDefault="007F6BF3">
            <w:pPr>
              <w:pStyle w:val="P68B1DB1-Normal8"/>
              <w:spacing w:after="0" w:line="240" w:lineRule="auto"/>
              <w:jc w:val="center"/>
              <w:rPr>
                <w:rFonts w:eastAsia="Times New Roman" w:cs="Calibri"/>
                <w:noProof/>
              </w:rPr>
            </w:pPr>
            <w:r>
              <w:rPr>
                <w:noProof/>
              </w:rPr>
              <w:t>Σχέδια LIFE για την ένταξη των αστέγων.</w:t>
            </w:r>
          </w:p>
        </w:tc>
        <w:tc>
          <w:tcPr>
            <w:tcW w:w="1486" w:type="dxa"/>
            <w:shd w:val="clear" w:color="auto" w:fill="C4EFCE"/>
            <w:vAlign w:val="center"/>
            <w:hideMark/>
          </w:tcPr>
          <w:p w14:paraId="464AD4B7" w14:textId="77777777" w:rsidR="00154AD2" w:rsidRDefault="007F6BF3">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3FCF5D34"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1014" w:type="dxa"/>
            <w:shd w:val="clear" w:color="auto" w:fill="C4EFCE"/>
            <w:vAlign w:val="center"/>
            <w:hideMark/>
          </w:tcPr>
          <w:p w14:paraId="11375CE0" w14:textId="77777777" w:rsidR="00154AD2" w:rsidRDefault="007F6BF3">
            <w:pPr>
              <w:pStyle w:val="P68B1DB1-Normal8"/>
              <w:spacing w:after="0" w:line="240" w:lineRule="auto"/>
              <w:jc w:val="center"/>
              <w:rPr>
                <w:rFonts w:eastAsia="Times New Roman" w:cs="Calibri"/>
                <w:noProof/>
              </w:rPr>
            </w:pPr>
            <w:r>
              <w:rPr>
                <w:noProof/>
              </w:rPr>
              <w:t> 0</w:t>
            </w:r>
          </w:p>
        </w:tc>
        <w:tc>
          <w:tcPr>
            <w:tcW w:w="882" w:type="dxa"/>
            <w:shd w:val="clear" w:color="auto" w:fill="C4EFCE"/>
            <w:vAlign w:val="center"/>
            <w:hideMark/>
          </w:tcPr>
          <w:p w14:paraId="13F2ADB5" w14:textId="77777777" w:rsidR="00154AD2" w:rsidRDefault="007F6BF3">
            <w:pPr>
              <w:pStyle w:val="P68B1DB1-Normal8"/>
              <w:spacing w:after="0" w:line="240" w:lineRule="auto"/>
              <w:jc w:val="center"/>
              <w:rPr>
                <w:rFonts w:eastAsia="Times New Roman" w:cs="Calibri"/>
                <w:noProof/>
              </w:rPr>
            </w:pPr>
            <w:r>
              <w:rPr>
                <w:noProof/>
              </w:rPr>
              <w:t>20</w:t>
            </w:r>
          </w:p>
        </w:tc>
        <w:tc>
          <w:tcPr>
            <w:tcW w:w="680" w:type="dxa"/>
            <w:shd w:val="clear" w:color="auto" w:fill="C4EFCE"/>
            <w:vAlign w:val="center"/>
            <w:hideMark/>
          </w:tcPr>
          <w:p w14:paraId="5FFEB24C"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845" w:type="dxa"/>
            <w:shd w:val="clear" w:color="auto" w:fill="C4EFCE"/>
            <w:vAlign w:val="center"/>
            <w:hideMark/>
          </w:tcPr>
          <w:p w14:paraId="490AFAA1" w14:textId="77777777" w:rsidR="00154AD2" w:rsidRDefault="007F6BF3">
            <w:pPr>
              <w:pStyle w:val="P68B1DB1-Normal8"/>
              <w:spacing w:after="0" w:line="240" w:lineRule="auto"/>
              <w:jc w:val="center"/>
              <w:rPr>
                <w:rFonts w:eastAsia="Times New Roman" w:cs="Calibri"/>
                <w:noProof/>
              </w:rPr>
            </w:pPr>
            <w:r>
              <w:rPr>
                <w:noProof/>
              </w:rPr>
              <w:t>2022</w:t>
            </w:r>
          </w:p>
        </w:tc>
        <w:tc>
          <w:tcPr>
            <w:tcW w:w="4277" w:type="dxa"/>
            <w:shd w:val="clear" w:color="auto" w:fill="C4EFCE"/>
            <w:vAlign w:val="center"/>
            <w:hideMark/>
          </w:tcPr>
          <w:p w14:paraId="453DD757" w14:textId="33BC55B8" w:rsidR="00154AD2" w:rsidRDefault="007F6BF3">
            <w:pPr>
              <w:pStyle w:val="P68B1DB1-Normal8"/>
              <w:spacing w:after="0" w:line="240" w:lineRule="auto"/>
              <w:jc w:val="both"/>
              <w:rPr>
                <w:rFonts w:eastAsia="Times New Roman" w:cs="Calibri"/>
                <w:noProof/>
              </w:rPr>
            </w:pPr>
            <w:r>
              <w:rPr>
                <w:noProof/>
              </w:rPr>
              <w:t xml:space="preserve">Αριθμός σχεδίων ζωής για την ένταξη των αστέγων που υπογράφηκαν. </w:t>
            </w:r>
          </w:p>
        </w:tc>
      </w:tr>
      <w:tr w:rsidR="00154AD2" w14:paraId="5D7D39EC" w14:textId="77777777">
        <w:trPr>
          <w:trHeight w:val="1105"/>
        </w:trPr>
        <w:tc>
          <w:tcPr>
            <w:tcW w:w="1124" w:type="dxa"/>
            <w:shd w:val="clear" w:color="auto" w:fill="C5EFCE"/>
            <w:vAlign w:val="center"/>
          </w:tcPr>
          <w:p w14:paraId="0F0EA38A" w14:textId="312A5487" w:rsidR="00154AD2" w:rsidRDefault="007F6BF3">
            <w:pPr>
              <w:pStyle w:val="P68B1DB1-Normal7"/>
              <w:spacing w:after="0" w:line="240" w:lineRule="auto"/>
              <w:jc w:val="center"/>
              <w:rPr>
                <w:rFonts w:eastAsia="Times New Roman" w:cs="Calibri"/>
                <w:noProof/>
              </w:rPr>
            </w:pPr>
            <w:r>
              <w:rPr>
                <w:noProof/>
              </w:rPr>
              <w:t>3.27</w:t>
            </w:r>
          </w:p>
        </w:tc>
        <w:tc>
          <w:tcPr>
            <w:tcW w:w="1143" w:type="dxa"/>
            <w:shd w:val="clear" w:color="auto" w:fill="C4EFCE"/>
            <w:vAlign w:val="center"/>
          </w:tcPr>
          <w:p w14:paraId="3FA49D08" w14:textId="0B592BB4" w:rsidR="00154AD2" w:rsidRDefault="007F6BF3">
            <w:pPr>
              <w:pStyle w:val="P68B1DB1-Normal8"/>
              <w:spacing w:after="0" w:line="240" w:lineRule="auto"/>
              <w:jc w:val="center"/>
              <w:rPr>
                <w:rFonts w:eastAsia="Times New Roman" w:cs="Calibri"/>
                <w:noProof/>
              </w:rPr>
            </w:pPr>
            <w:r>
              <w:rPr>
                <w:noProof/>
              </w:rPr>
              <w:t>RE-C03-i03-RAM</w:t>
            </w:r>
          </w:p>
        </w:tc>
        <w:tc>
          <w:tcPr>
            <w:tcW w:w="982" w:type="dxa"/>
            <w:shd w:val="clear" w:color="auto" w:fill="C4EFCE"/>
            <w:vAlign w:val="center"/>
          </w:tcPr>
          <w:p w14:paraId="292902B7" w14:textId="13929E9E" w:rsidR="00154AD2" w:rsidRDefault="007F6BF3">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tcPr>
          <w:p w14:paraId="2559F2E9" w14:textId="37016788" w:rsidR="00154AD2" w:rsidRDefault="007F6BF3">
            <w:pPr>
              <w:pStyle w:val="P68B1DB1-Normal8"/>
              <w:spacing w:after="0" w:line="240" w:lineRule="auto"/>
              <w:jc w:val="center"/>
              <w:rPr>
                <w:rFonts w:eastAsia="Times New Roman" w:cs="Calibri"/>
                <w:noProof/>
              </w:rPr>
            </w:pPr>
            <w:r>
              <w:rPr>
                <w:noProof/>
              </w:rPr>
              <w:t>Αριθμός θέσεων σε οίκους ευγηρίας που υποστηρίζουν άστεγους</w:t>
            </w:r>
          </w:p>
        </w:tc>
        <w:tc>
          <w:tcPr>
            <w:tcW w:w="1486" w:type="dxa"/>
            <w:shd w:val="clear" w:color="auto" w:fill="C4EFCE"/>
            <w:vAlign w:val="center"/>
          </w:tcPr>
          <w:p w14:paraId="06C8929D" w14:textId="77777777" w:rsidR="00154AD2" w:rsidRDefault="00154AD2">
            <w:pPr>
              <w:spacing w:after="0" w:line="240" w:lineRule="auto"/>
              <w:jc w:val="center"/>
              <w:rPr>
                <w:rFonts w:ascii="Calibri" w:eastAsia="Times New Roman" w:hAnsi="Calibri" w:cs="Calibri"/>
                <w:noProof/>
                <w:sz w:val="16"/>
              </w:rPr>
            </w:pPr>
          </w:p>
        </w:tc>
        <w:tc>
          <w:tcPr>
            <w:tcW w:w="1014" w:type="dxa"/>
            <w:shd w:val="clear" w:color="auto" w:fill="C4EFCE"/>
            <w:vAlign w:val="center"/>
          </w:tcPr>
          <w:p w14:paraId="57AD4CD4" w14:textId="1F41F955" w:rsidR="00154AD2" w:rsidRDefault="007F6BF3">
            <w:pPr>
              <w:pStyle w:val="P68B1DB1-Normal8"/>
              <w:spacing w:after="0" w:line="240" w:lineRule="auto"/>
              <w:jc w:val="center"/>
              <w:rPr>
                <w:rFonts w:eastAsia="Times New Roman" w:cs="Calibri"/>
                <w:noProof/>
              </w:rPr>
            </w:pPr>
            <w:r>
              <w:rPr>
                <w:noProof/>
              </w:rPr>
              <w:t>Αριθμός</w:t>
            </w:r>
          </w:p>
        </w:tc>
        <w:tc>
          <w:tcPr>
            <w:tcW w:w="1014" w:type="dxa"/>
            <w:shd w:val="clear" w:color="auto" w:fill="C4EFCE"/>
            <w:vAlign w:val="center"/>
          </w:tcPr>
          <w:p w14:paraId="2E6938E8" w14:textId="74AF9E43" w:rsidR="00154AD2" w:rsidRDefault="007F6BF3">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tcPr>
          <w:p w14:paraId="15B8F899" w14:textId="776DB2B8" w:rsidR="00154AD2" w:rsidRDefault="007F6BF3">
            <w:pPr>
              <w:pStyle w:val="P68B1DB1-Normal8"/>
              <w:spacing w:after="0" w:line="240" w:lineRule="auto"/>
              <w:jc w:val="center"/>
              <w:rPr>
                <w:rFonts w:eastAsia="Times New Roman" w:cs="Calibri"/>
                <w:noProof/>
              </w:rPr>
            </w:pPr>
            <w:r>
              <w:rPr>
                <w:noProof/>
              </w:rPr>
              <w:t>90</w:t>
            </w:r>
          </w:p>
        </w:tc>
        <w:tc>
          <w:tcPr>
            <w:tcW w:w="680" w:type="dxa"/>
            <w:shd w:val="clear" w:color="auto" w:fill="C4EFCE"/>
            <w:vAlign w:val="center"/>
          </w:tcPr>
          <w:p w14:paraId="7425B0AA" w14:textId="34EAD914" w:rsidR="00154AD2" w:rsidRDefault="007F6BF3">
            <w:pPr>
              <w:pStyle w:val="P68B1DB1-Normal8"/>
              <w:spacing w:after="0" w:line="240" w:lineRule="auto"/>
              <w:jc w:val="center"/>
              <w:rPr>
                <w:rFonts w:eastAsia="Times New Roman" w:cs="Calibri"/>
                <w:noProof/>
              </w:rPr>
            </w:pPr>
            <w:r>
              <w:rPr>
                <w:noProof/>
              </w:rPr>
              <w:t>ΤΡΊΜΗΝΟ 4</w:t>
            </w:r>
          </w:p>
        </w:tc>
        <w:tc>
          <w:tcPr>
            <w:tcW w:w="845" w:type="dxa"/>
            <w:shd w:val="clear" w:color="auto" w:fill="C4EFCE"/>
            <w:vAlign w:val="center"/>
          </w:tcPr>
          <w:p w14:paraId="64F7549B" w14:textId="0738F9EF" w:rsidR="00154AD2" w:rsidRDefault="007F6BF3">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tcPr>
          <w:p w14:paraId="56B65A2B" w14:textId="77777777" w:rsidR="00154AD2" w:rsidRDefault="007F6BF3">
            <w:pPr>
              <w:pStyle w:val="P68B1DB1-Normal8"/>
              <w:spacing w:after="0" w:line="240" w:lineRule="auto"/>
              <w:jc w:val="both"/>
              <w:rPr>
                <w:rFonts w:eastAsia="Times New Roman" w:cs="Calibri"/>
                <w:noProof/>
              </w:rPr>
            </w:pPr>
            <w:r>
              <w:rPr>
                <w:noProof/>
              </w:rPr>
              <w:t>Αριθμός θέσεων που δημιουργήθηκαν σε οίκους ευγηρίας για τη στήριξη αστέγων.</w:t>
            </w:r>
          </w:p>
          <w:p w14:paraId="7F75990B" w14:textId="2CADF931" w:rsidR="00154AD2" w:rsidRDefault="007F6BF3">
            <w:pPr>
              <w:pStyle w:val="P68B1DB1-Normal8"/>
              <w:spacing w:after="0" w:line="240" w:lineRule="auto"/>
              <w:jc w:val="both"/>
              <w:rPr>
                <w:rFonts w:eastAsia="Times New Roman" w:cs="Calibri"/>
                <w:noProof/>
              </w:rPr>
            </w:pPr>
            <w:r>
              <w:rPr>
                <w:noProof/>
              </w:rPr>
              <w:t>Σε περίπτωση νέων κατασκευών, τα νέα κτίρια έχουν ζήτηση πρωτογενούς ενέργειας τουλάχιστον 20 % χαμηλότερη από τις απαιτήσεις των κτιρίων με σχεδόν μηδενική κατανάλωση ενέργειας.</w:t>
            </w:r>
          </w:p>
        </w:tc>
      </w:tr>
      <w:tr w:rsidR="00154AD2" w14:paraId="03AF048D" w14:textId="77777777">
        <w:trPr>
          <w:trHeight w:val="1142"/>
        </w:trPr>
        <w:tc>
          <w:tcPr>
            <w:tcW w:w="1124" w:type="dxa"/>
            <w:shd w:val="clear" w:color="auto" w:fill="C5EFCE"/>
            <w:vAlign w:val="center"/>
            <w:hideMark/>
          </w:tcPr>
          <w:p w14:paraId="3C4ECCC1" w14:textId="77777777" w:rsidR="00154AD2" w:rsidRDefault="007F6BF3">
            <w:pPr>
              <w:pStyle w:val="P68B1DB1-Normal7"/>
              <w:spacing w:after="0" w:line="240" w:lineRule="auto"/>
              <w:jc w:val="center"/>
              <w:rPr>
                <w:rFonts w:eastAsia="Times New Roman" w:cs="Calibri"/>
                <w:noProof/>
              </w:rPr>
            </w:pPr>
            <w:r>
              <w:rPr>
                <w:noProof/>
              </w:rPr>
              <w:t>3.12</w:t>
            </w:r>
          </w:p>
        </w:tc>
        <w:tc>
          <w:tcPr>
            <w:tcW w:w="1143" w:type="dxa"/>
            <w:shd w:val="clear" w:color="auto" w:fill="C4EFCE"/>
            <w:vAlign w:val="center"/>
            <w:hideMark/>
          </w:tcPr>
          <w:p w14:paraId="3611E70C" w14:textId="77777777" w:rsidR="00154AD2" w:rsidRDefault="007F6BF3">
            <w:pPr>
              <w:pStyle w:val="P68B1DB1-Normal8"/>
              <w:spacing w:after="0" w:line="240" w:lineRule="auto"/>
              <w:jc w:val="center"/>
              <w:rPr>
                <w:rFonts w:eastAsia="Times New Roman" w:cs="Calibri"/>
                <w:noProof/>
              </w:rPr>
            </w:pPr>
            <w:r>
              <w:rPr>
                <w:noProof/>
              </w:rPr>
              <w:t>RE-C03-i04-RAA</w:t>
            </w:r>
          </w:p>
        </w:tc>
        <w:tc>
          <w:tcPr>
            <w:tcW w:w="982" w:type="dxa"/>
            <w:shd w:val="clear" w:color="auto" w:fill="C4EFCE"/>
            <w:vAlign w:val="center"/>
            <w:hideMark/>
          </w:tcPr>
          <w:p w14:paraId="67D99684" w14:textId="77777777" w:rsidR="00154AD2" w:rsidRDefault="007F6BF3">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21703A05" w14:textId="4B599E15" w:rsidR="00154AD2" w:rsidRDefault="007F6BF3">
            <w:pPr>
              <w:pStyle w:val="P68B1DB1-Normal8"/>
              <w:spacing w:after="0" w:line="240" w:lineRule="auto"/>
              <w:jc w:val="center"/>
              <w:rPr>
                <w:rFonts w:eastAsia="Times New Roman" w:cs="Calibri"/>
                <w:noProof/>
              </w:rPr>
            </w:pPr>
            <w:r>
              <w:rPr>
                <w:noProof/>
              </w:rPr>
              <w:t>Κατάρτιση ατόμων από οικογένειες που καλύπτονται από το εισόδημα κοινωνικής ένταξης</w:t>
            </w:r>
          </w:p>
        </w:tc>
        <w:tc>
          <w:tcPr>
            <w:tcW w:w="1486" w:type="dxa"/>
            <w:shd w:val="clear" w:color="auto" w:fill="C4EFCE"/>
            <w:vAlign w:val="center"/>
            <w:hideMark/>
          </w:tcPr>
          <w:p w14:paraId="696E9327" w14:textId="77777777" w:rsidR="00154AD2" w:rsidRDefault="007F6BF3">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521027FE"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1014" w:type="dxa"/>
            <w:shd w:val="clear" w:color="auto" w:fill="C4EFCE"/>
            <w:vAlign w:val="center"/>
            <w:hideMark/>
          </w:tcPr>
          <w:p w14:paraId="50DB1988" w14:textId="77777777" w:rsidR="00154AD2" w:rsidRDefault="007F6BF3">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006F6395" w14:textId="5B315001" w:rsidR="00154AD2" w:rsidRDefault="007F6BF3">
            <w:pPr>
              <w:pStyle w:val="P68B1DB1-Normal8"/>
              <w:spacing w:after="0" w:line="240" w:lineRule="auto"/>
              <w:jc w:val="center"/>
              <w:rPr>
                <w:rFonts w:eastAsia="Times New Roman" w:cs="Calibri"/>
                <w:noProof/>
              </w:rPr>
            </w:pPr>
            <w:r>
              <w:rPr>
                <w:noProof/>
              </w:rPr>
              <w:t>4 000</w:t>
            </w:r>
          </w:p>
        </w:tc>
        <w:tc>
          <w:tcPr>
            <w:tcW w:w="680" w:type="dxa"/>
            <w:shd w:val="clear" w:color="auto" w:fill="C4EFCE"/>
            <w:vAlign w:val="center"/>
            <w:hideMark/>
          </w:tcPr>
          <w:p w14:paraId="4C4BF131"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845" w:type="dxa"/>
            <w:shd w:val="clear" w:color="auto" w:fill="C4EFCE"/>
            <w:vAlign w:val="center"/>
            <w:hideMark/>
          </w:tcPr>
          <w:p w14:paraId="1870C922" w14:textId="77777777" w:rsidR="00154AD2" w:rsidRDefault="007F6BF3">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39E0E49C" w14:textId="20B3C5B6" w:rsidR="00154AD2" w:rsidRDefault="007F6BF3">
            <w:pPr>
              <w:pStyle w:val="P68B1DB1-Normal8"/>
              <w:spacing w:after="0" w:line="240" w:lineRule="auto"/>
              <w:jc w:val="both"/>
              <w:rPr>
                <w:rFonts w:eastAsia="Times New Roman" w:cs="Calibri"/>
                <w:noProof/>
              </w:rPr>
            </w:pPr>
            <w:r>
              <w:rPr>
                <w:noProof/>
              </w:rPr>
              <w:t>Αριθμός ατόμων από οικογένειες, που καλύπτονται από το εισόδημα κοινωνικής ένταξης, τα οποία παρακολουθούν 650 προγράμματα κατάρτισης για να μπορέσουν να εισέλθουν στην αγορά εργασίας.</w:t>
            </w:r>
          </w:p>
        </w:tc>
      </w:tr>
      <w:tr w:rsidR="00154AD2" w14:paraId="7EC1340A" w14:textId="77777777">
        <w:trPr>
          <w:trHeight w:val="509"/>
        </w:trPr>
        <w:tc>
          <w:tcPr>
            <w:tcW w:w="1124" w:type="dxa"/>
            <w:shd w:val="clear" w:color="auto" w:fill="C5EFCE"/>
            <w:vAlign w:val="center"/>
            <w:hideMark/>
          </w:tcPr>
          <w:p w14:paraId="6C4E3A76" w14:textId="77777777" w:rsidR="00154AD2" w:rsidRDefault="007F6BF3">
            <w:pPr>
              <w:pStyle w:val="P68B1DB1-Normal7"/>
              <w:spacing w:after="0" w:line="240" w:lineRule="auto"/>
              <w:jc w:val="center"/>
              <w:rPr>
                <w:rFonts w:eastAsia="Times New Roman" w:cs="Calibri"/>
                <w:noProof/>
              </w:rPr>
            </w:pPr>
            <w:r>
              <w:rPr>
                <w:noProof/>
              </w:rPr>
              <w:t>3.13</w:t>
            </w:r>
          </w:p>
        </w:tc>
        <w:tc>
          <w:tcPr>
            <w:tcW w:w="1143" w:type="dxa"/>
            <w:shd w:val="clear" w:color="auto" w:fill="C4EFCE"/>
            <w:vAlign w:val="center"/>
            <w:hideMark/>
          </w:tcPr>
          <w:p w14:paraId="1025A546" w14:textId="77777777" w:rsidR="00154AD2" w:rsidRDefault="007F6BF3">
            <w:pPr>
              <w:pStyle w:val="P68B1DB1-Normal8"/>
              <w:spacing w:after="0" w:line="240" w:lineRule="auto"/>
              <w:jc w:val="center"/>
              <w:rPr>
                <w:rFonts w:eastAsia="Times New Roman" w:cs="Calibri"/>
                <w:noProof/>
              </w:rPr>
            </w:pPr>
            <w:r>
              <w:rPr>
                <w:noProof/>
              </w:rPr>
              <w:t>RE-C03-i04-RAA</w:t>
            </w:r>
          </w:p>
        </w:tc>
        <w:tc>
          <w:tcPr>
            <w:tcW w:w="982" w:type="dxa"/>
            <w:shd w:val="clear" w:color="auto" w:fill="C4EFCE"/>
            <w:vAlign w:val="center"/>
            <w:hideMark/>
          </w:tcPr>
          <w:p w14:paraId="0F423132" w14:textId="77777777" w:rsidR="00154AD2" w:rsidRDefault="007F6BF3">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7965F891" w14:textId="0DD7203E" w:rsidR="00154AD2" w:rsidRDefault="007F6BF3">
            <w:pPr>
              <w:pStyle w:val="P68B1DB1-Normal8"/>
              <w:spacing w:after="0" w:line="240" w:lineRule="auto"/>
              <w:jc w:val="center"/>
              <w:rPr>
                <w:rFonts w:eastAsia="Times New Roman" w:cs="Calibri"/>
                <w:noProof/>
              </w:rPr>
            </w:pPr>
            <w:r>
              <w:rPr>
                <w:noProof/>
              </w:rPr>
              <w:t>Νέες θέσεις για άτομα με αναπηρία σε κέντρα φροντίδας που υποστηρίζουν άτομα με αναπηρία</w:t>
            </w:r>
          </w:p>
        </w:tc>
        <w:tc>
          <w:tcPr>
            <w:tcW w:w="1486" w:type="dxa"/>
            <w:shd w:val="clear" w:color="auto" w:fill="C4EFCE"/>
            <w:vAlign w:val="center"/>
            <w:hideMark/>
          </w:tcPr>
          <w:p w14:paraId="57FDD5B9" w14:textId="77777777" w:rsidR="00154AD2" w:rsidRDefault="007F6BF3">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3FFD0E92"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1014" w:type="dxa"/>
            <w:shd w:val="clear" w:color="auto" w:fill="C4EFCE"/>
            <w:vAlign w:val="center"/>
            <w:hideMark/>
          </w:tcPr>
          <w:p w14:paraId="6A24D43F" w14:textId="77777777" w:rsidR="00154AD2" w:rsidRDefault="007F6BF3">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21EF7398" w14:textId="7D224638" w:rsidR="00154AD2" w:rsidRDefault="007F6BF3">
            <w:pPr>
              <w:pStyle w:val="P68B1DB1-Normal8"/>
              <w:spacing w:after="0" w:line="240" w:lineRule="auto"/>
              <w:jc w:val="center"/>
              <w:rPr>
                <w:rFonts w:eastAsia="Times New Roman" w:cs="Calibri"/>
                <w:noProof/>
              </w:rPr>
            </w:pPr>
            <w:r>
              <w:rPr>
                <w:noProof/>
              </w:rPr>
              <w:t>207</w:t>
            </w:r>
          </w:p>
        </w:tc>
        <w:tc>
          <w:tcPr>
            <w:tcW w:w="680" w:type="dxa"/>
            <w:shd w:val="clear" w:color="auto" w:fill="C4EFCE"/>
            <w:vAlign w:val="center"/>
            <w:hideMark/>
          </w:tcPr>
          <w:p w14:paraId="7A32479C" w14:textId="10FC90E4" w:rsidR="00154AD2" w:rsidRDefault="007F6BF3">
            <w:pPr>
              <w:pStyle w:val="P68B1DB1-Normal8"/>
              <w:spacing w:after="0" w:line="240" w:lineRule="auto"/>
              <w:jc w:val="center"/>
              <w:rPr>
                <w:rFonts w:eastAsia="Times New Roman" w:cs="Calibri"/>
                <w:noProof/>
              </w:rPr>
            </w:pPr>
            <w:r>
              <w:rPr>
                <w:noProof/>
              </w:rPr>
              <w:t>ΤΡΊΜΗΝΟ 2</w:t>
            </w:r>
          </w:p>
        </w:tc>
        <w:tc>
          <w:tcPr>
            <w:tcW w:w="845" w:type="dxa"/>
            <w:shd w:val="clear" w:color="auto" w:fill="C4EFCE"/>
            <w:vAlign w:val="center"/>
            <w:hideMark/>
          </w:tcPr>
          <w:p w14:paraId="75F2311E" w14:textId="444F2E4E" w:rsidR="00154AD2" w:rsidRDefault="007F6BF3">
            <w:pPr>
              <w:pStyle w:val="P68B1DB1-Normal8"/>
              <w:spacing w:after="0" w:line="240" w:lineRule="auto"/>
              <w:jc w:val="center"/>
              <w:rPr>
                <w:rFonts w:eastAsia="Times New Roman" w:cs="Calibri"/>
                <w:noProof/>
              </w:rPr>
            </w:pPr>
            <w:r>
              <w:rPr>
                <w:noProof/>
              </w:rPr>
              <w:t>2026</w:t>
            </w:r>
          </w:p>
        </w:tc>
        <w:tc>
          <w:tcPr>
            <w:tcW w:w="4277" w:type="dxa"/>
            <w:shd w:val="clear" w:color="auto" w:fill="C4EFCE"/>
            <w:vAlign w:val="center"/>
            <w:hideMark/>
          </w:tcPr>
          <w:p w14:paraId="67533911" w14:textId="7F617E1D" w:rsidR="00154AD2" w:rsidRDefault="007F6BF3">
            <w:pPr>
              <w:pStyle w:val="P68B1DB1-Normal8"/>
              <w:spacing w:after="0" w:line="240" w:lineRule="auto"/>
              <w:jc w:val="both"/>
              <w:rPr>
                <w:rFonts w:eastAsia="Times New Roman" w:cs="Calibri"/>
                <w:noProof/>
              </w:rPr>
            </w:pPr>
            <w:r>
              <w:rPr>
                <w:noProof/>
              </w:rPr>
              <w:t>Αριθμός νέων θέσεων για άτομα με αναπηρία σε κέντρα φροντίδας που υποστηρίζουν άτομα με αναπηρία. Αυτό περιλαμβάνει την κατασκευή τεσσάρων κτιρίων και την προσαρμογή δύο άλλων κτιρίων. Σε περίπτωση νέων κατασκευών, τα νέα κτίρια έχουν ζήτηση πρωτογενούς ενέργειας τουλάχιστον 20 % χαμηλότερη από τις απαιτήσεις των κτιρίων με σχεδόν μηδενική κατανάλωση ενέργειας.</w:t>
            </w:r>
          </w:p>
        </w:tc>
      </w:tr>
      <w:tr w:rsidR="00154AD2" w14:paraId="049083E8" w14:textId="77777777">
        <w:trPr>
          <w:trHeight w:val="1030"/>
        </w:trPr>
        <w:tc>
          <w:tcPr>
            <w:tcW w:w="1124" w:type="dxa"/>
            <w:shd w:val="clear" w:color="auto" w:fill="C5EFCE"/>
            <w:vAlign w:val="center"/>
            <w:hideMark/>
          </w:tcPr>
          <w:p w14:paraId="4D80D6EA" w14:textId="77777777" w:rsidR="00154AD2" w:rsidRDefault="007F6BF3">
            <w:pPr>
              <w:pStyle w:val="P68B1DB1-Normal7"/>
              <w:spacing w:after="0" w:line="240" w:lineRule="auto"/>
              <w:jc w:val="center"/>
              <w:rPr>
                <w:rFonts w:eastAsia="Times New Roman" w:cs="Calibri"/>
                <w:noProof/>
              </w:rPr>
            </w:pPr>
            <w:r>
              <w:rPr>
                <w:noProof/>
              </w:rPr>
              <w:t>3.14</w:t>
            </w:r>
          </w:p>
        </w:tc>
        <w:tc>
          <w:tcPr>
            <w:tcW w:w="1143" w:type="dxa"/>
            <w:shd w:val="clear" w:color="auto" w:fill="C4EFCE"/>
            <w:vAlign w:val="center"/>
            <w:hideMark/>
          </w:tcPr>
          <w:p w14:paraId="62C1B356" w14:textId="77777777" w:rsidR="00154AD2" w:rsidRDefault="007F6BF3">
            <w:pPr>
              <w:pStyle w:val="P68B1DB1-Normal8"/>
              <w:spacing w:after="0" w:line="240" w:lineRule="auto"/>
              <w:jc w:val="center"/>
              <w:rPr>
                <w:rFonts w:eastAsia="Times New Roman" w:cs="Calibri"/>
                <w:noProof/>
              </w:rPr>
            </w:pPr>
            <w:r>
              <w:rPr>
                <w:noProof/>
              </w:rPr>
              <w:t>RE-C03-i04-RAA</w:t>
            </w:r>
          </w:p>
        </w:tc>
        <w:tc>
          <w:tcPr>
            <w:tcW w:w="982" w:type="dxa"/>
            <w:shd w:val="clear" w:color="auto" w:fill="C4EFCE"/>
            <w:vAlign w:val="center"/>
            <w:hideMark/>
          </w:tcPr>
          <w:p w14:paraId="3C09CC66" w14:textId="77777777" w:rsidR="00154AD2" w:rsidRDefault="007F6BF3">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5EF33CF2" w14:textId="06A38392" w:rsidR="00154AD2" w:rsidRDefault="007F6BF3">
            <w:pPr>
              <w:pStyle w:val="P68B1DB1-Normal9"/>
              <w:spacing w:after="0" w:line="240" w:lineRule="auto"/>
              <w:jc w:val="center"/>
              <w:rPr>
                <w:rFonts w:eastAsia="Times New Roman" w:cs="Calibri"/>
                <w:noProof/>
                <w:sz w:val="16"/>
              </w:rPr>
            </w:pPr>
            <w:r>
              <w:rPr>
                <w:noProof/>
                <w:sz w:val="16"/>
              </w:rPr>
              <w:t>Οχήματα που αγοράστηκαν για λογαριασμό του</w:t>
            </w:r>
            <w:r>
              <w:rPr>
                <w:noProof/>
              </w:rPr>
              <w:t xml:space="preserve"> </w:t>
            </w:r>
            <w:r>
              <w:rPr>
                <w:noProof/>
                <w:sz w:val="16"/>
              </w:rPr>
              <w:t xml:space="preserve">Instituições Particulares de Solidariedade Social </w:t>
            </w:r>
          </w:p>
        </w:tc>
        <w:tc>
          <w:tcPr>
            <w:tcW w:w="1486" w:type="dxa"/>
            <w:shd w:val="clear" w:color="auto" w:fill="C4EFCE"/>
            <w:vAlign w:val="center"/>
            <w:hideMark/>
          </w:tcPr>
          <w:p w14:paraId="3475EC3A" w14:textId="77777777" w:rsidR="00154AD2" w:rsidRDefault="007F6BF3">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2AF43E85"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1014" w:type="dxa"/>
            <w:shd w:val="clear" w:color="auto" w:fill="C4EFCE"/>
            <w:vAlign w:val="center"/>
            <w:hideMark/>
          </w:tcPr>
          <w:p w14:paraId="770F38CC" w14:textId="77777777" w:rsidR="00154AD2" w:rsidRDefault="007F6BF3">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1E02EB10" w14:textId="77777777" w:rsidR="00154AD2" w:rsidRDefault="007F6BF3">
            <w:pPr>
              <w:pStyle w:val="P68B1DB1-Normal8"/>
              <w:spacing w:after="0" w:line="240" w:lineRule="auto"/>
              <w:jc w:val="center"/>
              <w:rPr>
                <w:rFonts w:eastAsia="Times New Roman" w:cs="Calibri"/>
                <w:noProof/>
              </w:rPr>
            </w:pPr>
            <w:r>
              <w:rPr>
                <w:noProof/>
              </w:rPr>
              <w:t>100</w:t>
            </w:r>
          </w:p>
        </w:tc>
        <w:tc>
          <w:tcPr>
            <w:tcW w:w="680" w:type="dxa"/>
            <w:shd w:val="clear" w:color="auto" w:fill="C4EFCE"/>
            <w:vAlign w:val="center"/>
            <w:hideMark/>
          </w:tcPr>
          <w:p w14:paraId="71008F83"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845" w:type="dxa"/>
            <w:shd w:val="clear" w:color="auto" w:fill="C4EFCE"/>
            <w:vAlign w:val="center"/>
            <w:hideMark/>
          </w:tcPr>
          <w:p w14:paraId="3D8E9877" w14:textId="77777777" w:rsidR="00154AD2" w:rsidRDefault="007F6BF3">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227BDB15" w14:textId="146CF533" w:rsidR="00154AD2" w:rsidRDefault="007F6BF3">
            <w:pPr>
              <w:pStyle w:val="P68B1DB1-Normal9"/>
              <w:spacing w:after="0" w:line="240" w:lineRule="auto"/>
              <w:jc w:val="both"/>
              <w:rPr>
                <w:rFonts w:eastAsia="Times New Roman" w:cs="Calibri"/>
                <w:noProof/>
                <w:sz w:val="16"/>
              </w:rPr>
            </w:pPr>
            <w:r>
              <w:rPr>
                <w:noProof/>
                <w:sz w:val="16"/>
              </w:rPr>
              <w:t>Αριθμός νέων ηλεκτρικών οχημάτων που παραδόθηκαν στον στόλο αυτοκινήτων τουInstituições Particulares de Solidariedade Social (IPSS).</w:t>
            </w:r>
          </w:p>
        </w:tc>
      </w:tr>
      <w:tr w:rsidR="00154AD2" w14:paraId="19247985" w14:textId="77777777">
        <w:trPr>
          <w:trHeight w:val="430"/>
        </w:trPr>
        <w:tc>
          <w:tcPr>
            <w:tcW w:w="1124" w:type="dxa"/>
            <w:shd w:val="clear" w:color="auto" w:fill="C5EFCE"/>
            <w:vAlign w:val="center"/>
            <w:hideMark/>
          </w:tcPr>
          <w:p w14:paraId="37211580" w14:textId="77777777" w:rsidR="00154AD2" w:rsidRDefault="007F6BF3">
            <w:pPr>
              <w:pStyle w:val="P68B1DB1-Normal7"/>
              <w:spacing w:after="0" w:line="240" w:lineRule="auto"/>
              <w:jc w:val="center"/>
              <w:rPr>
                <w:rFonts w:eastAsia="Times New Roman" w:cs="Calibri"/>
                <w:noProof/>
              </w:rPr>
            </w:pPr>
            <w:r>
              <w:rPr>
                <w:noProof/>
              </w:rPr>
              <w:t>3.15</w:t>
            </w:r>
          </w:p>
        </w:tc>
        <w:tc>
          <w:tcPr>
            <w:tcW w:w="1143" w:type="dxa"/>
            <w:shd w:val="clear" w:color="auto" w:fill="C4EFCE"/>
            <w:vAlign w:val="center"/>
            <w:hideMark/>
          </w:tcPr>
          <w:p w14:paraId="0B42AE83" w14:textId="77777777" w:rsidR="00154AD2" w:rsidRDefault="007F6BF3">
            <w:pPr>
              <w:pStyle w:val="P68B1DB1-Normal8"/>
              <w:spacing w:after="0" w:line="240" w:lineRule="auto"/>
              <w:jc w:val="center"/>
              <w:rPr>
                <w:rFonts w:eastAsia="Times New Roman" w:cs="Calibri"/>
                <w:noProof/>
              </w:rPr>
            </w:pPr>
            <w:r>
              <w:rPr>
                <w:noProof/>
              </w:rPr>
              <w:t>RE-C03-i04-RAA</w:t>
            </w:r>
          </w:p>
        </w:tc>
        <w:tc>
          <w:tcPr>
            <w:tcW w:w="982" w:type="dxa"/>
            <w:shd w:val="clear" w:color="auto" w:fill="C4EFCE"/>
            <w:vAlign w:val="center"/>
            <w:hideMark/>
          </w:tcPr>
          <w:p w14:paraId="182D975B" w14:textId="77777777" w:rsidR="00154AD2" w:rsidRDefault="007F6BF3">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281447A4" w14:textId="77777777" w:rsidR="00154AD2" w:rsidRDefault="007F6BF3">
            <w:pPr>
              <w:pStyle w:val="P68B1DB1-Normal8"/>
              <w:spacing w:after="0" w:line="240" w:lineRule="auto"/>
              <w:jc w:val="center"/>
              <w:rPr>
                <w:rFonts w:eastAsia="Times New Roman" w:cs="Calibri"/>
                <w:noProof/>
              </w:rPr>
            </w:pPr>
            <w:r>
              <w:rPr>
                <w:noProof/>
              </w:rPr>
              <w:t>Έργο «Γήρανση σε ισχύ»</w:t>
            </w:r>
          </w:p>
        </w:tc>
        <w:tc>
          <w:tcPr>
            <w:tcW w:w="1486" w:type="dxa"/>
            <w:shd w:val="clear" w:color="auto" w:fill="C4EFCE"/>
            <w:vAlign w:val="center"/>
            <w:hideMark/>
          </w:tcPr>
          <w:p w14:paraId="2D0D204B" w14:textId="77777777" w:rsidR="00154AD2" w:rsidRDefault="007F6BF3">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6B9C9C2F"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1014" w:type="dxa"/>
            <w:shd w:val="clear" w:color="auto" w:fill="C4EFCE"/>
            <w:vAlign w:val="center"/>
            <w:hideMark/>
          </w:tcPr>
          <w:p w14:paraId="7220A717" w14:textId="77777777" w:rsidR="00154AD2" w:rsidRDefault="007F6BF3">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69B70C79" w14:textId="5A30131F" w:rsidR="00154AD2" w:rsidRDefault="007F6BF3">
            <w:pPr>
              <w:pStyle w:val="P68B1DB1-Normal8"/>
              <w:spacing w:after="0" w:line="240" w:lineRule="auto"/>
              <w:jc w:val="center"/>
              <w:rPr>
                <w:rFonts w:eastAsia="Times New Roman" w:cs="Calibri"/>
                <w:noProof/>
              </w:rPr>
            </w:pPr>
            <w:r>
              <w:rPr>
                <w:noProof/>
              </w:rPr>
              <w:t>425</w:t>
            </w:r>
          </w:p>
        </w:tc>
        <w:tc>
          <w:tcPr>
            <w:tcW w:w="680" w:type="dxa"/>
            <w:shd w:val="clear" w:color="auto" w:fill="C4EFCE"/>
            <w:vAlign w:val="center"/>
            <w:hideMark/>
          </w:tcPr>
          <w:p w14:paraId="2E66662F"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845" w:type="dxa"/>
            <w:shd w:val="clear" w:color="auto" w:fill="C4EFCE"/>
            <w:vAlign w:val="center"/>
            <w:hideMark/>
          </w:tcPr>
          <w:p w14:paraId="296AE5F4" w14:textId="77777777" w:rsidR="00154AD2" w:rsidRDefault="007F6BF3">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0504830F" w14:textId="77777777" w:rsidR="00154AD2" w:rsidRDefault="007F6BF3">
            <w:pPr>
              <w:pStyle w:val="P68B1DB1-Normal8"/>
              <w:spacing w:after="0" w:line="240" w:lineRule="auto"/>
              <w:jc w:val="both"/>
              <w:rPr>
                <w:rFonts w:eastAsia="Times New Roman" w:cs="Calibri"/>
                <w:noProof/>
              </w:rPr>
            </w:pPr>
            <w:r>
              <w:rPr>
                <w:noProof/>
              </w:rPr>
              <w:t>Αριθμός ηλικιωμένων ή ατόμων με αναπηρία που καλύπτονται από το έργο «Γήρας σε ισχύ» στην Αυτόνομη Περιφέρεια των Αζορών.</w:t>
            </w:r>
          </w:p>
        </w:tc>
      </w:tr>
      <w:tr w:rsidR="00154AD2" w14:paraId="722BCAC5" w14:textId="77777777">
        <w:trPr>
          <w:trHeight w:val="420"/>
        </w:trPr>
        <w:tc>
          <w:tcPr>
            <w:tcW w:w="1124" w:type="dxa"/>
            <w:shd w:val="clear" w:color="auto" w:fill="C5EFCE"/>
            <w:vAlign w:val="center"/>
            <w:hideMark/>
          </w:tcPr>
          <w:p w14:paraId="27569718" w14:textId="77777777" w:rsidR="00154AD2" w:rsidRDefault="007F6BF3">
            <w:pPr>
              <w:pStyle w:val="P68B1DB1-Normal7"/>
              <w:spacing w:after="0" w:line="240" w:lineRule="auto"/>
              <w:jc w:val="center"/>
              <w:rPr>
                <w:rFonts w:eastAsia="Times New Roman" w:cs="Calibri"/>
                <w:noProof/>
              </w:rPr>
            </w:pPr>
            <w:r>
              <w:rPr>
                <w:noProof/>
              </w:rPr>
              <w:t>3.16</w:t>
            </w:r>
          </w:p>
        </w:tc>
        <w:tc>
          <w:tcPr>
            <w:tcW w:w="1143" w:type="dxa"/>
            <w:shd w:val="clear" w:color="auto" w:fill="C4EFCE"/>
            <w:vAlign w:val="center"/>
            <w:hideMark/>
          </w:tcPr>
          <w:p w14:paraId="3FEF3AE7" w14:textId="77777777" w:rsidR="00154AD2" w:rsidRDefault="007F6BF3">
            <w:pPr>
              <w:pStyle w:val="P68B1DB1-Normal8"/>
              <w:spacing w:after="0" w:line="240" w:lineRule="auto"/>
              <w:jc w:val="center"/>
              <w:rPr>
                <w:rFonts w:eastAsia="Times New Roman" w:cs="Calibri"/>
                <w:noProof/>
              </w:rPr>
            </w:pPr>
            <w:r>
              <w:rPr>
                <w:noProof/>
              </w:rPr>
              <w:t>RE-C03-i04-RAA</w:t>
            </w:r>
          </w:p>
        </w:tc>
        <w:tc>
          <w:tcPr>
            <w:tcW w:w="982" w:type="dxa"/>
            <w:shd w:val="clear" w:color="auto" w:fill="C4EFCE"/>
            <w:vAlign w:val="center"/>
            <w:hideMark/>
          </w:tcPr>
          <w:p w14:paraId="57B378D2" w14:textId="77777777" w:rsidR="00154AD2" w:rsidRDefault="007F6BF3">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1B2F0661" w14:textId="77777777" w:rsidR="00154AD2" w:rsidRDefault="007F6BF3">
            <w:pPr>
              <w:pStyle w:val="P68B1DB1-Normal8"/>
              <w:spacing w:after="0" w:line="240" w:lineRule="auto"/>
              <w:jc w:val="center"/>
              <w:rPr>
                <w:rFonts w:eastAsia="Times New Roman" w:cs="Calibri"/>
                <w:noProof/>
              </w:rPr>
            </w:pPr>
            <w:r>
              <w:rPr>
                <w:noProof/>
              </w:rPr>
              <w:t>Μέτρα για την καταπολέμηση της πρόωρης εγκατάλειψης του σχολείου από τα παιδιά και τους νέους.</w:t>
            </w:r>
          </w:p>
        </w:tc>
        <w:tc>
          <w:tcPr>
            <w:tcW w:w="1486" w:type="dxa"/>
            <w:shd w:val="clear" w:color="auto" w:fill="C4EFCE"/>
            <w:vAlign w:val="center"/>
            <w:hideMark/>
          </w:tcPr>
          <w:p w14:paraId="761474E7" w14:textId="77777777" w:rsidR="00154AD2" w:rsidRDefault="007F6BF3">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09D5AE91"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1014" w:type="dxa"/>
            <w:shd w:val="clear" w:color="auto" w:fill="C4EFCE"/>
            <w:vAlign w:val="center"/>
            <w:hideMark/>
          </w:tcPr>
          <w:p w14:paraId="6596B2D6" w14:textId="77777777" w:rsidR="00154AD2" w:rsidRDefault="007F6BF3">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6157A47D" w14:textId="77777777" w:rsidR="00154AD2" w:rsidRDefault="007F6BF3">
            <w:pPr>
              <w:pStyle w:val="P68B1DB1-Normal8"/>
              <w:spacing w:after="0" w:line="240" w:lineRule="auto"/>
              <w:jc w:val="center"/>
              <w:rPr>
                <w:rFonts w:eastAsia="Times New Roman" w:cs="Calibri"/>
                <w:noProof/>
              </w:rPr>
            </w:pPr>
            <w:r>
              <w:rPr>
                <w:noProof/>
              </w:rPr>
              <w:t>11 561</w:t>
            </w:r>
          </w:p>
        </w:tc>
        <w:tc>
          <w:tcPr>
            <w:tcW w:w="680" w:type="dxa"/>
            <w:shd w:val="clear" w:color="auto" w:fill="C4EFCE"/>
            <w:vAlign w:val="center"/>
            <w:hideMark/>
          </w:tcPr>
          <w:p w14:paraId="7A4E4D10"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845" w:type="dxa"/>
            <w:shd w:val="clear" w:color="auto" w:fill="C4EFCE"/>
            <w:vAlign w:val="center"/>
            <w:hideMark/>
          </w:tcPr>
          <w:p w14:paraId="28EF501B" w14:textId="77777777" w:rsidR="00154AD2" w:rsidRDefault="007F6BF3">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5BF1ED67" w14:textId="77777777" w:rsidR="00154AD2" w:rsidRDefault="007F6BF3">
            <w:pPr>
              <w:pStyle w:val="P68B1DB1-Normal8"/>
              <w:spacing w:after="0" w:line="240" w:lineRule="auto"/>
              <w:jc w:val="both"/>
              <w:rPr>
                <w:rFonts w:eastAsia="Times New Roman" w:cs="Calibri"/>
                <w:noProof/>
              </w:rPr>
            </w:pPr>
            <w:r>
              <w:rPr>
                <w:noProof/>
              </w:rPr>
              <w:t xml:space="preserve">Παιδιά και νέοι που καλύπτονται από μέτρα για την καταπολέμηση της πρόωρης εγκατάλειψης του σχολείου και την προώθηση της συμμετοχής στην τριτοβάθμια εκπαίδευση μέσω: </w:t>
            </w:r>
          </w:p>
          <w:p w14:paraId="7FE0E7DB" w14:textId="56A390AC" w:rsidR="00154AD2" w:rsidRDefault="007F6BF3">
            <w:pPr>
              <w:pStyle w:val="P68B1DB1-Normal8"/>
              <w:spacing w:after="0" w:line="240" w:lineRule="auto"/>
              <w:jc w:val="both"/>
              <w:rPr>
                <w:rFonts w:eastAsia="Times New Roman" w:cs="Calibri"/>
                <w:noProof/>
              </w:rPr>
            </w:pPr>
            <w:r>
              <w:rPr>
                <w:noProof/>
              </w:rPr>
              <w:t>I) επιδοτήσεις σε νοικοκυριά χαμηλού εισοδήματος ως κίνητρο για την προώθηση της συμμετοχής σε βρεφονηπιακούς σταθμούς· II) τη δημιουργία σημείων υποστήριξης μελετών· την καταβολή διδάκτρων τριτοβάθμιας εκπαίδευσης σε σπουδαστές για οικογένειες χαμηλού εισοδήματος· δημιουργία νέων θέσεων για παιδιά σε βρεφονηπιακούς σταθμούς και κέντρα ημερήσιας φροντίδας.</w:t>
            </w:r>
          </w:p>
        </w:tc>
      </w:tr>
      <w:tr w:rsidR="00154AD2" w14:paraId="3E0BC186" w14:textId="77777777">
        <w:trPr>
          <w:trHeight w:val="1581"/>
        </w:trPr>
        <w:tc>
          <w:tcPr>
            <w:tcW w:w="1124" w:type="dxa"/>
            <w:shd w:val="clear" w:color="auto" w:fill="C5EFCE"/>
            <w:vAlign w:val="center"/>
            <w:hideMark/>
          </w:tcPr>
          <w:p w14:paraId="4AD1D11D" w14:textId="77777777" w:rsidR="00154AD2" w:rsidRDefault="007F6BF3">
            <w:pPr>
              <w:pStyle w:val="P68B1DB1-Normal7"/>
              <w:spacing w:after="0" w:line="240" w:lineRule="auto"/>
              <w:jc w:val="center"/>
              <w:rPr>
                <w:rFonts w:eastAsia="Times New Roman" w:cs="Calibri"/>
                <w:noProof/>
              </w:rPr>
            </w:pPr>
            <w:r>
              <w:rPr>
                <w:noProof/>
              </w:rPr>
              <w:t>3.17</w:t>
            </w:r>
          </w:p>
        </w:tc>
        <w:tc>
          <w:tcPr>
            <w:tcW w:w="1143" w:type="dxa"/>
            <w:shd w:val="clear" w:color="auto" w:fill="C4EFCE"/>
            <w:vAlign w:val="center"/>
            <w:hideMark/>
          </w:tcPr>
          <w:p w14:paraId="6E502AC3" w14:textId="77777777" w:rsidR="00154AD2" w:rsidRDefault="007F6BF3">
            <w:pPr>
              <w:pStyle w:val="P68B1DB1-Normal8"/>
              <w:spacing w:after="0" w:line="240" w:lineRule="auto"/>
              <w:jc w:val="center"/>
              <w:rPr>
                <w:rFonts w:eastAsia="Times New Roman" w:cs="Calibri"/>
                <w:noProof/>
              </w:rPr>
            </w:pPr>
            <w:r>
              <w:rPr>
                <w:noProof/>
              </w:rPr>
              <w:t>RE-C03-i05</w:t>
            </w:r>
          </w:p>
        </w:tc>
        <w:tc>
          <w:tcPr>
            <w:tcW w:w="982" w:type="dxa"/>
            <w:shd w:val="clear" w:color="auto" w:fill="C4EFCE"/>
            <w:vAlign w:val="center"/>
            <w:hideMark/>
          </w:tcPr>
          <w:p w14:paraId="148563E4" w14:textId="77777777" w:rsidR="00154AD2" w:rsidRDefault="007F6BF3">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5C55EEC7" w14:textId="77777777" w:rsidR="00154AD2" w:rsidRDefault="007F6BF3">
            <w:pPr>
              <w:pStyle w:val="P68B1DB1-Normal8"/>
              <w:spacing w:after="0" w:line="240" w:lineRule="auto"/>
              <w:jc w:val="center"/>
              <w:rPr>
                <w:rFonts w:eastAsia="Times New Roman" w:cs="Calibri"/>
                <w:noProof/>
              </w:rPr>
            </w:pPr>
            <w:r>
              <w:rPr>
                <w:noProof/>
              </w:rPr>
              <w:t xml:space="preserve">Δημοσίευση της πρόσκλησης υποβολής προσφορών για την «Οικοδόμηση ψηφιακής υποδομής για την προσβασιμότητα 360°» </w:t>
            </w:r>
          </w:p>
        </w:tc>
        <w:tc>
          <w:tcPr>
            <w:tcW w:w="1486" w:type="dxa"/>
            <w:shd w:val="clear" w:color="auto" w:fill="C4EFCE"/>
            <w:vAlign w:val="center"/>
            <w:hideMark/>
          </w:tcPr>
          <w:p w14:paraId="67B63709" w14:textId="77777777" w:rsidR="00154AD2" w:rsidRDefault="007F6BF3">
            <w:pPr>
              <w:pStyle w:val="P68B1DB1-Normal8"/>
              <w:spacing w:after="0" w:line="240" w:lineRule="auto"/>
              <w:jc w:val="center"/>
              <w:rPr>
                <w:rFonts w:eastAsia="Times New Roman" w:cs="Calibri"/>
                <w:noProof/>
              </w:rPr>
            </w:pPr>
            <w:r>
              <w:rPr>
                <w:noProof/>
              </w:rPr>
              <w:t>Δημοσίευση προκήρυξης διαγωνισμού για την απόκτηση ψηφιακής υποδομής για την προσβασιμότητα 360° στην Επίσημη Εφημερίδα — Diario da Republica</w:t>
            </w:r>
          </w:p>
        </w:tc>
        <w:tc>
          <w:tcPr>
            <w:tcW w:w="1014" w:type="dxa"/>
            <w:shd w:val="clear" w:color="auto" w:fill="C4EFCE"/>
            <w:vAlign w:val="center"/>
            <w:hideMark/>
          </w:tcPr>
          <w:p w14:paraId="546A3FF1" w14:textId="77777777" w:rsidR="00154AD2" w:rsidRDefault="007F6BF3">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0B23DB11" w14:textId="77777777" w:rsidR="00154AD2" w:rsidRDefault="007F6BF3">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7997DED5" w14:textId="77777777" w:rsidR="00154AD2" w:rsidRDefault="007F6BF3">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524C9268"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845" w:type="dxa"/>
            <w:shd w:val="clear" w:color="auto" w:fill="C4EFCE"/>
            <w:vAlign w:val="center"/>
            <w:hideMark/>
          </w:tcPr>
          <w:p w14:paraId="5E997187" w14:textId="77777777" w:rsidR="00154AD2" w:rsidRDefault="007F6BF3">
            <w:pPr>
              <w:pStyle w:val="P68B1DB1-Normal8"/>
              <w:spacing w:after="0" w:line="240" w:lineRule="auto"/>
              <w:jc w:val="center"/>
              <w:rPr>
                <w:rFonts w:eastAsia="Times New Roman" w:cs="Calibri"/>
                <w:noProof/>
              </w:rPr>
            </w:pPr>
            <w:r>
              <w:rPr>
                <w:noProof/>
              </w:rPr>
              <w:t>2021</w:t>
            </w:r>
          </w:p>
        </w:tc>
        <w:tc>
          <w:tcPr>
            <w:tcW w:w="4277" w:type="dxa"/>
            <w:shd w:val="clear" w:color="auto" w:fill="C4EFCE"/>
            <w:vAlign w:val="center"/>
            <w:hideMark/>
          </w:tcPr>
          <w:p w14:paraId="3FA52867" w14:textId="77777777" w:rsidR="00154AD2" w:rsidRDefault="007F6BF3">
            <w:pPr>
              <w:pStyle w:val="P68B1DB1-Normal8"/>
              <w:spacing w:after="0" w:line="240" w:lineRule="auto"/>
              <w:jc w:val="both"/>
              <w:rPr>
                <w:rFonts w:eastAsia="Times New Roman" w:cs="Calibri"/>
                <w:noProof/>
              </w:rPr>
            </w:pPr>
            <w:r>
              <w:rPr>
                <w:noProof/>
              </w:rPr>
              <w:t>Δημοσίευση πρόσκλησης υποβολής προσφορών για την κατασκευή της ψηφιακής υποδομής που καλύπτει i) πληροφορίες γεωαναφοράς σχετικά με δημόσια και ιδιωτικά κτίρια, ii) παγκόσμια συστήματα πληροφοριών και εντοπισμού θέσης (GPS), iii) γεωαναφορά χώρων στάθμευσης.</w:t>
            </w:r>
          </w:p>
        </w:tc>
      </w:tr>
      <w:tr w:rsidR="00154AD2" w14:paraId="37722B84" w14:textId="77777777">
        <w:trPr>
          <w:trHeight w:val="838"/>
        </w:trPr>
        <w:tc>
          <w:tcPr>
            <w:tcW w:w="1124" w:type="dxa"/>
            <w:shd w:val="clear" w:color="auto" w:fill="C5EFCE"/>
            <w:vAlign w:val="center"/>
            <w:hideMark/>
          </w:tcPr>
          <w:p w14:paraId="640BFDCE" w14:textId="77777777" w:rsidR="00154AD2" w:rsidRDefault="007F6BF3">
            <w:pPr>
              <w:pStyle w:val="P68B1DB1-Normal7"/>
              <w:spacing w:after="0" w:line="240" w:lineRule="auto"/>
              <w:jc w:val="center"/>
              <w:rPr>
                <w:rFonts w:eastAsia="Times New Roman" w:cs="Calibri"/>
                <w:noProof/>
              </w:rPr>
            </w:pPr>
            <w:r>
              <w:rPr>
                <w:noProof/>
              </w:rPr>
              <w:t>3.18</w:t>
            </w:r>
          </w:p>
        </w:tc>
        <w:tc>
          <w:tcPr>
            <w:tcW w:w="1143" w:type="dxa"/>
            <w:shd w:val="clear" w:color="auto" w:fill="C4EFCE"/>
            <w:vAlign w:val="center"/>
            <w:hideMark/>
          </w:tcPr>
          <w:p w14:paraId="3B14B6A8" w14:textId="77777777" w:rsidR="00154AD2" w:rsidRDefault="007F6BF3">
            <w:pPr>
              <w:pStyle w:val="P68B1DB1-Normal8"/>
              <w:spacing w:after="0" w:line="240" w:lineRule="auto"/>
              <w:jc w:val="center"/>
              <w:rPr>
                <w:rFonts w:eastAsia="Times New Roman" w:cs="Calibri"/>
                <w:noProof/>
              </w:rPr>
            </w:pPr>
            <w:r>
              <w:rPr>
                <w:noProof/>
              </w:rPr>
              <w:t>RE-C03-i05</w:t>
            </w:r>
          </w:p>
        </w:tc>
        <w:tc>
          <w:tcPr>
            <w:tcW w:w="982" w:type="dxa"/>
            <w:shd w:val="clear" w:color="auto" w:fill="C4EFCE"/>
            <w:vAlign w:val="center"/>
            <w:hideMark/>
          </w:tcPr>
          <w:p w14:paraId="24B0174F" w14:textId="77777777" w:rsidR="00154AD2" w:rsidRDefault="007F6BF3">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127B0818" w14:textId="77777777" w:rsidR="00154AD2" w:rsidRDefault="007F6BF3">
            <w:pPr>
              <w:pStyle w:val="P68B1DB1-Normal8"/>
              <w:spacing w:after="0" w:line="240" w:lineRule="auto"/>
              <w:jc w:val="center"/>
              <w:rPr>
                <w:rFonts w:eastAsia="Times New Roman" w:cs="Calibri"/>
                <w:noProof/>
              </w:rPr>
            </w:pPr>
            <w:r>
              <w:rPr>
                <w:noProof/>
              </w:rPr>
              <w:t>Ψηφιακή πλατφόρμα πληροφόρησης για άτομα με αναπηρία</w:t>
            </w:r>
          </w:p>
        </w:tc>
        <w:tc>
          <w:tcPr>
            <w:tcW w:w="1486" w:type="dxa"/>
            <w:shd w:val="clear" w:color="auto" w:fill="C4EFCE"/>
            <w:vAlign w:val="center"/>
            <w:hideMark/>
          </w:tcPr>
          <w:p w14:paraId="14F244C2" w14:textId="77777777" w:rsidR="00154AD2" w:rsidRDefault="007F6BF3">
            <w:pPr>
              <w:pStyle w:val="P68B1DB1-Normal8"/>
              <w:spacing w:after="0" w:line="240" w:lineRule="auto"/>
              <w:jc w:val="center"/>
              <w:rPr>
                <w:rFonts w:eastAsia="Times New Roman" w:cs="Calibri"/>
                <w:noProof/>
              </w:rPr>
            </w:pPr>
            <w:r>
              <w:rPr>
                <w:noProof/>
              </w:rPr>
              <w:t>Έναρξη λειτουργίας της εξέδρας</w:t>
            </w:r>
          </w:p>
        </w:tc>
        <w:tc>
          <w:tcPr>
            <w:tcW w:w="1014" w:type="dxa"/>
            <w:shd w:val="clear" w:color="auto" w:fill="C4EFCE"/>
            <w:vAlign w:val="center"/>
            <w:hideMark/>
          </w:tcPr>
          <w:p w14:paraId="2D447742" w14:textId="77777777" w:rsidR="00154AD2" w:rsidRDefault="007F6BF3">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369FDBF8" w14:textId="77777777" w:rsidR="00154AD2" w:rsidRDefault="007F6BF3">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2DC68D64" w14:textId="77777777" w:rsidR="00154AD2" w:rsidRDefault="007F6BF3">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352AF611"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845" w:type="dxa"/>
            <w:shd w:val="clear" w:color="auto" w:fill="C4EFCE"/>
            <w:vAlign w:val="center"/>
            <w:hideMark/>
          </w:tcPr>
          <w:p w14:paraId="4C2EC19E" w14:textId="77777777" w:rsidR="00154AD2" w:rsidRDefault="007F6BF3">
            <w:pPr>
              <w:pStyle w:val="P68B1DB1-Normal8"/>
              <w:spacing w:after="0" w:line="240" w:lineRule="auto"/>
              <w:jc w:val="center"/>
              <w:rPr>
                <w:rFonts w:eastAsia="Times New Roman" w:cs="Calibri"/>
                <w:noProof/>
              </w:rPr>
            </w:pPr>
            <w:r>
              <w:rPr>
                <w:noProof/>
              </w:rPr>
              <w:t>2024</w:t>
            </w:r>
          </w:p>
        </w:tc>
        <w:tc>
          <w:tcPr>
            <w:tcW w:w="4277" w:type="dxa"/>
            <w:shd w:val="clear" w:color="auto" w:fill="C4EFCE"/>
            <w:vAlign w:val="center"/>
            <w:hideMark/>
          </w:tcPr>
          <w:p w14:paraId="38C6A344" w14:textId="77777777" w:rsidR="00154AD2" w:rsidRDefault="007F6BF3">
            <w:pPr>
              <w:pStyle w:val="P68B1DB1-Normal8"/>
              <w:spacing w:after="0" w:line="240" w:lineRule="auto"/>
              <w:jc w:val="both"/>
              <w:rPr>
                <w:rFonts w:eastAsia="Times New Roman" w:cs="Calibri"/>
                <w:noProof/>
              </w:rPr>
            </w:pPr>
            <w:r>
              <w:rPr>
                <w:noProof/>
              </w:rPr>
              <w:t>Έναρξη λειτουργίας ψηφιακής πλατφόρμας πληροφόρησης που συγκεντρώνει και απλουστεύει τις πληροφορίες σχετικά με τη σχετική νομοθεσία και τους υποστηρικτικούς πόρους για τα άτομα με αναπηρία.</w:t>
            </w:r>
          </w:p>
        </w:tc>
      </w:tr>
      <w:tr w:rsidR="00154AD2" w14:paraId="29DF1015" w14:textId="77777777">
        <w:trPr>
          <w:trHeight w:val="928"/>
        </w:trPr>
        <w:tc>
          <w:tcPr>
            <w:tcW w:w="1124" w:type="dxa"/>
            <w:shd w:val="clear" w:color="auto" w:fill="C5EFCE"/>
            <w:vAlign w:val="center"/>
            <w:hideMark/>
          </w:tcPr>
          <w:p w14:paraId="31FC2931" w14:textId="77777777" w:rsidR="00154AD2" w:rsidRDefault="007F6BF3">
            <w:pPr>
              <w:pStyle w:val="P68B1DB1-Normal7"/>
              <w:spacing w:after="0" w:line="240" w:lineRule="auto"/>
              <w:jc w:val="center"/>
              <w:rPr>
                <w:rFonts w:eastAsia="Times New Roman" w:cs="Calibri"/>
                <w:noProof/>
              </w:rPr>
            </w:pPr>
            <w:r>
              <w:rPr>
                <w:noProof/>
              </w:rPr>
              <w:t>3.19</w:t>
            </w:r>
          </w:p>
        </w:tc>
        <w:tc>
          <w:tcPr>
            <w:tcW w:w="1143" w:type="dxa"/>
            <w:shd w:val="clear" w:color="auto" w:fill="C4EFCE"/>
            <w:vAlign w:val="center"/>
            <w:hideMark/>
          </w:tcPr>
          <w:p w14:paraId="31C50628" w14:textId="77777777" w:rsidR="00154AD2" w:rsidRDefault="007F6BF3">
            <w:pPr>
              <w:pStyle w:val="P68B1DB1-Normal8"/>
              <w:spacing w:after="0" w:line="240" w:lineRule="auto"/>
              <w:jc w:val="center"/>
              <w:rPr>
                <w:rFonts w:eastAsia="Times New Roman" w:cs="Calibri"/>
                <w:noProof/>
              </w:rPr>
            </w:pPr>
            <w:r>
              <w:rPr>
                <w:noProof/>
              </w:rPr>
              <w:t>RE-C03-i05</w:t>
            </w:r>
          </w:p>
        </w:tc>
        <w:tc>
          <w:tcPr>
            <w:tcW w:w="982" w:type="dxa"/>
            <w:shd w:val="clear" w:color="auto" w:fill="C4EFCE"/>
            <w:vAlign w:val="center"/>
            <w:hideMark/>
          </w:tcPr>
          <w:p w14:paraId="6E89FFB3" w14:textId="77777777" w:rsidR="00154AD2" w:rsidRDefault="007F6BF3">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3F2367B2" w14:textId="77777777" w:rsidR="00154AD2" w:rsidRDefault="007F6BF3">
            <w:pPr>
              <w:pStyle w:val="P68B1DB1-Normal8"/>
              <w:spacing w:after="0" w:line="240" w:lineRule="auto"/>
              <w:jc w:val="center"/>
              <w:rPr>
                <w:rFonts w:eastAsia="Times New Roman" w:cs="Calibri"/>
                <w:noProof/>
              </w:rPr>
            </w:pPr>
            <w:r>
              <w:rPr>
                <w:noProof/>
              </w:rPr>
              <w:t>Κέντρο κλήσεων για την πορτογαλική νοηματική γλώσσα</w:t>
            </w:r>
          </w:p>
        </w:tc>
        <w:tc>
          <w:tcPr>
            <w:tcW w:w="1486" w:type="dxa"/>
            <w:shd w:val="clear" w:color="auto" w:fill="C4EFCE"/>
            <w:vAlign w:val="center"/>
            <w:hideMark/>
          </w:tcPr>
          <w:p w14:paraId="4C4DE045" w14:textId="77777777" w:rsidR="00154AD2" w:rsidRDefault="007F6BF3">
            <w:pPr>
              <w:pStyle w:val="P68B1DB1-Normal8"/>
              <w:spacing w:after="0" w:line="240" w:lineRule="auto"/>
              <w:jc w:val="center"/>
              <w:rPr>
                <w:rFonts w:eastAsia="Times New Roman" w:cs="Calibri"/>
                <w:noProof/>
              </w:rPr>
            </w:pPr>
            <w:r>
              <w:rPr>
                <w:noProof/>
              </w:rPr>
              <w:t>Θέση σε λειτουργία του κέντρου κλήσεων πορτογαλικής νοηματικής γλώσσας</w:t>
            </w:r>
          </w:p>
        </w:tc>
        <w:tc>
          <w:tcPr>
            <w:tcW w:w="1014" w:type="dxa"/>
            <w:shd w:val="clear" w:color="auto" w:fill="C4EFCE"/>
            <w:vAlign w:val="center"/>
            <w:hideMark/>
          </w:tcPr>
          <w:p w14:paraId="62A19147" w14:textId="77777777" w:rsidR="00154AD2" w:rsidRDefault="007F6BF3">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6B4F454E" w14:textId="77777777" w:rsidR="00154AD2" w:rsidRDefault="007F6BF3">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5B22AC7B" w14:textId="77777777" w:rsidR="00154AD2" w:rsidRDefault="007F6BF3">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5C3FE14B"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845" w:type="dxa"/>
            <w:shd w:val="clear" w:color="auto" w:fill="C4EFCE"/>
            <w:vAlign w:val="center"/>
            <w:hideMark/>
          </w:tcPr>
          <w:p w14:paraId="19B2E8B1" w14:textId="77777777" w:rsidR="00154AD2" w:rsidRDefault="007F6BF3">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7F959E19" w14:textId="07AF1B38" w:rsidR="00154AD2" w:rsidRDefault="007F6BF3">
            <w:pPr>
              <w:pStyle w:val="P68B1DB1-Normal8"/>
              <w:spacing w:after="0" w:line="240" w:lineRule="auto"/>
              <w:jc w:val="both"/>
              <w:rPr>
                <w:rFonts w:eastAsia="Times New Roman" w:cs="Calibri"/>
                <w:noProof/>
              </w:rPr>
            </w:pPr>
            <w:r>
              <w:rPr>
                <w:noProof/>
              </w:rPr>
              <w:t>Έναρξη λειτουργίας κέντρου κλήσεων που παρέχει στους κωφούς πολίτες εγγυημένη διερμηνεία σε πραγματικό χρόνο στη νοηματική γλώσσα (LGP) στην πορτογαλική νοηματική γλώσσα (LGP), το οποίο είναι διαθέσιμο σε όλες τις δημόσιες διοικήσεις.</w:t>
            </w:r>
          </w:p>
        </w:tc>
      </w:tr>
      <w:tr w:rsidR="00154AD2" w14:paraId="0BDE969A" w14:textId="77777777">
        <w:trPr>
          <w:trHeight w:val="1690"/>
        </w:trPr>
        <w:tc>
          <w:tcPr>
            <w:tcW w:w="1124" w:type="dxa"/>
            <w:shd w:val="clear" w:color="auto" w:fill="C5EFCE"/>
            <w:vAlign w:val="center"/>
          </w:tcPr>
          <w:p w14:paraId="6D78B7CA" w14:textId="77777777" w:rsidR="00154AD2" w:rsidRDefault="007F6BF3">
            <w:pPr>
              <w:pStyle w:val="P68B1DB1-Normal7"/>
              <w:spacing w:after="0" w:line="240" w:lineRule="auto"/>
              <w:jc w:val="center"/>
              <w:rPr>
                <w:rFonts w:eastAsia="Times New Roman" w:cs="Calibri"/>
                <w:noProof/>
              </w:rPr>
            </w:pPr>
            <w:r>
              <w:rPr>
                <w:noProof/>
              </w:rPr>
              <w:t>3.20</w:t>
            </w:r>
          </w:p>
        </w:tc>
        <w:tc>
          <w:tcPr>
            <w:tcW w:w="1143" w:type="dxa"/>
            <w:shd w:val="clear" w:color="auto" w:fill="C4EFCE"/>
            <w:vAlign w:val="center"/>
          </w:tcPr>
          <w:p w14:paraId="4B2FA922" w14:textId="77777777" w:rsidR="00154AD2" w:rsidRDefault="007F6BF3">
            <w:pPr>
              <w:pStyle w:val="P68B1DB1-Normal8"/>
              <w:spacing w:after="0" w:line="240" w:lineRule="auto"/>
              <w:jc w:val="center"/>
              <w:rPr>
                <w:rFonts w:eastAsia="Times New Roman" w:cs="Calibri"/>
                <w:noProof/>
              </w:rPr>
            </w:pPr>
            <w:r>
              <w:rPr>
                <w:noProof/>
              </w:rPr>
              <w:t>RE-C03-r08</w:t>
            </w:r>
          </w:p>
        </w:tc>
        <w:tc>
          <w:tcPr>
            <w:tcW w:w="982" w:type="dxa"/>
            <w:shd w:val="clear" w:color="auto" w:fill="C4EFCE"/>
            <w:vAlign w:val="center"/>
          </w:tcPr>
          <w:p w14:paraId="7E7854CA" w14:textId="77777777" w:rsidR="00154AD2" w:rsidRDefault="007F6BF3">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tcPr>
          <w:p w14:paraId="6959C89C" w14:textId="77777777" w:rsidR="00154AD2" w:rsidRDefault="007F6BF3">
            <w:pPr>
              <w:pStyle w:val="P68B1DB1-Normal8"/>
              <w:spacing w:after="0" w:line="240" w:lineRule="auto"/>
              <w:jc w:val="center"/>
              <w:rPr>
                <w:rFonts w:eastAsia="Times New Roman" w:cs="Calibri"/>
                <w:noProof/>
              </w:rPr>
            </w:pPr>
            <w:r>
              <w:rPr>
                <w:noProof/>
              </w:rPr>
              <w:t>Έγκριση της εθνικής στρατηγικής για την καταπολέμηση της φτώχειας</w:t>
            </w:r>
          </w:p>
        </w:tc>
        <w:tc>
          <w:tcPr>
            <w:tcW w:w="1486" w:type="dxa"/>
            <w:shd w:val="clear" w:color="auto" w:fill="C4EFCE"/>
            <w:vAlign w:val="center"/>
          </w:tcPr>
          <w:p w14:paraId="3471F2FF" w14:textId="77777777" w:rsidR="00154AD2" w:rsidRDefault="007F6BF3">
            <w:pPr>
              <w:pStyle w:val="P68B1DB1-Normal8"/>
              <w:spacing w:after="0" w:line="240" w:lineRule="auto"/>
              <w:jc w:val="center"/>
              <w:rPr>
                <w:rFonts w:eastAsia="Times New Roman" w:cs="Calibri"/>
                <w:noProof/>
              </w:rPr>
            </w:pPr>
            <w:r>
              <w:rPr>
                <w:noProof/>
              </w:rPr>
              <w:t>Έγκριση της εθνικής στρατηγικής για την καταπολέμηση της φτώχειας</w:t>
            </w:r>
          </w:p>
        </w:tc>
        <w:tc>
          <w:tcPr>
            <w:tcW w:w="1014" w:type="dxa"/>
            <w:shd w:val="clear" w:color="auto" w:fill="C4EFCE"/>
            <w:vAlign w:val="center"/>
          </w:tcPr>
          <w:p w14:paraId="1283F0D0" w14:textId="77777777" w:rsidR="00154AD2" w:rsidRDefault="007F6BF3">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tcPr>
          <w:p w14:paraId="6ABA1CAC" w14:textId="77777777" w:rsidR="00154AD2" w:rsidRDefault="007F6BF3">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tcPr>
          <w:p w14:paraId="00EAECC6" w14:textId="77777777" w:rsidR="00154AD2" w:rsidRDefault="007F6BF3">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tcPr>
          <w:p w14:paraId="4F8A05D3"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845" w:type="dxa"/>
            <w:shd w:val="clear" w:color="auto" w:fill="C4EFCE"/>
            <w:vAlign w:val="center"/>
          </w:tcPr>
          <w:p w14:paraId="7D0E5BB2" w14:textId="77777777" w:rsidR="00154AD2" w:rsidRDefault="007F6BF3">
            <w:pPr>
              <w:pStyle w:val="P68B1DB1-Normal8"/>
              <w:spacing w:after="0" w:line="240" w:lineRule="auto"/>
              <w:jc w:val="center"/>
              <w:rPr>
                <w:rFonts w:eastAsia="Times New Roman" w:cs="Calibri"/>
                <w:noProof/>
              </w:rPr>
            </w:pPr>
            <w:r>
              <w:rPr>
                <w:noProof/>
              </w:rPr>
              <w:t>2021</w:t>
            </w:r>
          </w:p>
        </w:tc>
        <w:tc>
          <w:tcPr>
            <w:tcW w:w="4277" w:type="dxa"/>
            <w:shd w:val="clear" w:color="auto" w:fill="C4EFCE"/>
            <w:vAlign w:val="center"/>
          </w:tcPr>
          <w:p w14:paraId="2AE0C47C" w14:textId="77777777" w:rsidR="00154AD2" w:rsidRDefault="007F6BF3">
            <w:pPr>
              <w:pStyle w:val="P68B1DB1-Normal8"/>
              <w:spacing w:after="0" w:line="240" w:lineRule="auto"/>
              <w:jc w:val="both"/>
              <w:rPr>
                <w:rFonts w:eastAsia="Times New Roman" w:cs="Calibri"/>
                <w:noProof/>
              </w:rPr>
            </w:pPr>
            <w:r>
              <w:rPr>
                <w:noProof/>
              </w:rPr>
              <w:t>Η εθνική στρατηγική για την καταπολέμηση της φτώχειας (ENCP) παρέχει το πλαίσιο για θεματικές παρεμβάσεις για συγκεκριμένες ομάδες, από την παιδική ηλικία έως το γήρας, συμπεριλαμβανομένων των πλέον ευάλωτων ομάδων. Καθορίζει τις προϋποθέσεις για την ανάπτυξη και την εφαρμογή ολοκληρωμένων πολιτικών που εστιάζουν στις ιδιαιτερότητες του κοινωνικού αποκλεισμού και της φτώχειας σε τοπικό επίπεδο. Επιπλέον, απαιτεί επίσης τη δημιουργία ενός ενιαίου πλαισίου παρακολούθησης για τους δείκτες που σχετίζονται με τη φτώχεια.</w:t>
            </w:r>
          </w:p>
        </w:tc>
      </w:tr>
      <w:tr w:rsidR="00154AD2" w14:paraId="533F5B1E" w14:textId="77777777">
        <w:trPr>
          <w:trHeight w:val="290"/>
        </w:trPr>
        <w:tc>
          <w:tcPr>
            <w:tcW w:w="1124" w:type="dxa"/>
            <w:shd w:val="clear" w:color="auto" w:fill="C5EFCE"/>
            <w:vAlign w:val="center"/>
            <w:hideMark/>
          </w:tcPr>
          <w:p w14:paraId="75444558" w14:textId="77777777" w:rsidR="00154AD2" w:rsidRDefault="007F6BF3">
            <w:pPr>
              <w:pStyle w:val="P68B1DB1-Normal7"/>
              <w:spacing w:after="0" w:line="240" w:lineRule="auto"/>
              <w:jc w:val="center"/>
              <w:rPr>
                <w:rFonts w:eastAsia="Times New Roman" w:cs="Calibri"/>
                <w:noProof/>
              </w:rPr>
            </w:pPr>
            <w:r>
              <w:rPr>
                <w:noProof/>
              </w:rPr>
              <w:t>3.21</w:t>
            </w:r>
          </w:p>
        </w:tc>
        <w:tc>
          <w:tcPr>
            <w:tcW w:w="1143" w:type="dxa"/>
            <w:shd w:val="clear" w:color="auto" w:fill="C4EFCE"/>
            <w:vAlign w:val="center"/>
            <w:hideMark/>
          </w:tcPr>
          <w:p w14:paraId="57253209" w14:textId="77777777" w:rsidR="00154AD2" w:rsidRDefault="007F6BF3">
            <w:pPr>
              <w:pStyle w:val="P68B1DB1-Normal8"/>
              <w:spacing w:after="0" w:line="240" w:lineRule="auto"/>
              <w:jc w:val="center"/>
              <w:rPr>
                <w:rFonts w:eastAsia="Times New Roman" w:cs="Calibri"/>
                <w:noProof/>
              </w:rPr>
            </w:pPr>
            <w:r>
              <w:rPr>
                <w:noProof/>
              </w:rPr>
              <w:t>RE-C03-r06</w:t>
            </w:r>
          </w:p>
        </w:tc>
        <w:tc>
          <w:tcPr>
            <w:tcW w:w="982" w:type="dxa"/>
            <w:shd w:val="clear" w:color="auto" w:fill="C4EFCE"/>
            <w:vAlign w:val="center"/>
            <w:hideMark/>
          </w:tcPr>
          <w:p w14:paraId="48FD60DB" w14:textId="77777777" w:rsidR="00154AD2" w:rsidRDefault="007F6BF3">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3B798661" w14:textId="77777777" w:rsidR="00154AD2" w:rsidRDefault="007F6BF3">
            <w:pPr>
              <w:pStyle w:val="P68B1DB1-Normal8"/>
              <w:spacing w:after="0" w:line="240" w:lineRule="auto"/>
              <w:jc w:val="center"/>
              <w:rPr>
                <w:rFonts w:eastAsia="Times New Roman" w:cs="Calibri"/>
                <w:noProof/>
              </w:rPr>
            </w:pPr>
            <w:r>
              <w:rPr>
                <w:noProof/>
              </w:rPr>
              <w:t>Έγκριση της Εθνικής Στρατηγικής για την Ένταξη των Ατόμων με Αναπηρία 2021-2025</w:t>
            </w:r>
          </w:p>
        </w:tc>
        <w:tc>
          <w:tcPr>
            <w:tcW w:w="1486" w:type="dxa"/>
            <w:shd w:val="clear" w:color="auto" w:fill="C4EFCE"/>
            <w:vAlign w:val="center"/>
            <w:hideMark/>
          </w:tcPr>
          <w:p w14:paraId="40250264" w14:textId="77777777" w:rsidR="00154AD2" w:rsidRDefault="007F6BF3">
            <w:pPr>
              <w:pStyle w:val="P68B1DB1-Normal8"/>
              <w:spacing w:after="0" w:line="240" w:lineRule="auto"/>
              <w:jc w:val="center"/>
              <w:rPr>
                <w:rFonts w:eastAsia="Times New Roman" w:cs="Calibri"/>
                <w:noProof/>
              </w:rPr>
            </w:pPr>
            <w:r>
              <w:rPr>
                <w:noProof/>
              </w:rPr>
              <w:t>Έγκριση της Εθνικής Στρατηγικής για την Ένταξη των Ατόμων με Αναπηρία 2021-2025</w:t>
            </w:r>
          </w:p>
        </w:tc>
        <w:tc>
          <w:tcPr>
            <w:tcW w:w="1014" w:type="dxa"/>
            <w:shd w:val="clear" w:color="auto" w:fill="C4EFCE"/>
            <w:vAlign w:val="center"/>
            <w:hideMark/>
          </w:tcPr>
          <w:p w14:paraId="66D99749" w14:textId="77777777" w:rsidR="00154AD2" w:rsidRDefault="007F6BF3">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448DA702" w14:textId="77777777" w:rsidR="00154AD2" w:rsidRDefault="007F6BF3">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094CC941" w14:textId="77777777" w:rsidR="00154AD2" w:rsidRDefault="007F6BF3">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61D167B3"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845" w:type="dxa"/>
            <w:shd w:val="clear" w:color="auto" w:fill="C4EFCE"/>
            <w:vAlign w:val="center"/>
            <w:hideMark/>
          </w:tcPr>
          <w:p w14:paraId="39843ADC" w14:textId="77777777" w:rsidR="00154AD2" w:rsidRDefault="007F6BF3">
            <w:pPr>
              <w:pStyle w:val="P68B1DB1-Normal8"/>
              <w:spacing w:after="0" w:line="240" w:lineRule="auto"/>
              <w:jc w:val="center"/>
              <w:rPr>
                <w:rFonts w:eastAsia="Times New Roman" w:cs="Calibri"/>
                <w:noProof/>
              </w:rPr>
            </w:pPr>
            <w:r>
              <w:rPr>
                <w:noProof/>
              </w:rPr>
              <w:t>2021</w:t>
            </w:r>
          </w:p>
        </w:tc>
        <w:tc>
          <w:tcPr>
            <w:tcW w:w="4277" w:type="dxa"/>
            <w:shd w:val="clear" w:color="auto" w:fill="C4EFCE"/>
            <w:vAlign w:val="center"/>
            <w:hideMark/>
          </w:tcPr>
          <w:p w14:paraId="57651022" w14:textId="77777777" w:rsidR="00154AD2" w:rsidRDefault="007F6BF3">
            <w:pPr>
              <w:pStyle w:val="P68B1DB1-Normal8"/>
              <w:spacing w:after="0" w:line="240" w:lineRule="auto"/>
              <w:jc w:val="both"/>
              <w:rPr>
                <w:rFonts w:eastAsia="Times New Roman" w:cs="Calibri"/>
                <w:noProof/>
              </w:rPr>
            </w:pPr>
            <w:r>
              <w:rPr>
                <w:noProof/>
              </w:rPr>
              <w:t xml:space="preserve">Η Εθνική Στρατηγική Ένταξης Ατόμων με Αναπηρία δημιουργεί τις προϋποθέσεις για: </w:t>
            </w:r>
          </w:p>
          <w:p w14:paraId="5BEAE38C" w14:textId="77777777" w:rsidR="00154AD2" w:rsidRDefault="007F6BF3">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 xml:space="preserve">ένα νέο σύστημα αξιολόγησης και πιστοποίησης αναπηρίας· </w:t>
            </w:r>
          </w:p>
          <w:p w14:paraId="1AE861D1" w14:textId="77777777" w:rsidR="00154AD2" w:rsidRDefault="007F6BF3">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 xml:space="preserve">ένα νέο σύστημα συλλογής και επεξεργασίας δεδομένων και οργάνωσης πληροφοριών σχετικά με την αναπηρία για την υποστήριξη της λήψης αποφάσεων· </w:t>
            </w:r>
          </w:p>
          <w:p w14:paraId="6C12A290" w14:textId="77777777" w:rsidR="00154AD2" w:rsidRDefault="007F6BF3">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τον χαρακτηρισμό των παρεμβάσεων σε δημόσιους χώρους·</w:t>
            </w:r>
          </w:p>
          <w:p w14:paraId="090CA10D" w14:textId="77777777" w:rsidR="00154AD2" w:rsidRDefault="007F6BF3">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ενσωμάτωση της ένταξης των ατόμων με αναπηρία στις αποφάσεις, τα μέτρα, τα προγράμματα και τα έργα·</w:t>
            </w:r>
          </w:p>
          <w:p w14:paraId="47358F4D" w14:textId="77777777" w:rsidR="00154AD2" w:rsidRDefault="007F6BF3">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την επέκταση του Υποστηρικτικού Μοντέλου Ανεξάρτητης Διαβίωσης, το οποίο παρέχει προσωπική βοήθεια σε άτομα με αναπηρία·</w:t>
            </w:r>
          </w:p>
          <w:p w14:paraId="20D2D4ED" w14:textId="0DE988E4" w:rsidR="00154AD2" w:rsidRDefault="007F6BF3">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προσαρμογή του συστήματος κατάρτισης, απασχόλησης και προσόντων για τα άτομα με αναπηρία.</w:t>
            </w:r>
          </w:p>
        </w:tc>
      </w:tr>
      <w:tr w:rsidR="00154AD2" w14:paraId="259EB076" w14:textId="77777777">
        <w:trPr>
          <w:trHeight w:val="1060"/>
        </w:trPr>
        <w:tc>
          <w:tcPr>
            <w:tcW w:w="1124" w:type="dxa"/>
            <w:shd w:val="clear" w:color="auto" w:fill="C5EFCE"/>
            <w:vAlign w:val="center"/>
            <w:hideMark/>
          </w:tcPr>
          <w:p w14:paraId="26DEA246" w14:textId="77777777" w:rsidR="00154AD2" w:rsidRDefault="007F6BF3">
            <w:pPr>
              <w:pStyle w:val="P68B1DB1-Normal7"/>
              <w:spacing w:after="0" w:line="240" w:lineRule="auto"/>
              <w:jc w:val="center"/>
              <w:rPr>
                <w:rFonts w:eastAsia="Times New Roman" w:cs="Calibri"/>
                <w:noProof/>
              </w:rPr>
            </w:pPr>
            <w:r>
              <w:rPr>
                <w:noProof/>
              </w:rPr>
              <w:t>3.22</w:t>
            </w:r>
          </w:p>
        </w:tc>
        <w:tc>
          <w:tcPr>
            <w:tcW w:w="1143" w:type="dxa"/>
            <w:shd w:val="clear" w:color="auto" w:fill="C4EFCE"/>
            <w:vAlign w:val="center"/>
            <w:hideMark/>
          </w:tcPr>
          <w:p w14:paraId="46042C8C" w14:textId="77777777" w:rsidR="00154AD2" w:rsidRDefault="007F6BF3">
            <w:pPr>
              <w:pStyle w:val="P68B1DB1-Normal8"/>
              <w:spacing w:after="0" w:line="240" w:lineRule="auto"/>
              <w:jc w:val="center"/>
              <w:rPr>
                <w:rFonts w:eastAsia="Times New Roman" w:cs="Calibri"/>
                <w:noProof/>
              </w:rPr>
            </w:pPr>
            <w:r>
              <w:rPr>
                <w:noProof/>
              </w:rPr>
              <w:t>RE-C03-r05</w:t>
            </w:r>
          </w:p>
        </w:tc>
        <w:tc>
          <w:tcPr>
            <w:tcW w:w="982" w:type="dxa"/>
            <w:shd w:val="clear" w:color="auto" w:fill="C4EFCE"/>
            <w:vAlign w:val="center"/>
            <w:hideMark/>
          </w:tcPr>
          <w:p w14:paraId="292DDDE3" w14:textId="77777777" w:rsidR="00154AD2" w:rsidRDefault="007F6BF3">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5FA61DF0" w14:textId="77777777" w:rsidR="00154AD2" w:rsidRDefault="007F6BF3">
            <w:pPr>
              <w:pStyle w:val="P68B1DB1-Normal8"/>
              <w:spacing w:after="0" w:line="240" w:lineRule="auto"/>
              <w:jc w:val="center"/>
              <w:rPr>
                <w:rFonts w:eastAsia="Times New Roman" w:cs="Calibri"/>
                <w:noProof/>
              </w:rPr>
            </w:pPr>
            <w:r>
              <w:rPr>
                <w:noProof/>
              </w:rPr>
              <w:t>Έναρξη ισχύος του καθεστώτος εγκατάστασης απλουστευμένου κοινωνικού εξοπλισμού</w:t>
            </w:r>
          </w:p>
        </w:tc>
        <w:tc>
          <w:tcPr>
            <w:tcW w:w="1486" w:type="dxa"/>
            <w:shd w:val="clear" w:color="auto" w:fill="C4EFCE"/>
            <w:vAlign w:val="center"/>
            <w:hideMark/>
          </w:tcPr>
          <w:p w14:paraId="02D75D2D" w14:textId="77777777" w:rsidR="00154AD2" w:rsidRDefault="007F6BF3">
            <w:pPr>
              <w:pStyle w:val="P68B1DB1-Normal8"/>
              <w:spacing w:after="0" w:line="240" w:lineRule="auto"/>
              <w:jc w:val="center"/>
              <w:rPr>
                <w:rFonts w:eastAsia="Times New Roman" w:cs="Calibri"/>
                <w:noProof/>
              </w:rPr>
            </w:pPr>
            <w:r>
              <w:rPr>
                <w:noProof/>
              </w:rPr>
              <w:t>Έναρξη ισχύος του καθεστώτος εγκατάστασης απλουστευμένου κοινωνικού εξοπλισμού</w:t>
            </w:r>
          </w:p>
        </w:tc>
        <w:tc>
          <w:tcPr>
            <w:tcW w:w="1014" w:type="dxa"/>
            <w:shd w:val="clear" w:color="auto" w:fill="C4EFCE"/>
            <w:vAlign w:val="center"/>
            <w:hideMark/>
          </w:tcPr>
          <w:p w14:paraId="1B1E4AC9" w14:textId="77777777" w:rsidR="00154AD2" w:rsidRDefault="007F6BF3">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7427C6C7" w14:textId="77777777" w:rsidR="00154AD2" w:rsidRDefault="007F6BF3">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3501B542" w14:textId="77777777" w:rsidR="00154AD2" w:rsidRDefault="007F6BF3">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1D936D49"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845" w:type="dxa"/>
            <w:shd w:val="clear" w:color="auto" w:fill="C4EFCE"/>
            <w:vAlign w:val="center"/>
            <w:hideMark/>
          </w:tcPr>
          <w:p w14:paraId="3BD447DC" w14:textId="77777777" w:rsidR="00154AD2" w:rsidRDefault="007F6BF3">
            <w:pPr>
              <w:pStyle w:val="P68B1DB1-Normal8"/>
              <w:spacing w:after="0" w:line="240" w:lineRule="auto"/>
              <w:jc w:val="center"/>
              <w:rPr>
                <w:rFonts w:eastAsia="Times New Roman" w:cs="Calibri"/>
                <w:noProof/>
              </w:rPr>
            </w:pPr>
            <w:r>
              <w:rPr>
                <w:noProof/>
              </w:rPr>
              <w:t>2021</w:t>
            </w:r>
          </w:p>
        </w:tc>
        <w:tc>
          <w:tcPr>
            <w:tcW w:w="4277" w:type="dxa"/>
            <w:shd w:val="clear" w:color="auto" w:fill="C4EFCE"/>
            <w:vAlign w:val="center"/>
            <w:hideMark/>
          </w:tcPr>
          <w:p w14:paraId="59D5A18E" w14:textId="77777777" w:rsidR="00154AD2" w:rsidRDefault="007F6BF3">
            <w:pPr>
              <w:keepNext/>
              <w:spacing w:before="40" w:after="0" w:line="240" w:lineRule="auto"/>
              <w:jc w:val="both"/>
              <w:rPr>
                <w:rFonts w:ascii="Calibri" w:eastAsia="Times New Roman" w:hAnsi="Calibri" w:cs="Calibri"/>
                <w:noProof/>
                <w:sz w:val="16"/>
              </w:rPr>
            </w:pPr>
            <w:r>
              <w:rPr>
                <w:rFonts w:ascii="Calibri" w:hAnsi="Calibri"/>
                <w:noProof/>
                <w:sz w:val="16"/>
              </w:rPr>
              <w:t>Έναρξη ισχύος του καθεστώτος εγκατάστασης απλουστευμένου κοινωνικού εξοπλισμού με τα ακόλουθα χαρακτηριστικά</w:t>
            </w:r>
            <w:r>
              <w:rPr>
                <w:noProof/>
              </w:rPr>
              <w:br/>
            </w:r>
            <w:r>
              <w:rPr>
                <w:rFonts w:ascii="Times New Roman" w:hAnsi="Times New Roman"/>
                <w:noProof/>
                <w:sz w:val="14"/>
              </w:rPr>
              <w:t xml:space="preserve"> </w:t>
            </w:r>
            <w:r>
              <w:rPr>
                <w:rFonts w:ascii="Calibri" w:hAnsi="Calibri"/>
                <w:noProof/>
                <w:sz w:val="16"/>
              </w:rPr>
              <w:t>Καθορισμός απαιτήσεων αδειοδότησης και τακτοποίησης της δομής κατοικίας ηλικιωμένων που λειτουργούν παράνομα·</w:t>
            </w:r>
            <w:r>
              <w:rPr>
                <w:noProof/>
              </w:rPr>
              <w:br/>
            </w:r>
            <w:r>
              <w:rPr>
                <w:rFonts w:ascii="Times New Roman" w:hAnsi="Times New Roman"/>
                <w:noProof/>
                <w:sz w:val="14"/>
              </w:rPr>
              <w:t xml:space="preserve"> </w:t>
            </w:r>
            <w:r>
              <w:rPr>
                <w:rFonts w:ascii="Calibri" w:hAnsi="Calibri"/>
                <w:noProof/>
                <w:sz w:val="16"/>
              </w:rPr>
              <w:t>Εισαγωγή ποιοτικών κριτηρίων στις παρεχόμενες υπηρεσίες και υπηρεσίες φροντίδας·</w:t>
            </w:r>
          </w:p>
          <w:p w14:paraId="73A3AE3B" w14:textId="77777777" w:rsidR="00154AD2" w:rsidRDefault="007F6BF3">
            <w:pPr>
              <w:keepNext/>
              <w:spacing w:before="40" w:after="0" w:line="240" w:lineRule="auto"/>
              <w:jc w:val="both"/>
              <w:rPr>
                <w:rFonts w:ascii="Calibri" w:eastAsia="Times New Roman" w:hAnsi="Calibri" w:cs="Calibri"/>
                <w:noProof/>
                <w:sz w:val="16"/>
              </w:rPr>
            </w:pPr>
            <w:r>
              <w:rPr>
                <w:rFonts w:ascii="Calibri" w:hAnsi="Calibri"/>
                <w:noProof/>
                <w:sz w:val="16"/>
              </w:rPr>
              <w:t>Δημιουργία του πλαισίου για την εισαγωγή νέων τύπων κοινωνικών απαντήσεων, όπως η συνεργατική στέγαση και νέα μοντέλα κατ’ οίκον υποστήριξης για την κάλυψη των διαφόρων αναγκών των ηλικιωμένων.</w:t>
            </w:r>
          </w:p>
          <w:p w14:paraId="696011FB" w14:textId="77777777" w:rsidR="00154AD2" w:rsidRDefault="00154AD2">
            <w:pPr>
              <w:spacing w:after="0" w:line="240" w:lineRule="auto"/>
              <w:jc w:val="both"/>
              <w:rPr>
                <w:rFonts w:ascii="Calibri" w:eastAsia="Times New Roman" w:hAnsi="Calibri" w:cs="Calibri"/>
                <w:noProof/>
                <w:sz w:val="16"/>
              </w:rPr>
            </w:pPr>
          </w:p>
        </w:tc>
      </w:tr>
      <w:tr w:rsidR="00154AD2" w14:paraId="4AAC7737" w14:textId="77777777">
        <w:trPr>
          <w:trHeight w:val="1470"/>
        </w:trPr>
        <w:tc>
          <w:tcPr>
            <w:tcW w:w="1124" w:type="dxa"/>
            <w:shd w:val="clear" w:color="auto" w:fill="C5EFCE"/>
            <w:vAlign w:val="center"/>
            <w:hideMark/>
          </w:tcPr>
          <w:p w14:paraId="53E47662" w14:textId="77777777" w:rsidR="00154AD2" w:rsidRDefault="007F6BF3">
            <w:pPr>
              <w:pStyle w:val="P68B1DB1-Normal7"/>
              <w:spacing w:after="0" w:line="240" w:lineRule="auto"/>
              <w:jc w:val="center"/>
              <w:rPr>
                <w:rFonts w:eastAsia="Times New Roman" w:cs="Calibri"/>
                <w:noProof/>
              </w:rPr>
            </w:pPr>
            <w:r>
              <w:rPr>
                <w:noProof/>
              </w:rPr>
              <w:t>3.23</w:t>
            </w:r>
          </w:p>
        </w:tc>
        <w:tc>
          <w:tcPr>
            <w:tcW w:w="1143" w:type="dxa"/>
            <w:shd w:val="clear" w:color="auto" w:fill="C4EFCE"/>
            <w:vAlign w:val="center"/>
            <w:hideMark/>
          </w:tcPr>
          <w:p w14:paraId="7E9E6D6E" w14:textId="77777777" w:rsidR="00154AD2" w:rsidRDefault="007F6BF3">
            <w:pPr>
              <w:pStyle w:val="P68B1DB1-Normal8"/>
              <w:spacing w:after="0" w:line="240" w:lineRule="auto"/>
              <w:jc w:val="center"/>
              <w:rPr>
                <w:rFonts w:eastAsia="Times New Roman" w:cs="Calibri"/>
                <w:noProof/>
              </w:rPr>
            </w:pPr>
            <w:r>
              <w:rPr>
                <w:noProof/>
              </w:rPr>
              <w:t>RE-C03-r07</w:t>
            </w:r>
          </w:p>
        </w:tc>
        <w:tc>
          <w:tcPr>
            <w:tcW w:w="982" w:type="dxa"/>
            <w:shd w:val="clear" w:color="auto" w:fill="C4EFCE"/>
            <w:vAlign w:val="center"/>
            <w:hideMark/>
          </w:tcPr>
          <w:p w14:paraId="1ED92161" w14:textId="77777777" w:rsidR="00154AD2" w:rsidRDefault="007F6BF3">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0AE24901" w14:textId="77777777" w:rsidR="00154AD2" w:rsidRDefault="007F6BF3">
            <w:pPr>
              <w:pStyle w:val="P68B1DB1-Normal8"/>
              <w:spacing w:after="0" w:line="240" w:lineRule="auto"/>
              <w:jc w:val="center"/>
              <w:rPr>
                <w:rFonts w:eastAsia="Times New Roman" w:cs="Calibri"/>
                <w:noProof/>
              </w:rPr>
            </w:pPr>
            <w:r>
              <w:rPr>
                <w:noProof/>
              </w:rPr>
              <w:t>Έγκριση σχεδίων δράσης για μειονεκτούσες κοινότητες στις μητροπολιτικές περιοχές της Λισαβόνας και του Πόρτο</w:t>
            </w:r>
          </w:p>
        </w:tc>
        <w:tc>
          <w:tcPr>
            <w:tcW w:w="1486" w:type="dxa"/>
            <w:shd w:val="clear" w:color="auto" w:fill="C4EFCE"/>
            <w:vAlign w:val="center"/>
            <w:hideMark/>
          </w:tcPr>
          <w:p w14:paraId="261758C6" w14:textId="77777777" w:rsidR="00154AD2" w:rsidRDefault="007F6BF3">
            <w:pPr>
              <w:pStyle w:val="P68B1DB1-Normal8"/>
              <w:spacing w:after="0" w:line="240" w:lineRule="auto"/>
              <w:jc w:val="center"/>
              <w:rPr>
                <w:rFonts w:eastAsia="Times New Roman" w:cs="Calibri"/>
                <w:noProof/>
              </w:rPr>
            </w:pPr>
            <w:r>
              <w:rPr>
                <w:noProof/>
              </w:rPr>
              <w:t>Έγκριση σχεδίων δράσης για μειονεκτούσες κοινότητες στις μητροπολιτικές περιοχές της Λισαβόνας και του Πόρτο για τις εν λόγω περιοχές.</w:t>
            </w:r>
          </w:p>
        </w:tc>
        <w:tc>
          <w:tcPr>
            <w:tcW w:w="1014" w:type="dxa"/>
            <w:shd w:val="clear" w:color="auto" w:fill="C4EFCE"/>
            <w:vAlign w:val="center"/>
            <w:hideMark/>
          </w:tcPr>
          <w:p w14:paraId="68B55A40" w14:textId="77777777" w:rsidR="00154AD2" w:rsidRDefault="007F6BF3">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10543D8B" w14:textId="77777777" w:rsidR="00154AD2" w:rsidRDefault="007F6BF3">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0AC9AD61" w14:textId="77777777" w:rsidR="00154AD2" w:rsidRDefault="007F6BF3">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760D1855"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845" w:type="dxa"/>
            <w:shd w:val="clear" w:color="auto" w:fill="C4EFCE"/>
            <w:vAlign w:val="center"/>
            <w:hideMark/>
          </w:tcPr>
          <w:p w14:paraId="6F6B7AA0" w14:textId="77777777" w:rsidR="00154AD2" w:rsidRDefault="007F6BF3">
            <w:pPr>
              <w:pStyle w:val="P68B1DB1-Normal8"/>
              <w:spacing w:after="0" w:line="240" w:lineRule="auto"/>
              <w:jc w:val="center"/>
              <w:rPr>
                <w:rFonts w:eastAsia="Times New Roman" w:cs="Calibri"/>
                <w:noProof/>
              </w:rPr>
            </w:pPr>
            <w:r>
              <w:rPr>
                <w:noProof/>
              </w:rPr>
              <w:t>2021</w:t>
            </w:r>
          </w:p>
        </w:tc>
        <w:tc>
          <w:tcPr>
            <w:tcW w:w="4277" w:type="dxa"/>
            <w:shd w:val="clear" w:color="auto" w:fill="C4EFCE"/>
            <w:vAlign w:val="center"/>
            <w:hideMark/>
          </w:tcPr>
          <w:p w14:paraId="094C2ECF" w14:textId="474A4AD6" w:rsidR="00154AD2" w:rsidRDefault="007F6BF3">
            <w:pPr>
              <w:pStyle w:val="P68B1DB1-Normal8"/>
              <w:spacing w:after="0" w:line="240" w:lineRule="auto"/>
              <w:jc w:val="both"/>
              <w:rPr>
                <w:rFonts w:eastAsia="Times New Roman" w:cs="Calibri"/>
                <w:noProof/>
              </w:rPr>
            </w:pPr>
            <w:r>
              <w:rPr>
                <w:noProof/>
              </w:rPr>
              <w:t>Έγκριση σχεδίων δράσης για μειονεκτούσες κοινότητες από τις μητροπολιτικές περιοχές της Λισαβόνας και του Πόρτο. Τα σχέδια δράσης επικεντρώνονται σε δύο βασικούς τομείς: I) Παρεμβάσεις σε δημόσιους χώρους και κοινωνικές υποδομές, όπως βρεφονηπιακούς σταθμούς και δημοτικά σχολεία, εγκαταστάσεις υγειονομικής περίθαλψης και εγκαταστάσεις για πολιτιστικές εκδηλώσεις, εργαστήρια ή/και μαθήματα κατάρτισης· παρεμβάσεις άυλου χαρακτήρα για την προώθηση της κοινωνικής συνοχής, όπως η ενεργός συμμετοχή των κοινοτήτων στον σχεδιασμό και την εφαρμογή τους, η προώθηση της επιχειρηματικότητας των μικρών και τοπικών επιχειρήσεων, ο σχεδιασμός έργων για την καταπολέμηση της σχολικής αποτυχίας και της εγκατάλειψης του σχολείου, η προσφορά επαγγελματικής κατάρτισης και η προώθηση του αθλητισμού. Θα τεθεί σε εφαρμογή ένα μοντέλο διακυβέρνησης, το οποίο θα βασίζεται στις αρχές της πολυεπίπεδης διακυβέρνησης και θα περιλαμβάνει διάφορους φορείς από την κεντρική κυβέρνηση έως τις τοπικές περιοχές/γειτονιές. Παράλληλα, θα υπάρχουν τοπικές τεχνικές μονάδες ως επιχειρησιακή πρώτη γραμμή αυτού του μοντέλου για την προώθηση της οικειοποίησης και της εγγύτητας στη διαχείριση και την εφαρμογή των συμβάσεων.</w:t>
            </w:r>
          </w:p>
        </w:tc>
      </w:tr>
      <w:tr w:rsidR="00154AD2" w14:paraId="6A8DEB67" w14:textId="77777777">
        <w:trPr>
          <w:trHeight w:val="54"/>
        </w:trPr>
        <w:tc>
          <w:tcPr>
            <w:tcW w:w="1124" w:type="dxa"/>
            <w:shd w:val="clear" w:color="auto" w:fill="C5EFCE"/>
            <w:vAlign w:val="center"/>
            <w:hideMark/>
          </w:tcPr>
          <w:p w14:paraId="2E2BCCE3" w14:textId="77777777" w:rsidR="00154AD2" w:rsidRDefault="007F6BF3">
            <w:pPr>
              <w:pStyle w:val="P68B1DB1-Normal7"/>
              <w:spacing w:after="0" w:line="240" w:lineRule="auto"/>
              <w:jc w:val="center"/>
              <w:rPr>
                <w:rFonts w:eastAsia="Times New Roman" w:cs="Calibri"/>
                <w:noProof/>
              </w:rPr>
            </w:pPr>
            <w:r>
              <w:rPr>
                <w:noProof/>
              </w:rPr>
              <w:t>3.24</w:t>
            </w:r>
          </w:p>
        </w:tc>
        <w:tc>
          <w:tcPr>
            <w:tcW w:w="1143" w:type="dxa"/>
            <w:shd w:val="clear" w:color="auto" w:fill="C4EFCE"/>
            <w:vAlign w:val="center"/>
            <w:hideMark/>
          </w:tcPr>
          <w:p w14:paraId="615FFB2A" w14:textId="3295EEAC" w:rsidR="00154AD2" w:rsidRDefault="007F6BF3">
            <w:pPr>
              <w:pStyle w:val="P68B1DB1-Normal9"/>
              <w:spacing w:after="0" w:line="240" w:lineRule="auto"/>
              <w:jc w:val="center"/>
              <w:rPr>
                <w:rFonts w:eastAsia="Times New Roman" w:cs="Calibri"/>
                <w:noProof/>
                <w:sz w:val="2"/>
              </w:rPr>
            </w:pPr>
            <w:r>
              <w:rPr>
                <w:noProof/>
                <w:sz w:val="16"/>
              </w:rPr>
              <w:t>RE-C03-i06</w:t>
            </w:r>
            <w:r>
              <w:rPr>
                <w:noProof/>
                <w:sz w:val="2"/>
              </w:rPr>
              <w:t xml:space="preserve"> </w:t>
            </w:r>
          </w:p>
        </w:tc>
        <w:tc>
          <w:tcPr>
            <w:tcW w:w="982" w:type="dxa"/>
            <w:shd w:val="clear" w:color="auto" w:fill="C4EFCE"/>
            <w:vAlign w:val="center"/>
            <w:hideMark/>
          </w:tcPr>
          <w:p w14:paraId="3A336285" w14:textId="340ADB5F" w:rsidR="00154AD2" w:rsidRDefault="007F6BF3">
            <w:pPr>
              <w:pStyle w:val="P68B1DB1-Normal9"/>
              <w:spacing w:after="0" w:line="240" w:lineRule="auto"/>
              <w:jc w:val="center"/>
              <w:rPr>
                <w:rFonts w:eastAsia="Times New Roman" w:cs="Calibri"/>
                <w:noProof/>
                <w:sz w:val="2"/>
              </w:rPr>
            </w:pPr>
            <w:r>
              <w:rPr>
                <w:noProof/>
                <w:sz w:val="16"/>
              </w:rPr>
              <w:t>M</w:t>
            </w:r>
            <w:r>
              <w:rPr>
                <w:noProof/>
                <w:sz w:val="2"/>
              </w:rPr>
              <w:t xml:space="preserve"> </w:t>
            </w:r>
          </w:p>
        </w:tc>
        <w:tc>
          <w:tcPr>
            <w:tcW w:w="1740" w:type="dxa"/>
            <w:shd w:val="clear" w:color="auto" w:fill="C4EFCE"/>
            <w:vAlign w:val="center"/>
            <w:hideMark/>
          </w:tcPr>
          <w:p w14:paraId="60576BD2" w14:textId="7F78B1AB" w:rsidR="00154AD2" w:rsidRDefault="007F6BF3">
            <w:pPr>
              <w:pStyle w:val="P68B1DB1-Normal9"/>
              <w:spacing w:after="0" w:line="240" w:lineRule="auto"/>
              <w:jc w:val="center"/>
              <w:rPr>
                <w:rFonts w:eastAsia="Times New Roman" w:cs="Calibri"/>
                <w:noProof/>
                <w:sz w:val="2"/>
              </w:rPr>
            </w:pPr>
            <w:r>
              <w:rPr>
                <w:noProof/>
                <w:sz w:val="16"/>
              </w:rPr>
              <w:t>Υπογραφή συμφωνιών μεταξύ των δήμων Λισαβόνας/Πόρτο και των τοπικών τεχνικών μονάδων που καθορίζουν το πεδίο εφαρμογής των μέτρων που πρέπει να υποστηριχθούν.</w:t>
            </w:r>
            <w:r>
              <w:rPr>
                <w:noProof/>
                <w:sz w:val="2"/>
              </w:rPr>
              <w:t xml:space="preserve"> </w:t>
            </w:r>
          </w:p>
        </w:tc>
        <w:tc>
          <w:tcPr>
            <w:tcW w:w="1486" w:type="dxa"/>
            <w:shd w:val="clear" w:color="auto" w:fill="C4EFCE"/>
            <w:vAlign w:val="center"/>
            <w:hideMark/>
          </w:tcPr>
          <w:p w14:paraId="14D03986" w14:textId="6BAAE04A" w:rsidR="00154AD2" w:rsidRDefault="007F6BF3">
            <w:pPr>
              <w:pStyle w:val="P68B1DB1-Normal9"/>
              <w:spacing w:after="0" w:line="240" w:lineRule="auto"/>
              <w:jc w:val="center"/>
              <w:rPr>
                <w:rFonts w:eastAsia="Times New Roman" w:cs="Calibri"/>
                <w:noProof/>
                <w:sz w:val="2"/>
              </w:rPr>
            </w:pPr>
            <w:r>
              <w:rPr>
                <w:noProof/>
                <w:sz w:val="16"/>
              </w:rPr>
              <w:t>Υπογραφή συμφωνιών σχετικά με τα σχέδια που αφορούν τους 12 τομείς παρέμβασης</w:t>
            </w:r>
            <w:r>
              <w:rPr>
                <w:noProof/>
                <w:sz w:val="2"/>
              </w:rPr>
              <w:t xml:space="preserve"> </w:t>
            </w:r>
          </w:p>
        </w:tc>
        <w:tc>
          <w:tcPr>
            <w:tcW w:w="1014" w:type="dxa"/>
            <w:shd w:val="clear" w:color="auto" w:fill="C4EFCE"/>
            <w:vAlign w:val="center"/>
            <w:hideMark/>
          </w:tcPr>
          <w:p w14:paraId="133B822E" w14:textId="77777777" w:rsidR="00154AD2" w:rsidRDefault="007F6BF3">
            <w:pPr>
              <w:pStyle w:val="P68B1DB1-Normal15"/>
              <w:spacing w:after="0" w:line="240" w:lineRule="auto"/>
              <w:jc w:val="center"/>
              <w:rPr>
                <w:rFonts w:eastAsia="Times New Roman" w:cs="Calibri"/>
                <w:noProof/>
              </w:rPr>
            </w:pPr>
            <w:r>
              <w:rPr>
                <w:noProof/>
              </w:rPr>
              <w:t> </w:t>
            </w:r>
          </w:p>
        </w:tc>
        <w:tc>
          <w:tcPr>
            <w:tcW w:w="1014" w:type="dxa"/>
            <w:shd w:val="clear" w:color="auto" w:fill="C4EFCE"/>
            <w:vAlign w:val="center"/>
            <w:hideMark/>
          </w:tcPr>
          <w:p w14:paraId="6CFDD089" w14:textId="77777777" w:rsidR="00154AD2" w:rsidRDefault="007F6BF3">
            <w:pPr>
              <w:pStyle w:val="P68B1DB1-Normal15"/>
              <w:spacing w:after="0" w:line="240" w:lineRule="auto"/>
              <w:jc w:val="center"/>
              <w:rPr>
                <w:rFonts w:eastAsia="Times New Roman" w:cs="Calibri"/>
                <w:noProof/>
              </w:rPr>
            </w:pPr>
            <w:r>
              <w:rPr>
                <w:noProof/>
              </w:rPr>
              <w:t> </w:t>
            </w:r>
          </w:p>
        </w:tc>
        <w:tc>
          <w:tcPr>
            <w:tcW w:w="882" w:type="dxa"/>
            <w:shd w:val="clear" w:color="auto" w:fill="C4EFCE"/>
            <w:vAlign w:val="center"/>
            <w:hideMark/>
          </w:tcPr>
          <w:p w14:paraId="60360FF4" w14:textId="77777777" w:rsidR="00154AD2" w:rsidRDefault="007F6BF3">
            <w:pPr>
              <w:pStyle w:val="P68B1DB1-Normal15"/>
              <w:spacing w:after="0" w:line="240" w:lineRule="auto"/>
              <w:jc w:val="center"/>
              <w:rPr>
                <w:rFonts w:eastAsia="Times New Roman" w:cs="Calibri"/>
                <w:noProof/>
              </w:rPr>
            </w:pPr>
            <w:r>
              <w:rPr>
                <w:noProof/>
              </w:rPr>
              <w:t> </w:t>
            </w:r>
          </w:p>
        </w:tc>
        <w:tc>
          <w:tcPr>
            <w:tcW w:w="680" w:type="dxa"/>
            <w:shd w:val="clear" w:color="auto" w:fill="C4EFCE"/>
            <w:vAlign w:val="center"/>
            <w:hideMark/>
          </w:tcPr>
          <w:p w14:paraId="150EEAF8" w14:textId="19C15C24" w:rsidR="00154AD2" w:rsidRDefault="007F6BF3">
            <w:pPr>
              <w:pStyle w:val="P68B1DB1-Normal9"/>
              <w:spacing w:after="0" w:line="240" w:lineRule="auto"/>
              <w:jc w:val="center"/>
              <w:rPr>
                <w:rFonts w:eastAsia="Times New Roman" w:cs="Calibri"/>
                <w:noProof/>
                <w:sz w:val="2"/>
              </w:rPr>
            </w:pPr>
            <w:r>
              <w:rPr>
                <w:noProof/>
                <w:sz w:val="16"/>
              </w:rPr>
              <w:t>ΤΡΊΜΗΝΟ 1</w:t>
            </w:r>
            <w:r>
              <w:rPr>
                <w:noProof/>
                <w:sz w:val="2"/>
              </w:rPr>
              <w:t xml:space="preserve"> </w:t>
            </w:r>
          </w:p>
        </w:tc>
        <w:tc>
          <w:tcPr>
            <w:tcW w:w="845" w:type="dxa"/>
            <w:shd w:val="clear" w:color="auto" w:fill="C4EFCE"/>
            <w:vAlign w:val="center"/>
            <w:hideMark/>
          </w:tcPr>
          <w:p w14:paraId="7858F213" w14:textId="0BA23128" w:rsidR="00154AD2" w:rsidRDefault="007F6BF3">
            <w:pPr>
              <w:pStyle w:val="P68B1DB1-Normal9"/>
              <w:spacing w:after="0" w:line="240" w:lineRule="auto"/>
              <w:jc w:val="center"/>
              <w:rPr>
                <w:rFonts w:eastAsia="Times New Roman" w:cs="Calibri"/>
                <w:noProof/>
                <w:sz w:val="2"/>
              </w:rPr>
            </w:pPr>
            <w:r>
              <w:rPr>
                <w:noProof/>
                <w:sz w:val="16"/>
              </w:rPr>
              <w:t>2022</w:t>
            </w:r>
            <w:r>
              <w:rPr>
                <w:noProof/>
                <w:sz w:val="2"/>
              </w:rPr>
              <w:t xml:space="preserve"> </w:t>
            </w:r>
          </w:p>
        </w:tc>
        <w:tc>
          <w:tcPr>
            <w:tcW w:w="4277" w:type="dxa"/>
            <w:shd w:val="clear" w:color="auto" w:fill="C4EFCE"/>
            <w:vAlign w:val="center"/>
            <w:hideMark/>
          </w:tcPr>
          <w:p w14:paraId="074BB5C5" w14:textId="77777777" w:rsidR="00154AD2" w:rsidRDefault="00154AD2">
            <w:pPr>
              <w:spacing w:after="0" w:line="240" w:lineRule="auto"/>
              <w:jc w:val="both"/>
              <w:rPr>
                <w:rFonts w:ascii="Calibri" w:eastAsia="Times New Roman" w:hAnsi="Calibri" w:cs="Calibri"/>
                <w:noProof/>
                <w:sz w:val="2"/>
              </w:rPr>
            </w:pPr>
          </w:p>
          <w:p w14:paraId="2B90755B" w14:textId="77777777" w:rsidR="00154AD2" w:rsidRDefault="007F6BF3">
            <w:pPr>
              <w:pStyle w:val="P68B1DB1-Normal8"/>
              <w:spacing w:after="0" w:line="240" w:lineRule="auto"/>
              <w:jc w:val="both"/>
              <w:rPr>
                <w:rFonts w:eastAsia="Times New Roman" w:cs="Calibri"/>
                <w:noProof/>
              </w:rPr>
            </w:pPr>
            <w:r>
              <w:rPr>
                <w:noProof/>
              </w:rPr>
              <w:t xml:space="preserve">Υπογραφή συμφωνιών μεταξύ των μητροπολιτικών περιοχών του Πόρτο και της Λισαβόνας και των τοπικών τεχνικών μονάδων που είναι αρμόδιες για καθεμία από τις 12 περιοχές παρέμβασης (δηλαδή γειτονιές) που καθορίζουν το πεδίο εφαρμογής των μέτρων που πρέπει να υποστηριχθούν, το χρονοδιάγραμμα εκτέλεσής τους, τη χορηγηθείσα δημοσιονομική στήριξη ύψους 225 εκατ. ευρώ και τους επιλεγμένους δείκτες επιδόσεων. Τα μέτρα που πρόκειται να υποστηριχθούν ανήκουν στις ακόλουθες κατηγορίες: </w:t>
            </w:r>
          </w:p>
          <w:p w14:paraId="17B62751" w14:textId="420F0041" w:rsidR="00154AD2" w:rsidRDefault="007F6BF3">
            <w:pPr>
              <w:pStyle w:val="P68B1DB1-Normal8"/>
              <w:spacing w:after="0" w:line="240" w:lineRule="auto"/>
              <w:jc w:val="both"/>
              <w:rPr>
                <w:rFonts w:eastAsia="Times New Roman" w:cs="Calibri"/>
                <w:noProof/>
              </w:rPr>
            </w:pPr>
            <w:r>
              <w:rPr>
                <w:noProof/>
              </w:rPr>
              <w:t>• Προώθηση της υγείας και της ποιότητας ζωής των κοινοτήτων</w:t>
            </w:r>
          </w:p>
          <w:p w14:paraId="54898F6F" w14:textId="01E4CBF5" w:rsidR="00154AD2" w:rsidRDefault="007F6BF3">
            <w:pPr>
              <w:pStyle w:val="P68B1DB1-Normal8"/>
              <w:spacing w:after="0" w:line="240" w:lineRule="auto"/>
              <w:jc w:val="both"/>
              <w:rPr>
                <w:rFonts w:eastAsia="Times New Roman" w:cs="Calibri"/>
                <w:noProof/>
              </w:rPr>
            </w:pPr>
            <w:r>
              <w:rPr>
                <w:noProof/>
              </w:rPr>
              <w:t>• Φυσική αναβάθμιση του δημόσιου χώρου ή ενίσχυση των κοινωνικών, υγειονομικών, στεγαστικών ή αθλητικών υποδομών</w:t>
            </w:r>
          </w:p>
          <w:p w14:paraId="624EBE3B" w14:textId="4572A9ED" w:rsidR="00154AD2" w:rsidRDefault="007F6BF3">
            <w:pPr>
              <w:pStyle w:val="P68B1DB1-Normal8"/>
              <w:spacing w:after="0" w:line="240" w:lineRule="auto"/>
              <w:jc w:val="both"/>
              <w:rPr>
                <w:rFonts w:eastAsia="Times New Roman" w:cs="Calibri"/>
                <w:noProof/>
              </w:rPr>
            </w:pPr>
            <w:r>
              <w:rPr>
                <w:noProof/>
              </w:rPr>
              <w:t>• Οικονομική αναζωογόνηση των κοινωνικά μειονεκτουσών περιοχών</w:t>
            </w:r>
          </w:p>
          <w:p w14:paraId="5AEDB899" w14:textId="1FE16CD3" w:rsidR="00154AD2" w:rsidRDefault="007F6BF3">
            <w:pPr>
              <w:pStyle w:val="P68B1DB1-Normal8"/>
              <w:spacing w:after="0" w:line="240" w:lineRule="auto"/>
              <w:jc w:val="both"/>
              <w:rPr>
                <w:rFonts w:eastAsia="Times New Roman" w:cs="Calibri"/>
                <w:noProof/>
              </w:rPr>
            </w:pPr>
            <w:r>
              <w:rPr>
                <w:noProof/>
              </w:rPr>
              <w:t>• Επιχειρηματικότητα μικρών, τοπικών επιχειρήσεων</w:t>
            </w:r>
          </w:p>
          <w:p w14:paraId="2618AB0D" w14:textId="60D4AC3E" w:rsidR="00154AD2" w:rsidRDefault="007F6BF3">
            <w:pPr>
              <w:pStyle w:val="P68B1DB1-Normal8"/>
              <w:spacing w:after="0" w:line="240" w:lineRule="auto"/>
              <w:jc w:val="both"/>
              <w:rPr>
                <w:rFonts w:eastAsia="Times New Roman" w:cs="Calibri"/>
                <w:noProof/>
              </w:rPr>
            </w:pPr>
            <w:r>
              <w:rPr>
                <w:noProof/>
              </w:rPr>
              <w:t>• Πρόσβαση στην υγεία, ανάπτυξη της υγείας των κοινοτήτων και καταπολέμηση των εξαρτήσεων</w:t>
            </w:r>
          </w:p>
          <w:p w14:paraId="59E0A48F" w14:textId="2B2BB1BF" w:rsidR="00154AD2" w:rsidRDefault="007F6BF3">
            <w:pPr>
              <w:pStyle w:val="P68B1DB1-Normal8"/>
              <w:spacing w:after="0" w:line="240" w:lineRule="auto"/>
              <w:jc w:val="both"/>
              <w:rPr>
                <w:rFonts w:eastAsia="Times New Roman" w:cs="Calibri"/>
                <w:noProof/>
              </w:rPr>
            </w:pPr>
            <w:r>
              <w:rPr>
                <w:noProof/>
              </w:rPr>
              <w:t>• Προγράμματα ενεργού και υγιούς γήρανσης</w:t>
            </w:r>
          </w:p>
          <w:p w14:paraId="464EC0E8" w14:textId="7A5664FE" w:rsidR="00154AD2" w:rsidRDefault="007F6BF3">
            <w:pPr>
              <w:pStyle w:val="P68B1DB1-Normal8"/>
              <w:spacing w:after="0" w:line="240" w:lineRule="auto"/>
              <w:jc w:val="both"/>
              <w:rPr>
                <w:rFonts w:eastAsia="Times New Roman" w:cs="Calibri"/>
                <w:noProof/>
              </w:rPr>
            </w:pPr>
            <w:r>
              <w:rPr>
                <w:noProof/>
              </w:rPr>
              <w:t>• Έργα για την καταπολέμηση της σχολικής αποτυχίας και της εγκατάλειψης του σχολείου</w:t>
            </w:r>
          </w:p>
          <w:p w14:paraId="5F6D5B68" w14:textId="2CE34C86" w:rsidR="00154AD2" w:rsidRDefault="007F6BF3">
            <w:pPr>
              <w:pStyle w:val="P68B1DB1-Normal8"/>
              <w:spacing w:after="0" w:line="240" w:lineRule="auto"/>
              <w:jc w:val="both"/>
              <w:rPr>
                <w:rFonts w:eastAsia="Times New Roman" w:cs="Calibri"/>
                <w:noProof/>
              </w:rPr>
            </w:pPr>
            <w:r>
              <w:rPr>
                <w:noProof/>
              </w:rPr>
              <w:t>• Προσόντα ενηλίκων και πιστοποίηση δεξιοτήτων</w:t>
            </w:r>
          </w:p>
          <w:p w14:paraId="23C5A42E" w14:textId="572B3615" w:rsidR="00154AD2" w:rsidRDefault="007F6BF3">
            <w:pPr>
              <w:pStyle w:val="P68B1DB1-Normal8"/>
              <w:spacing w:after="0" w:line="240" w:lineRule="auto"/>
              <w:jc w:val="both"/>
              <w:rPr>
                <w:rFonts w:eastAsia="Times New Roman" w:cs="Calibri"/>
                <w:noProof/>
              </w:rPr>
            </w:pPr>
            <w:r>
              <w:rPr>
                <w:noProof/>
              </w:rPr>
              <w:t>• Διάγνωση των αναγκών του πληθυσμού και ανάπτυξη προγραμμάτων γραμματισμού ενηλίκων, εκμάθησης πορτογαλικής γλώσσας και ψηφιακής ένταξης</w:t>
            </w:r>
          </w:p>
          <w:p w14:paraId="2FC6B1C6" w14:textId="707952D2" w:rsidR="00154AD2" w:rsidRDefault="007F6BF3">
            <w:pPr>
              <w:pStyle w:val="P68B1DB1-Normal8"/>
              <w:spacing w:after="0" w:line="240" w:lineRule="auto"/>
              <w:jc w:val="both"/>
              <w:rPr>
                <w:rFonts w:eastAsia="Times New Roman" w:cs="Calibri"/>
                <w:noProof/>
              </w:rPr>
            </w:pPr>
            <w:r>
              <w:rPr>
                <w:noProof/>
              </w:rPr>
              <w:t xml:space="preserve">• Επαγγελματική κατάρτιση και πολιτικές  </w:t>
            </w:r>
          </w:p>
          <w:p w14:paraId="0C19E077" w14:textId="16BBF976" w:rsidR="00154AD2" w:rsidRDefault="007F6BF3">
            <w:pPr>
              <w:pStyle w:val="P68B1DB1-Normal8"/>
              <w:spacing w:after="0" w:line="240" w:lineRule="auto"/>
              <w:jc w:val="both"/>
              <w:rPr>
                <w:rFonts w:eastAsia="Times New Roman" w:cs="Calibri"/>
                <w:noProof/>
              </w:rPr>
            </w:pPr>
            <w:r>
              <w:rPr>
                <w:noProof/>
              </w:rPr>
              <w:t xml:space="preserve">• Πρόσβαση στον πολιτισμό και τη δημιουργικότητα  </w:t>
            </w:r>
          </w:p>
          <w:p w14:paraId="445DE787" w14:textId="15E88B9F" w:rsidR="00154AD2" w:rsidRDefault="007F6BF3">
            <w:pPr>
              <w:pStyle w:val="P68B1DB1-Normal8"/>
              <w:spacing w:after="0" w:line="240" w:lineRule="auto"/>
              <w:jc w:val="both"/>
              <w:rPr>
                <w:rFonts w:eastAsia="Times New Roman" w:cs="Calibri"/>
                <w:noProof/>
              </w:rPr>
            </w:pPr>
            <w:r>
              <w:rPr>
                <w:noProof/>
              </w:rPr>
              <w:t>• Συμμετοχή της Κοινότητας στη διαχείριση του προγράμματος</w:t>
            </w:r>
          </w:p>
          <w:p w14:paraId="1541178C" w14:textId="77FC312E" w:rsidR="00154AD2" w:rsidRDefault="007F6BF3">
            <w:pPr>
              <w:pStyle w:val="P68B1DB1-Normal8"/>
              <w:spacing w:after="0" w:line="240" w:lineRule="auto"/>
              <w:jc w:val="both"/>
              <w:rPr>
                <w:rFonts w:eastAsia="Times New Roman" w:cs="Calibri"/>
                <w:noProof/>
              </w:rPr>
            </w:pPr>
            <w:r>
              <w:rPr>
                <w:noProof/>
              </w:rPr>
              <w:t>• Ενδυνάμωση των τοπικών φορέων στα δίκτυα εταιρικών σχέσεων</w:t>
            </w:r>
          </w:p>
          <w:p w14:paraId="20F7BB6E" w14:textId="58EAC5BB" w:rsidR="00154AD2" w:rsidRDefault="007F6BF3">
            <w:pPr>
              <w:pStyle w:val="P68B1DB1-Normal8"/>
              <w:spacing w:after="0" w:line="240" w:lineRule="auto"/>
              <w:jc w:val="both"/>
              <w:rPr>
                <w:rFonts w:eastAsia="Times New Roman" w:cs="Calibri"/>
                <w:noProof/>
              </w:rPr>
            </w:pPr>
            <w:r>
              <w:rPr>
                <w:noProof/>
              </w:rPr>
              <w:t>• Λύσεις για την καταπολέμηση της φτώχειας και του κοινωνικού αποκλεισμού</w:t>
            </w:r>
          </w:p>
          <w:p w14:paraId="41B06FE0" w14:textId="626AE119" w:rsidR="00154AD2" w:rsidRDefault="007F6BF3">
            <w:pPr>
              <w:pStyle w:val="P68B1DB1-Normal8"/>
              <w:spacing w:after="0" w:line="240" w:lineRule="auto"/>
              <w:jc w:val="both"/>
              <w:rPr>
                <w:rFonts w:eastAsia="Times New Roman" w:cs="Calibri"/>
                <w:noProof/>
              </w:rPr>
            </w:pPr>
            <w:r>
              <w:rPr>
                <w:noProof/>
              </w:rPr>
              <w:t>• Προώθηση του αθλητισμού</w:t>
            </w:r>
          </w:p>
          <w:p w14:paraId="652D8882" w14:textId="77777777" w:rsidR="00154AD2" w:rsidRDefault="007F6BF3">
            <w:pPr>
              <w:pStyle w:val="P68B1DB1-Normal8"/>
              <w:spacing w:after="0" w:line="240" w:lineRule="auto"/>
              <w:jc w:val="both"/>
              <w:rPr>
                <w:rFonts w:eastAsia="Times New Roman" w:cs="Calibri"/>
                <w:noProof/>
              </w:rPr>
            </w:pPr>
            <w:r>
              <w:rPr>
                <w:noProof/>
              </w:rPr>
              <w:t>• Ιθαγένεια και πρόσβαση στα δικαιώματα και συμμετοχή στα κοινά</w:t>
            </w:r>
          </w:p>
          <w:p w14:paraId="394A6176" w14:textId="316BED13" w:rsidR="00154AD2" w:rsidRDefault="00154AD2">
            <w:pPr>
              <w:spacing w:after="0" w:line="240" w:lineRule="auto"/>
              <w:jc w:val="both"/>
              <w:rPr>
                <w:rFonts w:ascii="Calibri" w:eastAsia="Times New Roman" w:hAnsi="Calibri" w:cs="Calibri"/>
                <w:noProof/>
                <w:sz w:val="16"/>
              </w:rPr>
            </w:pPr>
          </w:p>
          <w:p w14:paraId="1472C29A" w14:textId="2ED36D93" w:rsidR="00154AD2" w:rsidRDefault="007F6BF3">
            <w:pPr>
              <w:pStyle w:val="P68B1DB1-Normal8"/>
              <w:spacing w:after="0" w:line="240" w:lineRule="auto"/>
              <w:jc w:val="both"/>
              <w:rPr>
                <w:rFonts w:eastAsia="Times New Roman" w:cs="Calibri"/>
                <w:noProof/>
              </w:rPr>
            </w:pPr>
            <w:r>
              <w:rPr>
                <w:noProof/>
              </w:rPr>
              <w:t>Οι όροι αναφοράς για επικείμενες προσκλήσεις υποβολής έργων περιλαμβάνουν κριτήρια επιλεξιμότητας που διασφαλίζουν ότι τα επιλεγμένα έργα συμμορφώνονται με τις τεχνικές κατευθυντήριες γραμμές για την εφαρμογή της αρχής της «μη πρόκλησης σημαντικής βλάβης» (2021/C58/01) μέσω της χρήσης καταλόγου αποκλεισμού και της απαίτησης συμμόρφωσης με τη σχετική ενωσιακή και εθνική περιβαλλοντική νομοθεσία.</w:t>
            </w:r>
          </w:p>
          <w:p w14:paraId="7E890B92" w14:textId="3B827B04" w:rsidR="00154AD2" w:rsidRDefault="00154AD2">
            <w:pPr>
              <w:spacing w:after="0" w:line="240" w:lineRule="auto"/>
              <w:jc w:val="both"/>
              <w:rPr>
                <w:rFonts w:ascii="Calibri" w:eastAsia="Times New Roman" w:hAnsi="Calibri" w:cs="Calibri"/>
                <w:noProof/>
                <w:sz w:val="2"/>
              </w:rPr>
            </w:pPr>
          </w:p>
        </w:tc>
      </w:tr>
      <w:tr w:rsidR="00154AD2" w14:paraId="4A758E18" w14:textId="77777777">
        <w:trPr>
          <w:trHeight w:val="1610"/>
        </w:trPr>
        <w:tc>
          <w:tcPr>
            <w:tcW w:w="1124" w:type="dxa"/>
            <w:shd w:val="clear" w:color="auto" w:fill="C5EFCE"/>
            <w:vAlign w:val="center"/>
            <w:hideMark/>
          </w:tcPr>
          <w:p w14:paraId="497D6364" w14:textId="77777777" w:rsidR="00154AD2" w:rsidRDefault="007F6BF3">
            <w:pPr>
              <w:pStyle w:val="P68B1DB1-Normal7"/>
              <w:spacing w:after="0" w:line="240" w:lineRule="auto"/>
              <w:jc w:val="center"/>
              <w:rPr>
                <w:rFonts w:eastAsia="Times New Roman" w:cs="Calibri"/>
                <w:noProof/>
              </w:rPr>
            </w:pPr>
            <w:r>
              <w:rPr>
                <w:noProof/>
              </w:rPr>
              <w:t>3.25</w:t>
            </w:r>
          </w:p>
        </w:tc>
        <w:tc>
          <w:tcPr>
            <w:tcW w:w="1143" w:type="dxa"/>
            <w:shd w:val="clear" w:color="auto" w:fill="C4EFCE"/>
            <w:vAlign w:val="center"/>
            <w:hideMark/>
          </w:tcPr>
          <w:p w14:paraId="6A5AD6FB" w14:textId="77777777" w:rsidR="00154AD2" w:rsidRDefault="007F6BF3">
            <w:pPr>
              <w:pStyle w:val="P68B1DB1-Normal8"/>
              <w:spacing w:after="0" w:line="240" w:lineRule="auto"/>
              <w:jc w:val="center"/>
              <w:rPr>
                <w:rFonts w:eastAsia="Times New Roman" w:cs="Calibri"/>
                <w:noProof/>
              </w:rPr>
            </w:pPr>
            <w:r>
              <w:rPr>
                <w:noProof/>
              </w:rPr>
              <w:t>RE-C03-i06</w:t>
            </w:r>
          </w:p>
        </w:tc>
        <w:tc>
          <w:tcPr>
            <w:tcW w:w="982" w:type="dxa"/>
            <w:shd w:val="clear" w:color="auto" w:fill="C4EFCE"/>
            <w:vAlign w:val="center"/>
            <w:hideMark/>
          </w:tcPr>
          <w:p w14:paraId="39F64B5A" w14:textId="77777777" w:rsidR="00154AD2" w:rsidRDefault="007F6BF3">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38B59250" w14:textId="77777777" w:rsidR="00154AD2" w:rsidRDefault="007F6BF3">
            <w:pPr>
              <w:pStyle w:val="P68B1DB1-Normal8"/>
              <w:spacing w:after="0" w:line="240" w:lineRule="auto"/>
              <w:jc w:val="center"/>
              <w:rPr>
                <w:rFonts w:eastAsia="Times New Roman" w:cs="Calibri"/>
                <w:noProof/>
              </w:rPr>
            </w:pPr>
            <w:r>
              <w:rPr>
                <w:noProof/>
              </w:rPr>
              <w:t>Δημοσίευση έκθεσης παρακολούθησης από τις μητροπολιτικές περιοχές του Πόρτο και της Λισαβόνας σχετικά με τα μέτρα που ελήφθησαν σε καθέναν από τους 12 τομείς παρέμβασης.</w:t>
            </w:r>
          </w:p>
        </w:tc>
        <w:tc>
          <w:tcPr>
            <w:tcW w:w="1486" w:type="dxa"/>
            <w:shd w:val="clear" w:color="auto" w:fill="C4EFCE"/>
            <w:vAlign w:val="center"/>
            <w:hideMark/>
          </w:tcPr>
          <w:p w14:paraId="28BAE001" w14:textId="77777777" w:rsidR="00154AD2" w:rsidRDefault="007F6BF3">
            <w:pPr>
              <w:pStyle w:val="P68B1DB1-Normal8"/>
              <w:spacing w:after="0" w:line="240" w:lineRule="auto"/>
              <w:jc w:val="center"/>
              <w:rPr>
                <w:rFonts w:eastAsia="Times New Roman" w:cs="Calibri"/>
                <w:noProof/>
              </w:rPr>
            </w:pPr>
            <w:r>
              <w:rPr>
                <w:noProof/>
              </w:rPr>
              <w:t>Δημοσίευση έκθεσης παρακολούθησης από τις μητροπολιτικές περιοχές του Πόρτο και της Λισαβόνας</w:t>
            </w:r>
          </w:p>
        </w:tc>
        <w:tc>
          <w:tcPr>
            <w:tcW w:w="1014" w:type="dxa"/>
            <w:shd w:val="clear" w:color="auto" w:fill="C4EFCE"/>
            <w:vAlign w:val="center"/>
            <w:hideMark/>
          </w:tcPr>
          <w:p w14:paraId="24305125" w14:textId="77777777" w:rsidR="00154AD2" w:rsidRDefault="007F6BF3">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6CA5B68E" w14:textId="77777777" w:rsidR="00154AD2" w:rsidRDefault="007F6BF3">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2C5955AE" w14:textId="77777777" w:rsidR="00154AD2" w:rsidRDefault="007F6BF3">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7A38C3DB"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845" w:type="dxa"/>
            <w:shd w:val="clear" w:color="auto" w:fill="C4EFCE"/>
            <w:vAlign w:val="center"/>
            <w:hideMark/>
          </w:tcPr>
          <w:p w14:paraId="6EBEABFB" w14:textId="77777777" w:rsidR="00154AD2" w:rsidRDefault="007F6BF3">
            <w:pPr>
              <w:pStyle w:val="P68B1DB1-Normal8"/>
              <w:spacing w:after="0" w:line="240" w:lineRule="auto"/>
              <w:jc w:val="center"/>
              <w:rPr>
                <w:rFonts w:eastAsia="Times New Roman" w:cs="Calibri"/>
                <w:noProof/>
              </w:rPr>
            </w:pPr>
            <w:r>
              <w:rPr>
                <w:noProof/>
              </w:rPr>
              <w:t>2024</w:t>
            </w:r>
          </w:p>
        </w:tc>
        <w:tc>
          <w:tcPr>
            <w:tcW w:w="4277" w:type="dxa"/>
            <w:shd w:val="clear" w:color="auto" w:fill="C4EFCE"/>
            <w:vAlign w:val="center"/>
            <w:hideMark/>
          </w:tcPr>
          <w:p w14:paraId="23D8AD1A" w14:textId="77777777" w:rsidR="00154AD2" w:rsidRDefault="007F6BF3">
            <w:pPr>
              <w:pStyle w:val="P68B1DB1-Normal8"/>
              <w:spacing w:after="0" w:line="240" w:lineRule="auto"/>
              <w:jc w:val="both"/>
              <w:rPr>
                <w:rFonts w:eastAsia="Times New Roman" w:cs="Calibri"/>
                <w:noProof/>
              </w:rPr>
            </w:pPr>
            <w:r>
              <w:rPr>
                <w:noProof/>
              </w:rPr>
              <w:t>Δημοσίευση έκθεσης παρακολούθησης από τις μητροπολιτικές περιοχές του Πόρτο και της Λισαβόνας, στην οποία περιγράφεται η πρόοδος που έχει σημειωθεί στην εφαρμογή των μέτρων που χρηματοδοτούνται από το πρόγραμμα σε κάθε τομέα παρέμβασης, συμπεριλαμβανομένης της εκτέλεσης του προϋπολογισμού και των επιδόσεων σε σχέση με τους δείκτες που έχουν επιλεγεί για κάθε μέτρο.</w:t>
            </w:r>
          </w:p>
        </w:tc>
      </w:tr>
      <w:tr w:rsidR="00154AD2" w14:paraId="729825A9" w14:textId="77777777">
        <w:trPr>
          <w:trHeight w:val="1060"/>
        </w:trPr>
        <w:tc>
          <w:tcPr>
            <w:tcW w:w="1124" w:type="dxa"/>
            <w:shd w:val="clear" w:color="auto" w:fill="C4EFCE"/>
            <w:vAlign w:val="center"/>
            <w:hideMark/>
          </w:tcPr>
          <w:p w14:paraId="1AD90BC8" w14:textId="77777777" w:rsidR="00154AD2" w:rsidRDefault="007F6BF3">
            <w:pPr>
              <w:pStyle w:val="P68B1DB1-Normal7"/>
              <w:spacing w:after="0" w:line="240" w:lineRule="auto"/>
              <w:jc w:val="center"/>
              <w:rPr>
                <w:rFonts w:eastAsia="Times New Roman" w:cs="Calibri"/>
                <w:noProof/>
              </w:rPr>
            </w:pPr>
            <w:r>
              <w:rPr>
                <w:noProof/>
              </w:rPr>
              <w:t>3.26</w:t>
            </w:r>
          </w:p>
        </w:tc>
        <w:tc>
          <w:tcPr>
            <w:tcW w:w="1143" w:type="dxa"/>
            <w:shd w:val="clear" w:color="auto" w:fill="C4EFCE"/>
            <w:vAlign w:val="center"/>
            <w:hideMark/>
          </w:tcPr>
          <w:p w14:paraId="13A5C210" w14:textId="77777777" w:rsidR="00154AD2" w:rsidRDefault="007F6BF3">
            <w:pPr>
              <w:pStyle w:val="P68B1DB1-Normal8"/>
              <w:spacing w:after="0" w:line="240" w:lineRule="auto"/>
              <w:jc w:val="center"/>
              <w:rPr>
                <w:rFonts w:eastAsia="Times New Roman" w:cs="Calibri"/>
                <w:noProof/>
              </w:rPr>
            </w:pPr>
            <w:r>
              <w:rPr>
                <w:noProof/>
              </w:rPr>
              <w:t>RE-C03-i06</w:t>
            </w:r>
          </w:p>
        </w:tc>
        <w:tc>
          <w:tcPr>
            <w:tcW w:w="982" w:type="dxa"/>
            <w:shd w:val="clear" w:color="auto" w:fill="C4EFCE"/>
            <w:vAlign w:val="center"/>
            <w:hideMark/>
          </w:tcPr>
          <w:p w14:paraId="5912A173" w14:textId="77777777" w:rsidR="00154AD2" w:rsidRDefault="007F6BF3">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3AC8971D" w14:textId="77777777" w:rsidR="00154AD2" w:rsidRDefault="007F6BF3">
            <w:pPr>
              <w:pStyle w:val="P68B1DB1-Normal8"/>
              <w:spacing w:after="0" w:line="240" w:lineRule="auto"/>
              <w:jc w:val="center"/>
              <w:rPr>
                <w:rFonts w:eastAsia="Times New Roman" w:cs="Calibri"/>
                <w:noProof/>
              </w:rPr>
            </w:pPr>
            <w:r>
              <w:rPr>
                <w:noProof/>
              </w:rPr>
              <w:t>Πλήρης υλοποίηση τουλάχιστον του 90 % των μέτρων</w:t>
            </w:r>
          </w:p>
        </w:tc>
        <w:tc>
          <w:tcPr>
            <w:tcW w:w="1486" w:type="dxa"/>
            <w:shd w:val="clear" w:color="auto" w:fill="C4EFCE"/>
            <w:vAlign w:val="center"/>
            <w:hideMark/>
          </w:tcPr>
          <w:p w14:paraId="3C5A0150" w14:textId="77777777" w:rsidR="00154AD2" w:rsidRDefault="007F6BF3">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63F1225E" w14:textId="77777777" w:rsidR="00154AD2" w:rsidRDefault="007F6BF3">
            <w:pPr>
              <w:pStyle w:val="P68B1DB1-Normal8"/>
              <w:spacing w:after="0" w:line="240" w:lineRule="auto"/>
              <w:jc w:val="center"/>
              <w:rPr>
                <w:rFonts w:eastAsia="Times New Roman" w:cs="Calibri"/>
                <w:noProof/>
              </w:rPr>
            </w:pPr>
            <w:r>
              <w:rPr>
                <w:noProof/>
              </w:rPr>
              <w:t>%</w:t>
            </w:r>
          </w:p>
        </w:tc>
        <w:tc>
          <w:tcPr>
            <w:tcW w:w="1014" w:type="dxa"/>
            <w:shd w:val="clear" w:color="auto" w:fill="C4EFCE"/>
            <w:vAlign w:val="center"/>
            <w:hideMark/>
          </w:tcPr>
          <w:p w14:paraId="34C054DA" w14:textId="77777777" w:rsidR="00154AD2" w:rsidRDefault="007F6BF3">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51840DD4" w14:textId="77777777" w:rsidR="00154AD2" w:rsidRDefault="007F6BF3">
            <w:pPr>
              <w:pStyle w:val="P68B1DB1-Normal8"/>
              <w:spacing w:after="0" w:line="240" w:lineRule="auto"/>
              <w:jc w:val="center"/>
              <w:rPr>
                <w:rFonts w:eastAsia="Times New Roman" w:cs="Calibri"/>
                <w:noProof/>
              </w:rPr>
            </w:pPr>
            <w:r>
              <w:rPr>
                <w:noProof/>
              </w:rPr>
              <w:t>90</w:t>
            </w:r>
          </w:p>
        </w:tc>
        <w:tc>
          <w:tcPr>
            <w:tcW w:w="680" w:type="dxa"/>
            <w:shd w:val="clear" w:color="auto" w:fill="C4EFCE"/>
            <w:vAlign w:val="center"/>
            <w:hideMark/>
          </w:tcPr>
          <w:p w14:paraId="521367AA"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845" w:type="dxa"/>
            <w:shd w:val="clear" w:color="auto" w:fill="C4EFCE"/>
            <w:vAlign w:val="center"/>
            <w:hideMark/>
          </w:tcPr>
          <w:p w14:paraId="4D7CC2F1" w14:textId="77777777" w:rsidR="00154AD2" w:rsidRDefault="007F6BF3">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464F7DC1" w14:textId="77777777" w:rsidR="00154AD2" w:rsidRDefault="007F6BF3">
            <w:pPr>
              <w:pStyle w:val="P68B1DB1-Normal8"/>
              <w:spacing w:after="0" w:line="240" w:lineRule="auto"/>
              <w:jc w:val="both"/>
              <w:rPr>
                <w:rFonts w:eastAsia="Times New Roman" w:cs="Calibri"/>
                <w:noProof/>
              </w:rPr>
            </w:pPr>
            <w:r>
              <w:rPr>
                <w:noProof/>
              </w:rPr>
              <w:t>Πλήρης εφαρμογή τουλάχιστον του 90 % των μέτρων που συμφωνήθηκαν στις συμφωνίες που υπογράφηκαν για τους 12 τομείς παρέμβασης, για προϋπολογισμό που εκτελέστηκε τουλάχιστον 225 000 000 EUR.</w:t>
            </w:r>
          </w:p>
        </w:tc>
      </w:tr>
      <w:tr w:rsidR="00154AD2" w14:paraId="4DC276BA" w14:textId="77777777">
        <w:trPr>
          <w:trHeight w:val="1060"/>
        </w:trPr>
        <w:tc>
          <w:tcPr>
            <w:tcW w:w="1124" w:type="dxa"/>
            <w:shd w:val="clear" w:color="auto" w:fill="C4EFCE"/>
            <w:vAlign w:val="center"/>
          </w:tcPr>
          <w:p w14:paraId="4507E8E2" w14:textId="4B98B2CA" w:rsidR="00154AD2" w:rsidRDefault="007F6BF3">
            <w:pPr>
              <w:pStyle w:val="P68B1DB1-Normal11"/>
              <w:spacing w:after="0" w:line="240" w:lineRule="auto"/>
              <w:jc w:val="center"/>
              <w:rPr>
                <w:rFonts w:eastAsia="Times New Roman" w:cstheme="minorHAnsi"/>
                <w:noProof/>
              </w:rPr>
            </w:pPr>
            <w:r>
              <w:rPr>
                <w:noProof/>
              </w:rPr>
              <w:t>3.28</w:t>
            </w:r>
          </w:p>
        </w:tc>
        <w:tc>
          <w:tcPr>
            <w:tcW w:w="1143" w:type="dxa"/>
            <w:shd w:val="clear" w:color="auto" w:fill="C4EFCE"/>
            <w:vAlign w:val="center"/>
          </w:tcPr>
          <w:p w14:paraId="5B7E0077" w14:textId="4E1DBF5D" w:rsidR="00154AD2" w:rsidRDefault="007F6BF3">
            <w:pPr>
              <w:pStyle w:val="P68B1DB1-Normal12"/>
              <w:spacing w:after="0" w:line="240" w:lineRule="auto"/>
              <w:jc w:val="center"/>
              <w:rPr>
                <w:rFonts w:eastAsia="Times New Roman"/>
                <w:noProof/>
              </w:rPr>
            </w:pPr>
            <w:r>
              <w:rPr>
                <w:noProof/>
              </w:rPr>
              <w:t>RE-03-i07-RAA</w:t>
            </w:r>
          </w:p>
        </w:tc>
        <w:tc>
          <w:tcPr>
            <w:tcW w:w="982" w:type="dxa"/>
            <w:shd w:val="clear" w:color="auto" w:fill="C4EFCE"/>
            <w:vAlign w:val="center"/>
          </w:tcPr>
          <w:p w14:paraId="0BE4B152" w14:textId="6BC582B8" w:rsidR="00154AD2" w:rsidRDefault="007F6BF3">
            <w:pPr>
              <w:pStyle w:val="P68B1DB1-Normal12"/>
              <w:spacing w:after="0" w:line="240" w:lineRule="auto"/>
              <w:jc w:val="center"/>
              <w:rPr>
                <w:rFonts w:eastAsia="Times New Roman" w:cstheme="minorHAnsi"/>
                <w:noProof/>
              </w:rPr>
            </w:pPr>
            <w:r>
              <w:rPr>
                <w:noProof/>
              </w:rPr>
              <w:t>T</w:t>
            </w:r>
          </w:p>
        </w:tc>
        <w:tc>
          <w:tcPr>
            <w:tcW w:w="1740" w:type="dxa"/>
            <w:shd w:val="clear" w:color="auto" w:fill="C4EFCE"/>
            <w:vAlign w:val="center"/>
          </w:tcPr>
          <w:p w14:paraId="5F735354" w14:textId="27282FEA" w:rsidR="00154AD2" w:rsidRDefault="007F6BF3">
            <w:pPr>
              <w:pStyle w:val="P68B1DB1-Normal12"/>
              <w:spacing w:after="0" w:line="240" w:lineRule="auto"/>
              <w:jc w:val="center"/>
              <w:rPr>
                <w:rFonts w:eastAsia="Times New Roman" w:cstheme="minorHAnsi"/>
                <w:noProof/>
              </w:rPr>
            </w:pPr>
            <w:r>
              <w:rPr>
                <w:noProof/>
              </w:rPr>
              <w:t>Διευρυμένες ή ανακαινισμένες θέσεις σε οίκους ευγηρίας</w:t>
            </w:r>
          </w:p>
        </w:tc>
        <w:tc>
          <w:tcPr>
            <w:tcW w:w="1486" w:type="dxa"/>
            <w:shd w:val="clear" w:color="auto" w:fill="C4EFCE"/>
            <w:vAlign w:val="center"/>
          </w:tcPr>
          <w:p w14:paraId="6650B4B9" w14:textId="77777777" w:rsidR="00154AD2" w:rsidRDefault="00154AD2">
            <w:pPr>
              <w:spacing w:after="0" w:line="240" w:lineRule="auto"/>
              <w:jc w:val="center"/>
              <w:rPr>
                <w:rFonts w:eastAsia="Times New Roman" w:cstheme="minorHAnsi"/>
                <w:noProof/>
                <w:sz w:val="16"/>
              </w:rPr>
            </w:pPr>
          </w:p>
        </w:tc>
        <w:tc>
          <w:tcPr>
            <w:tcW w:w="1014" w:type="dxa"/>
            <w:shd w:val="clear" w:color="auto" w:fill="C4EFCE"/>
            <w:vAlign w:val="center"/>
          </w:tcPr>
          <w:p w14:paraId="41321D09" w14:textId="260F65A8" w:rsidR="00154AD2" w:rsidRDefault="007F6BF3">
            <w:pPr>
              <w:pStyle w:val="P68B1DB1-Normal12"/>
              <w:spacing w:after="0" w:line="240" w:lineRule="auto"/>
              <w:jc w:val="center"/>
              <w:rPr>
                <w:rFonts w:eastAsia="Times New Roman" w:cstheme="minorHAnsi"/>
                <w:noProof/>
              </w:rPr>
            </w:pPr>
            <w:r>
              <w:rPr>
                <w:noProof/>
              </w:rPr>
              <w:t>Αριθμός</w:t>
            </w:r>
          </w:p>
        </w:tc>
        <w:tc>
          <w:tcPr>
            <w:tcW w:w="1014" w:type="dxa"/>
            <w:shd w:val="clear" w:color="auto" w:fill="C4EFCE"/>
            <w:vAlign w:val="center"/>
          </w:tcPr>
          <w:p w14:paraId="3A90B777" w14:textId="37BB98B3" w:rsidR="00154AD2" w:rsidRDefault="007F6BF3">
            <w:pPr>
              <w:pStyle w:val="P68B1DB1-Normal12"/>
              <w:spacing w:after="0" w:line="240" w:lineRule="auto"/>
              <w:jc w:val="center"/>
              <w:rPr>
                <w:rFonts w:eastAsia="Times New Roman" w:cstheme="minorHAnsi"/>
                <w:noProof/>
              </w:rPr>
            </w:pPr>
            <w:r>
              <w:rPr>
                <w:noProof/>
              </w:rPr>
              <w:t>0</w:t>
            </w:r>
          </w:p>
        </w:tc>
        <w:tc>
          <w:tcPr>
            <w:tcW w:w="882" w:type="dxa"/>
            <w:shd w:val="clear" w:color="auto" w:fill="C4EFCE"/>
            <w:vAlign w:val="center"/>
          </w:tcPr>
          <w:p w14:paraId="5CDB17DC" w14:textId="772002B1" w:rsidR="00154AD2" w:rsidRDefault="007F6BF3">
            <w:pPr>
              <w:pStyle w:val="P68B1DB1-Normal12"/>
              <w:spacing w:after="0" w:line="240" w:lineRule="auto"/>
              <w:jc w:val="center"/>
              <w:rPr>
                <w:rFonts w:eastAsia="Times New Roman" w:cstheme="minorHAnsi"/>
                <w:noProof/>
              </w:rPr>
            </w:pPr>
            <w:r>
              <w:rPr>
                <w:noProof/>
              </w:rPr>
              <w:t>91</w:t>
            </w:r>
          </w:p>
        </w:tc>
        <w:tc>
          <w:tcPr>
            <w:tcW w:w="680" w:type="dxa"/>
            <w:shd w:val="clear" w:color="auto" w:fill="C4EFCE"/>
            <w:vAlign w:val="center"/>
          </w:tcPr>
          <w:p w14:paraId="5C2F45A3" w14:textId="06EC7B74" w:rsidR="00154AD2" w:rsidRDefault="007F6BF3">
            <w:pPr>
              <w:pStyle w:val="P68B1DB1-Normal12"/>
              <w:spacing w:after="0" w:line="240" w:lineRule="auto"/>
              <w:jc w:val="center"/>
              <w:rPr>
                <w:rFonts w:eastAsia="Times New Roman" w:cstheme="minorHAnsi"/>
                <w:noProof/>
              </w:rPr>
            </w:pPr>
            <w:r>
              <w:rPr>
                <w:noProof/>
              </w:rPr>
              <w:t>ΤΡΊΜΗΝΟ 1</w:t>
            </w:r>
          </w:p>
        </w:tc>
        <w:tc>
          <w:tcPr>
            <w:tcW w:w="845" w:type="dxa"/>
            <w:shd w:val="clear" w:color="auto" w:fill="C4EFCE"/>
            <w:vAlign w:val="center"/>
          </w:tcPr>
          <w:p w14:paraId="1C8F5B94" w14:textId="3948B69B" w:rsidR="00154AD2" w:rsidRDefault="007F6BF3">
            <w:pPr>
              <w:pStyle w:val="P68B1DB1-Normal12"/>
              <w:spacing w:after="0" w:line="240" w:lineRule="auto"/>
              <w:jc w:val="center"/>
              <w:rPr>
                <w:rFonts w:eastAsia="Times New Roman" w:cstheme="minorHAnsi"/>
                <w:noProof/>
              </w:rPr>
            </w:pPr>
            <w:r>
              <w:rPr>
                <w:noProof/>
              </w:rPr>
              <w:t>2026</w:t>
            </w:r>
          </w:p>
        </w:tc>
        <w:tc>
          <w:tcPr>
            <w:tcW w:w="4277" w:type="dxa"/>
            <w:shd w:val="clear" w:color="auto" w:fill="C4EFCE"/>
          </w:tcPr>
          <w:p w14:paraId="42B8FCAE" w14:textId="3605253D" w:rsidR="00154AD2" w:rsidRDefault="007F6BF3">
            <w:pPr>
              <w:pStyle w:val="P68B1DB1-Normal12"/>
              <w:spacing w:after="0" w:line="240" w:lineRule="auto"/>
              <w:jc w:val="both"/>
              <w:rPr>
                <w:rFonts w:eastAsia="Times New Roman" w:cstheme="minorHAnsi"/>
                <w:noProof/>
              </w:rPr>
            </w:pPr>
            <w:r>
              <w:rPr>
                <w:noProof/>
              </w:rPr>
              <w:t xml:space="preserve">Αριθμός θέσεων σε οίκους ευγηρίας (ERPIs) που επεκτάθηκαν ή ανακαινίστηκαν στην Αυτόνομη Περιφέρεια Αζορών. </w:t>
            </w:r>
            <w:r>
              <w:rPr>
                <w:noProof/>
              </w:rPr>
              <w:br/>
              <w:t>Σε περίπτωση κατασκευής νέων κτιρίων, τα νέα κτίρια έχουν ζήτηση πρωτογενούς ενέργειας τουλάχιστον 20 % χαμηλότερη από τις απαιτήσεις των κτιρίων με σχεδόν μηδενική κατανάλωση ενέργειας.</w:t>
            </w:r>
          </w:p>
        </w:tc>
      </w:tr>
      <w:tr w:rsidR="00154AD2" w14:paraId="51E16407" w14:textId="77777777">
        <w:trPr>
          <w:trHeight w:val="1060"/>
        </w:trPr>
        <w:tc>
          <w:tcPr>
            <w:tcW w:w="1124" w:type="dxa"/>
            <w:shd w:val="clear" w:color="auto" w:fill="C4EFCE"/>
            <w:vAlign w:val="center"/>
          </w:tcPr>
          <w:p w14:paraId="31ECAE86" w14:textId="3C0FD4B9" w:rsidR="00154AD2" w:rsidRDefault="007F6BF3">
            <w:pPr>
              <w:pStyle w:val="P68B1DB1-Normal11"/>
              <w:spacing w:after="0" w:line="240" w:lineRule="auto"/>
              <w:jc w:val="center"/>
              <w:rPr>
                <w:rFonts w:cstheme="minorHAnsi"/>
                <w:noProof/>
              </w:rPr>
            </w:pPr>
            <w:r>
              <w:rPr>
                <w:noProof/>
              </w:rPr>
              <w:t>3.29</w:t>
            </w:r>
          </w:p>
        </w:tc>
        <w:tc>
          <w:tcPr>
            <w:tcW w:w="1143" w:type="dxa"/>
            <w:shd w:val="clear" w:color="auto" w:fill="C4EFCE"/>
            <w:vAlign w:val="center"/>
          </w:tcPr>
          <w:p w14:paraId="5FF028A3" w14:textId="7F4C3916" w:rsidR="00154AD2" w:rsidRDefault="007F6BF3">
            <w:pPr>
              <w:pStyle w:val="P68B1DB1-Normal12"/>
              <w:spacing w:after="0" w:line="240" w:lineRule="auto"/>
              <w:jc w:val="center"/>
              <w:rPr>
                <w:rFonts w:cstheme="minorHAnsi"/>
                <w:noProof/>
              </w:rPr>
            </w:pPr>
            <w:r>
              <w:rPr>
                <w:noProof/>
              </w:rPr>
              <w:t>RE-C03-r38</w:t>
            </w:r>
          </w:p>
        </w:tc>
        <w:tc>
          <w:tcPr>
            <w:tcW w:w="982" w:type="dxa"/>
            <w:shd w:val="clear" w:color="auto" w:fill="C4EFCE"/>
            <w:vAlign w:val="center"/>
          </w:tcPr>
          <w:p w14:paraId="1B53ECE1" w14:textId="6640AC21" w:rsidR="00154AD2" w:rsidRDefault="007F6BF3">
            <w:pPr>
              <w:pStyle w:val="P68B1DB1-Normal12"/>
              <w:spacing w:after="0" w:line="240" w:lineRule="auto"/>
              <w:jc w:val="center"/>
              <w:rPr>
                <w:rFonts w:cstheme="minorHAnsi"/>
                <w:noProof/>
              </w:rPr>
            </w:pPr>
            <w:r>
              <w:rPr>
                <w:noProof/>
              </w:rPr>
              <w:t>M</w:t>
            </w:r>
          </w:p>
        </w:tc>
        <w:tc>
          <w:tcPr>
            <w:tcW w:w="1740" w:type="dxa"/>
            <w:shd w:val="clear" w:color="auto" w:fill="C4EFCE"/>
            <w:vAlign w:val="center"/>
          </w:tcPr>
          <w:p w14:paraId="7DB32A48" w14:textId="5A1867D2" w:rsidR="00154AD2" w:rsidRDefault="007F6BF3">
            <w:pPr>
              <w:pStyle w:val="P68B1DB1-Normal12"/>
              <w:spacing w:after="0" w:line="240" w:lineRule="auto"/>
              <w:jc w:val="center"/>
              <w:rPr>
                <w:rFonts w:cstheme="minorHAnsi"/>
                <w:noProof/>
              </w:rPr>
            </w:pPr>
            <w:r>
              <w:rPr>
                <w:noProof/>
              </w:rPr>
              <w:t>Έκθεση της ομάδας εργασίας για το ενιαίο κοινωνικό επίδομα</w:t>
            </w:r>
          </w:p>
        </w:tc>
        <w:tc>
          <w:tcPr>
            <w:tcW w:w="1486" w:type="dxa"/>
            <w:shd w:val="clear" w:color="auto" w:fill="C4EFCE"/>
            <w:vAlign w:val="center"/>
          </w:tcPr>
          <w:p w14:paraId="5D6A1559" w14:textId="7553CA76" w:rsidR="00154AD2" w:rsidRDefault="007F6BF3">
            <w:pPr>
              <w:pStyle w:val="P68B1DB1-Normal12"/>
              <w:spacing w:after="0" w:line="240" w:lineRule="auto"/>
              <w:jc w:val="center"/>
              <w:rPr>
                <w:rFonts w:eastAsia="Times New Roman" w:cstheme="minorHAnsi"/>
                <w:noProof/>
              </w:rPr>
            </w:pPr>
            <w:r>
              <w:rPr>
                <w:noProof/>
              </w:rPr>
              <w:t xml:space="preserve">Δημοσίευση της έκθεσης της ομάδας εργασίας για το ενιαίο κοινωνικό επίδομα </w:t>
            </w:r>
          </w:p>
        </w:tc>
        <w:tc>
          <w:tcPr>
            <w:tcW w:w="1014" w:type="dxa"/>
            <w:shd w:val="clear" w:color="auto" w:fill="C4EFCE"/>
            <w:vAlign w:val="center"/>
          </w:tcPr>
          <w:p w14:paraId="49C1E7A6" w14:textId="77777777" w:rsidR="00154AD2" w:rsidRDefault="00154AD2">
            <w:pPr>
              <w:spacing w:after="0" w:line="240" w:lineRule="auto"/>
              <w:jc w:val="center"/>
              <w:rPr>
                <w:rFonts w:cstheme="minorHAnsi"/>
                <w:noProof/>
                <w:sz w:val="16"/>
              </w:rPr>
            </w:pPr>
          </w:p>
        </w:tc>
        <w:tc>
          <w:tcPr>
            <w:tcW w:w="1014" w:type="dxa"/>
            <w:shd w:val="clear" w:color="auto" w:fill="C4EFCE"/>
            <w:vAlign w:val="center"/>
          </w:tcPr>
          <w:p w14:paraId="2EE0AFDC" w14:textId="77777777" w:rsidR="00154AD2" w:rsidRDefault="00154AD2">
            <w:pPr>
              <w:spacing w:after="0" w:line="240" w:lineRule="auto"/>
              <w:jc w:val="center"/>
              <w:rPr>
                <w:rFonts w:cstheme="minorHAnsi"/>
                <w:noProof/>
                <w:sz w:val="16"/>
              </w:rPr>
            </w:pPr>
          </w:p>
        </w:tc>
        <w:tc>
          <w:tcPr>
            <w:tcW w:w="882" w:type="dxa"/>
            <w:shd w:val="clear" w:color="auto" w:fill="C4EFCE"/>
            <w:vAlign w:val="center"/>
          </w:tcPr>
          <w:p w14:paraId="7CC75B9E" w14:textId="77777777" w:rsidR="00154AD2" w:rsidRDefault="00154AD2">
            <w:pPr>
              <w:spacing w:after="0" w:line="240" w:lineRule="auto"/>
              <w:jc w:val="center"/>
              <w:rPr>
                <w:rFonts w:cstheme="minorHAnsi"/>
                <w:noProof/>
                <w:sz w:val="16"/>
              </w:rPr>
            </w:pPr>
          </w:p>
        </w:tc>
        <w:tc>
          <w:tcPr>
            <w:tcW w:w="680" w:type="dxa"/>
            <w:shd w:val="clear" w:color="auto" w:fill="C4EFCE"/>
            <w:vAlign w:val="center"/>
          </w:tcPr>
          <w:p w14:paraId="0712AE4B" w14:textId="2A8B15A4" w:rsidR="00154AD2" w:rsidRDefault="007F6BF3">
            <w:pPr>
              <w:pStyle w:val="P68B1DB1-Normal12"/>
              <w:spacing w:after="0" w:line="240" w:lineRule="auto"/>
              <w:jc w:val="center"/>
              <w:rPr>
                <w:rFonts w:cstheme="minorHAnsi"/>
                <w:noProof/>
              </w:rPr>
            </w:pPr>
            <w:r>
              <w:rPr>
                <w:noProof/>
              </w:rPr>
              <w:t>ΤΡΊΜΗΝΟ 1</w:t>
            </w:r>
          </w:p>
        </w:tc>
        <w:tc>
          <w:tcPr>
            <w:tcW w:w="845" w:type="dxa"/>
            <w:shd w:val="clear" w:color="auto" w:fill="C4EFCE"/>
            <w:vAlign w:val="center"/>
          </w:tcPr>
          <w:p w14:paraId="72B52A51" w14:textId="34CA0953" w:rsidR="00154AD2" w:rsidRDefault="007F6BF3">
            <w:pPr>
              <w:pStyle w:val="P68B1DB1-Normal12"/>
              <w:spacing w:after="0" w:line="240" w:lineRule="auto"/>
              <w:jc w:val="center"/>
              <w:rPr>
                <w:rFonts w:cstheme="minorHAnsi"/>
                <w:noProof/>
              </w:rPr>
            </w:pPr>
            <w:r>
              <w:rPr>
                <w:noProof/>
              </w:rPr>
              <w:t>2025</w:t>
            </w:r>
          </w:p>
        </w:tc>
        <w:tc>
          <w:tcPr>
            <w:tcW w:w="4277" w:type="dxa"/>
            <w:shd w:val="clear" w:color="auto" w:fill="C4EFCE"/>
          </w:tcPr>
          <w:p w14:paraId="2B2552AC" w14:textId="033FBD53" w:rsidR="00154AD2" w:rsidRDefault="007F6BF3">
            <w:pPr>
              <w:pStyle w:val="P68B1DB1-Normal12"/>
              <w:spacing w:after="0" w:line="240" w:lineRule="auto"/>
              <w:jc w:val="both"/>
              <w:rPr>
                <w:rFonts w:cstheme="minorHAnsi"/>
                <w:noProof/>
              </w:rPr>
            </w:pPr>
            <w:r>
              <w:rPr>
                <w:noProof/>
              </w:rPr>
              <w:t>Δημοσίευση της έκθεσης της ομάδας εργασίας για το Ενιαίο Κοινωνικό Παροχές, η οποία περιέχει τα κύρια στοιχεία του σχεδιασμού και της επίσημης εφαρμογής του. Η έκθεση περιλαμβάνει εκτίμηση των επιπτώσεών της στην κάλυψη, το επίπεδο επάρκειας και αποτελεσματικότητας, μεταξύ άλλων σε πτυχές όπως η πρόληψη των αλληλεπικαλύψεων, η κάλυψη των κενών στην κοινωνική προστασία και η βελτίωση των επιπέδων απορρόφησης.</w:t>
            </w:r>
          </w:p>
        </w:tc>
      </w:tr>
      <w:tr w:rsidR="00154AD2" w14:paraId="320C179B" w14:textId="77777777">
        <w:trPr>
          <w:trHeight w:val="1060"/>
        </w:trPr>
        <w:tc>
          <w:tcPr>
            <w:tcW w:w="1124" w:type="dxa"/>
            <w:shd w:val="clear" w:color="auto" w:fill="C4EFCE"/>
            <w:vAlign w:val="center"/>
          </w:tcPr>
          <w:p w14:paraId="6DED1EC3" w14:textId="46609D91" w:rsidR="00154AD2" w:rsidRDefault="007F6BF3">
            <w:pPr>
              <w:pStyle w:val="P68B1DB1-Normal11"/>
              <w:spacing w:after="0" w:line="240" w:lineRule="auto"/>
              <w:jc w:val="center"/>
              <w:rPr>
                <w:rFonts w:cstheme="minorHAnsi"/>
                <w:noProof/>
              </w:rPr>
            </w:pPr>
            <w:r>
              <w:rPr>
                <w:noProof/>
              </w:rPr>
              <w:t>3.30</w:t>
            </w:r>
          </w:p>
        </w:tc>
        <w:tc>
          <w:tcPr>
            <w:tcW w:w="1143" w:type="dxa"/>
            <w:shd w:val="clear" w:color="auto" w:fill="C4EFCE"/>
            <w:vAlign w:val="center"/>
          </w:tcPr>
          <w:p w14:paraId="3CC2208B" w14:textId="71329F96" w:rsidR="00154AD2" w:rsidRDefault="007F6BF3">
            <w:pPr>
              <w:pStyle w:val="P68B1DB1-Normal12"/>
              <w:spacing w:after="0" w:line="240" w:lineRule="auto"/>
              <w:jc w:val="center"/>
              <w:rPr>
                <w:rFonts w:cstheme="minorHAnsi"/>
                <w:noProof/>
              </w:rPr>
            </w:pPr>
            <w:r>
              <w:rPr>
                <w:noProof/>
              </w:rPr>
              <w:t>RE-C03-r38</w:t>
            </w:r>
          </w:p>
        </w:tc>
        <w:tc>
          <w:tcPr>
            <w:tcW w:w="982" w:type="dxa"/>
            <w:shd w:val="clear" w:color="auto" w:fill="C4EFCE"/>
            <w:vAlign w:val="center"/>
          </w:tcPr>
          <w:p w14:paraId="7E673827" w14:textId="115241B8" w:rsidR="00154AD2" w:rsidRDefault="007F6BF3">
            <w:pPr>
              <w:pStyle w:val="P68B1DB1-Normal12"/>
              <w:spacing w:after="0" w:line="240" w:lineRule="auto"/>
              <w:jc w:val="center"/>
              <w:rPr>
                <w:rFonts w:cstheme="minorHAnsi"/>
                <w:noProof/>
              </w:rPr>
            </w:pPr>
            <w:r>
              <w:rPr>
                <w:noProof/>
              </w:rPr>
              <w:t>M</w:t>
            </w:r>
          </w:p>
        </w:tc>
        <w:tc>
          <w:tcPr>
            <w:tcW w:w="1740" w:type="dxa"/>
            <w:shd w:val="clear" w:color="auto" w:fill="C4EFCE"/>
            <w:vAlign w:val="center"/>
          </w:tcPr>
          <w:p w14:paraId="58E23131" w14:textId="741F88C0" w:rsidR="00154AD2" w:rsidRDefault="007F6BF3">
            <w:pPr>
              <w:pStyle w:val="P68B1DB1-Normal12"/>
              <w:spacing w:after="0" w:line="240" w:lineRule="auto"/>
              <w:jc w:val="center"/>
              <w:rPr>
                <w:noProof/>
              </w:rPr>
            </w:pPr>
            <w:r>
              <w:rPr>
                <w:noProof/>
              </w:rPr>
              <w:t xml:space="preserve">Έναρξη ισχύος του Ενιαίου Κοινωνικού Παροχής (στο πλαίσιο του συστήματος κοινωνικής προστασίας του πολίτη) και του Κώδικα Κοινωνικών Παροχών </w:t>
            </w:r>
          </w:p>
        </w:tc>
        <w:tc>
          <w:tcPr>
            <w:tcW w:w="1486" w:type="dxa"/>
            <w:shd w:val="clear" w:color="auto" w:fill="C4EFCE"/>
            <w:vAlign w:val="center"/>
          </w:tcPr>
          <w:p w14:paraId="78861CE8" w14:textId="020506AF" w:rsidR="00154AD2" w:rsidRDefault="007F6BF3">
            <w:pPr>
              <w:pStyle w:val="P68B1DB1-Normal12"/>
              <w:spacing w:after="0" w:line="240" w:lineRule="auto"/>
              <w:jc w:val="center"/>
              <w:rPr>
                <w:rFonts w:eastAsia="Times New Roman" w:cstheme="minorHAnsi"/>
                <w:noProof/>
              </w:rPr>
            </w:pPr>
            <w:r>
              <w:rPr>
                <w:noProof/>
              </w:rPr>
              <w:t xml:space="preserve">Διάταξη της νομοθεσίας που αναφέρει την έναρξη ισχύος των νομοθεσιών </w:t>
            </w:r>
          </w:p>
        </w:tc>
        <w:tc>
          <w:tcPr>
            <w:tcW w:w="1014" w:type="dxa"/>
            <w:shd w:val="clear" w:color="auto" w:fill="C4EFCE"/>
            <w:vAlign w:val="center"/>
          </w:tcPr>
          <w:p w14:paraId="4C0FF700" w14:textId="77777777" w:rsidR="00154AD2" w:rsidRDefault="00154AD2">
            <w:pPr>
              <w:spacing w:after="0" w:line="240" w:lineRule="auto"/>
              <w:jc w:val="center"/>
              <w:rPr>
                <w:rFonts w:cstheme="minorHAnsi"/>
                <w:noProof/>
                <w:sz w:val="16"/>
              </w:rPr>
            </w:pPr>
          </w:p>
        </w:tc>
        <w:tc>
          <w:tcPr>
            <w:tcW w:w="1014" w:type="dxa"/>
            <w:shd w:val="clear" w:color="auto" w:fill="C4EFCE"/>
            <w:vAlign w:val="center"/>
          </w:tcPr>
          <w:p w14:paraId="1B83AB9F" w14:textId="77777777" w:rsidR="00154AD2" w:rsidRDefault="00154AD2">
            <w:pPr>
              <w:spacing w:after="0" w:line="240" w:lineRule="auto"/>
              <w:jc w:val="center"/>
              <w:rPr>
                <w:rFonts w:cstheme="minorHAnsi"/>
                <w:noProof/>
                <w:sz w:val="16"/>
              </w:rPr>
            </w:pPr>
          </w:p>
        </w:tc>
        <w:tc>
          <w:tcPr>
            <w:tcW w:w="882" w:type="dxa"/>
            <w:shd w:val="clear" w:color="auto" w:fill="C4EFCE"/>
            <w:vAlign w:val="center"/>
          </w:tcPr>
          <w:p w14:paraId="255BA677" w14:textId="77777777" w:rsidR="00154AD2" w:rsidRDefault="00154AD2">
            <w:pPr>
              <w:spacing w:after="0" w:line="240" w:lineRule="auto"/>
              <w:jc w:val="center"/>
              <w:rPr>
                <w:rFonts w:cstheme="minorHAnsi"/>
                <w:noProof/>
                <w:sz w:val="16"/>
              </w:rPr>
            </w:pPr>
          </w:p>
        </w:tc>
        <w:tc>
          <w:tcPr>
            <w:tcW w:w="680" w:type="dxa"/>
            <w:shd w:val="clear" w:color="auto" w:fill="C4EFCE"/>
            <w:vAlign w:val="center"/>
          </w:tcPr>
          <w:p w14:paraId="480DE372" w14:textId="1647FFAA" w:rsidR="00154AD2" w:rsidRDefault="007F6BF3">
            <w:pPr>
              <w:pStyle w:val="P68B1DB1-Normal12"/>
              <w:spacing w:after="0" w:line="240" w:lineRule="auto"/>
              <w:jc w:val="center"/>
              <w:rPr>
                <w:rFonts w:cstheme="minorHAnsi"/>
                <w:noProof/>
              </w:rPr>
            </w:pPr>
            <w:r>
              <w:rPr>
                <w:noProof/>
              </w:rPr>
              <w:t>ΤΡΊΜΗΝΟ 2</w:t>
            </w:r>
          </w:p>
        </w:tc>
        <w:tc>
          <w:tcPr>
            <w:tcW w:w="845" w:type="dxa"/>
            <w:shd w:val="clear" w:color="auto" w:fill="C4EFCE"/>
            <w:vAlign w:val="center"/>
          </w:tcPr>
          <w:p w14:paraId="57DB5970" w14:textId="6327CAC3" w:rsidR="00154AD2" w:rsidRDefault="007F6BF3">
            <w:pPr>
              <w:pStyle w:val="P68B1DB1-Normal12"/>
              <w:spacing w:after="0" w:line="240" w:lineRule="auto"/>
              <w:jc w:val="center"/>
              <w:rPr>
                <w:rFonts w:cstheme="minorHAnsi"/>
                <w:noProof/>
              </w:rPr>
            </w:pPr>
            <w:r>
              <w:rPr>
                <w:noProof/>
              </w:rPr>
              <w:t>2026</w:t>
            </w:r>
          </w:p>
        </w:tc>
        <w:tc>
          <w:tcPr>
            <w:tcW w:w="4277" w:type="dxa"/>
            <w:shd w:val="clear" w:color="auto" w:fill="C4EFCE"/>
            <w:vAlign w:val="center"/>
          </w:tcPr>
          <w:p w14:paraId="5ECEC7B1" w14:textId="737ABB65" w:rsidR="00154AD2" w:rsidRDefault="007F6BF3">
            <w:pPr>
              <w:pStyle w:val="P68B1DB1-Normal12"/>
              <w:spacing w:after="0" w:line="240" w:lineRule="auto"/>
              <w:jc w:val="both"/>
              <w:rPr>
                <w:noProof/>
              </w:rPr>
            </w:pPr>
            <w:r>
              <w:rPr>
                <w:noProof/>
              </w:rPr>
              <w:t xml:space="preserve">Έναρξη ισχύος της νομοθεσίας για τη θέσπιση του Ενιαίου Κοινωνικού Παροχής (στο πλαίσιο του συστήματος κοινωνικής προστασίας του πολίτη), μετά τη δημοσίευση της έκθεσης της ομάδας εργασίας για το Ενιαίο Κοινωνικό Παροχές και διαβουλεύσεις με τα ενδιαφερόμενα μέρη. </w:t>
            </w:r>
          </w:p>
          <w:p w14:paraId="32A056B9" w14:textId="49C14321" w:rsidR="00154AD2" w:rsidRDefault="00154AD2">
            <w:pPr>
              <w:spacing w:after="0" w:line="240" w:lineRule="auto"/>
              <w:jc w:val="both"/>
              <w:rPr>
                <w:noProof/>
                <w:sz w:val="16"/>
              </w:rPr>
            </w:pPr>
          </w:p>
          <w:p w14:paraId="15031367" w14:textId="7F2F4187" w:rsidR="00154AD2" w:rsidRDefault="007F6BF3">
            <w:pPr>
              <w:pStyle w:val="P68B1DB1-Normal12"/>
              <w:spacing w:after="0" w:line="240" w:lineRule="auto"/>
              <w:jc w:val="both"/>
              <w:rPr>
                <w:noProof/>
              </w:rPr>
            </w:pPr>
            <w:r>
              <w:rPr>
                <w:noProof/>
              </w:rPr>
              <w:t>Έναρξη ισχύος της νομοθεσίας για τη θέσπιση του κώδικα κοινωνικών παροχών, ο οποίος θα απλουστεύσει, θα εναρμονίσει και θα ενοποιήσει τη νομοθεσία που διέπει τις κοινωνικές παροχές.</w:t>
            </w:r>
          </w:p>
        </w:tc>
      </w:tr>
    </w:tbl>
    <w:p w14:paraId="01FFACF8"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08BEF5A8" w14:textId="77777777" w:rsidR="00154AD2" w:rsidRDefault="00154AD2">
      <w:pPr>
        <w:keepNext/>
        <w:spacing w:before="40" w:after="0" w:line="259" w:lineRule="auto"/>
        <w:jc w:val="both"/>
        <w:rPr>
          <w:rFonts w:ascii="Times New Roman" w:eastAsiaTheme="minorEastAsia" w:hAnsi="Times New Roman" w:cs="Times New Roman"/>
          <w:noProof/>
          <w:sz w:val="24"/>
        </w:rPr>
        <w:sectPr w:rsidR="00154AD2" w:rsidSect="00E00EDD">
          <w:headerReference w:type="even" r:id="rId78"/>
          <w:headerReference w:type="default" r:id="rId79"/>
          <w:footerReference w:type="even" r:id="rId80"/>
          <w:footerReference w:type="default" r:id="rId81"/>
          <w:headerReference w:type="first" r:id="rId82"/>
          <w:footerReference w:type="first" r:id="rId83"/>
          <w:pgSz w:w="16839" w:h="11907" w:orient="landscape"/>
          <w:pgMar w:top="1134" w:right="1134" w:bottom="1134" w:left="1134" w:header="567" w:footer="567" w:gutter="0"/>
          <w:cols w:space="720"/>
          <w:docGrid w:linePitch="360"/>
        </w:sectPr>
      </w:pPr>
    </w:p>
    <w:p w14:paraId="20E2D1A0" w14:textId="77777777" w:rsidR="00154AD2" w:rsidRDefault="007F6BF3">
      <w:pPr>
        <w:pStyle w:val="P68B1DB1-Normal3"/>
        <w:keepNext/>
        <w:spacing w:before="40" w:after="0" w:line="259" w:lineRule="auto"/>
        <w:ind w:left="130" w:firstLine="720"/>
        <w:jc w:val="both"/>
        <w:outlineLvl w:val="1"/>
        <w:rPr>
          <w:rFonts w:eastAsiaTheme="minorEastAsia" w:cs="Times New Roman"/>
          <w:noProof/>
        </w:rPr>
      </w:pPr>
      <w:r>
        <w:rPr>
          <w:noProof/>
        </w:rPr>
        <w:t>Δ. ΣΥΝΙΣΤΩΣΑ 4: Πολιτισμός</w:t>
      </w:r>
    </w:p>
    <w:p w14:paraId="3890A551" w14:textId="77777777" w:rsidR="00154AD2" w:rsidRDefault="007F6BF3">
      <w:pPr>
        <w:pStyle w:val="P68B1DB1-Normal4"/>
        <w:keepNext/>
        <w:spacing w:before="40" w:after="0" w:line="259" w:lineRule="auto"/>
        <w:jc w:val="both"/>
        <w:rPr>
          <w:rFonts w:eastAsiaTheme="minorEastAsia" w:cs="Times New Roman"/>
          <w:noProof/>
        </w:rPr>
      </w:pPr>
      <w:r>
        <w:rPr>
          <w:noProof/>
        </w:rPr>
        <w:t>Η συνιστώσα εξετάζει τόσο τις προκλήσεις που σχετίζονται με τις επιπτώσεις της πανδημίας COVID-19 όσο και τα προβλήματα που κληροδοτήθηκαν λόγω της κατάστασης χρόνιας έλλειψης πόρων για τη συντήρηση, την ανακαίνιση και τον εκσυγχρονισμό των πολιτιστικών εγκαταστάσεων και εξοπλισμού.</w:t>
      </w:r>
    </w:p>
    <w:p w14:paraId="2022E520" w14:textId="77777777" w:rsidR="00154AD2" w:rsidRDefault="007F6BF3">
      <w:pPr>
        <w:pStyle w:val="P68B1DB1-Normal4"/>
        <w:keepNext/>
        <w:spacing w:before="40" w:after="0" w:line="259" w:lineRule="auto"/>
        <w:jc w:val="both"/>
        <w:rPr>
          <w:rFonts w:eastAsiaTheme="minorEastAsia" w:cs="Times New Roman"/>
          <w:noProof/>
        </w:rPr>
      </w:pPr>
      <w:r>
        <w:rPr>
          <w:noProof/>
        </w:rPr>
        <w:t>Οι κύριοι στόχοι της συνιστώσας «Πολιτισμός» είναι η ανακαίνιση κτιρίων και εθνικών μνημείων· την προστασία των βιοτεχνικών και επαγγελμάτων· τον εκσυγχρονισμό της τεχνολογικής υποδομής και των πολιτιστικών εγκαταστάσεων· την ψηφιοποίηση των έργων τέχνης και της πολιτιστικής κληρονομιάς· και τη διεθνοποίηση, τον εκσυγχρονισμό και την ψηφιακή μετάβαση των βιβλιοπωλείων και των εκδόσεων βιβλίων.</w:t>
      </w:r>
    </w:p>
    <w:p w14:paraId="75BCC826"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συνιστώσα συμβάλλει στην υλοποίηση των ειδικών ανά χώρα συστάσεων για τη λήψη όλων των αναγκαίων μέτρων για την αποτελεσματική αντιμετώπιση της πανδημίας, την ενίσχυση της οικονομίας και τη στήριξη της ανάκαμψής της (ειδική ανά χώρα σύσταση 1 2020)· και στήριξη της χρήσης ψηφιακών τεχνολογιών για την τόνωση της ανταγωνιστικότητας των επιχειρήσεων (ειδική ανά χώρα σύσταση 2 2020). </w:t>
      </w:r>
    </w:p>
    <w:p w14:paraId="66575D9A" w14:textId="77777777" w:rsidR="00154AD2" w:rsidRDefault="007F6BF3">
      <w:pPr>
        <w:pStyle w:val="P68B1DB1-Normal4"/>
        <w:keepNext/>
        <w:spacing w:before="40" w:after="0" w:line="259" w:lineRule="auto"/>
        <w:jc w:val="both"/>
        <w:rPr>
          <w:rFonts w:eastAsiaTheme="minorEastAsia" w:cs="Times New Roman"/>
          <w:noProof/>
        </w:rPr>
      </w:pPr>
      <w:r>
        <w:rPr>
          <w:noProof/>
        </w:rPr>
        <w:t>Αναμένεται ότι κανένα μέτρο στη συνιστώσα αυτή δεν βλάπτει σημαντικά τους περιβαλλοντικούς στόχους κατά την έννοια του άρθρου 17 του κανονισμού (ΕΕ) 2020/852, λαμβανομένης υπόψη της περιγραφής των μέτρων και των μέτρων μετριασμού που ορίζονται στο σχέδιο σύμφωνα με την τεχνική καθοδήγηση σχετικά με την αρχή της μη πρόκλησης σημαντικής βλάβης (2021/C58/01).</w:t>
      </w:r>
    </w:p>
    <w:p w14:paraId="40AECA44" w14:textId="77777777" w:rsidR="00154AD2" w:rsidRDefault="007F6BF3">
      <w:pPr>
        <w:pStyle w:val="P68B1DB1-Normal3"/>
        <w:keepNext/>
        <w:spacing w:before="40" w:after="0" w:line="259" w:lineRule="auto"/>
        <w:ind w:left="130" w:firstLine="720"/>
        <w:jc w:val="both"/>
        <w:outlineLvl w:val="2"/>
        <w:rPr>
          <w:rFonts w:eastAsiaTheme="minorEastAsia" w:cs="Times New Roman"/>
          <w:noProof/>
        </w:rPr>
      </w:pPr>
      <w:r>
        <w:rPr>
          <w:noProof/>
        </w:rPr>
        <w:t>Δ.1. Περιγραφή των μεταρρυθμίσεων και των επενδύσεων που είναι επιλέξιμες για λήψη μη επιστρεπτέας χρηματοδοτικής στήριξης</w:t>
      </w:r>
    </w:p>
    <w:p w14:paraId="0C926D12"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Επένδυση RE-C04-i01: Πολιτιστικά δίκτυα και ψηφιακή μετάβαση</w:t>
      </w:r>
    </w:p>
    <w:p w14:paraId="686F0143" w14:textId="1C6FCC1E" w:rsidR="00154AD2" w:rsidRDefault="007F6BF3">
      <w:pPr>
        <w:pStyle w:val="P68B1DB1-Normal4"/>
        <w:widowControl w:val="0"/>
        <w:spacing w:before="120" w:after="140" w:line="257" w:lineRule="auto"/>
        <w:jc w:val="both"/>
        <w:rPr>
          <w:rFonts w:eastAsiaTheme="minorEastAsia" w:cs="Times New Roman"/>
          <w:noProof/>
        </w:rPr>
      </w:pPr>
      <w:r>
        <w:rPr>
          <w:noProof/>
        </w:rPr>
        <w:t>Στόχος του μέτρου είναι η αναβάθμιση της τεχνολογικής υποδομής των δημόσιων πολιτιστικών εγκαταστάσεων για την προώθηση της ψηφιακής μετάβασής τους. Ειδικότερα, αυτό συνεπάγεται τη μελλοντική διατήρηση των έργων τέχνης και της πολιτιστικής κληρονομιάς· βελτίωση της πολιτιστικής εμπειρίας· αύξηση της ζήτησης για πολιτιστικές δραστηριότητες και προσέγγιση νέων ακροατηρίων, ιδίως των νέων γενεών. Η ανθεκτικότητα του τομέα αναμένεται να αυξηθεί με την προώθηση νέων επιχειρηματικών μοντέλων, όπως η συνδρομή και η μετάδοση συνεχούς ροής· και τη στήριξη πολιτιστικών χώρων με ισχυρή τεχνολογική συνιστώσα, όπως η παραγωγή ταινιών 3D.</w:t>
      </w:r>
    </w:p>
    <w:p w14:paraId="05904A40" w14:textId="77777777" w:rsidR="00154AD2" w:rsidRDefault="007F6BF3">
      <w:pPr>
        <w:pStyle w:val="P68B1DB1-Normal4"/>
        <w:spacing w:before="40" w:after="0" w:line="259" w:lineRule="auto"/>
        <w:jc w:val="both"/>
        <w:rPr>
          <w:rFonts w:eastAsiaTheme="minorEastAsia" w:cs="Times New Roman"/>
          <w:noProof/>
        </w:rPr>
      </w:pPr>
      <w:r>
        <w:rPr>
          <w:noProof/>
        </w:rPr>
        <w:t xml:space="preserve">Η επένδυση αυτή συνίσταται στις ακόλουθες παρεμβάσεις: </w:t>
      </w:r>
    </w:p>
    <w:p w14:paraId="0B7D23BD" w14:textId="77777777" w:rsidR="00154AD2" w:rsidRDefault="007F6BF3">
      <w:pPr>
        <w:pStyle w:val="P68B1DB1-Normal4"/>
        <w:numPr>
          <w:ilvl w:val="0"/>
          <w:numId w:val="56"/>
        </w:numPr>
        <w:spacing w:before="40" w:after="160" w:line="259" w:lineRule="auto"/>
        <w:ind w:hanging="357"/>
        <w:contextualSpacing/>
        <w:jc w:val="both"/>
        <w:rPr>
          <w:rFonts w:eastAsiaTheme="minorEastAsia" w:cs="Times New Roman"/>
          <w:noProof/>
        </w:rPr>
      </w:pPr>
      <w:r>
        <w:rPr>
          <w:noProof/>
        </w:rPr>
        <w:t>εκσυγχρονισμός της τεχνολογικής υποδομής των πολιτιστικών εγκαταστάσεων</w:t>
      </w:r>
    </w:p>
    <w:p w14:paraId="5AD0BCC3" w14:textId="7FCD7F04" w:rsidR="00154AD2" w:rsidRDefault="007F6BF3">
      <w:pPr>
        <w:pStyle w:val="P68B1DB1-Normal4"/>
        <w:numPr>
          <w:ilvl w:val="1"/>
          <w:numId w:val="70"/>
        </w:numPr>
        <w:spacing w:before="40" w:after="160" w:line="259" w:lineRule="auto"/>
        <w:ind w:hanging="357"/>
        <w:contextualSpacing/>
        <w:jc w:val="both"/>
        <w:rPr>
          <w:rFonts w:eastAsiaTheme="minorEastAsia" w:cs="Times New Roman"/>
          <w:noProof/>
        </w:rPr>
      </w:pPr>
      <w:r>
        <w:rPr>
          <w:noProof/>
        </w:rPr>
        <w:t>αγορά εξοπλισμού ΤΠ, δημιουργία επιγραμμικών κινητών βιβλιοθηκών, συστημάτων πληροφοριών και ολοκληρωμένων καταλόγων για 239 δημόσιες βιβλιοθήκες·</w:t>
      </w:r>
    </w:p>
    <w:p w14:paraId="14E65A09" w14:textId="727DB745" w:rsidR="00154AD2" w:rsidRDefault="007F6BF3">
      <w:pPr>
        <w:pStyle w:val="P68B1DB1-Normal4"/>
        <w:numPr>
          <w:ilvl w:val="1"/>
          <w:numId w:val="70"/>
        </w:numPr>
        <w:spacing w:before="40" w:after="160" w:line="259" w:lineRule="auto"/>
        <w:ind w:hanging="357"/>
        <w:contextualSpacing/>
        <w:jc w:val="both"/>
        <w:rPr>
          <w:rFonts w:eastAsiaTheme="minorEastAsia" w:cs="Times New Roman"/>
          <w:noProof/>
        </w:rPr>
      </w:pPr>
      <w:r>
        <w:rPr>
          <w:noProof/>
        </w:rPr>
        <w:t xml:space="preserve">εγκατάσταση κάλυψης </w:t>
      </w:r>
      <w:r>
        <w:rPr>
          <w:i/>
          <w:noProof/>
        </w:rPr>
        <w:t>wifi</w:t>
      </w:r>
      <w:r>
        <w:rPr>
          <w:noProof/>
        </w:rPr>
        <w:t xml:space="preserve"> σε 50 μουσεία, παλάμες και μνημεία·</w:t>
      </w:r>
    </w:p>
    <w:p w14:paraId="6418D2E6" w14:textId="77777777" w:rsidR="00154AD2" w:rsidRDefault="007F6BF3">
      <w:pPr>
        <w:pStyle w:val="P68B1DB1-Normal4"/>
        <w:numPr>
          <w:ilvl w:val="1"/>
          <w:numId w:val="70"/>
        </w:numPr>
        <w:spacing w:before="40" w:after="160" w:line="259" w:lineRule="auto"/>
        <w:ind w:hanging="357"/>
        <w:contextualSpacing/>
        <w:jc w:val="both"/>
        <w:rPr>
          <w:rFonts w:eastAsiaTheme="minorEastAsia" w:cs="Times New Roman"/>
          <w:noProof/>
        </w:rPr>
      </w:pPr>
      <w:r>
        <w:rPr>
          <w:noProof/>
        </w:rPr>
        <w:t>αγορά ψηφιακού εξοπλισμού και εξοπλισμού βιντεοπροβολής για 155 κινηματογραφικές αίθουσες και δημόσια κέντρα σύγχρονης τέχνης·</w:t>
      </w:r>
    </w:p>
    <w:p w14:paraId="60152140" w14:textId="3D336127" w:rsidR="00154AD2" w:rsidRDefault="007F6BF3">
      <w:pPr>
        <w:pStyle w:val="P68B1DB1-Normal4"/>
        <w:numPr>
          <w:ilvl w:val="1"/>
          <w:numId w:val="70"/>
        </w:numPr>
        <w:spacing w:before="40" w:after="160" w:line="259" w:lineRule="auto"/>
        <w:ind w:hanging="357"/>
        <w:contextualSpacing/>
        <w:jc w:val="both"/>
        <w:rPr>
          <w:rFonts w:eastAsiaTheme="minorEastAsia" w:cs="Times New Roman"/>
          <w:noProof/>
        </w:rPr>
      </w:pPr>
      <w:r>
        <w:rPr>
          <w:noProof/>
        </w:rPr>
        <w:t>τεχνολογικός εκσυγχρονισμός και διατήρηση δημόσιων εργαστηρίων·</w:t>
      </w:r>
    </w:p>
    <w:p w14:paraId="1D93986E" w14:textId="596F8A12" w:rsidR="00154AD2" w:rsidRDefault="007F6BF3">
      <w:pPr>
        <w:pStyle w:val="ListParagraph"/>
        <w:numPr>
          <w:ilvl w:val="1"/>
          <w:numId w:val="70"/>
        </w:numPr>
        <w:spacing w:before="40"/>
        <w:rPr>
          <w:noProof/>
        </w:rPr>
      </w:pPr>
      <w:r>
        <w:rPr>
          <w:noProof/>
        </w:rPr>
        <w:t>τεχνολογικός εκσυγχρονισμός του Εθνικού Αρχείου Κινητικών Εικόνων (ANIM)·</w:t>
      </w:r>
    </w:p>
    <w:p w14:paraId="129B1E79" w14:textId="4144A407" w:rsidR="00154AD2" w:rsidRDefault="007F6BF3">
      <w:pPr>
        <w:pStyle w:val="P68B1DB1-Normal4"/>
        <w:numPr>
          <w:ilvl w:val="1"/>
          <w:numId w:val="70"/>
        </w:numPr>
        <w:spacing w:before="40" w:after="160" w:line="259" w:lineRule="auto"/>
        <w:ind w:hanging="357"/>
        <w:contextualSpacing/>
        <w:jc w:val="both"/>
        <w:rPr>
          <w:rFonts w:eastAsia="Times New Roman" w:cs="Times New Roman"/>
          <w:noProof/>
        </w:rPr>
      </w:pPr>
      <w:r>
        <w:rPr>
          <w:noProof/>
        </w:rPr>
        <w:t>εγκατάσταση του Εθνικού Αρχειακού Αρχείου.</w:t>
      </w:r>
    </w:p>
    <w:p w14:paraId="63A92FE4" w14:textId="1C99C7CC" w:rsidR="00154AD2" w:rsidRDefault="007F6BF3">
      <w:pPr>
        <w:pStyle w:val="P68B1DB1-Normal4"/>
        <w:numPr>
          <w:ilvl w:val="0"/>
          <w:numId w:val="56"/>
        </w:numPr>
        <w:spacing w:before="40" w:after="160" w:line="259" w:lineRule="auto"/>
        <w:ind w:hanging="357"/>
        <w:contextualSpacing/>
        <w:jc w:val="both"/>
        <w:rPr>
          <w:rFonts w:eastAsiaTheme="minorEastAsia" w:cs="Times New Roman"/>
          <w:noProof/>
        </w:rPr>
      </w:pPr>
      <w:r>
        <w:rPr>
          <w:noProof/>
        </w:rPr>
        <w:t>ψηφιοποίηση και εικονικοποίηση των συλλογών της Γενικής Διεύθυνσης Βιβλίων, Αρχείων και Βιβλιοθηκών (DGLAB), της πορτογαλικής εθνικής βιβλιοθήκης, της δημόσιας βιβλιοθήκης Évora, της Cinematheque, των συλλογών υπό τη διαχείριση της Γενικής Διεύθυνσης Πολιτιστικής Κληρονομιάς (DGPC) και των Περιφερειακών Διευθύνσεων Πολιτισμού και ψηφιοποίηση οπτικοακουστικού υλικού από τα ιστορικά αρχεία της χώρας:</w:t>
      </w:r>
    </w:p>
    <w:p w14:paraId="6C9F1DA9" w14:textId="77777777" w:rsidR="00154AD2" w:rsidRDefault="007F6BF3">
      <w:pPr>
        <w:pStyle w:val="P68B1DB1-Normal4"/>
        <w:numPr>
          <w:ilvl w:val="1"/>
          <w:numId w:val="70"/>
        </w:numPr>
        <w:spacing w:before="40" w:after="160" w:line="259" w:lineRule="auto"/>
        <w:ind w:hanging="357"/>
        <w:contextualSpacing/>
        <w:jc w:val="both"/>
        <w:rPr>
          <w:rFonts w:eastAsiaTheme="minorEastAsia" w:cs="Times New Roman"/>
          <w:noProof/>
        </w:rPr>
      </w:pPr>
      <w:r>
        <w:rPr>
          <w:noProof/>
        </w:rPr>
        <w:t>ψηφιοποίηση και εικονικοποίηση των συλλογών δημόσιων βιβλιοθηκών (20 000 000 εικόνες)·</w:t>
      </w:r>
    </w:p>
    <w:p w14:paraId="2F41C273" w14:textId="77777777" w:rsidR="00154AD2" w:rsidRDefault="007F6BF3">
      <w:pPr>
        <w:pStyle w:val="P68B1DB1-Normal4"/>
        <w:numPr>
          <w:ilvl w:val="1"/>
          <w:numId w:val="70"/>
        </w:numPr>
        <w:spacing w:before="40" w:after="160" w:line="259" w:lineRule="auto"/>
        <w:ind w:hanging="357"/>
        <w:contextualSpacing/>
        <w:jc w:val="both"/>
        <w:rPr>
          <w:rFonts w:eastAsiaTheme="minorEastAsia" w:cs="Times New Roman"/>
          <w:noProof/>
        </w:rPr>
      </w:pPr>
      <w:r>
        <w:rPr>
          <w:noProof/>
        </w:rPr>
        <w:t>ψηφιοποίηση και εικονικοποίηση των συλλογών εθνικών αρχείων (19 5 00 000 έγγραφα)·</w:t>
      </w:r>
    </w:p>
    <w:p w14:paraId="08CD788B" w14:textId="77777777" w:rsidR="00154AD2" w:rsidRDefault="007F6BF3">
      <w:pPr>
        <w:pStyle w:val="P68B1DB1-Normal4"/>
        <w:numPr>
          <w:ilvl w:val="1"/>
          <w:numId w:val="70"/>
        </w:numPr>
        <w:spacing w:before="40" w:after="160" w:line="259" w:lineRule="auto"/>
        <w:ind w:hanging="357"/>
        <w:contextualSpacing/>
        <w:jc w:val="both"/>
        <w:rPr>
          <w:rFonts w:eastAsiaTheme="minorEastAsia" w:cs="Times New Roman"/>
          <w:noProof/>
        </w:rPr>
      </w:pPr>
      <w:r>
        <w:rPr>
          <w:noProof/>
        </w:rPr>
        <w:t>ψηφιοποίηση 59 500 αρχείων δημόσιων μουσείων·</w:t>
      </w:r>
    </w:p>
    <w:p w14:paraId="4D9619E7" w14:textId="63B3EDDD" w:rsidR="00154AD2" w:rsidRDefault="007F6BF3">
      <w:pPr>
        <w:pStyle w:val="P68B1DB1-Normal4"/>
        <w:numPr>
          <w:ilvl w:val="1"/>
          <w:numId w:val="70"/>
        </w:numPr>
        <w:spacing w:before="40" w:after="160" w:line="259" w:lineRule="auto"/>
        <w:ind w:hanging="357"/>
        <w:contextualSpacing/>
        <w:jc w:val="both"/>
        <w:rPr>
          <w:rFonts w:eastAsiaTheme="minorEastAsia" w:cs="Times New Roman"/>
          <w:noProof/>
        </w:rPr>
      </w:pPr>
      <w:r>
        <w:rPr>
          <w:noProof/>
        </w:rPr>
        <w:t>εικονικές επισκέψεις σε μουσεία·</w:t>
      </w:r>
    </w:p>
    <w:p w14:paraId="6147E91E" w14:textId="0637379A" w:rsidR="00154AD2" w:rsidRDefault="007F6BF3">
      <w:pPr>
        <w:pStyle w:val="P68B1DB1-Normal4"/>
        <w:numPr>
          <w:ilvl w:val="1"/>
          <w:numId w:val="70"/>
        </w:numPr>
        <w:spacing w:before="40" w:after="160" w:line="259" w:lineRule="auto"/>
        <w:ind w:hanging="357"/>
        <w:contextualSpacing/>
        <w:jc w:val="both"/>
        <w:rPr>
          <w:rFonts w:eastAsiaTheme="minorEastAsia" w:cs="Times New Roman"/>
          <w:noProof/>
        </w:rPr>
      </w:pPr>
      <w:r>
        <w:rPr>
          <w:noProof/>
        </w:rPr>
        <w:t>ψηφιοποίηση 1 000 ταινιών (Cinematheque)· και</w:t>
      </w:r>
    </w:p>
    <w:p w14:paraId="126C8F9B" w14:textId="08B9174F" w:rsidR="00154AD2" w:rsidRDefault="007F6BF3">
      <w:pPr>
        <w:pStyle w:val="P68B1DB1-Normal4"/>
        <w:numPr>
          <w:ilvl w:val="1"/>
          <w:numId w:val="70"/>
        </w:numPr>
        <w:spacing w:before="40" w:after="160" w:line="259" w:lineRule="auto"/>
        <w:ind w:hanging="357"/>
        <w:contextualSpacing/>
        <w:jc w:val="both"/>
        <w:rPr>
          <w:rFonts w:eastAsiaTheme="minorEastAsia" w:cs="Times New Roman"/>
          <w:noProof/>
        </w:rPr>
      </w:pPr>
      <w:r>
        <w:rPr>
          <w:noProof/>
        </w:rPr>
        <w:t>ψηφιοποίηση και διάθεση στο κοινό οπτικοακουστικού υλικού 45 000 ωρών από τα αρχεία των παρόχων υπηρεσιών ιστορικών μέσων ενημέρωσης και τηλεοπτικής μετάδοσης της χώρας</w:t>
      </w:r>
    </w:p>
    <w:p w14:paraId="69CDFB3B" w14:textId="6E712039" w:rsidR="00154AD2" w:rsidRDefault="007F6BF3">
      <w:pPr>
        <w:pStyle w:val="ListParagraph"/>
        <w:numPr>
          <w:ilvl w:val="0"/>
          <w:numId w:val="71"/>
        </w:numPr>
        <w:spacing w:before="40"/>
        <w:rPr>
          <w:noProof/>
        </w:rPr>
      </w:pPr>
      <w:r>
        <w:rPr>
          <w:noProof/>
        </w:rPr>
        <w:t>Διεθνοποίηση, εκσυγχρονισμός και ψηφιακή μετάβαση βιβλίων και συγγραφέων:</w:t>
      </w:r>
    </w:p>
    <w:p w14:paraId="1E2C030B" w14:textId="6017B88F" w:rsidR="00154AD2" w:rsidRDefault="007F6BF3">
      <w:pPr>
        <w:pStyle w:val="P68B1DB1-Normal4"/>
        <w:numPr>
          <w:ilvl w:val="1"/>
          <w:numId w:val="70"/>
        </w:numPr>
        <w:spacing w:before="40" w:after="160" w:line="259" w:lineRule="auto"/>
        <w:ind w:hanging="357"/>
        <w:contextualSpacing/>
        <w:jc w:val="both"/>
        <w:rPr>
          <w:rFonts w:eastAsiaTheme="minorEastAsia" w:cs="Times New Roman"/>
          <w:noProof/>
        </w:rPr>
      </w:pPr>
      <w:r>
        <w:rPr>
          <w:noProof/>
        </w:rPr>
        <w:t>υποστήριξη της μετάφρασης και της έκδοσης βιβλίων σε ξένες γλώσσες.</w:t>
      </w:r>
    </w:p>
    <w:p w14:paraId="197D7319" w14:textId="77777777" w:rsidR="00154AD2" w:rsidRDefault="007F6BF3">
      <w:pPr>
        <w:pStyle w:val="P68B1DB1-Normal4"/>
        <w:numPr>
          <w:ilvl w:val="1"/>
          <w:numId w:val="70"/>
        </w:numPr>
        <w:spacing w:before="40" w:after="160" w:line="259" w:lineRule="auto"/>
        <w:ind w:hanging="357"/>
        <w:contextualSpacing/>
        <w:jc w:val="both"/>
        <w:rPr>
          <w:rFonts w:eastAsiaTheme="minorEastAsia" w:cs="Times New Roman"/>
          <w:noProof/>
        </w:rPr>
      </w:pPr>
      <w:r>
        <w:rPr>
          <w:noProof/>
        </w:rPr>
        <w:t>υποστήριξη της μετάφρασης και της έκδοσης λογοτεχνικών έργων, συμπεριλαμβανομένων των ηχογραφήσεων και των ηλεκτρονικών βιβλίων·</w:t>
      </w:r>
    </w:p>
    <w:p w14:paraId="2A41A423" w14:textId="6D165E09" w:rsidR="00154AD2" w:rsidRDefault="007F6BF3">
      <w:pPr>
        <w:pStyle w:val="P68B1DB1-Normal4"/>
        <w:numPr>
          <w:ilvl w:val="1"/>
          <w:numId w:val="70"/>
        </w:numPr>
        <w:spacing w:before="40" w:after="160" w:line="259" w:lineRule="auto"/>
        <w:ind w:hanging="357"/>
        <w:contextualSpacing/>
        <w:jc w:val="both"/>
        <w:rPr>
          <w:rFonts w:eastAsia="Times New Roman" w:cs="Times New Roman"/>
          <w:noProof/>
        </w:rPr>
      </w:pPr>
      <w:r>
        <w:rPr>
          <w:noProof/>
        </w:rPr>
        <w:t>στήριξη του εκσυγχρονισμού και της ψηφιακής μετάβασης των βιβλιοπωλείων για την αγορά εξοπλισμού και τεχνολογίας.</w:t>
      </w:r>
    </w:p>
    <w:p w14:paraId="496B0AF5" w14:textId="57DF3BD5" w:rsidR="00154AD2" w:rsidRDefault="00154AD2">
      <w:pPr>
        <w:spacing w:before="40" w:after="160" w:line="259" w:lineRule="auto"/>
        <w:ind w:left="1800"/>
        <w:contextualSpacing/>
        <w:jc w:val="both"/>
        <w:rPr>
          <w:rFonts w:ascii="Times New Roman" w:eastAsia="Times New Roman" w:hAnsi="Times New Roman" w:cs="Times New Roman"/>
          <w:noProof/>
          <w:sz w:val="24"/>
        </w:rPr>
      </w:pPr>
    </w:p>
    <w:p w14:paraId="75954FB6" w14:textId="41574F0B" w:rsidR="00154AD2" w:rsidRDefault="007F6BF3">
      <w:pPr>
        <w:pStyle w:val="P68B1DB1-Normal4"/>
        <w:spacing w:before="40" w:after="0" w:line="259" w:lineRule="auto"/>
        <w:jc w:val="both"/>
        <w:rPr>
          <w:rFonts w:eastAsiaTheme="minorEastAsia" w:cs="Times New Roman"/>
          <w:noProof/>
        </w:rPr>
      </w:pPr>
      <w:r>
        <w:rPr>
          <w:noProof/>
        </w:rPr>
        <w:t>Η υλοποίηση της επένδυσης θα ολοκληρωθεί έως τις 31 Μαρτίου 2026.</w:t>
      </w:r>
    </w:p>
    <w:p w14:paraId="0CCAFF13" w14:textId="06C899D3" w:rsidR="00154AD2" w:rsidRDefault="00154AD2">
      <w:pPr>
        <w:spacing w:before="40" w:after="0" w:line="259" w:lineRule="auto"/>
        <w:jc w:val="both"/>
        <w:rPr>
          <w:rFonts w:ascii="Times New Roman" w:eastAsiaTheme="minorEastAsia" w:hAnsi="Times New Roman" w:cs="Times New Roman"/>
          <w:noProof/>
          <w:sz w:val="24"/>
        </w:rPr>
      </w:pPr>
    </w:p>
    <w:p w14:paraId="28A8ED10"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Επένδυση RE-C04-i02: Πολιτισμική κληρονομιά</w:t>
      </w:r>
    </w:p>
    <w:p w14:paraId="739B4265" w14:textId="3F51DE11" w:rsidR="00154AD2" w:rsidRDefault="007F6BF3">
      <w:pPr>
        <w:pStyle w:val="P68B1DB1-Normal4"/>
        <w:keepNext/>
        <w:widowControl w:val="0"/>
        <w:spacing w:before="120" w:after="120" w:line="259" w:lineRule="auto"/>
        <w:jc w:val="both"/>
        <w:rPr>
          <w:rFonts w:eastAsiaTheme="minorEastAsia" w:cs="Times New Roman"/>
          <w:noProof/>
        </w:rPr>
      </w:pPr>
      <w:r>
        <w:rPr>
          <w:noProof/>
        </w:rPr>
        <w:t>Στόχος του μέτρου αυτού είναι η ανακαίνιση πολιτιστικών εγκαταστάσεων που έχουν χαρακτηριστεί πολιτιστική κληρονομιά. Ένας από τους κύριους στόχους είναι η προσαρμογή των εγκαταστάσεων αυτών στα νέα περιβαλλοντικά πρότυπα. Αυτό συνεπάγεται μέτρα όπως η μείωση της κατανάλωσης πρωτογενούς ενέργειας των κτιρίων, σε συνδυασμό με την παρέμβαση σε ιστορικά πράσινα πάρκα με μοναδική χλωρίδα και πανίδα για την προώθηση της προσαρμογής στην κλιματική αλλαγή και του μετριασμού της μέσω της αποτελεσματικής επαναχρησιμοποίησης των υδάτων για άρδευση.</w:t>
      </w:r>
    </w:p>
    <w:p w14:paraId="264F16C0" w14:textId="77777777" w:rsidR="00154AD2" w:rsidRDefault="007F6BF3">
      <w:pPr>
        <w:pStyle w:val="P68B1DB1-Normal4"/>
        <w:spacing w:before="120" w:after="120" w:line="259" w:lineRule="auto"/>
        <w:jc w:val="both"/>
        <w:rPr>
          <w:rFonts w:eastAsiaTheme="minorEastAsia" w:cs="Times New Roman"/>
          <w:noProof/>
        </w:rPr>
      </w:pPr>
      <w:r>
        <w:rPr>
          <w:noProof/>
        </w:rPr>
        <w:t xml:space="preserve">Η επένδυση αυτή συνίσταται στις ακόλουθες παρεμβάσεις: </w:t>
      </w:r>
    </w:p>
    <w:p w14:paraId="4328998B" w14:textId="77777777" w:rsidR="00154AD2" w:rsidRDefault="007F6BF3">
      <w:pPr>
        <w:pStyle w:val="P68B1DB1-Normal4"/>
        <w:keepNext/>
        <w:numPr>
          <w:ilvl w:val="0"/>
          <w:numId w:val="51"/>
        </w:numPr>
        <w:spacing w:before="120" w:after="120" w:line="259" w:lineRule="auto"/>
        <w:contextualSpacing/>
        <w:jc w:val="both"/>
        <w:rPr>
          <w:rFonts w:eastAsiaTheme="minorEastAsia" w:cs="Times New Roman"/>
          <w:noProof/>
        </w:rPr>
      </w:pPr>
      <w:r>
        <w:rPr>
          <w:noProof/>
        </w:rPr>
        <w:t>δημιουργία αποθετηρίου πληροφοριών και τεκμηρίωσης σχετικά με την εγχώρια βιοτεχνική παραγωγή, τον προσδιορισμό και τη χαρτογράφηση των πρώτων υλών·</w:t>
      </w:r>
    </w:p>
    <w:p w14:paraId="07974284" w14:textId="77777777" w:rsidR="00154AD2" w:rsidRDefault="007F6BF3">
      <w:pPr>
        <w:pStyle w:val="P68B1DB1-Normal4"/>
        <w:keepNext/>
        <w:numPr>
          <w:ilvl w:val="0"/>
          <w:numId w:val="51"/>
        </w:numPr>
        <w:spacing w:before="120" w:after="120" w:line="259" w:lineRule="auto"/>
        <w:contextualSpacing/>
        <w:jc w:val="both"/>
        <w:rPr>
          <w:rFonts w:eastAsiaTheme="minorEastAsia" w:cs="Times New Roman"/>
          <w:noProof/>
        </w:rPr>
      </w:pPr>
      <w:r>
        <w:rPr>
          <w:noProof/>
        </w:rPr>
        <w:t>εγκατάσταση εργαστηρίων και διαδρομών του τεχνολογικού κέντρου «</w:t>
      </w:r>
      <w:r>
        <w:rPr>
          <w:i/>
          <w:noProof/>
        </w:rPr>
        <w:t>Saber Fazer</w:t>
      </w:r>
      <w:r>
        <w:rPr>
          <w:noProof/>
        </w:rPr>
        <w:t>» (προστασία βιοτεχνικών και επαγγελμάτων), συμπεριλαμβανομένης της εμπορίας των προϊόντων·</w:t>
      </w:r>
    </w:p>
    <w:p w14:paraId="50DF6D56" w14:textId="106A4F30" w:rsidR="00154AD2" w:rsidRDefault="007F6BF3">
      <w:pPr>
        <w:pStyle w:val="P68B1DB1-Normal4"/>
        <w:keepNext/>
        <w:numPr>
          <w:ilvl w:val="0"/>
          <w:numId w:val="51"/>
        </w:numPr>
        <w:spacing w:before="120" w:after="120" w:line="259" w:lineRule="auto"/>
        <w:contextualSpacing/>
        <w:jc w:val="both"/>
        <w:rPr>
          <w:rFonts w:eastAsiaTheme="minorEastAsia" w:cs="Times New Roman"/>
          <w:noProof/>
        </w:rPr>
      </w:pPr>
      <w:r>
        <w:rPr>
          <w:noProof/>
        </w:rPr>
        <w:t>δημιουργία δραστηριοτήτων (παιδαγωγικών και ενημερωτικών σχετικά με τις παραδοσιακές τεχνικές)·</w:t>
      </w:r>
    </w:p>
    <w:p w14:paraId="773D0F6E" w14:textId="596CA147" w:rsidR="00154AD2" w:rsidRDefault="007F6BF3">
      <w:pPr>
        <w:pStyle w:val="P68B1DB1-Normal4"/>
        <w:keepNext/>
        <w:numPr>
          <w:ilvl w:val="0"/>
          <w:numId w:val="51"/>
        </w:numPr>
        <w:spacing w:before="120" w:after="0" w:line="259" w:lineRule="auto"/>
        <w:ind w:left="714" w:hanging="357"/>
        <w:contextualSpacing/>
        <w:jc w:val="both"/>
        <w:rPr>
          <w:rFonts w:eastAsiaTheme="minorEastAsia" w:cs="Times New Roman"/>
          <w:noProof/>
        </w:rPr>
      </w:pPr>
      <w:r>
        <w:rPr>
          <w:noProof/>
        </w:rPr>
        <w:t>ολοκλήρωση εργασιών σε μουσεία, μνημεία, κρατικές παλάμες και εθνικά θέατρα, που περιλαμβάνουν ανακαίνιση ή/και αναβάθμιση·</w:t>
      </w:r>
    </w:p>
    <w:p w14:paraId="78989F13" w14:textId="56AD200E" w:rsidR="00154AD2" w:rsidRDefault="007F6BF3">
      <w:pPr>
        <w:pStyle w:val="P68B1DB1-Normal4"/>
        <w:keepNext/>
        <w:numPr>
          <w:ilvl w:val="0"/>
          <w:numId w:val="51"/>
        </w:numPr>
        <w:spacing w:before="120" w:after="0" w:line="259" w:lineRule="auto"/>
        <w:ind w:left="714" w:hanging="357"/>
        <w:contextualSpacing/>
        <w:jc w:val="both"/>
        <w:rPr>
          <w:rFonts w:eastAsiaTheme="minorEastAsia" w:cs="Times New Roman"/>
          <w:noProof/>
        </w:rPr>
      </w:pPr>
      <w:r>
        <w:rPr>
          <w:noProof/>
        </w:rPr>
        <w:t>κατασκευή του κτιρίου του Εθνικού Αρχείου Σήρου.</w:t>
      </w:r>
    </w:p>
    <w:p w14:paraId="07BCF263" w14:textId="5FACEEE5" w:rsidR="00154AD2" w:rsidRDefault="00154AD2">
      <w:pPr>
        <w:keepNext/>
        <w:spacing w:before="120" w:after="0" w:line="259" w:lineRule="auto"/>
        <w:contextualSpacing/>
        <w:jc w:val="both"/>
        <w:rPr>
          <w:rFonts w:ascii="Times New Roman" w:eastAsia="Times New Roman" w:hAnsi="Times New Roman" w:cs="Times New Roman"/>
          <w:noProof/>
          <w:sz w:val="24"/>
        </w:rPr>
      </w:pPr>
    </w:p>
    <w:p w14:paraId="406F9B64" w14:textId="7A3749EE" w:rsidR="00154AD2" w:rsidRDefault="007F6BF3">
      <w:pPr>
        <w:pStyle w:val="P68B1DB1-Normal4"/>
        <w:keepNext/>
        <w:spacing w:before="120" w:after="0" w:line="259" w:lineRule="auto"/>
        <w:contextualSpacing/>
        <w:jc w:val="both"/>
        <w:rPr>
          <w:rFonts w:eastAsiaTheme="minorEastAsia" w:cs="Times New Roman"/>
          <w:noProof/>
        </w:rPr>
      </w:pPr>
      <w:r>
        <w:rPr>
          <w:noProof/>
        </w:rPr>
        <w:t>Η υλοποίηση της επένδυσης θα ολοκληρωθεί έως τις 31 Μαρτίου 2026.</w:t>
      </w:r>
    </w:p>
    <w:p w14:paraId="22EEA54D" w14:textId="77777777" w:rsidR="00154AD2" w:rsidRDefault="00154AD2">
      <w:pPr>
        <w:rPr>
          <w:rFonts w:ascii="Times New Roman" w:eastAsiaTheme="minorEastAsia" w:hAnsi="Times New Roman" w:cs="Times New Roman"/>
          <w:noProof/>
          <w:sz w:val="24"/>
        </w:rPr>
      </w:pPr>
    </w:p>
    <w:p w14:paraId="461EECF2" w14:textId="77777777" w:rsidR="00154AD2" w:rsidRDefault="00154AD2">
      <w:pPr>
        <w:rPr>
          <w:rFonts w:ascii="Times New Roman" w:eastAsiaTheme="minorEastAsia" w:hAnsi="Times New Roman" w:cs="Times New Roman"/>
          <w:noProof/>
          <w:sz w:val="24"/>
        </w:rPr>
      </w:pPr>
    </w:p>
    <w:p w14:paraId="3E877F21" w14:textId="77777777" w:rsidR="00154AD2" w:rsidRDefault="00154AD2">
      <w:pPr>
        <w:rPr>
          <w:rFonts w:ascii="Times New Roman" w:eastAsiaTheme="minorEastAsia" w:hAnsi="Times New Roman" w:cs="Times New Roman"/>
          <w:noProof/>
          <w:sz w:val="24"/>
        </w:rPr>
      </w:pPr>
    </w:p>
    <w:p w14:paraId="74F6E330" w14:textId="5CC31371" w:rsidR="00154AD2" w:rsidRDefault="007F6BF3">
      <w:pPr>
        <w:pStyle w:val="P68B1DB1-Normal4"/>
        <w:tabs>
          <w:tab w:val="left" w:pos="3527"/>
        </w:tabs>
        <w:rPr>
          <w:rFonts w:eastAsia="Times New Roman" w:cs="Times New Roman"/>
          <w:noProof/>
        </w:rPr>
      </w:pPr>
      <w:r>
        <w:rPr>
          <w:noProof/>
        </w:rPr>
        <w:tab/>
      </w:r>
    </w:p>
    <w:p w14:paraId="67590288" w14:textId="77777777" w:rsidR="00154AD2" w:rsidRDefault="00154AD2">
      <w:pPr>
        <w:rPr>
          <w:rFonts w:ascii="Times New Roman" w:eastAsia="Times New Roman" w:hAnsi="Times New Roman" w:cs="Times New Roman"/>
          <w:noProof/>
          <w:sz w:val="24"/>
        </w:rPr>
      </w:pPr>
    </w:p>
    <w:p w14:paraId="33277AD8" w14:textId="77777777" w:rsidR="00154AD2" w:rsidRDefault="00154AD2">
      <w:pPr>
        <w:rPr>
          <w:rFonts w:ascii="Times New Roman" w:eastAsiaTheme="minorEastAsia" w:hAnsi="Times New Roman" w:cs="Times New Roman"/>
          <w:noProof/>
          <w:sz w:val="24"/>
        </w:rPr>
        <w:sectPr w:rsidR="00154AD2" w:rsidSect="00E00EDD">
          <w:headerReference w:type="even" r:id="rId84"/>
          <w:headerReference w:type="default" r:id="rId85"/>
          <w:footerReference w:type="even" r:id="rId86"/>
          <w:footerReference w:type="default" r:id="rId87"/>
          <w:headerReference w:type="first" r:id="rId88"/>
          <w:footerReference w:type="first" r:id="rId89"/>
          <w:pgSz w:w="11907" w:h="16839"/>
          <w:pgMar w:top="1134" w:right="1134" w:bottom="1134" w:left="1134" w:header="567" w:footer="567" w:gutter="0"/>
          <w:cols w:space="720"/>
          <w:docGrid w:linePitch="360"/>
        </w:sectPr>
      </w:pPr>
    </w:p>
    <w:p w14:paraId="0CA086A4" w14:textId="77777777" w:rsidR="00154AD2" w:rsidRDefault="007F6BF3">
      <w:pPr>
        <w:keepNext/>
        <w:spacing w:before="40" w:after="0" w:line="259" w:lineRule="auto"/>
        <w:ind w:left="130" w:firstLine="720"/>
        <w:jc w:val="both"/>
        <w:outlineLvl w:val="2"/>
        <w:rPr>
          <w:rFonts w:ascii="Times New Roman" w:eastAsiaTheme="minorEastAsia" w:hAnsi="Times New Roman" w:cs="Times New Roman"/>
          <w:b/>
          <w:noProof/>
          <w:sz w:val="24"/>
          <w:u w:val="single"/>
        </w:rPr>
      </w:pPr>
      <w:r>
        <w:rPr>
          <w:rFonts w:ascii="Times New Roman" w:hAnsi="Times New Roman"/>
          <w:b/>
          <w:noProof/>
          <w:sz w:val="24"/>
          <w:u w:val="single"/>
        </w:rPr>
        <w:t xml:space="preserve">Δ.2. </w:t>
      </w:r>
      <w:r>
        <w:rPr>
          <w:noProof/>
        </w:rPr>
        <w:tab/>
      </w:r>
      <w:r>
        <w:rPr>
          <w:rFonts w:ascii="Times New Roman" w:hAnsi="Times New Roman"/>
          <w:b/>
          <w:noProof/>
          <w:sz w:val="24"/>
          <w:u w:val="single"/>
        </w:rPr>
        <w:t>Ορόσημα, στόχοι, δείκτες και χρονοδιάγραμμα για την παρακολούθηση και την υλοποίηση της μη επιστρεπτέας χρηματοδοτικής στήριξης</w:t>
      </w:r>
    </w:p>
    <w:p w14:paraId="0559F0B6" w14:textId="77777777" w:rsidR="00154AD2" w:rsidRDefault="00154AD2">
      <w:pPr>
        <w:keepNext/>
        <w:spacing w:before="40" w:after="0" w:line="259" w:lineRule="auto"/>
        <w:jc w:val="both"/>
        <w:rPr>
          <w:rFonts w:ascii="Times New Roman" w:eastAsiaTheme="minorEastAsia" w:hAnsi="Times New Roman" w:cs="Times New Roman"/>
          <w:noProof/>
          <w:sz w:val="24"/>
        </w:rPr>
      </w:pPr>
    </w:p>
    <w:tbl>
      <w:tblPr>
        <w:tblW w:w="138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1191"/>
        <w:gridCol w:w="1060"/>
        <w:gridCol w:w="1588"/>
        <w:gridCol w:w="1193"/>
        <w:gridCol w:w="930"/>
        <w:gridCol w:w="1225"/>
        <w:gridCol w:w="671"/>
        <w:gridCol w:w="539"/>
        <w:gridCol w:w="672"/>
        <w:gridCol w:w="3756"/>
      </w:tblGrid>
      <w:tr w:rsidR="00154AD2" w14:paraId="04D8F8F1" w14:textId="77777777">
        <w:trPr>
          <w:trHeight w:val="910"/>
          <w:tblHeader/>
        </w:trPr>
        <w:tc>
          <w:tcPr>
            <w:tcW w:w="1067" w:type="dxa"/>
            <w:vMerge w:val="restart"/>
            <w:shd w:val="clear" w:color="auto" w:fill="B4C6E7"/>
            <w:vAlign w:val="center"/>
            <w:hideMark/>
          </w:tcPr>
          <w:p w14:paraId="66743342" w14:textId="77777777" w:rsidR="00154AD2" w:rsidRDefault="007F6BF3">
            <w:pPr>
              <w:pStyle w:val="P68B1DB1-Normal6"/>
              <w:spacing w:after="0" w:line="240" w:lineRule="auto"/>
              <w:jc w:val="center"/>
              <w:rPr>
                <w:rFonts w:eastAsia="Times New Roman" w:cs="Times New Roman"/>
                <w:noProof/>
              </w:rPr>
            </w:pPr>
            <w:r>
              <w:rPr>
                <w:noProof/>
              </w:rPr>
              <w:t>Αύξων αριθμός</w:t>
            </w:r>
          </w:p>
        </w:tc>
        <w:tc>
          <w:tcPr>
            <w:tcW w:w="1191" w:type="dxa"/>
            <w:vMerge w:val="restart"/>
            <w:shd w:val="clear" w:color="auto" w:fill="B4C6E7"/>
            <w:vAlign w:val="center"/>
            <w:hideMark/>
          </w:tcPr>
          <w:p w14:paraId="12DF4D36" w14:textId="77777777" w:rsidR="00154AD2" w:rsidRDefault="007F6BF3">
            <w:pPr>
              <w:pStyle w:val="P68B1DB1-Normal16"/>
              <w:spacing w:after="0" w:line="240" w:lineRule="auto"/>
              <w:jc w:val="center"/>
              <w:rPr>
                <w:rFonts w:eastAsia="Times New Roman" w:cs="Times New Roman"/>
                <w:b/>
                <w:noProof/>
              </w:rPr>
            </w:pPr>
            <w:r>
              <w:rPr>
                <w:b/>
                <w:noProof/>
              </w:rPr>
              <w:t>Μέτρο (Μεταρρύθμιση ή Επενδύσεις)</w:t>
            </w:r>
            <w:r>
              <w:rPr>
                <w:noProof/>
              </w:rPr>
              <w:t> </w:t>
            </w:r>
          </w:p>
        </w:tc>
        <w:tc>
          <w:tcPr>
            <w:tcW w:w="1060" w:type="dxa"/>
            <w:vMerge w:val="restart"/>
            <w:shd w:val="clear" w:color="auto" w:fill="B4C6E7"/>
            <w:vAlign w:val="center"/>
            <w:hideMark/>
          </w:tcPr>
          <w:p w14:paraId="1BA1C91E" w14:textId="292277FC" w:rsidR="00154AD2" w:rsidRDefault="007F6BF3">
            <w:pPr>
              <w:pStyle w:val="P68B1DB1-Normal16"/>
              <w:spacing w:after="0" w:line="240" w:lineRule="auto"/>
              <w:jc w:val="center"/>
              <w:rPr>
                <w:rFonts w:eastAsia="Times New Roman" w:cs="Times New Roman"/>
                <w:b/>
                <w:noProof/>
              </w:rPr>
            </w:pPr>
            <w:r>
              <w:rPr>
                <w:b/>
                <w:noProof/>
              </w:rPr>
              <w:t>Milestone/</w:t>
            </w:r>
            <w:r>
              <w:rPr>
                <w:noProof/>
              </w:rPr>
              <w:t xml:space="preserve"> </w:t>
            </w:r>
            <w:r>
              <w:rPr>
                <w:b/>
                <w:noProof/>
              </w:rPr>
              <w:t>Στόχος</w:t>
            </w:r>
          </w:p>
        </w:tc>
        <w:tc>
          <w:tcPr>
            <w:tcW w:w="1588" w:type="dxa"/>
            <w:vMerge w:val="restart"/>
            <w:shd w:val="clear" w:color="auto" w:fill="B4C6E7"/>
            <w:vAlign w:val="center"/>
            <w:hideMark/>
          </w:tcPr>
          <w:p w14:paraId="28AD35BA" w14:textId="77777777" w:rsidR="00154AD2" w:rsidRDefault="007F6BF3">
            <w:pPr>
              <w:pStyle w:val="P68B1DB1-Normal16"/>
              <w:spacing w:after="0" w:line="240" w:lineRule="auto"/>
              <w:jc w:val="center"/>
              <w:rPr>
                <w:rFonts w:eastAsia="Times New Roman" w:cs="Times New Roman"/>
                <w:b/>
                <w:noProof/>
              </w:rPr>
            </w:pPr>
            <w:r>
              <w:rPr>
                <w:b/>
                <w:noProof/>
              </w:rPr>
              <w:t>Όνομα</w:t>
            </w:r>
            <w:r>
              <w:rPr>
                <w:noProof/>
              </w:rPr>
              <w:t> </w:t>
            </w:r>
          </w:p>
        </w:tc>
        <w:tc>
          <w:tcPr>
            <w:tcW w:w="1193" w:type="dxa"/>
            <w:vMerge w:val="restart"/>
            <w:shd w:val="clear" w:color="auto" w:fill="B4C6E7"/>
            <w:vAlign w:val="center"/>
            <w:hideMark/>
          </w:tcPr>
          <w:p w14:paraId="17F2F265" w14:textId="77777777" w:rsidR="00154AD2" w:rsidRDefault="007F6BF3">
            <w:pPr>
              <w:pStyle w:val="P68B1DB1-Normal16"/>
              <w:spacing w:after="0" w:line="240" w:lineRule="auto"/>
              <w:jc w:val="center"/>
              <w:rPr>
                <w:rFonts w:eastAsia="Times New Roman" w:cs="Times New Roman"/>
                <w:b/>
                <w:noProof/>
              </w:rPr>
            </w:pPr>
            <w:r>
              <w:rPr>
                <w:b/>
                <w:noProof/>
              </w:rPr>
              <w:t>Ποιοτικοί δείκτες (για τα ορόσημα)</w:t>
            </w:r>
            <w:r>
              <w:rPr>
                <w:noProof/>
              </w:rPr>
              <w:t> </w:t>
            </w:r>
          </w:p>
        </w:tc>
        <w:tc>
          <w:tcPr>
            <w:tcW w:w="2826" w:type="dxa"/>
            <w:gridSpan w:val="3"/>
            <w:shd w:val="clear" w:color="auto" w:fill="B4C6E7"/>
            <w:vAlign w:val="center"/>
            <w:hideMark/>
          </w:tcPr>
          <w:p w14:paraId="5E49CDA7" w14:textId="77777777" w:rsidR="00154AD2" w:rsidRDefault="007F6BF3">
            <w:pPr>
              <w:pStyle w:val="P68B1DB1-Normal16"/>
              <w:spacing w:after="0" w:line="240" w:lineRule="auto"/>
              <w:jc w:val="center"/>
              <w:rPr>
                <w:rFonts w:eastAsia="Times New Roman" w:cs="Times New Roman"/>
                <w:b/>
                <w:noProof/>
              </w:rPr>
            </w:pPr>
            <w:r>
              <w:rPr>
                <w:b/>
                <w:noProof/>
              </w:rPr>
              <w:t>Ποσοτικοί δείκτες (για τους στόχους)</w:t>
            </w:r>
            <w:r>
              <w:rPr>
                <w:noProof/>
              </w:rPr>
              <w:t> </w:t>
            </w:r>
          </w:p>
        </w:tc>
        <w:tc>
          <w:tcPr>
            <w:tcW w:w="1211" w:type="dxa"/>
            <w:gridSpan w:val="2"/>
            <w:shd w:val="clear" w:color="auto" w:fill="B4C6E7"/>
            <w:vAlign w:val="center"/>
            <w:hideMark/>
          </w:tcPr>
          <w:p w14:paraId="50636C03" w14:textId="77777777" w:rsidR="00154AD2" w:rsidRDefault="007F6BF3">
            <w:pPr>
              <w:pStyle w:val="P68B1DB1-Normal16"/>
              <w:spacing w:after="0" w:line="240" w:lineRule="auto"/>
              <w:jc w:val="center"/>
              <w:rPr>
                <w:rFonts w:eastAsia="Times New Roman" w:cs="Times New Roman"/>
                <w:b/>
                <w:noProof/>
              </w:rPr>
            </w:pPr>
            <w:r>
              <w:rPr>
                <w:b/>
                <w:noProof/>
              </w:rPr>
              <w:t>Ενδεικτικό χρονοδιάγραμμα ολοκλήρωσης</w:t>
            </w:r>
            <w:r>
              <w:rPr>
                <w:noProof/>
              </w:rPr>
              <w:t> </w:t>
            </w:r>
          </w:p>
        </w:tc>
        <w:tc>
          <w:tcPr>
            <w:tcW w:w="3756" w:type="dxa"/>
            <w:vMerge w:val="restart"/>
            <w:shd w:val="clear" w:color="auto" w:fill="B4C6E7"/>
            <w:noWrap/>
            <w:vAlign w:val="center"/>
            <w:hideMark/>
          </w:tcPr>
          <w:p w14:paraId="1133A1F5" w14:textId="77777777" w:rsidR="00154AD2" w:rsidRDefault="007F6BF3">
            <w:pPr>
              <w:pStyle w:val="P68B1DB1-Normal16"/>
              <w:spacing w:after="0" w:line="240" w:lineRule="auto"/>
              <w:jc w:val="center"/>
              <w:rPr>
                <w:rFonts w:eastAsia="Times New Roman" w:cs="Times New Roman"/>
                <w:b/>
                <w:noProof/>
              </w:rPr>
            </w:pPr>
            <w:r>
              <w:rPr>
                <w:b/>
                <w:noProof/>
              </w:rPr>
              <w:t>Περιγραφή και σαφής ορισμός κάθε ορόσημου και στόχου</w:t>
            </w:r>
            <w:r>
              <w:rPr>
                <w:noProof/>
              </w:rPr>
              <w:t> </w:t>
            </w:r>
          </w:p>
        </w:tc>
      </w:tr>
      <w:tr w:rsidR="00154AD2" w14:paraId="52076021" w14:textId="77777777">
        <w:trPr>
          <w:trHeight w:val="470"/>
          <w:tblHeader/>
        </w:trPr>
        <w:tc>
          <w:tcPr>
            <w:tcW w:w="1067" w:type="dxa"/>
            <w:vMerge/>
            <w:vAlign w:val="center"/>
            <w:hideMark/>
          </w:tcPr>
          <w:p w14:paraId="12D2ED3A" w14:textId="77777777" w:rsidR="00154AD2" w:rsidRDefault="00154AD2">
            <w:pPr>
              <w:spacing w:after="0" w:line="240" w:lineRule="auto"/>
              <w:rPr>
                <w:rFonts w:ascii="Times New Roman" w:eastAsia="Times New Roman" w:hAnsi="Times New Roman" w:cs="Times New Roman"/>
                <w:b/>
                <w:noProof/>
                <w:sz w:val="18"/>
              </w:rPr>
            </w:pPr>
          </w:p>
        </w:tc>
        <w:tc>
          <w:tcPr>
            <w:tcW w:w="1191" w:type="dxa"/>
            <w:vMerge/>
            <w:vAlign w:val="center"/>
            <w:hideMark/>
          </w:tcPr>
          <w:p w14:paraId="40E37BF9" w14:textId="77777777" w:rsidR="00154AD2" w:rsidRDefault="00154AD2">
            <w:pPr>
              <w:spacing w:after="0" w:line="240" w:lineRule="auto"/>
              <w:rPr>
                <w:rFonts w:ascii="Times New Roman" w:eastAsia="Times New Roman" w:hAnsi="Times New Roman" w:cs="Times New Roman"/>
                <w:b/>
                <w:noProof/>
                <w:sz w:val="18"/>
              </w:rPr>
            </w:pPr>
          </w:p>
        </w:tc>
        <w:tc>
          <w:tcPr>
            <w:tcW w:w="1060" w:type="dxa"/>
            <w:vMerge/>
            <w:vAlign w:val="center"/>
            <w:hideMark/>
          </w:tcPr>
          <w:p w14:paraId="7217D83F" w14:textId="40991F61" w:rsidR="00154AD2" w:rsidRDefault="00154AD2">
            <w:pPr>
              <w:spacing w:after="0" w:line="240" w:lineRule="auto"/>
              <w:jc w:val="center"/>
              <w:rPr>
                <w:rFonts w:ascii="Times New Roman" w:eastAsia="Times New Roman" w:hAnsi="Times New Roman" w:cs="Times New Roman"/>
                <w:b/>
                <w:noProof/>
                <w:sz w:val="18"/>
              </w:rPr>
            </w:pPr>
          </w:p>
        </w:tc>
        <w:tc>
          <w:tcPr>
            <w:tcW w:w="1588" w:type="dxa"/>
            <w:vMerge/>
            <w:vAlign w:val="center"/>
            <w:hideMark/>
          </w:tcPr>
          <w:p w14:paraId="17CFCC18" w14:textId="77777777" w:rsidR="00154AD2" w:rsidRDefault="00154AD2">
            <w:pPr>
              <w:spacing w:after="0" w:line="240" w:lineRule="auto"/>
              <w:rPr>
                <w:rFonts w:ascii="Times New Roman" w:eastAsia="Times New Roman" w:hAnsi="Times New Roman" w:cs="Times New Roman"/>
                <w:b/>
                <w:noProof/>
                <w:sz w:val="18"/>
              </w:rPr>
            </w:pPr>
          </w:p>
        </w:tc>
        <w:tc>
          <w:tcPr>
            <w:tcW w:w="1193" w:type="dxa"/>
            <w:vMerge/>
            <w:vAlign w:val="center"/>
            <w:hideMark/>
          </w:tcPr>
          <w:p w14:paraId="19D57B14" w14:textId="77777777" w:rsidR="00154AD2" w:rsidRDefault="00154AD2">
            <w:pPr>
              <w:spacing w:after="0" w:line="240" w:lineRule="auto"/>
              <w:rPr>
                <w:rFonts w:ascii="Times New Roman" w:eastAsia="Times New Roman" w:hAnsi="Times New Roman" w:cs="Times New Roman"/>
                <w:b/>
                <w:noProof/>
                <w:sz w:val="18"/>
              </w:rPr>
            </w:pPr>
          </w:p>
        </w:tc>
        <w:tc>
          <w:tcPr>
            <w:tcW w:w="930" w:type="dxa"/>
            <w:shd w:val="clear" w:color="auto" w:fill="B4C6E7"/>
            <w:vAlign w:val="center"/>
            <w:hideMark/>
          </w:tcPr>
          <w:p w14:paraId="2DDF773F" w14:textId="77777777" w:rsidR="00154AD2" w:rsidRDefault="007F6BF3">
            <w:pPr>
              <w:pStyle w:val="P68B1DB1-Normal16"/>
              <w:spacing w:after="0" w:line="240" w:lineRule="auto"/>
              <w:jc w:val="center"/>
              <w:rPr>
                <w:rFonts w:eastAsia="Times New Roman" w:cs="Times New Roman"/>
                <w:b/>
                <w:noProof/>
              </w:rPr>
            </w:pPr>
            <w:r>
              <w:rPr>
                <w:b/>
                <w:noProof/>
              </w:rPr>
              <w:t>Μονάδα μέτρησης</w:t>
            </w:r>
            <w:r>
              <w:rPr>
                <w:noProof/>
              </w:rPr>
              <w:t> </w:t>
            </w:r>
          </w:p>
        </w:tc>
        <w:tc>
          <w:tcPr>
            <w:tcW w:w="1225" w:type="dxa"/>
            <w:shd w:val="clear" w:color="auto" w:fill="B4C6E7"/>
            <w:vAlign w:val="center"/>
            <w:hideMark/>
          </w:tcPr>
          <w:p w14:paraId="70EE8293" w14:textId="77777777" w:rsidR="00154AD2" w:rsidRDefault="007F6BF3">
            <w:pPr>
              <w:pStyle w:val="P68B1DB1-Normal16"/>
              <w:spacing w:after="0" w:line="240" w:lineRule="auto"/>
              <w:jc w:val="center"/>
              <w:rPr>
                <w:rFonts w:eastAsia="Times New Roman" w:cs="Times New Roman"/>
                <w:b/>
                <w:noProof/>
              </w:rPr>
            </w:pPr>
            <w:r>
              <w:rPr>
                <w:b/>
                <w:noProof/>
              </w:rPr>
              <w:t>Γραμμή βάσης</w:t>
            </w:r>
            <w:r>
              <w:rPr>
                <w:noProof/>
              </w:rPr>
              <w:t> </w:t>
            </w:r>
          </w:p>
        </w:tc>
        <w:tc>
          <w:tcPr>
            <w:tcW w:w="671" w:type="dxa"/>
            <w:shd w:val="clear" w:color="auto" w:fill="B4C6E7"/>
            <w:vAlign w:val="center"/>
            <w:hideMark/>
          </w:tcPr>
          <w:p w14:paraId="091447AD" w14:textId="77777777" w:rsidR="00154AD2" w:rsidRDefault="007F6BF3">
            <w:pPr>
              <w:pStyle w:val="P68B1DB1-Normal16"/>
              <w:spacing w:after="0" w:line="240" w:lineRule="auto"/>
              <w:jc w:val="center"/>
              <w:rPr>
                <w:rFonts w:eastAsia="Times New Roman" w:cs="Times New Roman"/>
                <w:b/>
                <w:noProof/>
              </w:rPr>
            </w:pPr>
            <w:r>
              <w:rPr>
                <w:b/>
                <w:noProof/>
              </w:rPr>
              <w:t>Στόχοι</w:t>
            </w:r>
            <w:r>
              <w:rPr>
                <w:noProof/>
              </w:rPr>
              <w:t> </w:t>
            </w:r>
          </w:p>
        </w:tc>
        <w:tc>
          <w:tcPr>
            <w:tcW w:w="539" w:type="dxa"/>
            <w:shd w:val="clear" w:color="auto" w:fill="B4C6E7"/>
            <w:vAlign w:val="center"/>
            <w:hideMark/>
          </w:tcPr>
          <w:p w14:paraId="6A0E7E81" w14:textId="77777777" w:rsidR="00154AD2" w:rsidRDefault="007F6BF3">
            <w:pPr>
              <w:pStyle w:val="P68B1DB1-Normal16"/>
              <w:spacing w:after="0" w:line="240" w:lineRule="auto"/>
              <w:jc w:val="center"/>
              <w:rPr>
                <w:rFonts w:eastAsia="Times New Roman" w:cs="Times New Roman"/>
                <w:b/>
                <w:noProof/>
              </w:rPr>
            </w:pPr>
            <w:r>
              <w:rPr>
                <w:b/>
                <w:noProof/>
              </w:rPr>
              <w:t>Ε</w:t>
            </w:r>
            <w:r>
              <w:rPr>
                <w:noProof/>
              </w:rPr>
              <w:t> </w:t>
            </w:r>
          </w:p>
        </w:tc>
        <w:tc>
          <w:tcPr>
            <w:tcW w:w="672" w:type="dxa"/>
            <w:shd w:val="clear" w:color="auto" w:fill="B4C6E7"/>
            <w:vAlign w:val="center"/>
            <w:hideMark/>
          </w:tcPr>
          <w:p w14:paraId="4917FFB7" w14:textId="77777777" w:rsidR="00154AD2" w:rsidRDefault="007F6BF3">
            <w:pPr>
              <w:pStyle w:val="P68B1DB1-Normal16"/>
              <w:spacing w:after="0" w:line="240" w:lineRule="auto"/>
              <w:jc w:val="center"/>
              <w:rPr>
                <w:rFonts w:eastAsia="Times New Roman" w:cs="Times New Roman"/>
                <w:b/>
                <w:noProof/>
              </w:rPr>
            </w:pPr>
            <w:r>
              <w:rPr>
                <w:b/>
                <w:noProof/>
              </w:rPr>
              <w:t>Έτος</w:t>
            </w:r>
            <w:r>
              <w:rPr>
                <w:noProof/>
              </w:rPr>
              <w:t> </w:t>
            </w:r>
          </w:p>
        </w:tc>
        <w:tc>
          <w:tcPr>
            <w:tcW w:w="3756" w:type="dxa"/>
            <w:vMerge/>
            <w:vAlign w:val="center"/>
            <w:hideMark/>
          </w:tcPr>
          <w:p w14:paraId="38B9FC0D" w14:textId="77777777" w:rsidR="00154AD2" w:rsidRDefault="00154AD2">
            <w:pPr>
              <w:spacing w:after="0" w:line="240" w:lineRule="auto"/>
              <w:rPr>
                <w:rFonts w:ascii="Times New Roman" w:eastAsia="Times New Roman" w:hAnsi="Times New Roman" w:cs="Times New Roman"/>
                <w:b/>
                <w:noProof/>
                <w:sz w:val="18"/>
              </w:rPr>
            </w:pPr>
          </w:p>
        </w:tc>
      </w:tr>
      <w:tr w:rsidR="00154AD2" w14:paraId="69100ED4" w14:textId="77777777">
        <w:trPr>
          <w:trHeight w:val="1480"/>
        </w:trPr>
        <w:tc>
          <w:tcPr>
            <w:tcW w:w="1067" w:type="dxa"/>
            <w:shd w:val="clear" w:color="auto" w:fill="C5EFCE"/>
            <w:vAlign w:val="center"/>
            <w:hideMark/>
          </w:tcPr>
          <w:p w14:paraId="7FFFB0EB" w14:textId="77777777" w:rsidR="00154AD2" w:rsidRDefault="007F6BF3">
            <w:pPr>
              <w:pStyle w:val="P68B1DB1-Normal7"/>
              <w:spacing w:after="0" w:line="240" w:lineRule="auto"/>
              <w:jc w:val="center"/>
              <w:rPr>
                <w:rFonts w:eastAsia="Times New Roman" w:cs="Calibri"/>
                <w:noProof/>
              </w:rPr>
            </w:pPr>
            <w:r>
              <w:rPr>
                <w:noProof/>
              </w:rPr>
              <w:t>4.1</w:t>
            </w:r>
          </w:p>
        </w:tc>
        <w:tc>
          <w:tcPr>
            <w:tcW w:w="1191" w:type="dxa"/>
            <w:shd w:val="clear" w:color="auto" w:fill="C4EFCE"/>
            <w:vAlign w:val="center"/>
            <w:hideMark/>
          </w:tcPr>
          <w:p w14:paraId="0F332CE6" w14:textId="77777777" w:rsidR="00154AD2" w:rsidRDefault="007F6BF3">
            <w:pPr>
              <w:pStyle w:val="P68B1DB1-Normal8"/>
              <w:spacing w:after="0" w:line="240" w:lineRule="auto"/>
              <w:jc w:val="center"/>
              <w:rPr>
                <w:rFonts w:eastAsia="Times New Roman" w:cs="Calibri"/>
                <w:noProof/>
              </w:rPr>
            </w:pPr>
            <w:r>
              <w:rPr>
                <w:noProof/>
              </w:rPr>
              <w:t>RE-C04-i01 </w:t>
            </w:r>
          </w:p>
        </w:tc>
        <w:tc>
          <w:tcPr>
            <w:tcW w:w="1060" w:type="dxa"/>
            <w:shd w:val="clear" w:color="auto" w:fill="C4EFCE"/>
            <w:vAlign w:val="center"/>
            <w:hideMark/>
          </w:tcPr>
          <w:p w14:paraId="394E1B0B" w14:textId="77777777" w:rsidR="00154AD2" w:rsidRDefault="007F6BF3">
            <w:pPr>
              <w:pStyle w:val="P68B1DB1-Normal8"/>
              <w:spacing w:after="0" w:line="240" w:lineRule="auto"/>
              <w:jc w:val="center"/>
              <w:rPr>
                <w:rFonts w:eastAsia="Times New Roman" w:cs="Calibri"/>
                <w:noProof/>
              </w:rPr>
            </w:pPr>
            <w:r>
              <w:rPr>
                <w:noProof/>
              </w:rPr>
              <w:t>M </w:t>
            </w:r>
          </w:p>
        </w:tc>
        <w:tc>
          <w:tcPr>
            <w:tcW w:w="1588" w:type="dxa"/>
            <w:shd w:val="clear" w:color="auto" w:fill="C4EFCE"/>
            <w:vAlign w:val="center"/>
            <w:hideMark/>
          </w:tcPr>
          <w:p w14:paraId="04704446" w14:textId="77777777" w:rsidR="00154AD2" w:rsidRDefault="007F6BF3">
            <w:pPr>
              <w:pStyle w:val="P68B1DB1-Normal8"/>
              <w:spacing w:after="0" w:line="240" w:lineRule="auto"/>
              <w:jc w:val="center"/>
              <w:rPr>
                <w:rFonts w:eastAsia="Times New Roman" w:cs="Calibri"/>
                <w:noProof/>
              </w:rPr>
            </w:pPr>
            <w:r>
              <w:rPr>
                <w:noProof/>
              </w:rPr>
              <w:t>Τεχνολογικές προδιαγραφές για το δίκτυο πολιτιστικών εγκαταστάσεων</w:t>
            </w:r>
          </w:p>
        </w:tc>
        <w:tc>
          <w:tcPr>
            <w:tcW w:w="1193" w:type="dxa"/>
            <w:shd w:val="clear" w:color="auto" w:fill="C4EFCE"/>
            <w:vAlign w:val="center"/>
            <w:hideMark/>
          </w:tcPr>
          <w:p w14:paraId="61F7EBA6" w14:textId="77777777" w:rsidR="00154AD2" w:rsidRDefault="007F6BF3">
            <w:pPr>
              <w:pStyle w:val="P68B1DB1-Normal8"/>
              <w:spacing w:after="0" w:line="240" w:lineRule="auto"/>
              <w:jc w:val="center"/>
              <w:rPr>
                <w:rFonts w:eastAsia="Times New Roman" w:cs="Calibri"/>
                <w:noProof/>
              </w:rPr>
            </w:pPr>
            <w:r>
              <w:rPr>
                <w:noProof/>
              </w:rPr>
              <w:t>Έκθεση σχετικά με τις τεχνολογικές προδιαγραφές για το δίκτυο πολιτιστικών εγκαταστάσεων</w:t>
            </w:r>
          </w:p>
        </w:tc>
        <w:tc>
          <w:tcPr>
            <w:tcW w:w="930" w:type="dxa"/>
            <w:shd w:val="clear" w:color="auto" w:fill="C4EFCE"/>
            <w:vAlign w:val="center"/>
            <w:hideMark/>
          </w:tcPr>
          <w:p w14:paraId="7F181E4F" w14:textId="77777777" w:rsidR="00154AD2" w:rsidRDefault="007F6BF3">
            <w:pPr>
              <w:pStyle w:val="P68B1DB1-Normal8"/>
              <w:spacing w:after="0" w:line="240" w:lineRule="auto"/>
              <w:jc w:val="center"/>
              <w:rPr>
                <w:rFonts w:eastAsia="Times New Roman" w:cs="Calibri"/>
                <w:noProof/>
              </w:rPr>
            </w:pPr>
            <w:r>
              <w:rPr>
                <w:noProof/>
              </w:rPr>
              <w:t> </w:t>
            </w:r>
          </w:p>
        </w:tc>
        <w:tc>
          <w:tcPr>
            <w:tcW w:w="1225" w:type="dxa"/>
            <w:shd w:val="clear" w:color="auto" w:fill="C4EFCE"/>
            <w:vAlign w:val="center"/>
            <w:hideMark/>
          </w:tcPr>
          <w:p w14:paraId="5B4FC930" w14:textId="77777777" w:rsidR="00154AD2" w:rsidRDefault="007F6BF3">
            <w:pPr>
              <w:pStyle w:val="P68B1DB1-Normal8"/>
              <w:spacing w:after="0" w:line="240" w:lineRule="auto"/>
              <w:jc w:val="center"/>
              <w:rPr>
                <w:rFonts w:eastAsia="Times New Roman" w:cs="Calibri"/>
                <w:noProof/>
              </w:rPr>
            </w:pPr>
            <w:r>
              <w:rPr>
                <w:noProof/>
              </w:rPr>
              <w:t>  </w:t>
            </w:r>
          </w:p>
        </w:tc>
        <w:tc>
          <w:tcPr>
            <w:tcW w:w="671" w:type="dxa"/>
            <w:shd w:val="clear" w:color="auto" w:fill="C4EFCE"/>
            <w:vAlign w:val="center"/>
            <w:hideMark/>
          </w:tcPr>
          <w:p w14:paraId="1EE62675" w14:textId="77777777" w:rsidR="00154AD2" w:rsidRDefault="007F6BF3">
            <w:pPr>
              <w:pStyle w:val="P68B1DB1-Normal8"/>
              <w:spacing w:after="0" w:line="240" w:lineRule="auto"/>
              <w:jc w:val="center"/>
              <w:rPr>
                <w:rFonts w:eastAsia="Times New Roman" w:cs="Calibri"/>
                <w:noProof/>
              </w:rPr>
            </w:pPr>
            <w:r>
              <w:rPr>
                <w:noProof/>
              </w:rPr>
              <w:t> </w:t>
            </w:r>
          </w:p>
        </w:tc>
        <w:tc>
          <w:tcPr>
            <w:tcW w:w="539" w:type="dxa"/>
            <w:shd w:val="clear" w:color="auto" w:fill="C4EFCE"/>
            <w:vAlign w:val="center"/>
            <w:hideMark/>
          </w:tcPr>
          <w:p w14:paraId="7E5E1F2E" w14:textId="77777777" w:rsidR="00154AD2" w:rsidRDefault="007F6BF3">
            <w:pPr>
              <w:pStyle w:val="P68B1DB1-Normal8"/>
              <w:spacing w:after="0" w:line="240" w:lineRule="auto"/>
              <w:jc w:val="center"/>
              <w:rPr>
                <w:rFonts w:eastAsia="Times New Roman" w:cs="Calibri"/>
                <w:noProof/>
              </w:rPr>
            </w:pPr>
            <w:r>
              <w:rPr>
                <w:noProof/>
              </w:rPr>
              <w:t>ΤΡΊΜΗΝΟ 2 </w:t>
            </w:r>
          </w:p>
        </w:tc>
        <w:tc>
          <w:tcPr>
            <w:tcW w:w="672" w:type="dxa"/>
            <w:shd w:val="clear" w:color="auto" w:fill="C4EFCE"/>
            <w:vAlign w:val="center"/>
            <w:hideMark/>
          </w:tcPr>
          <w:p w14:paraId="7BDF2F41" w14:textId="77777777" w:rsidR="00154AD2" w:rsidRDefault="007F6BF3">
            <w:pPr>
              <w:pStyle w:val="P68B1DB1-Normal8"/>
              <w:spacing w:after="0" w:line="240" w:lineRule="auto"/>
              <w:jc w:val="center"/>
              <w:rPr>
                <w:rFonts w:eastAsia="Times New Roman" w:cs="Calibri"/>
                <w:noProof/>
              </w:rPr>
            </w:pPr>
            <w:r>
              <w:rPr>
                <w:noProof/>
              </w:rPr>
              <w:t>2022 </w:t>
            </w:r>
          </w:p>
        </w:tc>
        <w:tc>
          <w:tcPr>
            <w:tcW w:w="3756" w:type="dxa"/>
            <w:shd w:val="clear" w:color="auto" w:fill="C4EFCE"/>
            <w:noWrap/>
            <w:vAlign w:val="center"/>
            <w:hideMark/>
          </w:tcPr>
          <w:p w14:paraId="3C24C115" w14:textId="77777777" w:rsidR="00154AD2" w:rsidRDefault="007F6BF3">
            <w:pPr>
              <w:pStyle w:val="P68B1DB1-Normal8"/>
              <w:spacing w:after="0" w:line="240" w:lineRule="auto"/>
              <w:jc w:val="both"/>
              <w:rPr>
                <w:rFonts w:eastAsia="Times New Roman" w:cs="Calibri"/>
                <w:noProof/>
              </w:rPr>
            </w:pPr>
            <w:r>
              <w:rPr>
                <w:noProof/>
              </w:rPr>
              <w:t>Λεπτομερής καθορισμός των τεχνολογικών προδιαγραφών για το δίκτυο πολιτιστικών εγκαταστάσεων </w:t>
            </w:r>
          </w:p>
        </w:tc>
      </w:tr>
      <w:tr w:rsidR="00154AD2" w14:paraId="6A18F214" w14:textId="77777777">
        <w:trPr>
          <w:trHeight w:val="1060"/>
        </w:trPr>
        <w:tc>
          <w:tcPr>
            <w:tcW w:w="1067" w:type="dxa"/>
            <w:shd w:val="clear" w:color="auto" w:fill="C5EFCE"/>
            <w:vAlign w:val="center"/>
            <w:hideMark/>
          </w:tcPr>
          <w:p w14:paraId="2815D0CE" w14:textId="77777777" w:rsidR="00154AD2" w:rsidRDefault="007F6BF3">
            <w:pPr>
              <w:pStyle w:val="P68B1DB1-Normal7"/>
              <w:spacing w:after="0" w:line="240" w:lineRule="auto"/>
              <w:jc w:val="center"/>
              <w:rPr>
                <w:rFonts w:eastAsia="Times New Roman" w:cs="Calibri"/>
                <w:noProof/>
              </w:rPr>
            </w:pPr>
            <w:r>
              <w:rPr>
                <w:noProof/>
              </w:rPr>
              <w:t>4.2</w:t>
            </w:r>
          </w:p>
        </w:tc>
        <w:tc>
          <w:tcPr>
            <w:tcW w:w="1191" w:type="dxa"/>
            <w:shd w:val="clear" w:color="auto" w:fill="C4EFCE"/>
            <w:vAlign w:val="center"/>
            <w:hideMark/>
          </w:tcPr>
          <w:p w14:paraId="67F836FD" w14:textId="77777777" w:rsidR="00154AD2" w:rsidRDefault="007F6BF3">
            <w:pPr>
              <w:pStyle w:val="P68B1DB1-Normal8"/>
              <w:spacing w:after="0" w:line="240" w:lineRule="auto"/>
              <w:jc w:val="center"/>
              <w:rPr>
                <w:rFonts w:eastAsia="Times New Roman" w:cs="Calibri"/>
                <w:noProof/>
              </w:rPr>
            </w:pPr>
            <w:r>
              <w:rPr>
                <w:noProof/>
              </w:rPr>
              <w:t>RE-C04-i01 </w:t>
            </w:r>
          </w:p>
        </w:tc>
        <w:tc>
          <w:tcPr>
            <w:tcW w:w="1060" w:type="dxa"/>
            <w:shd w:val="clear" w:color="auto" w:fill="C4EFCE"/>
            <w:vAlign w:val="center"/>
            <w:hideMark/>
          </w:tcPr>
          <w:p w14:paraId="3862850B" w14:textId="77777777" w:rsidR="00154AD2" w:rsidRDefault="007F6BF3">
            <w:pPr>
              <w:pStyle w:val="P68B1DB1-Normal8"/>
              <w:spacing w:after="0" w:line="240" w:lineRule="auto"/>
              <w:jc w:val="center"/>
              <w:rPr>
                <w:rFonts w:eastAsia="Times New Roman" w:cs="Calibri"/>
                <w:noProof/>
              </w:rPr>
            </w:pPr>
            <w:r>
              <w:rPr>
                <w:noProof/>
              </w:rPr>
              <w:t>T </w:t>
            </w:r>
          </w:p>
        </w:tc>
        <w:tc>
          <w:tcPr>
            <w:tcW w:w="1588" w:type="dxa"/>
            <w:shd w:val="clear" w:color="auto" w:fill="C4EFCE"/>
            <w:vAlign w:val="center"/>
            <w:hideMark/>
          </w:tcPr>
          <w:p w14:paraId="3696B783" w14:textId="77777777" w:rsidR="00154AD2" w:rsidRDefault="007F6BF3">
            <w:pPr>
              <w:pStyle w:val="P68B1DB1-Normal8"/>
              <w:spacing w:after="0" w:line="240" w:lineRule="auto"/>
              <w:jc w:val="center"/>
              <w:rPr>
                <w:rFonts w:eastAsia="Times New Roman" w:cs="Calibri"/>
                <w:noProof/>
              </w:rPr>
            </w:pPr>
            <w:r>
              <w:rPr>
                <w:noProof/>
              </w:rPr>
              <w:t>Χρηματοδοτική στήριξη για την ψηφιακή μετάβαση των βιβλιοπωλείων</w:t>
            </w:r>
          </w:p>
        </w:tc>
        <w:tc>
          <w:tcPr>
            <w:tcW w:w="1193" w:type="dxa"/>
            <w:shd w:val="clear" w:color="auto" w:fill="C4EFCE"/>
            <w:vAlign w:val="center"/>
            <w:hideMark/>
          </w:tcPr>
          <w:p w14:paraId="4F0ADF20" w14:textId="77777777" w:rsidR="00154AD2" w:rsidRDefault="007F6BF3">
            <w:pPr>
              <w:pStyle w:val="P68B1DB1-Normal8"/>
              <w:spacing w:after="0" w:line="240" w:lineRule="auto"/>
              <w:jc w:val="center"/>
              <w:rPr>
                <w:rFonts w:eastAsia="Times New Roman" w:cs="Calibri"/>
                <w:noProof/>
              </w:rPr>
            </w:pPr>
            <w:r>
              <w:rPr>
                <w:noProof/>
              </w:rPr>
              <w:t> </w:t>
            </w:r>
          </w:p>
        </w:tc>
        <w:tc>
          <w:tcPr>
            <w:tcW w:w="930" w:type="dxa"/>
            <w:shd w:val="clear" w:color="auto" w:fill="C4EFCE"/>
            <w:vAlign w:val="center"/>
            <w:hideMark/>
          </w:tcPr>
          <w:p w14:paraId="6F1EB3DA"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1225" w:type="dxa"/>
            <w:shd w:val="clear" w:color="auto" w:fill="C4EFCE"/>
            <w:vAlign w:val="center"/>
            <w:hideMark/>
          </w:tcPr>
          <w:p w14:paraId="07E69B40" w14:textId="77777777" w:rsidR="00154AD2" w:rsidRDefault="007F6BF3">
            <w:pPr>
              <w:pStyle w:val="P68B1DB1-Normal8"/>
              <w:spacing w:after="0" w:line="240" w:lineRule="auto"/>
              <w:jc w:val="center"/>
              <w:rPr>
                <w:rFonts w:eastAsia="Times New Roman" w:cs="Calibri"/>
                <w:noProof/>
              </w:rPr>
            </w:pPr>
            <w:r>
              <w:rPr>
                <w:noProof/>
              </w:rPr>
              <w:t>0 </w:t>
            </w:r>
          </w:p>
        </w:tc>
        <w:tc>
          <w:tcPr>
            <w:tcW w:w="671" w:type="dxa"/>
            <w:shd w:val="clear" w:color="auto" w:fill="C4EFCE"/>
            <w:vAlign w:val="center"/>
            <w:hideMark/>
          </w:tcPr>
          <w:p w14:paraId="34DE8CD7" w14:textId="77777777" w:rsidR="00154AD2" w:rsidRDefault="007F6BF3">
            <w:pPr>
              <w:pStyle w:val="P68B1DB1-Normal8"/>
              <w:spacing w:after="0" w:line="240" w:lineRule="auto"/>
              <w:jc w:val="center"/>
              <w:rPr>
                <w:rFonts w:eastAsia="Times New Roman" w:cs="Calibri"/>
                <w:noProof/>
              </w:rPr>
            </w:pPr>
            <w:r>
              <w:rPr>
                <w:noProof/>
              </w:rPr>
              <w:t>200 </w:t>
            </w:r>
          </w:p>
        </w:tc>
        <w:tc>
          <w:tcPr>
            <w:tcW w:w="539" w:type="dxa"/>
            <w:shd w:val="clear" w:color="auto" w:fill="C4EFCE"/>
            <w:vAlign w:val="center"/>
            <w:hideMark/>
          </w:tcPr>
          <w:p w14:paraId="58CDDC7C" w14:textId="77777777" w:rsidR="00154AD2" w:rsidRDefault="007F6BF3">
            <w:pPr>
              <w:pStyle w:val="P68B1DB1-Normal8"/>
              <w:spacing w:after="0" w:line="240" w:lineRule="auto"/>
              <w:jc w:val="center"/>
              <w:rPr>
                <w:rFonts w:eastAsia="Times New Roman" w:cs="Calibri"/>
                <w:noProof/>
              </w:rPr>
            </w:pPr>
            <w:r>
              <w:rPr>
                <w:noProof/>
              </w:rPr>
              <w:t>ΤΡΊΜΗΝΟ 4 </w:t>
            </w:r>
          </w:p>
        </w:tc>
        <w:tc>
          <w:tcPr>
            <w:tcW w:w="672" w:type="dxa"/>
            <w:shd w:val="clear" w:color="auto" w:fill="C4EFCE"/>
            <w:vAlign w:val="center"/>
            <w:hideMark/>
          </w:tcPr>
          <w:p w14:paraId="6C906CB7" w14:textId="77777777" w:rsidR="00154AD2" w:rsidRDefault="007F6BF3">
            <w:pPr>
              <w:pStyle w:val="P68B1DB1-Normal8"/>
              <w:spacing w:after="0" w:line="240" w:lineRule="auto"/>
              <w:jc w:val="center"/>
              <w:rPr>
                <w:rFonts w:eastAsia="Times New Roman" w:cs="Calibri"/>
                <w:noProof/>
              </w:rPr>
            </w:pPr>
            <w:r>
              <w:rPr>
                <w:noProof/>
              </w:rPr>
              <w:t>2025 </w:t>
            </w:r>
          </w:p>
        </w:tc>
        <w:tc>
          <w:tcPr>
            <w:tcW w:w="3756" w:type="dxa"/>
            <w:shd w:val="clear" w:color="auto" w:fill="C4EFCE"/>
            <w:vAlign w:val="center"/>
            <w:hideMark/>
          </w:tcPr>
          <w:p w14:paraId="7BA7A95B" w14:textId="5C3C166A" w:rsidR="00154AD2" w:rsidRDefault="007F6BF3">
            <w:pPr>
              <w:pStyle w:val="P68B1DB1-Normal8"/>
              <w:spacing w:after="0" w:line="240" w:lineRule="auto"/>
              <w:jc w:val="both"/>
              <w:rPr>
                <w:rFonts w:eastAsia="Times New Roman" w:cs="Calibri"/>
                <w:noProof/>
              </w:rPr>
            </w:pPr>
            <w:r>
              <w:rPr>
                <w:noProof/>
              </w:rPr>
              <w:t>Αριθμός βιβλιοπωλείων που έλαβαν χρηματοδοτική στήριξη για την ψηφιακή μετάβαση των βιβλιοπωλείων, επιδοτώντας το 60 % του κόστους ενός καλαθιού τεχνολογικού εξοπλισμού και υπηρεσιών ανά βιβλιοπωλείο (π.χ. σαρωτής για βιβλία, δίκτυα Wi-fi και VPN, δικτυακός τόπος για βιβλιοπωλείο, ολοκληρωμένο λογιστικό σύστημα κ.λπ.)</w:t>
            </w:r>
          </w:p>
        </w:tc>
      </w:tr>
      <w:tr w:rsidR="00154AD2" w14:paraId="26C8893F" w14:textId="77777777">
        <w:trPr>
          <w:trHeight w:val="290"/>
        </w:trPr>
        <w:tc>
          <w:tcPr>
            <w:tcW w:w="1067" w:type="dxa"/>
            <w:shd w:val="clear" w:color="auto" w:fill="C5EFCE"/>
            <w:vAlign w:val="center"/>
            <w:hideMark/>
          </w:tcPr>
          <w:p w14:paraId="5A0BEA5E" w14:textId="77777777" w:rsidR="00154AD2" w:rsidRDefault="007F6BF3">
            <w:pPr>
              <w:pStyle w:val="P68B1DB1-Normal7"/>
              <w:spacing w:after="0" w:line="240" w:lineRule="auto"/>
              <w:jc w:val="center"/>
              <w:rPr>
                <w:rFonts w:eastAsia="Times New Roman" w:cs="Calibri"/>
                <w:noProof/>
              </w:rPr>
            </w:pPr>
            <w:r>
              <w:rPr>
                <w:noProof/>
              </w:rPr>
              <w:t>4.3</w:t>
            </w:r>
          </w:p>
        </w:tc>
        <w:tc>
          <w:tcPr>
            <w:tcW w:w="1191" w:type="dxa"/>
            <w:shd w:val="clear" w:color="auto" w:fill="C4EFCE"/>
            <w:vAlign w:val="center"/>
            <w:hideMark/>
          </w:tcPr>
          <w:p w14:paraId="162AF0B7" w14:textId="77777777" w:rsidR="00154AD2" w:rsidRDefault="007F6BF3">
            <w:pPr>
              <w:pStyle w:val="P68B1DB1-Normal8"/>
              <w:spacing w:after="0" w:line="240" w:lineRule="auto"/>
              <w:jc w:val="center"/>
              <w:rPr>
                <w:rFonts w:eastAsia="Times New Roman" w:cs="Calibri"/>
                <w:noProof/>
              </w:rPr>
            </w:pPr>
            <w:r>
              <w:rPr>
                <w:noProof/>
              </w:rPr>
              <w:t>RE-C04-i01 </w:t>
            </w:r>
          </w:p>
        </w:tc>
        <w:tc>
          <w:tcPr>
            <w:tcW w:w="1060" w:type="dxa"/>
            <w:shd w:val="clear" w:color="auto" w:fill="C4EFCE"/>
            <w:vAlign w:val="center"/>
            <w:hideMark/>
          </w:tcPr>
          <w:p w14:paraId="08616AC9" w14:textId="77777777" w:rsidR="00154AD2" w:rsidRDefault="007F6BF3">
            <w:pPr>
              <w:pStyle w:val="P68B1DB1-Normal8"/>
              <w:spacing w:after="0" w:line="240" w:lineRule="auto"/>
              <w:jc w:val="center"/>
              <w:rPr>
                <w:rFonts w:eastAsia="Times New Roman" w:cs="Calibri"/>
                <w:noProof/>
              </w:rPr>
            </w:pPr>
            <w:r>
              <w:rPr>
                <w:noProof/>
              </w:rPr>
              <w:t>M </w:t>
            </w:r>
          </w:p>
        </w:tc>
        <w:tc>
          <w:tcPr>
            <w:tcW w:w="1588" w:type="dxa"/>
            <w:shd w:val="clear" w:color="auto" w:fill="C4EFCE"/>
            <w:vAlign w:val="center"/>
            <w:hideMark/>
          </w:tcPr>
          <w:p w14:paraId="1C4A4D61" w14:textId="77777777" w:rsidR="00154AD2" w:rsidRDefault="007F6BF3">
            <w:pPr>
              <w:pStyle w:val="P68B1DB1-Normal8"/>
              <w:spacing w:after="0" w:line="240" w:lineRule="auto"/>
              <w:jc w:val="center"/>
              <w:rPr>
                <w:rFonts w:eastAsia="Times New Roman" w:cs="Calibri"/>
                <w:noProof/>
              </w:rPr>
            </w:pPr>
            <w:r>
              <w:rPr>
                <w:noProof/>
              </w:rPr>
              <w:t xml:space="preserve">Ψηφιοποίηση και εικονικοποίηση των δημόσιων συλλογών </w:t>
            </w:r>
          </w:p>
        </w:tc>
        <w:tc>
          <w:tcPr>
            <w:tcW w:w="1193" w:type="dxa"/>
            <w:shd w:val="clear" w:color="auto" w:fill="C4EFCE"/>
            <w:vAlign w:val="center"/>
            <w:hideMark/>
          </w:tcPr>
          <w:p w14:paraId="69874A18" w14:textId="77777777" w:rsidR="00154AD2" w:rsidRDefault="007F6BF3">
            <w:pPr>
              <w:pStyle w:val="P68B1DB1-Normal8"/>
              <w:spacing w:after="0" w:line="240" w:lineRule="auto"/>
              <w:jc w:val="center"/>
              <w:rPr>
                <w:rFonts w:eastAsia="Times New Roman" w:cs="Calibri"/>
                <w:noProof/>
              </w:rPr>
            </w:pPr>
            <w:r>
              <w:rPr>
                <w:noProof/>
              </w:rPr>
              <w:t>Ψηφιοποίηση και εικονικοποίηση των δημόσιων συλλογών</w:t>
            </w:r>
          </w:p>
        </w:tc>
        <w:tc>
          <w:tcPr>
            <w:tcW w:w="930" w:type="dxa"/>
            <w:shd w:val="clear" w:color="auto" w:fill="C4EFCE"/>
            <w:vAlign w:val="center"/>
            <w:hideMark/>
          </w:tcPr>
          <w:p w14:paraId="06325BFB" w14:textId="77777777" w:rsidR="00154AD2" w:rsidRDefault="007F6BF3">
            <w:pPr>
              <w:pStyle w:val="P68B1DB1-Normal8"/>
              <w:spacing w:after="0" w:line="240" w:lineRule="auto"/>
              <w:jc w:val="center"/>
              <w:rPr>
                <w:rFonts w:eastAsia="Times New Roman" w:cs="Calibri"/>
                <w:noProof/>
              </w:rPr>
            </w:pPr>
            <w:r>
              <w:rPr>
                <w:noProof/>
              </w:rPr>
              <w:t>  </w:t>
            </w:r>
          </w:p>
        </w:tc>
        <w:tc>
          <w:tcPr>
            <w:tcW w:w="1225" w:type="dxa"/>
            <w:shd w:val="clear" w:color="auto" w:fill="C4EFCE"/>
            <w:vAlign w:val="center"/>
            <w:hideMark/>
          </w:tcPr>
          <w:p w14:paraId="54FF56D1" w14:textId="77777777" w:rsidR="00154AD2" w:rsidRDefault="007F6BF3">
            <w:pPr>
              <w:pStyle w:val="P68B1DB1-Normal8"/>
              <w:spacing w:after="0" w:line="240" w:lineRule="auto"/>
              <w:jc w:val="center"/>
              <w:rPr>
                <w:rFonts w:eastAsia="Times New Roman" w:cs="Calibri"/>
                <w:noProof/>
              </w:rPr>
            </w:pPr>
            <w:r>
              <w:rPr>
                <w:noProof/>
              </w:rPr>
              <w:t>  </w:t>
            </w:r>
          </w:p>
        </w:tc>
        <w:tc>
          <w:tcPr>
            <w:tcW w:w="671" w:type="dxa"/>
            <w:shd w:val="clear" w:color="auto" w:fill="C4EFCE"/>
            <w:vAlign w:val="center"/>
            <w:hideMark/>
          </w:tcPr>
          <w:p w14:paraId="62B27753" w14:textId="77777777" w:rsidR="00154AD2" w:rsidRDefault="007F6BF3">
            <w:pPr>
              <w:pStyle w:val="P68B1DB1-Normal8"/>
              <w:spacing w:after="0" w:line="240" w:lineRule="auto"/>
              <w:jc w:val="center"/>
              <w:rPr>
                <w:rFonts w:eastAsia="Times New Roman" w:cs="Calibri"/>
                <w:noProof/>
              </w:rPr>
            </w:pPr>
            <w:r>
              <w:rPr>
                <w:noProof/>
              </w:rPr>
              <w:t>  </w:t>
            </w:r>
          </w:p>
        </w:tc>
        <w:tc>
          <w:tcPr>
            <w:tcW w:w="539" w:type="dxa"/>
            <w:shd w:val="clear" w:color="auto" w:fill="C4EFCE"/>
            <w:vAlign w:val="center"/>
            <w:hideMark/>
          </w:tcPr>
          <w:p w14:paraId="73989E77" w14:textId="77777777" w:rsidR="00154AD2" w:rsidRDefault="007F6BF3">
            <w:pPr>
              <w:pStyle w:val="P68B1DB1-Normal8"/>
              <w:spacing w:after="0" w:line="240" w:lineRule="auto"/>
              <w:jc w:val="center"/>
              <w:rPr>
                <w:rFonts w:eastAsia="Times New Roman" w:cs="Calibri"/>
                <w:noProof/>
              </w:rPr>
            </w:pPr>
            <w:r>
              <w:rPr>
                <w:noProof/>
              </w:rPr>
              <w:t>ΤΡΊΜΗΝΟ 4 </w:t>
            </w:r>
          </w:p>
        </w:tc>
        <w:tc>
          <w:tcPr>
            <w:tcW w:w="672" w:type="dxa"/>
            <w:shd w:val="clear" w:color="auto" w:fill="C4EFCE"/>
            <w:vAlign w:val="center"/>
            <w:hideMark/>
          </w:tcPr>
          <w:p w14:paraId="410429FA" w14:textId="77777777" w:rsidR="00154AD2" w:rsidRDefault="007F6BF3">
            <w:pPr>
              <w:pStyle w:val="P68B1DB1-Normal8"/>
              <w:spacing w:after="0" w:line="240" w:lineRule="auto"/>
              <w:jc w:val="center"/>
              <w:rPr>
                <w:rFonts w:eastAsia="Times New Roman" w:cs="Calibri"/>
                <w:noProof/>
              </w:rPr>
            </w:pPr>
            <w:r>
              <w:rPr>
                <w:noProof/>
              </w:rPr>
              <w:t>2025 </w:t>
            </w:r>
          </w:p>
        </w:tc>
        <w:tc>
          <w:tcPr>
            <w:tcW w:w="3756" w:type="dxa"/>
            <w:shd w:val="clear" w:color="auto" w:fill="C4EFCE"/>
            <w:noWrap/>
            <w:vAlign w:val="center"/>
            <w:hideMark/>
          </w:tcPr>
          <w:p w14:paraId="61F98F7A" w14:textId="77777777" w:rsidR="00154AD2" w:rsidRDefault="007F6BF3">
            <w:pPr>
              <w:pStyle w:val="P68B1DB1-Normal8"/>
              <w:spacing w:after="0" w:line="240" w:lineRule="auto"/>
              <w:jc w:val="both"/>
              <w:rPr>
                <w:rFonts w:eastAsia="Times New Roman" w:cs="Calibri"/>
                <w:noProof/>
              </w:rPr>
            </w:pPr>
            <w:r>
              <w:rPr>
                <w:noProof/>
              </w:rPr>
              <w:t xml:space="preserve">Ψηφιοποίηση και εικονικοποίηση </w:t>
            </w:r>
            <w:bookmarkStart w:id="7" w:name="_Int_JLJ2Ng8K"/>
            <w:r>
              <w:rPr>
                <w:noProof/>
              </w:rPr>
              <w:t>των συλλογών:</w:t>
            </w:r>
            <w:bookmarkEnd w:id="7"/>
            <w:r>
              <w:rPr>
                <w:noProof/>
              </w:rPr>
              <w:t xml:space="preserve"> η Γενική Διεύθυνση Βιβλίων, Αρχείων και Βιβλιοθηκών· </w:t>
            </w:r>
          </w:p>
          <w:p w14:paraId="4D6FD7CE" w14:textId="77777777" w:rsidR="00154AD2" w:rsidRDefault="007F6BF3">
            <w:pPr>
              <w:pStyle w:val="P68B1DB1-Normal8"/>
              <w:spacing w:after="0" w:line="240" w:lineRule="auto"/>
              <w:jc w:val="both"/>
              <w:rPr>
                <w:rFonts w:eastAsia="Times New Roman" w:cs="Calibri"/>
                <w:noProof/>
              </w:rPr>
            </w:pPr>
            <w:r>
              <w:rPr>
                <w:noProof/>
              </w:rPr>
              <w:t xml:space="preserve">η Εθνική Βιβλιοθήκη της Πορτογαλίας, </w:t>
            </w:r>
          </w:p>
          <w:p w14:paraId="04887855" w14:textId="77777777" w:rsidR="00154AD2" w:rsidRDefault="007F6BF3">
            <w:pPr>
              <w:pStyle w:val="P68B1DB1-Normal8"/>
              <w:spacing w:after="0" w:line="240" w:lineRule="auto"/>
              <w:jc w:val="both"/>
              <w:rPr>
                <w:rFonts w:eastAsia="Times New Roman" w:cs="Calibri"/>
                <w:noProof/>
              </w:rPr>
            </w:pPr>
            <w:r>
              <w:rPr>
                <w:noProof/>
              </w:rPr>
              <w:t>η Δημόσια Βιβλιοθήκη Évora, </w:t>
            </w:r>
          </w:p>
          <w:p w14:paraId="125C26EB" w14:textId="77777777" w:rsidR="00154AD2" w:rsidRDefault="007F6BF3">
            <w:pPr>
              <w:pStyle w:val="P68B1DB1-Normal8"/>
              <w:spacing w:after="0" w:line="240" w:lineRule="auto"/>
              <w:jc w:val="both"/>
              <w:rPr>
                <w:rFonts w:eastAsia="Times New Roman" w:cs="Calibri"/>
                <w:noProof/>
              </w:rPr>
            </w:pPr>
            <w:r>
              <w:rPr>
                <w:noProof/>
              </w:rPr>
              <w:t>η Cinemateca και τα Μουσεία (υπό τη διαχείριση της DGPC και των Περιφερειακών Διευθύνσεων Πολιτισμού)</w:t>
            </w:r>
          </w:p>
          <w:p w14:paraId="4C43F75A" w14:textId="77777777" w:rsidR="00154AD2" w:rsidRDefault="007F6BF3">
            <w:pPr>
              <w:pStyle w:val="P68B1DB1-Normal8"/>
              <w:spacing w:after="0" w:line="240" w:lineRule="auto"/>
              <w:jc w:val="both"/>
              <w:rPr>
                <w:rFonts w:eastAsia="Times New Roman" w:cs="Calibri"/>
                <w:noProof/>
              </w:rPr>
            </w:pPr>
            <w:r>
              <w:rPr>
                <w:noProof/>
              </w:rPr>
              <w:t xml:space="preserve">Δημόσιες βιβλιοθήκες (20 000 000 εικόνες) </w:t>
            </w:r>
          </w:p>
          <w:p w14:paraId="3A6A5CC5" w14:textId="77777777" w:rsidR="00154AD2" w:rsidRDefault="007F6BF3">
            <w:pPr>
              <w:pStyle w:val="P68B1DB1-Normal8"/>
              <w:spacing w:after="0" w:line="240" w:lineRule="auto"/>
              <w:jc w:val="both"/>
              <w:rPr>
                <w:rFonts w:eastAsia="Times New Roman" w:cs="Calibri"/>
                <w:noProof/>
              </w:rPr>
            </w:pPr>
            <w:r>
              <w:rPr>
                <w:noProof/>
              </w:rPr>
              <w:t xml:space="preserve">Εθνικά αρχεία (19 500 000 έγγραφα) </w:t>
            </w:r>
          </w:p>
          <w:p w14:paraId="0C26521C" w14:textId="0DC785F2" w:rsidR="00154AD2" w:rsidRDefault="007F6BF3">
            <w:pPr>
              <w:pStyle w:val="P68B1DB1-Normal8"/>
              <w:spacing w:after="0" w:line="240" w:lineRule="auto"/>
              <w:jc w:val="both"/>
              <w:rPr>
                <w:rFonts w:eastAsia="Times New Roman" w:cs="Calibri"/>
                <w:noProof/>
              </w:rPr>
            </w:pPr>
            <w:r>
              <w:rPr>
                <w:noProof/>
              </w:rPr>
              <w:t>Δημόσια μουσεία (59 500 αρχεία)</w:t>
            </w:r>
          </w:p>
          <w:p w14:paraId="5E5FA37C" w14:textId="77777777" w:rsidR="00154AD2" w:rsidRDefault="007F6BF3">
            <w:pPr>
              <w:pStyle w:val="P68B1DB1-Normal8"/>
              <w:spacing w:after="0" w:line="240" w:lineRule="auto"/>
              <w:jc w:val="both"/>
              <w:rPr>
                <w:rFonts w:eastAsia="Times New Roman" w:cs="Calibri"/>
                <w:noProof/>
              </w:rPr>
            </w:pPr>
            <w:r>
              <w:rPr>
                <w:noProof/>
              </w:rPr>
              <w:t>Εικονικές επισκέψεις σε μουσεία (65 μουσεία)</w:t>
            </w:r>
          </w:p>
          <w:p w14:paraId="4A3AECA6" w14:textId="503848A9" w:rsidR="00154AD2" w:rsidRDefault="007F6BF3">
            <w:pPr>
              <w:pStyle w:val="P68B1DB1-Normal8"/>
              <w:spacing w:after="0" w:line="240" w:lineRule="auto"/>
              <w:jc w:val="both"/>
              <w:rPr>
                <w:rFonts w:eastAsia="Times New Roman" w:cs="Calibri"/>
                <w:noProof/>
              </w:rPr>
            </w:pPr>
            <w:r>
              <w:rPr>
                <w:noProof/>
              </w:rPr>
              <w:t>Cinematheque (1000 ταινίες)</w:t>
            </w:r>
          </w:p>
          <w:p w14:paraId="57CB2147" w14:textId="0C2B23D7" w:rsidR="00154AD2" w:rsidRDefault="007F6BF3">
            <w:pPr>
              <w:pStyle w:val="P68B1DB1-Normal8"/>
              <w:spacing w:after="0" w:line="240" w:lineRule="auto"/>
              <w:jc w:val="both"/>
              <w:rPr>
                <w:rFonts w:eastAsia="Times New Roman" w:cs="Calibri"/>
                <w:noProof/>
              </w:rPr>
            </w:pPr>
            <w:r>
              <w:rPr>
                <w:noProof/>
              </w:rPr>
              <w:t>Αρχεία παρόχων υπηρεσιών ιστορικών μέσων ενημέρωσης και τηλεοπτικής μετάδοσης (ψηφιοποιημένα και διαθέσιμα στο κοινό, 45 000 ώρες περιεχομένου βιντεοκασετών)</w:t>
            </w:r>
          </w:p>
        </w:tc>
      </w:tr>
      <w:tr w:rsidR="00154AD2" w14:paraId="0744F11D" w14:textId="77777777">
        <w:trPr>
          <w:trHeight w:val="1690"/>
        </w:trPr>
        <w:tc>
          <w:tcPr>
            <w:tcW w:w="1067" w:type="dxa"/>
            <w:shd w:val="clear" w:color="auto" w:fill="C5EFCE"/>
            <w:vAlign w:val="center"/>
            <w:hideMark/>
          </w:tcPr>
          <w:p w14:paraId="01436334" w14:textId="77777777" w:rsidR="00154AD2" w:rsidRDefault="007F6BF3">
            <w:pPr>
              <w:pStyle w:val="P68B1DB1-Normal7"/>
              <w:spacing w:after="0" w:line="240" w:lineRule="auto"/>
              <w:jc w:val="center"/>
              <w:rPr>
                <w:rFonts w:eastAsia="Times New Roman" w:cs="Calibri"/>
                <w:noProof/>
              </w:rPr>
            </w:pPr>
            <w:r>
              <w:rPr>
                <w:noProof/>
              </w:rPr>
              <w:t>4.4</w:t>
            </w:r>
          </w:p>
        </w:tc>
        <w:tc>
          <w:tcPr>
            <w:tcW w:w="1191" w:type="dxa"/>
            <w:shd w:val="clear" w:color="auto" w:fill="C4EFCE"/>
            <w:vAlign w:val="center"/>
            <w:hideMark/>
          </w:tcPr>
          <w:p w14:paraId="1141670F" w14:textId="77777777" w:rsidR="00154AD2" w:rsidRDefault="007F6BF3">
            <w:pPr>
              <w:pStyle w:val="P68B1DB1-Normal8"/>
              <w:spacing w:after="0" w:line="240" w:lineRule="auto"/>
              <w:jc w:val="center"/>
              <w:rPr>
                <w:rFonts w:eastAsia="Times New Roman" w:cs="Calibri"/>
                <w:noProof/>
              </w:rPr>
            </w:pPr>
            <w:r>
              <w:rPr>
                <w:noProof/>
              </w:rPr>
              <w:t>RE-C04-i01 </w:t>
            </w:r>
          </w:p>
        </w:tc>
        <w:tc>
          <w:tcPr>
            <w:tcW w:w="1060" w:type="dxa"/>
            <w:shd w:val="clear" w:color="auto" w:fill="C4EFCE"/>
            <w:vAlign w:val="center"/>
            <w:hideMark/>
          </w:tcPr>
          <w:p w14:paraId="151B6187" w14:textId="77777777" w:rsidR="00154AD2" w:rsidRDefault="007F6BF3">
            <w:pPr>
              <w:pStyle w:val="P68B1DB1-Normal8"/>
              <w:spacing w:after="0" w:line="240" w:lineRule="auto"/>
              <w:jc w:val="center"/>
              <w:rPr>
                <w:rFonts w:eastAsia="Times New Roman" w:cs="Calibri"/>
                <w:noProof/>
              </w:rPr>
            </w:pPr>
            <w:r>
              <w:rPr>
                <w:noProof/>
              </w:rPr>
              <w:t>M</w:t>
            </w:r>
          </w:p>
        </w:tc>
        <w:tc>
          <w:tcPr>
            <w:tcW w:w="1588" w:type="dxa"/>
            <w:shd w:val="clear" w:color="auto" w:fill="C4EFCE"/>
            <w:vAlign w:val="center"/>
            <w:hideMark/>
          </w:tcPr>
          <w:p w14:paraId="56792410" w14:textId="77777777" w:rsidR="00154AD2" w:rsidRDefault="007F6BF3">
            <w:pPr>
              <w:pStyle w:val="P68B1DB1-Normal8"/>
              <w:spacing w:after="0" w:line="240" w:lineRule="auto"/>
              <w:jc w:val="center"/>
              <w:rPr>
                <w:rFonts w:eastAsia="Times New Roman" w:cs="Calibri"/>
                <w:noProof/>
              </w:rPr>
            </w:pPr>
            <w:r>
              <w:rPr>
                <w:noProof/>
              </w:rPr>
              <w:t>Παροχή εκσυγχρονισμένης τεχνολογικής υποδομής για το δίκτυο πολιτιστικών εγκαταστάσεων </w:t>
            </w:r>
          </w:p>
        </w:tc>
        <w:tc>
          <w:tcPr>
            <w:tcW w:w="1193" w:type="dxa"/>
            <w:shd w:val="clear" w:color="auto" w:fill="C4EFCE"/>
            <w:vAlign w:val="center"/>
            <w:hideMark/>
          </w:tcPr>
          <w:p w14:paraId="00695BDC" w14:textId="77777777" w:rsidR="00154AD2" w:rsidRDefault="007F6BF3">
            <w:pPr>
              <w:pStyle w:val="P68B1DB1-Normal8"/>
              <w:spacing w:after="0" w:line="240" w:lineRule="auto"/>
              <w:jc w:val="center"/>
              <w:rPr>
                <w:rFonts w:eastAsia="Times New Roman" w:cs="Calibri"/>
                <w:noProof/>
              </w:rPr>
            </w:pPr>
            <w:r>
              <w:rPr>
                <w:noProof/>
              </w:rPr>
              <w:t>Παροχή εκσυγχρονισμένης τεχνολογικής υποδομής για πολιτιστικές εγκαταστάσεις</w:t>
            </w:r>
          </w:p>
        </w:tc>
        <w:tc>
          <w:tcPr>
            <w:tcW w:w="930" w:type="dxa"/>
            <w:shd w:val="clear" w:color="auto" w:fill="C4EFCE"/>
            <w:vAlign w:val="center"/>
            <w:hideMark/>
          </w:tcPr>
          <w:p w14:paraId="64F5C137" w14:textId="77777777" w:rsidR="00154AD2" w:rsidRDefault="007F6BF3">
            <w:pPr>
              <w:pStyle w:val="P68B1DB1-Normal9"/>
              <w:spacing w:after="0" w:line="240" w:lineRule="auto"/>
              <w:rPr>
                <w:rFonts w:eastAsia="Times New Roman" w:cs="Calibri"/>
                <w:noProof/>
              </w:rPr>
            </w:pPr>
            <w:r>
              <w:rPr>
                <w:noProof/>
              </w:rPr>
              <w:t> </w:t>
            </w:r>
          </w:p>
        </w:tc>
        <w:tc>
          <w:tcPr>
            <w:tcW w:w="1225" w:type="dxa"/>
            <w:shd w:val="clear" w:color="auto" w:fill="C4EFCE"/>
            <w:vAlign w:val="center"/>
            <w:hideMark/>
          </w:tcPr>
          <w:p w14:paraId="430240F6" w14:textId="77777777" w:rsidR="00154AD2" w:rsidRDefault="007F6BF3">
            <w:pPr>
              <w:pStyle w:val="P68B1DB1-Normal8"/>
              <w:spacing w:after="0" w:line="240" w:lineRule="auto"/>
              <w:jc w:val="center"/>
              <w:rPr>
                <w:rFonts w:eastAsia="Times New Roman" w:cs="Calibri"/>
                <w:noProof/>
              </w:rPr>
            </w:pPr>
            <w:r>
              <w:rPr>
                <w:noProof/>
              </w:rPr>
              <w:t>  </w:t>
            </w:r>
          </w:p>
        </w:tc>
        <w:tc>
          <w:tcPr>
            <w:tcW w:w="671" w:type="dxa"/>
            <w:shd w:val="clear" w:color="auto" w:fill="C4EFCE"/>
            <w:vAlign w:val="center"/>
            <w:hideMark/>
          </w:tcPr>
          <w:p w14:paraId="4882E765" w14:textId="77777777" w:rsidR="00154AD2" w:rsidRDefault="007F6BF3">
            <w:pPr>
              <w:pStyle w:val="P68B1DB1-Normal8"/>
              <w:spacing w:after="0" w:line="240" w:lineRule="auto"/>
              <w:jc w:val="center"/>
              <w:rPr>
                <w:rFonts w:eastAsia="Times New Roman" w:cs="Calibri"/>
                <w:noProof/>
              </w:rPr>
            </w:pPr>
            <w:r>
              <w:rPr>
                <w:noProof/>
              </w:rPr>
              <w:t> </w:t>
            </w:r>
          </w:p>
        </w:tc>
        <w:tc>
          <w:tcPr>
            <w:tcW w:w="539" w:type="dxa"/>
            <w:shd w:val="clear" w:color="auto" w:fill="C4EFCE"/>
            <w:vAlign w:val="center"/>
            <w:hideMark/>
          </w:tcPr>
          <w:p w14:paraId="60F3F936" w14:textId="361C2C84" w:rsidR="00154AD2" w:rsidRDefault="007F6BF3">
            <w:pPr>
              <w:pStyle w:val="P68B1DB1-Normal8"/>
              <w:spacing w:after="0" w:line="240" w:lineRule="auto"/>
              <w:jc w:val="center"/>
              <w:rPr>
                <w:rFonts w:eastAsia="Times New Roman" w:cs="Calibri"/>
                <w:noProof/>
              </w:rPr>
            </w:pPr>
            <w:r>
              <w:rPr>
                <w:noProof/>
              </w:rPr>
              <w:t>ΤΡΊΜΗΝΟ 1 </w:t>
            </w:r>
          </w:p>
        </w:tc>
        <w:tc>
          <w:tcPr>
            <w:tcW w:w="672" w:type="dxa"/>
            <w:shd w:val="clear" w:color="auto" w:fill="C4EFCE"/>
            <w:vAlign w:val="center"/>
            <w:hideMark/>
          </w:tcPr>
          <w:p w14:paraId="0AAC7F90" w14:textId="71E4A3EF" w:rsidR="00154AD2" w:rsidRDefault="007F6BF3">
            <w:pPr>
              <w:pStyle w:val="P68B1DB1-Normal8"/>
              <w:spacing w:after="0" w:line="240" w:lineRule="auto"/>
              <w:jc w:val="center"/>
              <w:rPr>
                <w:rFonts w:eastAsia="Times New Roman" w:cs="Calibri"/>
                <w:noProof/>
              </w:rPr>
            </w:pPr>
            <w:r>
              <w:rPr>
                <w:noProof/>
              </w:rPr>
              <w:t>2026</w:t>
            </w:r>
          </w:p>
        </w:tc>
        <w:tc>
          <w:tcPr>
            <w:tcW w:w="3756" w:type="dxa"/>
            <w:shd w:val="clear" w:color="auto" w:fill="C4EFCE"/>
            <w:vAlign w:val="center"/>
            <w:hideMark/>
          </w:tcPr>
          <w:p w14:paraId="16A65CDB" w14:textId="5B3C9491" w:rsidR="00154AD2" w:rsidRDefault="007F6BF3">
            <w:pPr>
              <w:pStyle w:val="P68B1DB1-Normal8"/>
              <w:spacing w:after="0" w:line="240" w:lineRule="auto"/>
              <w:jc w:val="both"/>
              <w:rPr>
                <w:rFonts w:eastAsia="Times New Roman" w:cs="Calibri"/>
                <w:noProof/>
              </w:rPr>
            </w:pPr>
            <w:r>
              <w:rPr>
                <w:noProof/>
              </w:rPr>
              <w:t>Παράδοση εξοπλισμού πληροφορικής και ολοκληρωμένων συστημάτων πληροφοριών και καταλόγων για 239 δημόσιες βιβλιοθήκες· κάλυψη Wi-Fi από 50 μουσεία, παλάμες και μνημεία· αγορά εξοπλισμού προβολής βίντεο και κινηματογράφου για 155 κινηματογραφικές αίθουσες και δημόσια κέντρα σύγχρονης τέχνης.</w:t>
            </w:r>
          </w:p>
        </w:tc>
      </w:tr>
      <w:tr w:rsidR="00154AD2" w14:paraId="20E65D52" w14:textId="77777777">
        <w:trPr>
          <w:trHeight w:val="1124"/>
        </w:trPr>
        <w:tc>
          <w:tcPr>
            <w:tcW w:w="1067" w:type="dxa"/>
            <w:shd w:val="clear" w:color="auto" w:fill="C5EFCE"/>
            <w:vAlign w:val="center"/>
            <w:hideMark/>
          </w:tcPr>
          <w:p w14:paraId="7AE297CF" w14:textId="77777777" w:rsidR="00154AD2" w:rsidRDefault="007F6BF3">
            <w:pPr>
              <w:pStyle w:val="P68B1DB1-Normal7"/>
              <w:spacing w:after="0" w:line="240" w:lineRule="auto"/>
              <w:jc w:val="center"/>
              <w:rPr>
                <w:rFonts w:eastAsia="Times New Roman" w:cs="Calibri"/>
                <w:noProof/>
              </w:rPr>
            </w:pPr>
            <w:r>
              <w:rPr>
                <w:noProof/>
              </w:rPr>
              <w:t>4.5</w:t>
            </w:r>
          </w:p>
        </w:tc>
        <w:tc>
          <w:tcPr>
            <w:tcW w:w="1191" w:type="dxa"/>
            <w:shd w:val="clear" w:color="auto" w:fill="C4EFCE"/>
            <w:vAlign w:val="center"/>
            <w:hideMark/>
          </w:tcPr>
          <w:p w14:paraId="61E6DBD4" w14:textId="77777777" w:rsidR="00154AD2" w:rsidRDefault="007F6BF3">
            <w:pPr>
              <w:pStyle w:val="P68B1DB1-Normal8"/>
              <w:spacing w:after="0" w:line="240" w:lineRule="auto"/>
              <w:jc w:val="center"/>
              <w:rPr>
                <w:rFonts w:eastAsia="Times New Roman" w:cs="Calibri"/>
                <w:noProof/>
              </w:rPr>
            </w:pPr>
            <w:r>
              <w:rPr>
                <w:noProof/>
              </w:rPr>
              <w:t>RE-C04-i01 </w:t>
            </w:r>
          </w:p>
        </w:tc>
        <w:tc>
          <w:tcPr>
            <w:tcW w:w="1060" w:type="dxa"/>
            <w:shd w:val="clear" w:color="auto" w:fill="C4EFCE"/>
            <w:vAlign w:val="center"/>
            <w:hideMark/>
          </w:tcPr>
          <w:p w14:paraId="708C4920" w14:textId="77777777" w:rsidR="00154AD2" w:rsidRDefault="007F6BF3">
            <w:pPr>
              <w:pStyle w:val="P68B1DB1-Normal8"/>
              <w:spacing w:after="0" w:line="240" w:lineRule="auto"/>
              <w:jc w:val="center"/>
              <w:rPr>
                <w:rFonts w:eastAsia="Times New Roman" w:cs="Calibri"/>
                <w:noProof/>
              </w:rPr>
            </w:pPr>
            <w:r>
              <w:rPr>
                <w:noProof/>
              </w:rPr>
              <w:t>T </w:t>
            </w:r>
          </w:p>
        </w:tc>
        <w:tc>
          <w:tcPr>
            <w:tcW w:w="1588" w:type="dxa"/>
            <w:shd w:val="clear" w:color="auto" w:fill="C4EFCE"/>
            <w:vAlign w:val="center"/>
            <w:hideMark/>
          </w:tcPr>
          <w:p w14:paraId="50DE4D28" w14:textId="77777777" w:rsidR="00154AD2" w:rsidRDefault="007F6BF3">
            <w:pPr>
              <w:pStyle w:val="P68B1DB1-Normal8"/>
              <w:spacing w:after="0" w:line="240" w:lineRule="auto"/>
              <w:jc w:val="center"/>
              <w:rPr>
                <w:rFonts w:eastAsia="Times New Roman" w:cs="Calibri"/>
                <w:noProof/>
              </w:rPr>
            </w:pPr>
            <w:r>
              <w:rPr>
                <w:noProof/>
              </w:rPr>
              <w:t>Χρηματοδοτική στήριξη για τη μετάφραση και την έκδοση λογοτεχνικών έργων</w:t>
            </w:r>
          </w:p>
        </w:tc>
        <w:tc>
          <w:tcPr>
            <w:tcW w:w="1193" w:type="dxa"/>
            <w:shd w:val="clear" w:color="auto" w:fill="C4EFCE"/>
            <w:vAlign w:val="center"/>
            <w:hideMark/>
          </w:tcPr>
          <w:p w14:paraId="7B42CD2C" w14:textId="77777777" w:rsidR="00154AD2" w:rsidRDefault="007F6BF3">
            <w:pPr>
              <w:pStyle w:val="P68B1DB1-Normal8"/>
              <w:spacing w:after="0" w:line="240" w:lineRule="auto"/>
              <w:jc w:val="center"/>
              <w:rPr>
                <w:rFonts w:eastAsia="Times New Roman" w:cs="Calibri"/>
                <w:noProof/>
              </w:rPr>
            </w:pPr>
            <w:r>
              <w:rPr>
                <w:noProof/>
              </w:rPr>
              <w:t>  </w:t>
            </w:r>
          </w:p>
        </w:tc>
        <w:tc>
          <w:tcPr>
            <w:tcW w:w="930" w:type="dxa"/>
            <w:shd w:val="clear" w:color="auto" w:fill="C4EFCE"/>
            <w:vAlign w:val="center"/>
            <w:hideMark/>
          </w:tcPr>
          <w:p w14:paraId="4CC6026D"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1225" w:type="dxa"/>
            <w:shd w:val="clear" w:color="auto" w:fill="C4EFCE"/>
            <w:vAlign w:val="center"/>
            <w:hideMark/>
          </w:tcPr>
          <w:p w14:paraId="6357E9BC" w14:textId="77777777" w:rsidR="00154AD2" w:rsidRDefault="007F6BF3">
            <w:pPr>
              <w:pStyle w:val="P68B1DB1-Normal8"/>
              <w:spacing w:after="0" w:line="240" w:lineRule="auto"/>
              <w:jc w:val="center"/>
              <w:rPr>
                <w:rFonts w:eastAsia="Times New Roman" w:cs="Calibri"/>
                <w:noProof/>
              </w:rPr>
            </w:pPr>
            <w:r>
              <w:rPr>
                <w:noProof/>
              </w:rPr>
              <w:t>  </w:t>
            </w:r>
          </w:p>
        </w:tc>
        <w:tc>
          <w:tcPr>
            <w:tcW w:w="671" w:type="dxa"/>
            <w:shd w:val="clear" w:color="auto" w:fill="C4EFCE"/>
            <w:vAlign w:val="center"/>
            <w:hideMark/>
          </w:tcPr>
          <w:p w14:paraId="3EAEBED8" w14:textId="77777777" w:rsidR="00154AD2" w:rsidRDefault="007F6BF3">
            <w:pPr>
              <w:pStyle w:val="P68B1DB1-Normal8"/>
              <w:spacing w:after="0" w:line="240" w:lineRule="auto"/>
              <w:jc w:val="center"/>
              <w:rPr>
                <w:rFonts w:eastAsia="Times New Roman" w:cs="Calibri"/>
                <w:noProof/>
              </w:rPr>
            </w:pPr>
            <w:r>
              <w:rPr>
                <w:noProof/>
              </w:rPr>
              <w:t>5 200 </w:t>
            </w:r>
          </w:p>
        </w:tc>
        <w:tc>
          <w:tcPr>
            <w:tcW w:w="539" w:type="dxa"/>
            <w:shd w:val="clear" w:color="auto" w:fill="C4EFCE"/>
            <w:vAlign w:val="center"/>
            <w:hideMark/>
          </w:tcPr>
          <w:p w14:paraId="50DC2D60" w14:textId="77777777" w:rsidR="00154AD2" w:rsidRDefault="007F6BF3">
            <w:pPr>
              <w:pStyle w:val="P68B1DB1-Normal8"/>
              <w:spacing w:after="0" w:line="240" w:lineRule="auto"/>
              <w:jc w:val="center"/>
              <w:rPr>
                <w:rFonts w:eastAsia="Times New Roman" w:cs="Calibri"/>
                <w:noProof/>
              </w:rPr>
            </w:pPr>
            <w:r>
              <w:rPr>
                <w:noProof/>
              </w:rPr>
              <w:t>ΤΡΊΜΗΝΟ 4 </w:t>
            </w:r>
          </w:p>
        </w:tc>
        <w:tc>
          <w:tcPr>
            <w:tcW w:w="672" w:type="dxa"/>
            <w:shd w:val="clear" w:color="auto" w:fill="C4EFCE"/>
            <w:vAlign w:val="center"/>
            <w:hideMark/>
          </w:tcPr>
          <w:p w14:paraId="29C58B9A" w14:textId="77777777" w:rsidR="00154AD2" w:rsidRDefault="007F6BF3">
            <w:pPr>
              <w:pStyle w:val="P68B1DB1-Normal8"/>
              <w:spacing w:after="0" w:line="240" w:lineRule="auto"/>
              <w:jc w:val="center"/>
              <w:rPr>
                <w:rFonts w:eastAsia="Times New Roman" w:cs="Calibri"/>
                <w:noProof/>
              </w:rPr>
            </w:pPr>
            <w:r>
              <w:rPr>
                <w:noProof/>
              </w:rPr>
              <w:t>2025 </w:t>
            </w:r>
          </w:p>
        </w:tc>
        <w:tc>
          <w:tcPr>
            <w:tcW w:w="3756" w:type="dxa"/>
            <w:shd w:val="clear" w:color="auto" w:fill="C4EFCE"/>
            <w:vAlign w:val="center"/>
            <w:hideMark/>
          </w:tcPr>
          <w:p w14:paraId="315D085F" w14:textId="0B09D103" w:rsidR="00154AD2" w:rsidRDefault="00154AD2">
            <w:pPr>
              <w:spacing w:after="0" w:line="240" w:lineRule="auto"/>
              <w:jc w:val="both"/>
              <w:rPr>
                <w:rFonts w:ascii="Calibri" w:eastAsia="Times New Roman" w:hAnsi="Calibri" w:cs="Calibri"/>
                <w:noProof/>
                <w:sz w:val="16"/>
              </w:rPr>
            </w:pPr>
          </w:p>
          <w:p w14:paraId="1A89509D" w14:textId="1230369A" w:rsidR="00154AD2" w:rsidRDefault="007F6BF3">
            <w:pPr>
              <w:pStyle w:val="P68B1DB1-Normal8"/>
              <w:spacing w:after="0" w:line="240" w:lineRule="auto"/>
              <w:jc w:val="both"/>
              <w:rPr>
                <w:rFonts w:eastAsia="Times New Roman" w:cs="Calibri"/>
                <w:noProof/>
              </w:rPr>
            </w:pPr>
            <w:r>
              <w:rPr>
                <w:noProof/>
              </w:rPr>
              <w:t>Αριθμός λογοτεχνικών έργων που έλαβαν χρηματοδοτική στήριξη για τη μετάφραση και την έκδοση λογοτεχνικών έργων και την έκδοση ηχογραφημένων βιβλίων και ηλεκτρονικών βιβλίων μέσω της χρηματοδότησης 60-70 % του κόστους μετάφρασης και δημοσίευσης.</w:t>
            </w:r>
          </w:p>
        </w:tc>
      </w:tr>
      <w:tr w:rsidR="00154AD2" w14:paraId="69C93F6D" w14:textId="77777777">
        <w:trPr>
          <w:trHeight w:val="1252"/>
        </w:trPr>
        <w:tc>
          <w:tcPr>
            <w:tcW w:w="1067" w:type="dxa"/>
            <w:shd w:val="clear" w:color="auto" w:fill="C5EFCE"/>
            <w:vAlign w:val="center"/>
            <w:hideMark/>
          </w:tcPr>
          <w:p w14:paraId="4136033A" w14:textId="7FAAF2FA" w:rsidR="00154AD2" w:rsidRDefault="007F6BF3">
            <w:pPr>
              <w:pStyle w:val="P68B1DB1-Normal7"/>
              <w:spacing w:line="240" w:lineRule="auto"/>
              <w:jc w:val="center"/>
              <w:rPr>
                <w:rFonts w:eastAsia="Times New Roman" w:cs="Calibri"/>
                <w:noProof/>
              </w:rPr>
            </w:pPr>
            <w:r>
              <w:rPr>
                <w:noProof/>
              </w:rPr>
              <w:t>4.9</w:t>
            </w:r>
          </w:p>
        </w:tc>
        <w:tc>
          <w:tcPr>
            <w:tcW w:w="1191" w:type="dxa"/>
            <w:shd w:val="clear" w:color="auto" w:fill="C4EFCE"/>
            <w:vAlign w:val="center"/>
            <w:hideMark/>
          </w:tcPr>
          <w:p w14:paraId="087D8C01" w14:textId="1509E774" w:rsidR="00154AD2" w:rsidRDefault="007F6BF3">
            <w:pPr>
              <w:pStyle w:val="P68B1DB1-Normal8"/>
              <w:spacing w:line="240" w:lineRule="auto"/>
              <w:jc w:val="center"/>
              <w:rPr>
                <w:rFonts w:eastAsia="Times New Roman" w:cs="Calibri"/>
                <w:noProof/>
              </w:rPr>
            </w:pPr>
            <w:r>
              <w:rPr>
                <w:noProof/>
              </w:rPr>
              <w:t>RE-C04-i01</w:t>
            </w:r>
          </w:p>
        </w:tc>
        <w:tc>
          <w:tcPr>
            <w:tcW w:w="1060" w:type="dxa"/>
            <w:shd w:val="clear" w:color="auto" w:fill="C4EFCE"/>
            <w:vAlign w:val="center"/>
            <w:hideMark/>
          </w:tcPr>
          <w:p w14:paraId="102CD47A" w14:textId="3BE67781" w:rsidR="00154AD2" w:rsidRDefault="007F6BF3">
            <w:pPr>
              <w:pStyle w:val="P68B1DB1-Normal8"/>
              <w:spacing w:line="240" w:lineRule="auto"/>
              <w:jc w:val="center"/>
              <w:rPr>
                <w:rFonts w:eastAsia="Times New Roman" w:cs="Calibri"/>
                <w:noProof/>
              </w:rPr>
            </w:pPr>
            <w:r>
              <w:rPr>
                <w:noProof/>
              </w:rPr>
              <w:t>M</w:t>
            </w:r>
          </w:p>
        </w:tc>
        <w:tc>
          <w:tcPr>
            <w:tcW w:w="1588" w:type="dxa"/>
            <w:shd w:val="clear" w:color="auto" w:fill="C4EFCE"/>
            <w:vAlign w:val="center"/>
            <w:hideMark/>
          </w:tcPr>
          <w:p w14:paraId="226CD61A" w14:textId="4958D1C6" w:rsidR="00154AD2" w:rsidRDefault="007F6BF3">
            <w:pPr>
              <w:pStyle w:val="P68B1DB1-Normal8"/>
              <w:widowControl w:val="0"/>
              <w:spacing w:before="320" w:after="0" w:line="240" w:lineRule="auto"/>
              <w:jc w:val="center"/>
              <w:rPr>
                <w:rFonts w:eastAsia="Calibri" w:cs="Calibri"/>
                <w:noProof/>
              </w:rPr>
            </w:pPr>
            <w:r>
              <w:rPr>
                <w:noProof/>
              </w:rPr>
              <w:t>Τεχνολογικός εκσυγχρονισμός του ANIM — Εθνικό Αρχείο Κινητικών Εικόνων</w:t>
            </w:r>
          </w:p>
        </w:tc>
        <w:tc>
          <w:tcPr>
            <w:tcW w:w="1193" w:type="dxa"/>
            <w:shd w:val="clear" w:color="auto" w:fill="C4EFCE"/>
            <w:vAlign w:val="center"/>
            <w:hideMark/>
          </w:tcPr>
          <w:p w14:paraId="36622BAB" w14:textId="2B99FCB6" w:rsidR="00154AD2" w:rsidRDefault="007F6BF3">
            <w:pPr>
              <w:pStyle w:val="P68B1DB1-Normal8"/>
              <w:spacing w:line="240" w:lineRule="auto"/>
              <w:jc w:val="center"/>
              <w:rPr>
                <w:rFonts w:eastAsia="Times New Roman" w:cs="Calibri"/>
                <w:noProof/>
              </w:rPr>
            </w:pPr>
            <w:r>
              <w:rPr>
                <w:noProof/>
              </w:rPr>
              <w:t>Παράδοση εξοπλισμού</w:t>
            </w:r>
          </w:p>
        </w:tc>
        <w:tc>
          <w:tcPr>
            <w:tcW w:w="930" w:type="dxa"/>
            <w:shd w:val="clear" w:color="auto" w:fill="C4EFCE"/>
            <w:vAlign w:val="center"/>
            <w:hideMark/>
          </w:tcPr>
          <w:p w14:paraId="50A25E56" w14:textId="4285FAF0" w:rsidR="00154AD2" w:rsidRDefault="00154AD2">
            <w:pPr>
              <w:spacing w:line="240" w:lineRule="auto"/>
              <w:jc w:val="center"/>
              <w:rPr>
                <w:rFonts w:ascii="Calibri" w:eastAsia="Times New Roman" w:hAnsi="Calibri" w:cs="Calibri"/>
                <w:noProof/>
                <w:sz w:val="16"/>
              </w:rPr>
            </w:pPr>
          </w:p>
        </w:tc>
        <w:tc>
          <w:tcPr>
            <w:tcW w:w="1225" w:type="dxa"/>
            <w:shd w:val="clear" w:color="auto" w:fill="C4EFCE"/>
            <w:vAlign w:val="center"/>
            <w:hideMark/>
          </w:tcPr>
          <w:p w14:paraId="3A7664CF" w14:textId="533FA4EC" w:rsidR="00154AD2" w:rsidRDefault="00154AD2">
            <w:pPr>
              <w:spacing w:line="240" w:lineRule="auto"/>
              <w:jc w:val="center"/>
              <w:rPr>
                <w:rFonts w:ascii="Calibri" w:eastAsia="Times New Roman" w:hAnsi="Calibri" w:cs="Calibri"/>
                <w:noProof/>
                <w:sz w:val="16"/>
              </w:rPr>
            </w:pPr>
          </w:p>
        </w:tc>
        <w:tc>
          <w:tcPr>
            <w:tcW w:w="671" w:type="dxa"/>
            <w:shd w:val="clear" w:color="auto" w:fill="C4EFCE"/>
            <w:vAlign w:val="center"/>
            <w:hideMark/>
          </w:tcPr>
          <w:p w14:paraId="4B934F52" w14:textId="168F57DB" w:rsidR="00154AD2" w:rsidRDefault="00154AD2">
            <w:pPr>
              <w:spacing w:line="240" w:lineRule="auto"/>
              <w:jc w:val="center"/>
              <w:rPr>
                <w:rFonts w:ascii="Calibri" w:eastAsia="Times New Roman" w:hAnsi="Calibri" w:cs="Calibri"/>
                <w:noProof/>
                <w:sz w:val="16"/>
              </w:rPr>
            </w:pPr>
          </w:p>
        </w:tc>
        <w:tc>
          <w:tcPr>
            <w:tcW w:w="539" w:type="dxa"/>
            <w:shd w:val="clear" w:color="auto" w:fill="C4EFCE"/>
            <w:vAlign w:val="center"/>
            <w:hideMark/>
          </w:tcPr>
          <w:p w14:paraId="2BB5A574" w14:textId="38582661" w:rsidR="00154AD2" w:rsidRDefault="007F6BF3">
            <w:pPr>
              <w:pStyle w:val="P68B1DB1-Normal8"/>
              <w:spacing w:line="240" w:lineRule="auto"/>
              <w:jc w:val="center"/>
              <w:rPr>
                <w:rFonts w:eastAsia="Times New Roman" w:cs="Calibri"/>
                <w:noProof/>
              </w:rPr>
            </w:pPr>
            <w:r>
              <w:rPr>
                <w:noProof/>
              </w:rPr>
              <w:t>ΤΡΊΜΗΝΟ 3</w:t>
            </w:r>
          </w:p>
        </w:tc>
        <w:tc>
          <w:tcPr>
            <w:tcW w:w="672" w:type="dxa"/>
            <w:shd w:val="clear" w:color="auto" w:fill="C4EFCE"/>
            <w:vAlign w:val="center"/>
            <w:hideMark/>
          </w:tcPr>
          <w:p w14:paraId="4FE4F2D2" w14:textId="215CF13E" w:rsidR="00154AD2" w:rsidRDefault="007F6BF3">
            <w:pPr>
              <w:pStyle w:val="P68B1DB1-Normal8"/>
              <w:spacing w:line="240" w:lineRule="auto"/>
              <w:jc w:val="center"/>
              <w:rPr>
                <w:rFonts w:eastAsia="Times New Roman" w:cs="Calibri"/>
                <w:noProof/>
              </w:rPr>
            </w:pPr>
            <w:r>
              <w:rPr>
                <w:noProof/>
              </w:rPr>
              <w:t>2023</w:t>
            </w:r>
          </w:p>
        </w:tc>
        <w:tc>
          <w:tcPr>
            <w:tcW w:w="3756" w:type="dxa"/>
            <w:shd w:val="clear" w:color="auto" w:fill="C4EFCE"/>
            <w:vAlign w:val="center"/>
            <w:hideMark/>
          </w:tcPr>
          <w:p w14:paraId="0A05C053" w14:textId="1A2F05CC" w:rsidR="00154AD2" w:rsidRDefault="007F6BF3">
            <w:pPr>
              <w:pStyle w:val="P68B1DB1-Normal8"/>
              <w:spacing w:before="40" w:after="160" w:line="240" w:lineRule="auto"/>
              <w:contextualSpacing/>
              <w:jc w:val="both"/>
              <w:rPr>
                <w:rFonts w:eastAsia="Calibri" w:cs="Calibri"/>
                <w:noProof/>
              </w:rPr>
            </w:pPr>
            <w:r>
              <w:rPr>
                <w:noProof/>
              </w:rPr>
              <w:t>Παράδοση εξοπλισμού για τον τεχνολογικό εκσυγχρονισμό του Εθνικού Αρχείου Κινητών Εικόνων.</w:t>
            </w:r>
          </w:p>
        </w:tc>
      </w:tr>
      <w:tr w:rsidR="00154AD2" w14:paraId="7A6F89CA" w14:textId="77777777">
        <w:trPr>
          <w:trHeight w:val="1883"/>
        </w:trPr>
        <w:tc>
          <w:tcPr>
            <w:tcW w:w="1067" w:type="dxa"/>
            <w:shd w:val="clear" w:color="auto" w:fill="C5EFCE"/>
            <w:vAlign w:val="center"/>
            <w:hideMark/>
          </w:tcPr>
          <w:p w14:paraId="0F231483" w14:textId="3BD0B995" w:rsidR="00154AD2" w:rsidRDefault="007F6BF3">
            <w:pPr>
              <w:pStyle w:val="P68B1DB1-Normal7"/>
              <w:spacing w:line="240" w:lineRule="auto"/>
              <w:jc w:val="center"/>
              <w:rPr>
                <w:rFonts w:eastAsia="Times New Roman" w:cs="Calibri"/>
                <w:noProof/>
              </w:rPr>
            </w:pPr>
            <w:r>
              <w:rPr>
                <w:noProof/>
              </w:rPr>
              <w:t>4.10</w:t>
            </w:r>
          </w:p>
        </w:tc>
        <w:tc>
          <w:tcPr>
            <w:tcW w:w="1191" w:type="dxa"/>
            <w:shd w:val="clear" w:color="auto" w:fill="C4EFCE"/>
            <w:vAlign w:val="center"/>
            <w:hideMark/>
          </w:tcPr>
          <w:p w14:paraId="3A7259C4" w14:textId="3A73E587" w:rsidR="00154AD2" w:rsidRDefault="007F6BF3">
            <w:pPr>
              <w:pStyle w:val="P68B1DB1-Normal8"/>
              <w:spacing w:line="240" w:lineRule="auto"/>
              <w:jc w:val="center"/>
              <w:rPr>
                <w:rFonts w:eastAsia="Times New Roman" w:cs="Calibri"/>
                <w:noProof/>
              </w:rPr>
            </w:pPr>
            <w:r>
              <w:rPr>
                <w:noProof/>
              </w:rPr>
              <w:t>RE-C04-i01</w:t>
            </w:r>
          </w:p>
        </w:tc>
        <w:tc>
          <w:tcPr>
            <w:tcW w:w="1060" w:type="dxa"/>
            <w:shd w:val="clear" w:color="auto" w:fill="C4EFCE"/>
            <w:vAlign w:val="center"/>
            <w:hideMark/>
          </w:tcPr>
          <w:p w14:paraId="707B69E4" w14:textId="522C4E35" w:rsidR="00154AD2" w:rsidRDefault="007F6BF3">
            <w:pPr>
              <w:pStyle w:val="P68B1DB1-Normal8"/>
              <w:spacing w:line="240" w:lineRule="auto"/>
              <w:jc w:val="center"/>
              <w:rPr>
                <w:rFonts w:eastAsia="Times New Roman" w:cs="Calibri"/>
                <w:noProof/>
              </w:rPr>
            </w:pPr>
            <w:r>
              <w:rPr>
                <w:noProof/>
              </w:rPr>
              <w:t>T</w:t>
            </w:r>
          </w:p>
        </w:tc>
        <w:tc>
          <w:tcPr>
            <w:tcW w:w="1588" w:type="dxa"/>
            <w:shd w:val="clear" w:color="auto" w:fill="C4EFCE"/>
            <w:vAlign w:val="center"/>
            <w:hideMark/>
          </w:tcPr>
          <w:p w14:paraId="600DDD24" w14:textId="12D6D904" w:rsidR="00154AD2" w:rsidRDefault="007F6BF3">
            <w:pPr>
              <w:pStyle w:val="P68B1DB1-Normal8"/>
              <w:widowControl w:val="0"/>
              <w:spacing w:before="320" w:after="0" w:line="240" w:lineRule="auto"/>
              <w:jc w:val="center"/>
              <w:rPr>
                <w:rFonts w:eastAsia="Calibri" w:cs="Calibri"/>
                <w:noProof/>
              </w:rPr>
            </w:pPr>
            <w:r>
              <w:rPr>
                <w:noProof/>
              </w:rPr>
              <w:t>Παράδοση εξοπλισμού για την εγκατάσταση του Εθνικού Αρχείου Σήχου και για τον τεχνολογικό εκσυγχρονισμό των δημόσιων εργαστηρίων</w:t>
            </w:r>
          </w:p>
        </w:tc>
        <w:tc>
          <w:tcPr>
            <w:tcW w:w="1193" w:type="dxa"/>
            <w:shd w:val="clear" w:color="auto" w:fill="C4EFCE"/>
            <w:vAlign w:val="center"/>
            <w:hideMark/>
          </w:tcPr>
          <w:p w14:paraId="3916C5A9" w14:textId="2EEBDAB8" w:rsidR="00154AD2" w:rsidRDefault="00154AD2">
            <w:pPr>
              <w:spacing w:line="240" w:lineRule="auto"/>
              <w:jc w:val="center"/>
              <w:rPr>
                <w:rFonts w:ascii="Calibri" w:eastAsia="Times New Roman" w:hAnsi="Calibri" w:cs="Calibri"/>
                <w:noProof/>
                <w:sz w:val="16"/>
              </w:rPr>
            </w:pPr>
          </w:p>
        </w:tc>
        <w:tc>
          <w:tcPr>
            <w:tcW w:w="930" w:type="dxa"/>
            <w:shd w:val="clear" w:color="auto" w:fill="C4EFCE"/>
            <w:vAlign w:val="center"/>
            <w:hideMark/>
          </w:tcPr>
          <w:p w14:paraId="3EC993CE" w14:textId="4B407D21" w:rsidR="00154AD2" w:rsidRDefault="007F6BF3">
            <w:pPr>
              <w:pStyle w:val="P68B1DB1-Normal8"/>
              <w:spacing w:line="240" w:lineRule="auto"/>
              <w:jc w:val="center"/>
              <w:rPr>
                <w:rFonts w:eastAsia="Times New Roman" w:cs="Calibri"/>
                <w:noProof/>
              </w:rPr>
            </w:pPr>
            <w:r>
              <w:rPr>
                <w:noProof/>
              </w:rPr>
              <w:t>Αριθμός</w:t>
            </w:r>
          </w:p>
        </w:tc>
        <w:tc>
          <w:tcPr>
            <w:tcW w:w="1225" w:type="dxa"/>
            <w:shd w:val="clear" w:color="auto" w:fill="C4EFCE"/>
            <w:vAlign w:val="center"/>
            <w:hideMark/>
          </w:tcPr>
          <w:p w14:paraId="40DF9AC1" w14:textId="69274E4F" w:rsidR="00154AD2" w:rsidRDefault="007F6BF3">
            <w:pPr>
              <w:pStyle w:val="P68B1DB1-Normal8"/>
              <w:spacing w:line="240" w:lineRule="auto"/>
              <w:jc w:val="center"/>
              <w:rPr>
                <w:rFonts w:eastAsia="Times New Roman" w:cs="Calibri"/>
                <w:noProof/>
              </w:rPr>
            </w:pPr>
            <w:r>
              <w:rPr>
                <w:noProof/>
              </w:rPr>
              <w:t>0</w:t>
            </w:r>
          </w:p>
        </w:tc>
        <w:tc>
          <w:tcPr>
            <w:tcW w:w="671" w:type="dxa"/>
            <w:shd w:val="clear" w:color="auto" w:fill="C4EFCE"/>
            <w:vAlign w:val="center"/>
            <w:hideMark/>
          </w:tcPr>
          <w:p w14:paraId="706ECCC2" w14:textId="057ADB86" w:rsidR="00154AD2" w:rsidRDefault="007F6BF3">
            <w:pPr>
              <w:pStyle w:val="P68B1DB1-Normal8"/>
              <w:spacing w:line="240" w:lineRule="auto"/>
              <w:jc w:val="center"/>
              <w:rPr>
                <w:rFonts w:eastAsia="Times New Roman" w:cs="Calibri"/>
                <w:noProof/>
              </w:rPr>
            </w:pPr>
            <w:r>
              <w:rPr>
                <w:noProof/>
              </w:rPr>
              <w:t>5</w:t>
            </w:r>
          </w:p>
        </w:tc>
        <w:tc>
          <w:tcPr>
            <w:tcW w:w="539" w:type="dxa"/>
            <w:shd w:val="clear" w:color="auto" w:fill="C4EFCE"/>
            <w:vAlign w:val="center"/>
            <w:hideMark/>
          </w:tcPr>
          <w:p w14:paraId="03E2A86D" w14:textId="0364350D" w:rsidR="00154AD2" w:rsidRDefault="007F6BF3">
            <w:pPr>
              <w:pStyle w:val="P68B1DB1-Normal8"/>
              <w:spacing w:line="240" w:lineRule="auto"/>
              <w:jc w:val="center"/>
              <w:rPr>
                <w:rFonts w:eastAsia="Times New Roman" w:cs="Calibri"/>
                <w:noProof/>
              </w:rPr>
            </w:pPr>
            <w:r>
              <w:rPr>
                <w:noProof/>
              </w:rPr>
              <w:t>ΤΡΊΜΗΝΟ 1</w:t>
            </w:r>
          </w:p>
        </w:tc>
        <w:tc>
          <w:tcPr>
            <w:tcW w:w="672" w:type="dxa"/>
            <w:shd w:val="clear" w:color="auto" w:fill="C4EFCE"/>
            <w:vAlign w:val="center"/>
            <w:hideMark/>
          </w:tcPr>
          <w:p w14:paraId="217FE2C8" w14:textId="0B333ABA" w:rsidR="00154AD2" w:rsidRDefault="007F6BF3">
            <w:pPr>
              <w:pStyle w:val="P68B1DB1-Normal8"/>
              <w:spacing w:line="240" w:lineRule="auto"/>
              <w:jc w:val="center"/>
              <w:rPr>
                <w:rFonts w:eastAsia="Times New Roman" w:cs="Calibri"/>
                <w:noProof/>
              </w:rPr>
            </w:pPr>
            <w:r>
              <w:rPr>
                <w:noProof/>
              </w:rPr>
              <w:t>2026</w:t>
            </w:r>
          </w:p>
        </w:tc>
        <w:tc>
          <w:tcPr>
            <w:tcW w:w="3756" w:type="dxa"/>
            <w:shd w:val="clear" w:color="auto" w:fill="C4EFCE"/>
            <w:vAlign w:val="center"/>
            <w:hideMark/>
          </w:tcPr>
          <w:p w14:paraId="752F7E82" w14:textId="604FBA79" w:rsidR="00154AD2" w:rsidRDefault="007F6BF3">
            <w:pPr>
              <w:pStyle w:val="P68B1DB1-Normal8"/>
              <w:widowControl w:val="0"/>
              <w:spacing w:after="160" w:line="240" w:lineRule="auto"/>
              <w:rPr>
                <w:rFonts w:eastAsia="Calibri" w:cs="Calibri"/>
                <w:noProof/>
              </w:rPr>
            </w:pPr>
            <w:r>
              <w:rPr>
                <w:noProof/>
              </w:rPr>
              <w:t>Αριθμός κτιρίων και εργαστηρίων για τα οποία έχει παραδοθεί εξοπλισμός (Εθνικό Αρχείο ήχου και δημόσια εργαστήρια: Εργαστήριο José Figueiredo, CNANS, LARQ και Forte de Sacavém).</w:t>
            </w:r>
          </w:p>
        </w:tc>
      </w:tr>
      <w:tr w:rsidR="00154AD2" w14:paraId="6CE186ED" w14:textId="77777777">
        <w:trPr>
          <w:trHeight w:val="2740"/>
        </w:trPr>
        <w:tc>
          <w:tcPr>
            <w:tcW w:w="1067" w:type="dxa"/>
            <w:shd w:val="clear" w:color="auto" w:fill="C5EFCE"/>
            <w:vAlign w:val="center"/>
            <w:hideMark/>
          </w:tcPr>
          <w:p w14:paraId="4096D4CD" w14:textId="77777777" w:rsidR="00154AD2" w:rsidRDefault="007F6BF3">
            <w:pPr>
              <w:pStyle w:val="P68B1DB1-Normal7"/>
              <w:spacing w:after="0" w:line="240" w:lineRule="auto"/>
              <w:jc w:val="center"/>
              <w:rPr>
                <w:rFonts w:eastAsia="Times New Roman" w:cs="Calibri"/>
                <w:noProof/>
              </w:rPr>
            </w:pPr>
            <w:r>
              <w:rPr>
                <w:noProof/>
              </w:rPr>
              <w:t>4.6</w:t>
            </w:r>
          </w:p>
        </w:tc>
        <w:tc>
          <w:tcPr>
            <w:tcW w:w="1191" w:type="dxa"/>
            <w:shd w:val="clear" w:color="auto" w:fill="C4EFCE"/>
            <w:vAlign w:val="center"/>
            <w:hideMark/>
          </w:tcPr>
          <w:p w14:paraId="756E9748" w14:textId="77777777" w:rsidR="00154AD2" w:rsidRDefault="007F6BF3">
            <w:pPr>
              <w:pStyle w:val="P68B1DB1-Normal8"/>
              <w:spacing w:after="0" w:line="240" w:lineRule="auto"/>
              <w:jc w:val="center"/>
              <w:rPr>
                <w:rFonts w:eastAsia="Times New Roman" w:cs="Calibri"/>
                <w:noProof/>
              </w:rPr>
            </w:pPr>
            <w:r>
              <w:rPr>
                <w:noProof/>
              </w:rPr>
              <w:t>RE-C04-i02 </w:t>
            </w:r>
          </w:p>
        </w:tc>
        <w:tc>
          <w:tcPr>
            <w:tcW w:w="1060" w:type="dxa"/>
            <w:shd w:val="clear" w:color="auto" w:fill="C4EFCE"/>
            <w:vAlign w:val="center"/>
            <w:hideMark/>
          </w:tcPr>
          <w:p w14:paraId="2EAEAB0E" w14:textId="77777777" w:rsidR="00154AD2" w:rsidRDefault="007F6BF3">
            <w:pPr>
              <w:pStyle w:val="P68B1DB1-Normal8"/>
              <w:spacing w:after="0" w:line="240" w:lineRule="auto"/>
              <w:jc w:val="center"/>
              <w:rPr>
                <w:rFonts w:eastAsia="Times New Roman" w:cs="Calibri"/>
                <w:noProof/>
              </w:rPr>
            </w:pPr>
            <w:r>
              <w:rPr>
                <w:noProof/>
              </w:rPr>
              <w:t>M </w:t>
            </w:r>
          </w:p>
        </w:tc>
        <w:tc>
          <w:tcPr>
            <w:tcW w:w="1588" w:type="dxa"/>
            <w:shd w:val="clear" w:color="auto" w:fill="C4EFCE"/>
            <w:vAlign w:val="center"/>
            <w:hideMark/>
          </w:tcPr>
          <w:p w14:paraId="7DE50256" w14:textId="77777777" w:rsidR="00154AD2" w:rsidRDefault="007F6BF3">
            <w:pPr>
              <w:pStyle w:val="P68B1DB1-Normal8"/>
              <w:spacing w:after="0" w:line="240" w:lineRule="auto"/>
              <w:jc w:val="center"/>
              <w:rPr>
                <w:rFonts w:eastAsia="Times New Roman" w:cs="Calibri"/>
                <w:noProof/>
              </w:rPr>
            </w:pPr>
            <w:r>
              <w:rPr>
                <w:noProof/>
              </w:rPr>
              <w:t>Δημιουργία δικτύου «Saber Fazer» </w:t>
            </w:r>
          </w:p>
        </w:tc>
        <w:tc>
          <w:tcPr>
            <w:tcW w:w="1193" w:type="dxa"/>
            <w:shd w:val="clear" w:color="auto" w:fill="C4EFCE"/>
            <w:vAlign w:val="center"/>
            <w:hideMark/>
          </w:tcPr>
          <w:p w14:paraId="55979DAB" w14:textId="7F73E08D" w:rsidR="00154AD2" w:rsidRDefault="007F6BF3">
            <w:pPr>
              <w:pStyle w:val="P68B1DB1-Normal8"/>
              <w:spacing w:after="0" w:line="240" w:lineRule="auto"/>
              <w:jc w:val="center"/>
              <w:rPr>
                <w:rFonts w:eastAsia="Times New Roman" w:cs="Calibri"/>
                <w:noProof/>
              </w:rPr>
            </w:pPr>
            <w:r>
              <w:rPr>
                <w:noProof/>
              </w:rPr>
              <w:t xml:space="preserve">Δημιουργία αποθετηρίου πληροφοριών και τεκμηρίωσης σχετικά με την εγχώρια βιοτεχνική παραγωγή, τον προσδιορισμό και τη χαρτογράφηση των πρώτων υλών </w:t>
            </w:r>
          </w:p>
        </w:tc>
        <w:tc>
          <w:tcPr>
            <w:tcW w:w="930" w:type="dxa"/>
            <w:shd w:val="clear" w:color="auto" w:fill="C4EFCE"/>
            <w:vAlign w:val="center"/>
            <w:hideMark/>
          </w:tcPr>
          <w:p w14:paraId="34888FD9" w14:textId="77777777" w:rsidR="00154AD2" w:rsidRDefault="007F6BF3">
            <w:pPr>
              <w:pStyle w:val="P68B1DB1-Normal8"/>
              <w:spacing w:after="0" w:line="240" w:lineRule="auto"/>
              <w:jc w:val="center"/>
              <w:rPr>
                <w:rFonts w:eastAsia="Times New Roman" w:cs="Calibri"/>
                <w:noProof/>
              </w:rPr>
            </w:pPr>
            <w:r>
              <w:rPr>
                <w:noProof/>
              </w:rPr>
              <w:t>  </w:t>
            </w:r>
          </w:p>
        </w:tc>
        <w:tc>
          <w:tcPr>
            <w:tcW w:w="1225" w:type="dxa"/>
            <w:shd w:val="clear" w:color="auto" w:fill="C4EFCE"/>
            <w:vAlign w:val="center"/>
            <w:hideMark/>
          </w:tcPr>
          <w:p w14:paraId="760352CB" w14:textId="77777777" w:rsidR="00154AD2" w:rsidRDefault="007F6BF3">
            <w:pPr>
              <w:pStyle w:val="P68B1DB1-Normal8"/>
              <w:spacing w:after="0" w:line="240" w:lineRule="auto"/>
              <w:jc w:val="center"/>
              <w:rPr>
                <w:rFonts w:eastAsia="Times New Roman" w:cs="Calibri"/>
                <w:noProof/>
              </w:rPr>
            </w:pPr>
            <w:r>
              <w:rPr>
                <w:noProof/>
              </w:rPr>
              <w:t>  </w:t>
            </w:r>
          </w:p>
        </w:tc>
        <w:tc>
          <w:tcPr>
            <w:tcW w:w="671" w:type="dxa"/>
            <w:shd w:val="clear" w:color="auto" w:fill="C4EFCE"/>
            <w:vAlign w:val="center"/>
            <w:hideMark/>
          </w:tcPr>
          <w:p w14:paraId="788C2337" w14:textId="77777777" w:rsidR="00154AD2" w:rsidRDefault="007F6BF3">
            <w:pPr>
              <w:pStyle w:val="P68B1DB1-Normal8"/>
              <w:spacing w:after="0" w:line="240" w:lineRule="auto"/>
              <w:jc w:val="center"/>
              <w:rPr>
                <w:rFonts w:eastAsia="Times New Roman" w:cs="Calibri"/>
                <w:noProof/>
              </w:rPr>
            </w:pPr>
            <w:r>
              <w:rPr>
                <w:noProof/>
              </w:rPr>
              <w:t>  </w:t>
            </w:r>
          </w:p>
        </w:tc>
        <w:tc>
          <w:tcPr>
            <w:tcW w:w="539" w:type="dxa"/>
            <w:shd w:val="clear" w:color="auto" w:fill="C4EFCE"/>
            <w:vAlign w:val="center"/>
            <w:hideMark/>
          </w:tcPr>
          <w:p w14:paraId="332FDD5B" w14:textId="77777777" w:rsidR="00154AD2" w:rsidRDefault="007F6BF3">
            <w:pPr>
              <w:pStyle w:val="P68B1DB1-Normal8"/>
              <w:spacing w:after="0" w:line="240" w:lineRule="auto"/>
              <w:jc w:val="center"/>
              <w:rPr>
                <w:rFonts w:eastAsia="Times New Roman" w:cs="Calibri"/>
                <w:noProof/>
              </w:rPr>
            </w:pPr>
            <w:r>
              <w:rPr>
                <w:noProof/>
              </w:rPr>
              <w:t>ΤΡΊΜΗΝΟ 4 </w:t>
            </w:r>
          </w:p>
        </w:tc>
        <w:tc>
          <w:tcPr>
            <w:tcW w:w="672" w:type="dxa"/>
            <w:shd w:val="clear" w:color="auto" w:fill="C4EFCE"/>
            <w:vAlign w:val="center"/>
            <w:hideMark/>
          </w:tcPr>
          <w:p w14:paraId="4E4BC6F2" w14:textId="77777777" w:rsidR="00154AD2" w:rsidRDefault="007F6BF3">
            <w:pPr>
              <w:pStyle w:val="P68B1DB1-Normal8"/>
              <w:spacing w:after="0" w:line="240" w:lineRule="auto"/>
              <w:jc w:val="center"/>
              <w:rPr>
                <w:rFonts w:eastAsia="Times New Roman" w:cs="Calibri"/>
                <w:noProof/>
              </w:rPr>
            </w:pPr>
            <w:r>
              <w:rPr>
                <w:noProof/>
              </w:rPr>
              <w:t>2022 </w:t>
            </w:r>
          </w:p>
        </w:tc>
        <w:tc>
          <w:tcPr>
            <w:tcW w:w="3756" w:type="dxa"/>
            <w:shd w:val="clear" w:color="auto" w:fill="C4EFCE"/>
            <w:vAlign w:val="center"/>
            <w:hideMark/>
          </w:tcPr>
          <w:p w14:paraId="4C1C186A" w14:textId="77777777" w:rsidR="00154AD2" w:rsidRDefault="007F6BF3">
            <w:pPr>
              <w:pStyle w:val="P68B1DB1-Normal8"/>
              <w:spacing w:after="0" w:line="240" w:lineRule="auto"/>
              <w:jc w:val="both"/>
              <w:rPr>
                <w:rFonts w:eastAsia="Times New Roman" w:cs="Calibri"/>
                <w:noProof/>
              </w:rPr>
            </w:pPr>
            <w:r>
              <w:rPr>
                <w:noProof/>
              </w:rPr>
              <w:t>Δημιουργία δικτύου «Saber Fazer»: δημιουργία αποθετηρίου πληροφοριών και τεκμηρίωσης σχετικά με την εγχώρια βιοτεχνική παραγωγή· και προσδιορισμός και χαρτογράφηση των πρώτων υλών που χρησιμοποιούνται στη βιοτεχνική παραγωγή.</w:t>
            </w:r>
          </w:p>
        </w:tc>
      </w:tr>
      <w:tr w:rsidR="00154AD2" w14:paraId="35C27186" w14:textId="77777777">
        <w:trPr>
          <w:trHeight w:val="1492"/>
        </w:trPr>
        <w:tc>
          <w:tcPr>
            <w:tcW w:w="1067" w:type="dxa"/>
            <w:shd w:val="clear" w:color="auto" w:fill="C5EFCE"/>
            <w:vAlign w:val="center"/>
            <w:hideMark/>
          </w:tcPr>
          <w:p w14:paraId="23022BEF" w14:textId="77777777" w:rsidR="00154AD2" w:rsidRDefault="007F6BF3">
            <w:pPr>
              <w:pStyle w:val="P68B1DB1-Normal7"/>
              <w:spacing w:after="0" w:line="240" w:lineRule="auto"/>
              <w:jc w:val="center"/>
              <w:rPr>
                <w:rFonts w:eastAsia="Times New Roman" w:cs="Calibri"/>
                <w:noProof/>
              </w:rPr>
            </w:pPr>
            <w:r>
              <w:rPr>
                <w:noProof/>
              </w:rPr>
              <w:t>4.7</w:t>
            </w:r>
          </w:p>
        </w:tc>
        <w:tc>
          <w:tcPr>
            <w:tcW w:w="1191" w:type="dxa"/>
            <w:shd w:val="clear" w:color="auto" w:fill="C4EFCE"/>
            <w:vAlign w:val="center"/>
            <w:hideMark/>
          </w:tcPr>
          <w:p w14:paraId="255C30CA" w14:textId="77777777" w:rsidR="00154AD2" w:rsidRDefault="007F6BF3">
            <w:pPr>
              <w:pStyle w:val="P68B1DB1-Normal8"/>
              <w:spacing w:after="0" w:line="240" w:lineRule="auto"/>
              <w:jc w:val="center"/>
              <w:rPr>
                <w:rFonts w:eastAsia="Times New Roman" w:cs="Calibri"/>
                <w:noProof/>
              </w:rPr>
            </w:pPr>
            <w:r>
              <w:rPr>
                <w:noProof/>
              </w:rPr>
              <w:t xml:space="preserve">RE-C04-i02  </w:t>
            </w:r>
          </w:p>
        </w:tc>
        <w:tc>
          <w:tcPr>
            <w:tcW w:w="1060" w:type="dxa"/>
            <w:shd w:val="clear" w:color="auto" w:fill="C4EFCE"/>
            <w:vAlign w:val="center"/>
            <w:hideMark/>
          </w:tcPr>
          <w:p w14:paraId="5CC87B5D" w14:textId="77777777" w:rsidR="00154AD2" w:rsidRDefault="007F6BF3">
            <w:pPr>
              <w:pStyle w:val="P68B1DB1-Normal8"/>
              <w:spacing w:after="0" w:line="240" w:lineRule="auto"/>
              <w:jc w:val="center"/>
              <w:rPr>
                <w:rFonts w:eastAsia="Times New Roman" w:cs="Calibri"/>
                <w:noProof/>
              </w:rPr>
            </w:pPr>
            <w:r>
              <w:rPr>
                <w:noProof/>
              </w:rPr>
              <w:t>T</w:t>
            </w:r>
          </w:p>
        </w:tc>
        <w:tc>
          <w:tcPr>
            <w:tcW w:w="1588" w:type="dxa"/>
            <w:shd w:val="clear" w:color="auto" w:fill="C4EFCE"/>
            <w:vAlign w:val="center"/>
            <w:hideMark/>
          </w:tcPr>
          <w:p w14:paraId="123191A7" w14:textId="77777777" w:rsidR="00154AD2" w:rsidRDefault="007F6BF3">
            <w:pPr>
              <w:pStyle w:val="P68B1DB1-Normal8"/>
              <w:spacing w:after="0" w:line="240" w:lineRule="auto"/>
              <w:jc w:val="center"/>
              <w:rPr>
                <w:rFonts w:eastAsia="Times New Roman" w:cs="Calibri"/>
                <w:noProof/>
              </w:rPr>
            </w:pPr>
            <w:r>
              <w:rPr>
                <w:noProof/>
              </w:rPr>
              <w:t>Υπογραφείσες συμβάσεις για την αποκατάσταση και διατήρηση κτιρίων πολιτιστικής κληρονομιάς και εθνικών θεάτρων</w:t>
            </w:r>
          </w:p>
        </w:tc>
        <w:tc>
          <w:tcPr>
            <w:tcW w:w="1193" w:type="dxa"/>
            <w:shd w:val="clear" w:color="auto" w:fill="C4EFCE"/>
            <w:vAlign w:val="center"/>
            <w:hideMark/>
          </w:tcPr>
          <w:p w14:paraId="12AD789B" w14:textId="77777777" w:rsidR="00154AD2" w:rsidRDefault="007F6BF3">
            <w:pPr>
              <w:pStyle w:val="P68B1DB1-Normal8"/>
              <w:spacing w:after="0" w:line="240" w:lineRule="auto"/>
              <w:rPr>
                <w:rFonts w:eastAsia="Times New Roman" w:cs="Calibri"/>
                <w:noProof/>
              </w:rPr>
            </w:pPr>
            <w:r>
              <w:rPr>
                <w:noProof/>
              </w:rPr>
              <w:t>Συμβάσεις που υπεγράφησαν</w:t>
            </w:r>
          </w:p>
        </w:tc>
        <w:tc>
          <w:tcPr>
            <w:tcW w:w="930" w:type="dxa"/>
            <w:shd w:val="clear" w:color="auto" w:fill="C4EFCE"/>
            <w:vAlign w:val="center"/>
            <w:hideMark/>
          </w:tcPr>
          <w:p w14:paraId="23F889FB"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1225" w:type="dxa"/>
            <w:shd w:val="clear" w:color="auto" w:fill="C4EFCE"/>
            <w:vAlign w:val="center"/>
            <w:hideMark/>
          </w:tcPr>
          <w:p w14:paraId="10D23A74" w14:textId="77777777" w:rsidR="00154AD2" w:rsidRDefault="007F6BF3">
            <w:pPr>
              <w:pStyle w:val="P68B1DB1-Normal8"/>
              <w:spacing w:after="0" w:line="240" w:lineRule="auto"/>
              <w:jc w:val="center"/>
              <w:rPr>
                <w:rFonts w:eastAsia="Times New Roman" w:cs="Calibri"/>
                <w:noProof/>
              </w:rPr>
            </w:pPr>
            <w:r>
              <w:rPr>
                <w:noProof/>
              </w:rPr>
              <w:t>0</w:t>
            </w:r>
          </w:p>
        </w:tc>
        <w:tc>
          <w:tcPr>
            <w:tcW w:w="671" w:type="dxa"/>
            <w:shd w:val="clear" w:color="auto" w:fill="C4EFCE"/>
            <w:vAlign w:val="center"/>
            <w:hideMark/>
          </w:tcPr>
          <w:p w14:paraId="6C192691" w14:textId="77777777" w:rsidR="00154AD2" w:rsidRDefault="007F6BF3">
            <w:pPr>
              <w:pStyle w:val="P68B1DB1-Normal8"/>
              <w:spacing w:after="0" w:line="240" w:lineRule="auto"/>
              <w:jc w:val="center"/>
              <w:rPr>
                <w:rFonts w:eastAsia="Times New Roman" w:cs="Calibri"/>
                <w:noProof/>
              </w:rPr>
            </w:pPr>
            <w:r>
              <w:rPr>
                <w:noProof/>
              </w:rPr>
              <w:t>49</w:t>
            </w:r>
          </w:p>
        </w:tc>
        <w:tc>
          <w:tcPr>
            <w:tcW w:w="539" w:type="dxa"/>
            <w:shd w:val="clear" w:color="auto" w:fill="C4EFCE"/>
            <w:vAlign w:val="center"/>
            <w:hideMark/>
          </w:tcPr>
          <w:p w14:paraId="1BE96BE2"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672" w:type="dxa"/>
            <w:shd w:val="clear" w:color="auto" w:fill="C4EFCE"/>
            <w:vAlign w:val="center"/>
            <w:hideMark/>
          </w:tcPr>
          <w:p w14:paraId="64DC8375" w14:textId="77777777" w:rsidR="00154AD2" w:rsidRDefault="007F6BF3">
            <w:pPr>
              <w:pStyle w:val="P68B1DB1-Normal8"/>
              <w:spacing w:after="0" w:line="240" w:lineRule="auto"/>
              <w:jc w:val="center"/>
              <w:rPr>
                <w:rFonts w:eastAsia="Times New Roman" w:cs="Calibri"/>
                <w:noProof/>
              </w:rPr>
            </w:pPr>
            <w:r>
              <w:rPr>
                <w:noProof/>
              </w:rPr>
              <w:t>2023</w:t>
            </w:r>
          </w:p>
        </w:tc>
        <w:tc>
          <w:tcPr>
            <w:tcW w:w="3756" w:type="dxa"/>
            <w:shd w:val="clear" w:color="auto" w:fill="C4EFCE"/>
            <w:vAlign w:val="center"/>
            <w:hideMark/>
          </w:tcPr>
          <w:p w14:paraId="7AAC0ED8" w14:textId="3E3946FA" w:rsidR="00154AD2" w:rsidRDefault="007F6BF3">
            <w:pPr>
              <w:pStyle w:val="P68B1DB1-Normal8"/>
              <w:spacing w:after="0" w:line="240" w:lineRule="auto"/>
              <w:jc w:val="both"/>
              <w:rPr>
                <w:rFonts w:eastAsia="Times New Roman" w:cs="Calibri"/>
                <w:noProof/>
              </w:rPr>
            </w:pPr>
            <w:r>
              <w:rPr>
                <w:noProof/>
              </w:rPr>
              <w:t>Αριθμός χώρων πολιτισμού για τους οποίους υπογράφονται συμβάσεις αποκατάστασης και συντήρησης μουσείων, μνημείων, κρατικών παλάμων και εθνικών θεάτρων.</w:t>
            </w:r>
          </w:p>
        </w:tc>
      </w:tr>
      <w:tr w:rsidR="00154AD2" w14:paraId="21A4EBFD" w14:textId="77777777">
        <w:trPr>
          <w:trHeight w:val="1691"/>
        </w:trPr>
        <w:tc>
          <w:tcPr>
            <w:tcW w:w="1067" w:type="dxa"/>
            <w:shd w:val="clear" w:color="auto" w:fill="C5EFCE"/>
            <w:vAlign w:val="center"/>
            <w:hideMark/>
          </w:tcPr>
          <w:p w14:paraId="53135006" w14:textId="77777777" w:rsidR="00154AD2" w:rsidRDefault="007F6BF3">
            <w:pPr>
              <w:pStyle w:val="P68B1DB1-Normal7"/>
              <w:spacing w:after="0" w:line="240" w:lineRule="auto"/>
              <w:jc w:val="center"/>
              <w:rPr>
                <w:rFonts w:eastAsia="Times New Roman" w:cs="Calibri"/>
                <w:noProof/>
              </w:rPr>
            </w:pPr>
            <w:r>
              <w:rPr>
                <w:noProof/>
              </w:rPr>
              <w:t>4.8</w:t>
            </w:r>
          </w:p>
        </w:tc>
        <w:tc>
          <w:tcPr>
            <w:tcW w:w="1191" w:type="dxa"/>
            <w:shd w:val="clear" w:color="auto" w:fill="C4EFCE"/>
            <w:vAlign w:val="center"/>
            <w:hideMark/>
          </w:tcPr>
          <w:p w14:paraId="26F1C65B" w14:textId="77777777" w:rsidR="00154AD2" w:rsidRDefault="007F6BF3">
            <w:pPr>
              <w:pStyle w:val="P68B1DB1-Normal8"/>
              <w:spacing w:after="0" w:line="240" w:lineRule="auto"/>
              <w:jc w:val="center"/>
              <w:rPr>
                <w:rFonts w:eastAsia="Times New Roman" w:cs="Calibri"/>
                <w:noProof/>
              </w:rPr>
            </w:pPr>
            <w:r>
              <w:rPr>
                <w:noProof/>
              </w:rPr>
              <w:t>RE-C04-i02 </w:t>
            </w:r>
          </w:p>
        </w:tc>
        <w:tc>
          <w:tcPr>
            <w:tcW w:w="1060" w:type="dxa"/>
            <w:shd w:val="clear" w:color="auto" w:fill="C4EFCE"/>
            <w:vAlign w:val="center"/>
            <w:hideMark/>
          </w:tcPr>
          <w:p w14:paraId="2453522C" w14:textId="77777777" w:rsidR="00154AD2" w:rsidRDefault="007F6BF3">
            <w:pPr>
              <w:pStyle w:val="P68B1DB1-Normal8"/>
              <w:spacing w:after="0" w:line="240" w:lineRule="auto"/>
              <w:jc w:val="center"/>
              <w:rPr>
                <w:rFonts w:eastAsia="Times New Roman" w:cs="Calibri"/>
                <w:noProof/>
              </w:rPr>
            </w:pPr>
            <w:r>
              <w:rPr>
                <w:noProof/>
              </w:rPr>
              <w:t>T </w:t>
            </w:r>
          </w:p>
        </w:tc>
        <w:tc>
          <w:tcPr>
            <w:tcW w:w="1588" w:type="dxa"/>
            <w:shd w:val="clear" w:color="auto" w:fill="C4EFCE"/>
            <w:vAlign w:val="center"/>
            <w:hideMark/>
          </w:tcPr>
          <w:p w14:paraId="2B8435E8" w14:textId="2A41D561" w:rsidR="00154AD2" w:rsidRDefault="007F6BF3">
            <w:pPr>
              <w:pStyle w:val="P68B1DB1-Normal8"/>
              <w:spacing w:after="0" w:line="240" w:lineRule="auto"/>
              <w:jc w:val="center"/>
              <w:rPr>
                <w:rFonts w:eastAsia="Times New Roman" w:cs="Calibri"/>
                <w:noProof/>
              </w:rPr>
            </w:pPr>
            <w:r>
              <w:rPr>
                <w:noProof/>
              </w:rPr>
              <w:t xml:space="preserve">Περατωθείσες εργασίες αποκατάστασης και συντήρησης κτιρίων πολιτιστικής κληρονομιάς και εθνικών θεάτρων </w:t>
            </w:r>
          </w:p>
        </w:tc>
        <w:tc>
          <w:tcPr>
            <w:tcW w:w="1193" w:type="dxa"/>
            <w:shd w:val="clear" w:color="auto" w:fill="C4EFCE"/>
            <w:vAlign w:val="center"/>
            <w:hideMark/>
          </w:tcPr>
          <w:p w14:paraId="0A14C98B" w14:textId="77777777" w:rsidR="00154AD2" w:rsidRDefault="007F6BF3">
            <w:pPr>
              <w:pStyle w:val="P68B1DB1-Normal8"/>
              <w:spacing w:after="0" w:line="240" w:lineRule="auto"/>
              <w:rPr>
                <w:rFonts w:eastAsia="Times New Roman" w:cs="Calibri"/>
                <w:noProof/>
              </w:rPr>
            </w:pPr>
            <w:r>
              <w:rPr>
                <w:noProof/>
              </w:rPr>
              <w:t>Ολοκλήρωση των εργασιών</w:t>
            </w:r>
          </w:p>
        </w:tc>
        <w:tc>
          <w:tcPr>
            <w:tcW w:w="930" w:type="dxa"/>
            <w:shd w:val="clear" w:color="auto" w:fill="C4EFCE"/>
            <w:vAlign w:val="center"/>
            <w:hideMark/>
          </w:tcPr>
          <w:p w14:paraId="5A849F2E"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1225" w:type="dxa"/>
            <w:shd w:val="clear" w:color="auto" w:fill="C4EFCE"/>
            <w:vAlign w:val="center"/>
            <w:hideMark/>
          </w:tcPr>
          <w:p w14:paraId="2CDB7EB4" w14:textId="77777777" w:rsidR="00154AD2" w:rsidRDefault="007F6BF3">
            <w:pPr>
              <w:pStyle w:val="P68B1DB1-Normal8"/>
              <w:spacing w:after="0" w:line="240" w:lineRule="auto"/>
              <w:jc w:val="center"/>
              <w:rPr>
                <w:rFonts w:eastAsia="Times New Roman" w:cs="Calibri"/>
                <w:noProof/>
              </w:rPr>
            </w:pPr>
            <w:r>
              <w:rPr>
                <w:noProof/>
              </w:rPr>
              <w:t>0</w:t>
            </w:r>
          </w:p>
        </w:tc>
        <w:tc>
          <w:tcPr>
            <w:tcW w:w="671" w:type="dxa"/>
            <w:shd w:val="clear" w:color="auto" w:fill="C4EFCE"/>
            <w:vAlign w:val="center"/>
            <w:hideMark/>
          </w:tcPr>
          <w:p w14:paraId="7B9894CE" w14:textId="6B71FBD0" w:rsidR="00154AD2" w:rsidRDefault="007F6BF3">
            <w:pPr>
              <w:pStyle w:val="P68B1DB1-Normal8"/>
              <w:spacing w:after="0" w:line="240" w:lineRule="auto"/>
              <w:jc w:val="center"/>
              <w:rPr>
                <w:rFonts w:eastAsia="Times New Roman" w:cs="Calibri"/>
                <w:noProof/>
              </w:rPr>
            </w:pPr>
            <w:r>
              <w:rPr>
                <w:noProof/>
              </w:rPr>
              <w:t>75</w:t>
            </w:r>
          </w:p>
        </w:tc>
        <w:tc>
          <w:tcPr>
            <w:tcW w:w="539" w:type="dxa"/>
            <w:shd w:val="clear" w:color="auto" w:fill="C4EFCE"/>
            <w:vAlign w:val="center"/>
            <w:hideMark/>
          </w:tcPr>
          <w:p w14:paraId="2791A5BD" w14:textId="0ED63B4C" w:rsidR="00154AD2" w:rsidRDefault="007F6BF3">
            <w:pPr>
              <w:pStyle w:val="P68B1DB1-Normal8"/>
              <w:spacing w:after="0" w:line="240" w:lineRule="auto"/>
              <w:jc w:val="center"/>
              <w:rPr>
                <w:rFonts w:eastAsia="Times New Roman" w:cs="Calibri"/>
                <w:noProof/>
              </w:rPr>
            </w:pPr>
            <w:r>
              <w:rPr>
                <w:noProof/>
              </w:rPr>
              <w:t>ΤΡΊΜΗΝΟ 1 </w:t>
            </w:r>
          </w:p>
        </w:tc>
        <w:tc>
          <w:tcPr>
            <w:tcW w:w="672" w:type="dxa"/>
            <w:shd w:val="clear" w:color="auto" w:fill="C4EFCE"/>
            <w:vAlign w:val="center"/>
            <w:hideMark/>
          </w:tcPr>
          <w:p w14:paraId="199003BA" w14:textId="4BAD9944" w:rsidR="00154AD2" w:rsidRDefault="007F6BF3">
            <w:pPr>
              <w:pStyle w:val="P68B1DB1-Normal8"/>
              <w:spacing w:after="0" w:line="240" w:lineRule="auto"/>
              <w:jc w:val="center"/>
              <w:rPr>
                <w:rFonts w:eastAsia="Times New Roman" w:cs="Calibri"/>
                <w:noProof/>
              </w:rPr>
            </w:pPr>
            <w:r>
              <w:rPr>
                <w:noProof/>
              </w:rPr>
              <w:t>2026</w:t>
            </w:r>
          </w:p>
        </w:tc>
        <w:tc>
          <w:tcPr>
            <w:tcW w:w="3756" w:type="dxa"/>
            <w:shd w:val="clear" w:color="auto" w:fill="C4EFCE"/>
            <w:vAlign w:val="center"/>
            <w:hideMark/>
          </w:tcPr>
          <w:p w14:paraId="44EBB5A9" w14:textId="5E647B96" w:rsidR="00154AD2" w:rsidRDefault="007F6BF3">
            <w:pPr>
              <w:pStyle w:val="P68B1DB1-Normal8"/>
              <w:spacing w:after="0" w:line="240" w:lineRule="auto"/>
              <w:jc w:val="both"/>
              <w:rPr>
                <w:rFonts w:eastAsia="Times New Roman" w:cs="Calibri"/>
                <w:noProof/>
              </w:rPr>
            </w:pPr>
            <w:r>
              <w:rPr>
                <w:noProof/>
              </w:rPr>
              <w:t>Αριθμός χώρων πολιτισμού για τους οποίους ολοκληρώνονται εργασίες αποκατάστασης και συντήρησης μουσείων, μνημείων, κρατικών παλάκων και εθνικών θεάτρων.</w:t>
            </w:r>
          </w:p>
        </w:tc>
      </w:tr>
      <w:tr w:rsidR="00154AD2" w14:paraId="6C8F3CC5" w14:textId="77777777">
        <w:trPr>
          <w:trHeight w:val="2486"/>
        </w:trPr>
        <w:tc>
          <w:tcPr>
            <w:tcW w:w="1067" w:type="dxa"/>
            <w:shd w:val="clear" w:color="auto" w:fill="C5EFCE"/>
            <w:vAlign w:val="center"/>
          </w:tcPr>
          <w:p w14:paraId="14F7780E" w14:textId="50B225CD" w:rsidR="00154AD2" w:rsidRDefault="007F6BF3">
            <w:pPr>
              <w:pStyle w:val="P68B1DB1-Normal11"/>
              <w:spacing w:line="240" w:lineRule="auto"/>
              <w:jc w:val="center"/>
              <w:rPr>
                <w:rFonts w:eastAsiaTheme="minorEastAsia"/>
                <w:noProof/>
              </w:rPr>
            </w:pPr>
            <w:r>
              <w:rPr>
                <w:noProof/>
              </w:rPr>
              <w:t>4.11</w:t>
            </w:r>
          </w:p>
        </w:tc>
        <w:tc>
          <w:tcPr>
            <w:tcW w:w="1191" w:type="dxa"/>
            <w:shd w:val="clear" w:color="auto" w:fill="C4EFCE"/>
            <w:vAlign w:val="center"/>
          </w:tcPr>
          <w:p w14:paraId="031805CE" w14:textId="198EF4ED" w:rsidR="00154AD2" w:rsidRDefault="007F6BF3">
            <w:pPr>
              <w:pStyle w:val="P68B1DB1-Normal8"/>
              <w:spacing w:after="0" w:line="240" w:lineRule="auto"/>
              <w:jc w:val="center"/>
              <w:rPr>
                <w:rFonts w:eastAsia="Times New Roman" w:cs="Calibri"/>
                <w:noProof/>
              </w:rPr>
            </w:pPr>
            <w:r>
              <w:rPr>
                <w:noProof/>
              </w:rPr>
              <w:t>RE-C04-i02 </w:t>
            </w:r>
          </w:p>
        </w:tc>
        <w:tc>
          <w:tcPr>
            <w:tcW w:w="1060" w:type="dxa"/>
            <w:shd w:val="clear" w:color="auto" w:fill="C4EFCE"/>
            <w:vAlign w:val="center"/>
          </w:tcPr>
          <w:p w14:paraId="0170B3FA" w14:textId="1839734A" w:rsidR="00154AD2" w:rsidRDefault="007F6BF3">
            <w:pPr>
              <w:pStyle w:val="P68B1DB1-Normal12"/>
              <w:spacing w:line="240" w:lineRule="auto"/>
              <w:jc w:val="center"/>
              <w:rPr>
                <w:rFonts w:eastAsiaTheme="minorEastAsia"/>
                <w:noProof/>
              </w:rPr>
            </w:pPr>
            <w:r>
              <w:rPr>
                <w:noProof/>
              </w:rPr>
              <w:t>M</w:t>
            </w:r>
          </w:p>
        </w:tc>
        <w:tc>
          <w:tcPr>
            <w:tcW w:w="1588" w:type="dxa"/>
            <w:shd w:val="clear" w:color="auto" w:fill="C4EFCE"/>
            <w:vAlign w:val="center"/>
          </w:tcPr>
          <w:p w14:paraId="7A827ECC" w14:textId="31B94B99" w:rsidR="00154AD2" w:rsidRDefault="007F6BF3">
            <w:pPr>
              <w:pStyle w:val="P68B1DB1-Normal8"/>
              <w:widowControl w:val="0"/>
              <w:spacing w:after="0" w:line="240" w:lineRule="auto"/>
              <w:jc w:val="center"/>
              <w:rPr>
                <w:rFonts w:eastAsia="Calibri" w:cs="Calibri"/>
                <w:noProof/>
              </w:rPr>
            </w:pPr>
            <w:r>
              <w:rPr>
                <w:noProof/>
              </w:rPr>
              <w:t>Εγκατάσταση εργαστηρίων και διαδρομών του Τεχνολογικού Κέντρου «Saber Fazer» και δημιουργία παιδαγωγικών και ενημερωτικών δραστηριοτήτων σχετικά με τις παραδοσιακές τεχνικές.</w:t>
            </w:r>
          </w:p>
        </w:tc>
        <w:tc>
          <w:tcPr>
            <w:tcW w:w="1193" w:type="dxa"/>
            <w:shd w:val="clear" w:color="auto" w:fill="C4EFCE"/>
            <w:vAlign w:val="center"/>
          </w:tcPr>
          <w:p w14:paraId="02EC0D5B" w14:textId="2468D793" w:rsidR="00154AD2" w:rsidRDefault="007F6BF3">
            <w:pPr>
              <w:pStyle w:val="P68B1DB1-Normal8"/>
              <w:spacing w:after="0" w:line="240" w:lineRule="auto"/>
              <w:jc w:val="center"/>
              <w:rPr>
                <w:rFonts w:eastAsia="Calibri" w:cs="Calibri"/>
                <w:noProof/>
              </w:rPr>
            </w:pPr>
            <w:r>
              <w:rPr>
                <w:noProof/>
              </w:rPr>
              <w:t>Εγκατάσταση εργαστηρίων και διαδρομών και δημιουργία ενημερωτικών δραστηριοτήτων</w:t>
            </w:r>
          </w:p>
        </w:tc>
        <w:tc>
          <w:tcPr>
            <w:tcW w:w="930" w:type="dxa"/>
            <w:shd w:val="clear" w:color="auto" w:fill="C4EFCE"/>
            <w:vAlign w:val="center"/>
          </w:tcPr>
          <w:p w14:paraId="00D6DCB5" w14:textId="6E4FFB7F" w:rsidR="00154AD2" w:rsidRDefault="00154AD2">
            <w:pPr>
              <w:spacing w:line="240" w:lineRule="auto"/>
              <w:jc w:val="center"/>
              <w:rPr>
                <w:rFonts w:eastAsiaTheme="minorEastAsia"/>
                <w:noProof/>
                <w:sz w:val="16"/>
              </w:rPr>
            </w:pPr>
          </w:p>
        </w:tc>
        <w:tc>
          <w:tcPr>
            <w:tcW w:w="1225" w:type="dxa"/>
            <w:shd w:val="clear" w:color="auto" w:fill="C4EFCE"/>
            <w:vAlign w:val="center"/>
          </w:tcPr>
          <w:p w14:paraId="212F99FB" w14:textId="75AD13CC" w:rsidR="00154AD2" w:rsidRDefault="00154AD2">
            <w:pPr>
              <w:spacing w:line="240" w:lineRule="auto"/>
              <w:jc w:val="center"/>
              <w:rPr>
                <w:rFonts w:eastAsiaTheme="minorEastAsia"/>
                <w:noProof/>
                <w:sz w:val="16"/>
              </w:rPr>
            </w:pPr>
          </w:p>
        </w:tc>
        <w:tc>
          <w:tcPr>
            <w:tcW w:w="671" w:type="dxa"/>
            <w:shd w:val="clear" w:color="auto" w:fill="C4EFCE"/>
            <w:vAlign w:val="center"/>
          </w:tcPr>
          <w:p w14:paraId="55B67104" w14:textId="32C4CF8D" w:rsidR="00154AD2" w:rsidRDefault="00154AD2">
            <w:pPr>
              <w:spacing w:line="240" w:lineRule="auto"/>
              <w:jc w:val="center"/>
              <w:rPr>
                <w:rFonts w:eastAsiaTheme="minorEastAsia"/>
                <w:noProof/>
                <w:sz w:val="16"/>
              </w:rPr>
            </w:pPr>
          </w:p>
        </w:tc>
        <w:tc>
          <w:tcPr>
            <w:tcW w:w="539" w:type="dxa"/>
            <w:shd w:val="clear" w:color="auto" w:fill="C4EFCE"/>
            <w:vAlign w:val="center"/>
          </w:tcPr>
          <w:p w14:paraId="21CA84BA" w14:textId="4EA4C59D" w:rsidR="00154AD2" w:rsidRDefault="007F6BF3">
            <w:pPr>
              <w:pStyle w:val="P68B1DB1-Normal12"/>
              <w:spacing w:line="240" w:lineRule="auto"/>
              <w:jc w:val="center"/>
              <w:rPr>
                <w:rFonts w:eastAsiaTheme="minorEastAsia"/>
                <w:noProof/>
              </w:rPr>
            </w:pPr>
            <w:r>
              <w:rPr>
                <w:noProof/>
              </w:rPr>
              <w:t>ΤΡΊΜΗΝΟ 4</w:t>
            </w:r>
          </w:p>
        </w:tc>
        <w:tc>
          <w:tcPr>
            <w:tcW w:w="672" w:type="dxa"/>
            <w:shd w:val="clear" w:color="auto" w:fill="C4EFCE"/>
            <w:vAlign w:val="center"/>
          </w:tcPr>
          <w:p w14:paraId="48405223" w14:textId="3B99029C" w:rsidR="00154AD2" w:rsidRDefault="007F6BF3">
            <w:pPr>
              <w:pStyle w:val="P68B1DB1-Normal12"/>
              <w:spacing w:line="240" w:lineRule="auto"/>
              <w:jc w:val="center"/>
              <w:rPr>
                <w:rFonts w:eastAsiaTheme="minorEastAsia"/>
                <w:noProof/>
              </w:rPr>
            </w:pPr>
            <w:r>
              <w:rPr>
                <w:noProof/>
              </w:rPr>
              <w:t>2025</w:t>
            </w:r>
          </w:p>
        </w:tc>
        <w:tc>
          <w:tcPr>
            <w:tcW w:w="3756" w:type="dxa"/>
            <w:shd w:val="clear" w:color="auto" w:fill="C4EFCE"/>
            <w:vAlign w:val="center"/>
          </w:tcPr>
          <w:p w14:paraId="68A57C86" w14:textId="204DEDB9" w:rsidR="00154AD2" w:rsidRDefault="007F6BF3">
            <w:pPr>
              <w:pStyle w:val="P68B1DB1-Normal8"/>
              <w:spacing w:line="240" w:lineRule="auto"/>
              <w:rPr>
                <w:rFonts w:eastAsia="Calibri" w:cs="Calibri"/>
                <w:noProof/>
              </w:rPr>
            </w:pPr>
            <w:r>
              <w:rPr>
                <w:noProof/>
              </w:rPr>
              <w:t>Εγκαθίστανται εργαστήρια και διαδρομές του τεχνολογικού κέντρου «Saber Fazer».</w:t>
            </w:r>
          </w:p>
          <w:p w14:paraId="4A586D50" w14:textId="49FECD44" w:rsidR="00154AD2" w:rsidRDefault="007F6BF3">
            <w:pPr>
              <w:pStyle w:val="P68B1DB1-Normal8"/>
              <w:spacing w:line="240" w:lineRule="auto"/>
              <w:rPr>
                <w:rFonts w:eastAsia="Calibri" w:cs="Calibri"/>
                <w:noProof/>
              </w:rPr>
            </w:pPr>
            <w:r>
              <w:rPr>
                <w:noProof/>
              </w:rPr>
              <w:t>Δημιουργούνται παιδαγωγικές και ενημερωτικές δραστηριότητες σχετικά με τις παραδοσιακές τεχνικές</w:t>
            </w:r>
          </w:p>
        </w:tc>
      </w:tr>
      <w:tr w:rsidR="00154AD2" w14:paraId="2E9B74C5" w14:textId="77777777">
        <w:trPr>
          <w:trHeight w:val="1232"/>
        </w:trPr>
        <w:tc>
          <w:tcPr>
            <w:tcW w:w="1067" w:type="dxa"/>
            <w:shd w:val="clear" w:color="auto" w:fill="C5EFCE"/>
            <w:vAlign w:val="center"/>
          </w:tcPr>
          <w:p w14:paraId="7B23F4D9" w14:textId="656A027C" w:rsidR="00154AD2" w:rsidRDefault="007F6BF3">
            <w:pPr>
              <w:pStyle w:val="P68B1DB1-Normal11"/>
              <w:spacing w:after="0" w:line="240" w:lineRule="auto"/>
              <w:jc w:val="center"/>
              <w:rPr>
                <w:rFonts w:eastAsiaTheme="minorEastAsia"/>
                <w:noProof/>
              </w:rPr>
            </w:pPr>
            <w:r>
              <w:rPr>
                <w:noProof/>
              </w:rPr>
              <w:t>4.12</w:t>
            </w:r>
          </w:p>
        </w:tc>
        <w:tc>
          <w:tcPr>
            <w:tcW w:w="1191" w:type="dxa"/>
            <w:shd w:val="clear" w:color="auto" w:fill="C4EFCE"/>
            <w:vAlign w:val="center"/>
          </w:tcPr>
          <w:p w14:paraId="2D75212B" w14:textId="699667CF" w:rsidR="00154AD2" w:rsidRDefault="007F6BF3">
            <w:pPr>
              <w:pStyle w:val="P68B1DB1-Normal12"/>
              <w:spacing w:line="240" w:lineRule="auto"/>
              <w:jc w:val="center"/>
              <w:rPr>
                <w:rFonts w:eastAsiaTheme="minorEastAsia"/>
                <w:noProof/>
              </w:rPr>
            </w:pPr>
            <w:r>
              <w:rPr>
                <w:noProof/>
              </w:rPr>
              <w:t>RE-C04-i02</w:t>
            </w:r>
          </w:p>
        </w:tc>
        <w:tc>
          <w:tcPr>
            <w:tcW w:w="1060" w:type="dxa"/>
            <w:shd w:val="clear" w:color="auto" w:fill="C4EFCE"/>
            <w:vAlign w:val="center"/>
          </w:tcPr>
          <w:p w14:paraId="01863DAD" w14:textId="500BD97C" w:rsidR="00154AD2" w:rsidRDefault="007F6BF3">
            <w:pPr>
              <w:pStyle w:val="P68B1DB1-Normal12"/>
              <w:spacing w:after="0" w:line="240" w:lineRule="auto"/>
              <w:jc w:val="center"/>
              <w:rPr>
                <w:rFonts w:eastAsiaTheme="minorEastAsia"/>
                <w:noProof/>
              </w:rPr>
            </w:pPr>
            <w:r>
              <w:rPr>
                <w:noProof/>
              </w:rPr>
              <w:t>M</w:t>
            </w:r>
          </w:p>
        </w:tc>
        <w:tc>
          <w:tcPr>
            <w:tcW w:w="1588" w:type="dxa"/>
            <w:shd w:val="clear" w:color="auto" w:fill="C4EFCE"/>
            <w:vAlign w:val="center"/>
          </w:tcPr>
          <w:p w14:paraId="15F8BB2A" w14:textId="4AD42237" w:rsidR="00154AD2" w:rsidRDefault="007F6BF3">
            <w:pPr>
              <w:pStyle w:val="P68B1DB1-Normal12"/>
              <w:widowControl w:val="0"/>
              <w:spacing w:after="0" w:line="240" w:lineRule="auto"/>
              <w:jc w:val="center"/>
              <w:rPr>
                <w:rFonts w:eastAsia="Calibri"/>
                <w:noProof/>
              </w:rPr>
            </w:pPr>
            <w:r>
              <w:rPr>
                <w:noProof/>
              </w:rPr>
              <w:t>Ολοκλήρωση της κατασκευής του Εθνικού Αρχειακού Αρχείου</w:t>
            </w:r>
          </w:p>
        </w:tc>
        <w:tc>
          <w:tcPr>
            <w:tcW w:w="1193" w:type="dxa"/>
            <w:shd w:val="clear" w:color="auto" w:fill="C4EFCE"/>
            <w:vAlign w:val="center"/>
          </w:tcPr>
          <w:p w14:paraId="21192B9D" w14:textId="5381A138" w:rsidR="00154AD2" w:rsidRDefault="007F6BF3">
            <w:pPr>
              <w:pStyle w:val="P68B1DB1-Normal12"/>
              <w:spacing w:after="0" w:line="240" w:lineRule="auto"/>
              <w:jc w:val="center"/>
              <w:rPr>
                <w:rFonts w:eastAsiaTheme="minorEastAsia"/>
                <w:noProof/>
              </w:rPr>
            </w:pPr>
            <w:r>
              <w:rPr>
                <w:noProof/>
              </w:rPr>
              <w:t>Ολοκλήρωση κατασκευαστικών εργασιών</w:t>
            </w:r>
          </w:p>
          <w:p w14:paraId="0230FF46" w14:textId="6B7D17FB" w:rsidR="00154AD2" w:rsidRDefault="00154AD2">
            <w:pPr>
              <w:spacing w:after="0" w:line="240" w:lineRule="auto"/>
              <w:jc w:val="center"/>
              <w:rPr>
                <w:rFonts w:eastAsiaTheme="minorEastAsia"/>
                <w:noProof/>
                <w:sz w:val="16"/>
              </w:rPr>
            </w:pPr>
          </w:p>
        </w:tc>
        <w:tc>
          <w:tcPr>
            <w:tcW w:w="930" w:type="dxa"/>
            <w:shd w:val="clear" w:color="auto" w:fill="C4EFCE"/>
            <w:vAlign w:val="center"/>
          </w:tcPr>
          <w:p w14:paraId="2CBDC436" w14:textId="77777777" w:rsidR="00154AD2" w:rsidRDefault="00154AD2">
            <w:pPr>
              <w:spacing w:after="0" w:line="240" w:lineRule="auto"/>
              <w:jc w:val="center"/>
              <w:rPr>
                <w:rFonts w:eastAsiaTheme="minorEastAsia"/>
                <w:noProof/>
                <w:sz w:val="16"/>
              </w:rPr>
            </w:pPr>
          </w:p>
        </w:tc>
        <w:tc>
          <w:tcPr>
            <w:tcW w:w="1225" w:type="dxa"/>
            <w:shd w:val="clear" w:color="auto" w:fill="C4EFCE"/>
            <w:vAlign w:val="center"/>
          </w:tcPr>
          <w:p w14:paraId="071D080E" w14:textId="77777777" w:rsidR="00154AD2" w:rsidRDefault="00154AD2">
            <w:pPr>
              <w:spacing w:after="0" w:line="240" w:lineRule="auto"/>
              <w:jc w:val="center"/>
              <w:rPr>
                <w:rFonts w:eastAsiaTheme="minorEastAsia"/>
                <w:noProof/>
                <w:sz w:val="16"/>
              </w:rPr>
            </w:pPr>
          </w:p>
        </w:tc>
        <w:tc>
          <w:tcPr>
            <w:tcW w:w="671" w:type="dxa"/>
            <w:shd w:val="clear" w:color="auto" w:fill="C4EFCE"/>
            <w:vAlign w:val="center"/>
          </w:tcPr>
          <w:p w14:paraId="7FCAA4F0" w14:textId="77777777" w:rsidR="00154AD2" w:rsidRDefault="00154AD2">
            <w:pPr>
              <w:spacing w:after="0" w:line="240" w:lineRule="auto"/>
              <w:jc w:val="center"/>
              <w:rPr>
                <w:rFonts w:eastAsiaTheme="minorEastAsia"/>
                <w:noProof/>
                <w:sz w:val="16"/>
              </w:rPr>
            </w:pPr>
          </w:p>
        </w:tc>
        <w:tc>
          <w:tcPr>
            <w:tcW w:w="539" w:type="dxa"/>
            <w:shd w:val="clear" w:color="auto" w:fill="C4EFCE"/>
            <w:vAlign w:val="center"/>
          </w:tcPr>
          <w:p w14:paraId="1C2674F4" w14:textId="7A52A272" w:rsidR="00154AD2" w:rsidRDefault="007F6BF3">
            <w:pPr>
              <w:pStyle w:val="P68B1DB1-Normal12"/>
              <w:spacing w:after="0" w:line="240" w:lineRule="auto"/>
              <w:jc w:val="center"/>
              <w:rPr>
                <w:rFonts w:eastAsiaTheme="minorEastAsia"/>
                <w:noProof/>
              </w:rPr>
            </w:pPr>
            <w:r>
              <w:rPr>
                <w:noProof/>
              </w:rPr>
              <w:t>ΤΡΊΜΗΝΟ 1</w:t>
            </w:r>
          </w:p>
        </w:tc>
        <w:tc>
          <w:tcPr>
            <w:tcW w:w="672" w:type="dxa"/>
            <w:shd w:val="clear" w:color="auto" w:fill="C4EFCE"/>
            <w:vAlign w:val="center"/>
          </w:tcPr>
          <w:p w14:paraId="0A6163C6" w14:textId="6FB0E70F" w:rsidR="00154AD2" w:rsidRDefault="007F6BF3">
            <w:pPr>
              <w:pStyle w:val="P68B1DB1-Normal12"/>
              <w:spacing w:after="0" w:line="240" w:lineRule="auto"/>
              <w:jc w:val="center"/>
              <w:rPr>
                <w:rFonts w:eastAsiaTheme="minorEastAsia"/>
                <w:noProof/>
              </w:rPr>
            </w:pPr>
            <w:r>
              <w:rPr>
                <w:noProof/>
              </w:rPr>
              <w:t>2026</w:t>
            </w:r>
          </w:p>
        </w:tc>
        <w:tc>
          <w:tcPr>
            <w:tcW w:w="3756" w:type="dxa"/>
            <w:shd w:val="clear" w:color="auto" w:fill="C4EFCE"/>
            <w:vAlign w:val="center"/>
          </w:tcPr>
          <w:p w14:paraId="553D6012" w14:textId="684A611B" w:rsidR="00154AD2" w:rsidRDefault="007F6BF3">
            <w:pPr>
              <w:pStyle w:val="P68B1DB1-Normal12"/>
              <w:spacing w:line="240" w:lineRule="auto"/>
              <w:rPr>
                <w:rFonts w:ascii="Calibri" w:eastAsia="Times New Roman" w:hAnsi="Calibri" w:cs="Calibri"/>
                <w:noProof/>
              </w:rPr>
            </w:pPr>
            <w:r>
              <w:rPr>
                <w:noProof/>
              </w:rPr>
              <w:t>Ολοκλήρωση της κατασκευής του κτιρίου για το Εθνικό Αρχείο Σήχου. Το κτίριο έχει ωφέλιμη επιφάνεια τουλάχιστον 1 100 τ.μ. και είναι εξοπλισμένο, μεταξύ άλλων, για τη διατήρηση έγκυρων εγγράφων. Το</w:t>
            </w:r>
            <w:r>
              <w:rPr>
                <w:rFonts w:ascii="Calibri" w:hAnsi="Calibri"/>
                <w:noProof/>
              </w:rPr>
              <w:t>κτίριο n ew έχει ζήτηση πρωτογενούς ενέργειας τουλάχιστον 20 % χαμηλότερη από τις απαιτήσεις των κτιρίων με σχεδόν μηδενική κατανάλωση ενέργειας.</w:t>
            </w:r>
          </w:p>
        </w:tc>
      </w:tr>
    </w:tbl>
    <w:p w14:paraId="7A7D7EC6" w14:textId="25A02098" w:rsidR="00154AD2" w:rsidRDefault="00154AD2">
      <w:pPr>
        <w:rPr>
          <w:noProof/>
        </w:rPr>
      </w:pPr>
    </w:p>
    <w:p w14:paraId="796D791C" w14:textId="77777777" w:rsidR="00154AD2" w:rsidRDefault="00154AD2">
      <w:pPr>
        <w:rPr>
          <w:rFonts w:ascii="Times New Roman" w:eastAsiaTheme="minorEastAsia" w:hAnsi="Times New Roman" w:cs="Times New Roman"/>
          <w:noProof/>
          <w:sz w:val="24"/>
        </w:rPr>
      </w:pPr>
    </w:p>
    <w:p w14:paraId="77CC12FE" w14:textId="77777777" w:rsidR="00154AD2" w:rsidRDefault="00154AD2">
      <w:pPr>
        <w:rPr>
          <w:rFonts w:ascii="Times New Roman" w:eastAsiaTheme="minorEastAsia" w:hAnsi="Times New Roman" w:cs="Times New Roman"/>
          <w:noProof/>
          <w:sz w:val="24"/>
        </w:rPr>
      </w:pPr>
    </w:p>
    <w:p w14:paraId="62B18445" w14:textId="77777777" w:rsidR="00154AD2" w:rsidRDefault="00154AD2">
      <w:pPr>
        <w:rPr>
          <w:rFonts w:ascii="Times New Roman" w:eastAsiaTheme="minorEastAsia" w:hAnsi="Times New Roman" w:cs="Times New Roman"/>
          <w:b/>
          <w:noProof/>
          <w:sz w:val="24"/>
          <w:u w:val="single"/>
        </w:rPr>
        <w:sectPr w:rsidR="00154AD2" w:rsidSect="00E00EDD">
          <w:headerReference w:type="even" r:id="rId90"/>
          <w:headerReference w:type="default" r:id="rId91"/>
          <w:footerReference w:type="even" r:id="rId92"/>
          <w:footerReference w:type="default" r:id="rId93"/>
          <w:headerReference w:type="first" r:id="rId94"/>
          <w:footerReference w:type="first" r:id="rId95"/>
          <w:pgSz w:w="16839" w:h="11907" w:orient="landscape"/>
          <w:pgMar w:top="1134" w:right="1134" w:bottom="1134" w:left="1134" w:header="567" w:footer="567" w:gutter="0"/>
          <w:cols w:space="720"/>
          <w:docGrid w:linePitch="360"/>
        </w:sectPr>
      </w:pPr>
    </w:p>
    <w:p w14:paraId="67852003" w14:textId="77777777" w:rsidR="00154AD2" w:rsidRDefault="007F6BF3">
      <w:pPr>
        <w:pStyle w:val="P68B1DB1-Normal3"/>
        <w:rPr>
          <w:rFonts w:eastAsiaTheme="minorEastAsia" w:cs="Times New Roman"/>
          <w:noProof/>
        </w:rPr>
      </w:pPr>
      <w:r>
        <w:rPr>
          <w:noProof/>
        </w:rPr>
        <w:t>Ε. ΣΥΝΙΣΤΩΣΑ 5: Επενδύσεις και καινοτομία</w:t>
      </w:r>
    </w:p>
    <w:p w14:paraId="1531FA16" w14:textId="77777777" w:rsidR="00154AD2" w:rsidRDefault="007F6BF3">
      <w:pPr>
        <w:pStyle w:val="P68B1DB1-Normal4"/>
        <w:jc w:val="both"/>
        <w:rPr>
          <w:rFonts w:eastAsiaTheme="minorEastAsia" w:cs="Times New Roman"/>
          <w:noProof/>
        </w:rPr>
      </w:pPr>
      <w:r>
        <w:rPr>
          <w:noProof/>
        </w:rPr>
        <w:t>Αυτή η συνιστώσα του πορτογαλικού σχεδίου ανάκαμψης και ανθεκτικότητας αντιμετωπίζει προκλήσεις που σχετίζονται με το σχετικά μέτριο επίπεδο έρευνας και καινοτομίας, ιδίως μέσω της προώθησης των δεσμών μεταξύ επιχειρήσεων και επιστήμης και με ιδιαίτερη έμφαση στην καινοτομία στην πράσινη μετάβαση, καθώς και των προκλήσεων που σχετίζονται με τη χρόνια υποκεφαλαιοποίηση του πορτογαλικού επιχειρηματικού τομέα, η οποία έχει επιδεινωθεί περαιτέρω ως συνέπεια της πανδημίας COVID-19.</w:t>
      </w:r>
    </w:p>
    <w:p w14:paraId="44389BA8" w14:textId="77777777" w:rsidR="00154AD2" w:rsidRDefault="007F6BF3">
      <w:pPr>
        <w:pStyle w:val="P68B1DB1-Normal4"/>
        <w:jc w:val="both"/>
        <w:rPr>
          <w:rFonts w:eastAsiaTheme="minorEastAsia" w:cs="Times New Roman"/>
          <w:noProof/>
        </w:rPr>
      </w:pPr>
      <w:r>
        <w:rPr>
          <w:noProof/>
        </w:rPr>
        <w:t xml:space="preserve">Στόχος της συνιστώσας είναι η αύξηση της ανταγωνιστικότητας και της ανθεκτικότητας της πορτογαλικής οικονομίας μέσω μέτρων που αποσκοπούν στην ενίσχυση της έρευνας, προωθώντας τη μεταφορά των αποτελεσμάτων της στον επιχειρηματικό τομέα, προωθώντας έτσι την καινοτομία και τις επενδύσεις. Το μέρος της συνιστώσας που αφορά την έρευνα και την καινοτομία αποσκοπεί στη βελτίωση της συνεργασίας μεταξύ ακαδημαϊκών και επιχειρήσεων, στην ενίσχυση του επιστημονικού και τεχνολογικού δυναμικού της Πορτογαλίας και στη στήριξη της υλοποίησης φιλόδοξων και ολοκληρωμένων θεματολογίων έρευνας και καινοτομίας για την αντιμετώπιση σημαντικών κοινωνικοοικονομικών και περιβαλλοντικών προκλήσεων. Αυτό αναμένεται να επιτευχθεί μέσω αυξημένων και αποτελεσματικότερων επενδύσεων Ε &amp; Α και καινοτομίας, στοχευμένης στήριξης για την καλύτερη μετουσίωση των αποτελεσμάτων της έρευνας σε επενδύσεις, διαφοροποίηση και εξειδίκευση της παραγωγικής δομής, αξιοποιώντας το πραγματικό δυναμικό για ανταγωνιστική επιβεβαίωση καθιερωμένων βιομηχανικών τομέων και αναδυόμενων τομέων και συμβάλλοντας στη διττή μετάβαση. Ειδικότερα, η συνιστώσα αυτή αποσκοπεί στην αύξηση των εξαγωγών αγαθών και υπηρεσιών υψηλής προστιθέμενης αξίας, στην αύξηση των επενδύσεων Ε &amp; Α (τόσο μέσω νέων θέσεων εργασίας υψηλής ειδίκευσης όσο και μέσω της αύξησης των δαπανών Ε &amp; Α από τις επιχειρήσεις) και στη συμβολή στη μείωση των εκπομπών CO2. </w:t>
      </w:r>
    </w:p>
    <w:p w14:paraId="0D653E56" w14:textId="77777777" w:rsidR="00154AD2" w:rsidRDefault="007F6BF3">
      <w:pPr>
        <w:pStyle w:val="P68B1DB1-Normal4"/>
        <w:jc w:val="both"/>
        <w:rPr>
          <w:rFonts w:eastAsiaTheme="minorEastAsia" w:cs="Times New Roman"/>
          <w:noProof/>
        </w:rPr>
      </w:pPr>
      <w:r>
        <w:rPr>
          <w:noProof/>
        </w:rPr>
        <w:t xml:space="preserve">Σύμφωνα με την ανάγκη στήριξης της φερεγγυότητας του παραγωγικού συστήματος και αντιμετώπισης των αδυναμιών της αγοράς όσον αφορά την πρόσβαση στη χρηματοδότηση, η συνιστώσα αυτή περιλαμβάνει μεταρρύθμιση και επενδύσεις που συμβάλλουν στη βελτίωση της πορτογαλικής αγοράς χρηματοδότησης επιχειρήσεων, μέσω της δημιουργίας και της ενίσχυσης των κεφαλαίων της Εθνικής Αναπτυξιακής Τράπεζας </w:t>
      </w:r>
      <w:r>
        <w:rPr>
          <w:i/>
          <w:noProof/>
        </w:rPr>
        <w:t>Banco Português de Fomento</w:t>
      </w:r>
      <w:r>
        <w:rPr>
          <w:noProof/>
        </w:rPr>
        <w:t xml:space="preserve"> και της ανάπτυξης νέων χρηματοδοτικών μέσων. Η συνιστώσα εισάγει επίσης μεταρρυθμίσεις στις κεφαλαιαγορές για την ενίσχυση των κεφαλαιαγορών στην Πορτογαλία μακροπρόθεσμα μέσω της αναθεώρησης του υφιστάμενου νομικού πλαισίου και της θέσπισης νέων νόμων, με ιδιαίτερη έμφαση στις εταιρείες επενδύσεων σε κινητές αξίες για την ανάπτυξη της οικονομίας (SIMFE), στους οργανισμούς συλλογικών επενδύσεων και στην αναθεώρηση του κώδικα κινητών αξιών.</w:t>
      </w:r>
    </w:p>
    <w:p w14:paraId="0F7F4FD3" w14:textId="77777777" w:rsidR="00154AD2" w:rsidRDefault="007F6BF3">
      <w:pPr>
        <w:pStyle w:val="P68B1DB1-Normal4"/>
        <w:jc w:val="both"/>
        <w:rPr>
          <w:rFonts w:eastAsiaTheme="minorEastAsia" w:cs="Times New Roman"/>
          <w:noProof/>
        </w:rPr>
      </w:pPr>
      <w:r>
        <w:rPr>
          <w:noProof/>
        </w:rPr>
        <w:t xml:space="preserve">Η συνιστώσα στηρίζει την εφαρμογή της ειδικής ανά χώρα σύστασης σχετικά με τις επενδύσεις για την κλιματική μετάβαση (ειδική ανά χώρα σύσταση 3 2020), της ειδικής ανά χώρα σύστασης σχετικά με την εστίαση της οικονομικής πολιτικής που σχετίζεται με τις επενδύσεις στην καινοτομία (ειδική ανά χώρα σύσταση 3 2019) και της ειδικής ανά χώρα σύστασης 3 2020 (Εστίαση των επενδύσεων στην πράσινη και την ψηφιακή μετάβαση). Η συνιστώσα συμβάλλει στην εφαρμογή της ειδικής ανά χώρα σύστασης σχετικά με την εφαρμογή των προσωρινών μέτρων που αποσκοπούν στη διασφάλιση της πρόσβασης σε ρευστότητα για τις επιχειρήσεις, ιδίως τις μικρές και μεσαίες επιχειρήσεις, και στην προώθηση των ιδιωτικών επενδύσεων για την προώθηση της οικονομικής ανάκαμψης (ειδική ανά χώρα σύσταση 3 2020). </w:t>
      </w:r>
    </w:p>
    <w:p w14:paraId="664ADF2C" w14:textId="511AE2E5" w:rsidR="00154AD2" w:rsidRDefault="007F6BF3">
      <w:pPr>
        <w:pStyle w:val="P68B1DB1-Normal4"/>
        <w:jc w:val="both"/>
        <w:rPr>
          <w:rFonts w:eastAsiaTheme="minorEastAsia" w:cs="Times New Roman"/>
          <w:noProof/>
        </w:rPr>
      </w:pPr>
      <w:r>
        <w:rPr>
          <w:noProof/>
        </w:rPr>
        <w:t>Αναμένεται ότι κανένα μέτρο στη συνιστώσα αυτή δεν βλάπτει σημαντικά τους περιβαλλοντικούς στόχους κατά την έννοια του άρθρου 17 του κανονισμού (ΕΕ) 2020/852, λαμβανομένης υπόψη της περιγραφής των μέτρων και των μέτρων μετριασμού που ορίζονται στο σχέδιο σύμφωνα με την τεχνική καθοδήγηση σχετικά με την αρχή της μη πρόκλησης σημαντικής βλάβης (2021/C58/01).</w:t>
      </w:r>
    </w:p>
    <w:p w14:paraId="61608694"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4F17D5AC" w14:textId="77777777" w:rsidR="00154AD2" w:rsidRDefault="007F6BF3">
      <w:pPr>
        <w:pStyle w:val="P68B1DB1-Normal3"/>
        <w:keepNext/>
        <w:spacing w:before="40" w:after="0" w:line="259" w:lineRule="auto"/>
        <w:ind w:left="130" w:firstLine="720"/>
        <w:jc w:val="both"/>
        <w:outlineLvl w:val="2"/>
        <w:rPr>
          <w:rFonts w:eastAsiaTheme="minorEastAsia" w:cs="Times New Roman"/>
          <w:noProof/>
        </w:rPr>
      </w:pPr>
      <w:r>
        <w:rPr>
          <w:noProof/>
        </w:rPr>
        <w:t>Ε.1. Περιγραφή των μεταρρυθμίσεων και των επενδύσεων που είναι επιλέξιμες για λήψη μη επιστρεπτέας χρηματοδοτικής στήριξης</w:t>
      </w:r>
    </w:p>
    <w:p w14:paraId="606D15A1"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Μεταρρύθμιση RE-r09: Προώθηση της Ε &amp; Ι &amp; Α και των καινοτόμων επενδύσεων σε επιχειρήσεις</w:t>
      </w:r>
    </w:p>
    <w:p w14:paraId="53E39BC7" w14:textId="77777777" w:rsidR="00154AD2" w:rsidRDefault="007F6BF3">
      <w:pPr>
        <w:pStyle w:val="P68B1DB1-Normal4"/>
        <w:keepNext/>
        <w:spacing w:before="40" w:after="0" w:line="259" w:lineRule="auto"/>
        <w:jc w:val="both"/>
        <w:rPr>
          <w:rFonts w:eastAsiaTheme="minorEastAsia" w:cs="Times New Roman"/>
          <w:noProof/>
        </w:rPr>
      </w:pPr>
      <w:r>
        <w:rPr>
          <w:noProof/>
        </w:rPr>
        <w:t>Στόχος της μεταρρύθμισης είναι η προώθηση των επενδύσεων στην Ε &amp; Α, ιδίως με την εξασφάλιση ευνοϊκών συνθηκών πλαισίου ώστε οι δημόσιες και ιδιωτικές επενδύσεις στην Ε &amp; Α να καταστούν αποδοτικότερες και αποτελεσματικότερες. Η μεταρρύθμιση αποτελεί μέρος της επικαιροποίησης της στρατηγικής για την τεχνολογική και επιχειρηματική καινοτομία 2018-2030. Η επικαιροποίηση αυτή αποσκοπεί στη διευκόλυνση της χρηματοδότησης και της θέσης σε λειτουργία συμπράξεων δημόσιου και ιδιωτικού τομέα για τη στήριξη φιλόδοξων θεματολογίων έρευνας και καινοτομίας. Η μεταρρύθμιση αποσκοπεί στην απλούστευση της πρόσβασης σε χρηματοδοτικά μέσα για δραστηριότητες Ε &amp; Α και στην ενίσχυση της προβλεψιμότητας και της σταθερότητας της χρηματοδότησης με τη θέσπιση πολυετούς πλαισίου προγραμματισμού για τις δημόσιες επενδύσεις Ε &amp; Α, με την υποστήριξη ενός ανεξάρτητου συστήματος παρακολούθησης των επενδύσεων Ε &amp; Α. Οι επενδύσεις που πρέπει να υλοποιηθούν σε σχέση με την εν λόγω μεταρρύθμιση είναι οι RE-C05-i01.01 και RE-C05-i01.02.</w:t>
      </w:r>
    </w:p>
    <w:p w14:paraId="5DDBF669" w14:textId="77777777" w:rsidR="00154AD2" w:rsidRDefault="007F6BF3">
      <w:pPr>
        <w:pStyle w:val="P68B1DB1-Normal4"/>
        <w:keepNext/>
        <w:spacing w:before="40" w:after="0" w:line="259" w:lineRule="auto"/>
        <w:jc w:val="both"/>
        <w:rPr>
          <w:rFonts w:eastAsiaTheme="minorEastAsia" w:cs="Times New Roman"/>
          <w:noProof/>
        </w:rPr>
      </w:pPr>
      <w:r>
        <w:rPr>
          <w:noProof/>
        </w:rPr>
        <w:t>Η εφαρμογή της μεταρρύθμισης ολοκληρώνεται έως τις 31 Δεκεμβρίου 2021.</w:t>
      </w:r>
    </w:p>
    <w:p w14:paraId="5A89012B"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Μεταρρύθμιση RE-r11: Επέκταση και ενοποίηση του δικτύου των οργανισμών διεπαφής.</w:t>
      </w:r>
    </w:p>
    <w:p w14:paraId="54FEC575"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 Στόχος της μεταρρύθμισης είναι η βελτίωση των δεσμών μεταξύ ακαδημαϊκής και επιχειρηματικής κοινότητας προκειμένου να ενισχυθούν οι ροές γνώσης και η μεταφορά τεχνολογίας.</w:t>
      </w:r>
    </w:p>
    <w:p w14:paraId="4CE9F67D"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μεταρρύθμιση συνίσταται στην αναθεώρηση και τυποποίηση του νομοθετικού και κανονιστικού πλαισίου του συστήματος τεχνολογικής διεπαφής, ιδίως των τεχνολογικών κέντρων και των κέντρων INTERFACE που δημιουργήθηκαν στο πλαίσιο του προγράμματος INTERFACE. Τα τεχνολογικά κέντρα και τα κέντρα INTERFACE συνδέουν ερευνητικούς οργανισμούς (συμπεριλαμβανομένων των ιδρυμάτων τριτοβάθμιας εκπαίδευσης) και εταιρείες, με σκοπό την υποστήριξη της μεταφοράς γνώσης και τεχνολογίας. Η μεταρρύθμιση καθορίζει τη διαδικασία για τη σύσταση των εν λόγω οντοτήτων και το μοντέλο διακυβέρνησης και χρηματοδότησής τους. </w:t>
      </w:r>
    </w:p>
    <w:p w14:paraId="46A20335"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ομάδα εργασίας για τη διευκόλυνση των τεχνολογικών υποδομών που συστάθηκε από την κυβέρνηση είναι υπεύθυνη για την προετοιμασία της νομοθετικής πρότασης. </w:t>
      </w:r>
    </w:p>
    <w:p w14:paraId="5061F460"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Οι επενδύσεις που πρέπει να υλοποιηθούν σε σχέση με την εν λόγω μεταρρύθμιση είναι οι RE-C05-i01.01 και RE-C05-i01.02. </w:t>
      </w:r>
    </w:p>
    <w:p w14:paraId="58E8E4D5" w14:textId="77777777" w:rsidR="00154AD2" w:rsidRDefault="007F6BF3">
      <w:pPr>
        <w:pStyle w:val="P68B1DB1-Normal4"/>
        <w:keepNext/>
        <w:spacing w:before="40" w:after="0" w:line="259" w:lineRule="auto"/>
        <w:jc w:val="both"/>
        <w:rPr>
          <w:rFonts w:eastAsiaTheme="minorEastAsia"/>
          <w:noProof/>
        </w:rPr>
      </w:pPr>
      <w:r>
        <w:rPr>
          <w:noProof/>
        </w:rPr>
        <w:t xml:space="preserve">Η εφαρμογή της μεταρρύθμισης ολοκληρώνεται έως τις 31 Δεκεμβρίου 2021. </w:t>
      </w:r>
    </w:p>
    <w:p w14:paraId="799FB709"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Μεταρρύθμιση RE-r12: Θεματολόγιο έρευνας και καινοτομίας για βιώσιμη γεωργία, τρόφιμα και γεωργική βιομηχανία.</w:t>
      </w:r>
    </w:p>
    <w:p w14:paraId="7F3DD78A"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Στόχος της μεταρρύθμισης είναι η ενίσχυση του γεωργικού τομέα στην Πορτογαλία και η διασφάλιση της επισιτιστικής και διατροφικής ασφάλειας, η συμβολή στην υγεία και την ευημερία, η βελτίωση της διαχείρισης των αγροτικών περιοχών, η περαιτέρω διατήρηση της βιοποικιλότητας, η αντιμετώπιση των επιπτώσεων της κλιματικής αλλαγής, με τις αναγκαίες προσαρμογές και συνεισφορές για τον μετριασμό των επιπτώσεών της και την ενίσχυση άλλων οικονομικών δραστηριοτήτων, όπως, μεταξύ άλλων, οι γεωργικές υπηρεσίες, ακόμη και η εστίαση και ο τουρισμός. </w:t>
      </w:r>
    </w:p>
    <w:p w14:paraId="0282D255" w14:textId="77777777" w:rsidR="00154AD2" w:rsidRDefault="007F6BF3">
      <w:pPr>
        <w:pStyle w:val="P68B1DB1-Normal4"/>
        <w:keepNext/>
        <w:spacing w:before="40" w:after="0" w:line="259" w:lineRule="auto"/>
        <w:jc w:val="both"/>
        <w:rPr>
          <w:rFonts w:eastAsiaTheme="minorEastAsia" w:cs="Times New Roman"/>
          <w:noProof/>
        </w:rPr>
      </w:pPr>
      <w:r>
        <w:rPr>
          <w:noProof/>
        </w:rPr>
        <w:t>Η μεταρρύθμιση στηρίζει την εφαρμογή του θεματολογίου καινοτομίας για τη γεωργία 20 | 30. Συνίσταται στην παροχή των αναγκαίων μέσων για την επικαιροποίηση και την προετοιμασία των υφιστάμενων υποδομών, καθώς και στην προώθηση λειτουργικών συμμαχιών κατά μήκος της αγροδιατροφικής αλυσίδας, των επιχειρήσεων και της έρευνας, προκειμένου να προωθηθεί η ανάπτυξη και η ολοκλήρωση της Ε &amp; Ι με στόχο τις ανάγκες του γεωργικού τομέα με σκοπό την πράσινη και την ψηφιακή μετάβαση.</w:t>
      </w:r>
    </w:p>
    <w:p w14:paraId="6FCBAA78" w14:textId="72B74A7B" w:rsidR="00154AD2" w:rsidRDefault="007F6BF3">
      <w:pPr>
        <w:pStyle w:val="P68B1DB1-Normal4"/>
        <w:keepNext/>
        <w:spacing w:before="40" w:after="0" w:line="259" w:lineRule="auto"/>
        <w:jc w:val="both"/>
        <w:rPr>
          <w:rFonts w:eastAsiaTheme="minorEastAsia" w:cs="Times New Roman"/>
          <w:noProof/>
        </w:rPr>
      </w:pPr>
      <w:r>
        <w:rPr>
          <w:noProof/>
        </w:rPr>
        <w:t xml:space="preserve">Η εφαρμογή της μεταρρύθμισης επρόκειτο να ολοκληρωθεί έως τις 31 Δεκεμβρίου 2020. </w:t>
      </w:r>
    </w:p>
    <w:p w14:paraId="7CB132E9" w14:textId="34FB19F1" w:rsidR="00154AD2" w:rsidRDefault="00154AD2">
      <w:pPr>
        <w:keepNext/>
        <w:spacing w:before="40" w:after="0" w:line="259" w:lineRule="auto"/>
        <w:jc w:val="both"/>
        <w:rPr>
          <w:rFonts w:ascii="Times New Roman" w:eastAsiaTheme="minorEastAsia" w:hAnsi="Times New Roman" w:cs="Times New Roman"/>
          <w:noProof/>
          <w:sz w:val="24"/>
        </w:rPr>
      </w:pPr>
    </w:p>
    <w:p w14:paraId="201F11C9" w14:textId="62FA20B0" w:rsidR="00154AD2" w:rsidRDefault="00154AD2">
      <w:pPr>
        <w:keepNext/>
        <w:spacing w:before="40" w:after="0" w:line="259" w:lineRule="auto"/>
        <w:jc w:val="both"/>
        <w:rPr>
          <w:rFonts w:ascii="Times New Roman" w:eastAsiaTheme="minorEastAsia" w:hAnsi="Times New Roman" w:cs="Times New Roman"/>
          <w:noProof/>
          <w:sz w:val="24"/>
        </w:rPr>
      </w:pPr>
    </w:p>
    <w:p w14:paraId="30C4E385" w14:textId="77777777" w:rsidR="00154AD2" w:rsidRDefault="00154AD2">
      <w:pPr>
        <w:keepNext/>
        <w:spacing w:before="40" w:after="0" w:line="259" w:lineRule="auto"/>
        <w:jc w:val="both"/>
        <w:rPr>
          <w:rFonts w:ascii="Times New Roman" w:eastAsiaTheme="minorEastAsia" w:hAnsi="Times New Roman"/>
          <w:noProof/>
          <w:sz w:val="24"/>
        </w:rPr>
      </w:pPr>
    </w:p>
    <w:p w14:paraId="7357A226"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Επένδυση RE-C05-i01.01: Κινητοποίηση θεματολογίων/συμμαχιών για την επιχειρηματική καινοτομία.</w:t>
      </w:r>
    </w:p>
    <w:p w14:paraId="03F47396" w14:textId="77777777" w:rsidR="00154AD2" w:rsidRDefault="007F6BF3">
      <w:pPr>
        <w:pStyle w:val="P68B1DB1-Normal4"/>
        <w:keepNext/>
        <w:spacing w:before="40" w:after="0" w:line="259" w:lineRule="auto"/>
        <w:jc w:val="both"/>
        <w:rPr>
          <w:rFonts w:eastAsiaTheme="minorEastAsia" w:cs="Times New Roman"/>
          <w:noProof/>
        </w:rPr>
      </w:pPr>
      <w:r>
        <w:rPr>
          <w:noProof/>
        </w:rPr>
        <w:t>Στόχος της επένδυσης αυτής είναι η κινητοποίηση και η ενίσχυση των επιστημονικών και τεχνολογικών ικανοτήτων της Πορτογαλίας μέσω της ανάπτυξης φιλόδοξων θεματολογίων έρευνας και καινοτομίας που βασίζονται σε κοινοπραξίες μεταξύ επιχειρήσεων και πανεπιστημίων.</w:t>
      </w:r>
    </w:p>
    <w:p w14:paraId="5402E4A2" w14:textId="39C43DF0" w:rsidR="00154AD2" w:rsidRDefault="007F6BF3">
      <w:pPr>
        <w:pStyle w:val="P68B1DB1-Normal4"/>
        <w:keepNext/>
        <w:spacing w:before="40" w:after="0" w:line="259" w:lineRule="auto"/>
        <w:jc w:val="both"/>
        <w:rPr>
          <w:rFonts w:eastAsiaTheme="minorEastAsia" w:cs="Times New Roman"/>
          <w:noProof/>
        </w:rPr>
      </w:pPr>
      <w:r>
        <w:rPr>
          <w:noProof/>
        </w:rPr>
        <w:t xml:space="preserve">Η επένδυση συνίσταται κυρίως σε επιχορηγήσεις για την υλοποίηση των θεματολογίων κινητοποίησης/συμμαχιών για την επιχειρηματική καινοτομία μέσω δύο συμπληρωματικών μέσων: I) σύμφωνα καινοτομίας που προωθούν τη συνεργασία και οδηγούν στην ανάπτυξη έργων καινοτομίας, και ii) κινητοποίηση έργων που αποσκοπούν στην Ε &amp; Α και τη μετατροπή της σε νέα αγαθά και υπηρεσίες μέσω επενδύσεων. Τα θεματολόγια κινητοποίησης επιλέγονται μέσω ανοικτών ανταγωνιστικών προσκλήσεων υποβολής στρατηγικών σχεδίων από κοινοπραξίες επιχειρήσεων και ακαδημαϊκών, επιστημονικών ή/και τεχνολογικών ιδρυμάτων. Η επένδυση αυτή βασίζεται στο στρατηγικό πλαίσιο που θα υλοποιηθεί στο πλαίσιο του RE-r09 και ενισχύει τον ρόλο των οργανισμών διεπαφής και την εδραίωση του εν λόγω δικτύου. </w:t>
      </w:r>
    </w:p>
    <w:p w14:paraId="0E09FBF6" w14:textId="77777777" w:rsidR="00154AD2" w:rsidRDefault="007F6BF3">
      <w:pPr>
        <w:pStyle w:val="P68B1DB1-Normal4"/>
        <w:keepNext/>
        <w:spacing w:before="40" w:after="0" w:line="259" w:lineRule="auto"/>
        <w:jc w:val="both"/>
        <w:rPr>
          <w:rFonts w:eastAsiaTheme="minorEastAsia" w:cs="Times New Roman"/>
          <w:noProof/>
          <w:highlight w:val="green"/>
        </w:rPr>
      </w:pPr>
      <w:r>
        <w:rPr>
          <w:noProof/>
        </w:rPr>
        <w:t>Προκειμένου να διασφαλιστεί ότι το μέτρο είναι σύμφωνο με την τεχνική καθοδήγηση σχετικά με την εφαρμογή της αρχής της «μη πρόκλησης σημαντικής βλάβης» (2021/C58/01), τα κριτήρια επιλεξιμότητας που περιλαμβάνονται σε όρους αναφοράς για επικείμενες προσκλήσεις υποβολής έργων αποκλείουν τον ακόλουθο κατάλογο δραστηριοτήτων: I) δραστηριότητες που σχετίζονται με ορυκτά καύσιμα, συμπεριλαμβανομένης της μεταγενέστερης χρήσης</w:t>
      </w:r>
      <w:r>
        <w:rPr>
          <w:noProof/>
        </w:rPr>
        <w:footnoteReference w:id="11"/>
      </w:r>
      <w:r>
        <w:rPr>
          <w:noProof/>
        </w:rPr>
        <w:t>· II) δραστηριότητες στο πλαίσιο του συστήματος εμπορίας δικαιωμάτων εκπομπής (ΣΕΔΕ) της ΕΕ που επιτυγχάνουν προβλεπόμενες εκπομπές αερίων του θερμοκηπίου που δεν είναι χαμηλότερες από τους σχετικούς δείκτες αναφοράς</w:t>
      </w:r>
      <w:r>
        <w:rPr>
          <w:noProof/>
        </w:rPr>
        <w:footnoteReference w:id="12"/>
      </w:r>
      <w:r>
        <w:rPr>
          <w:noProof/>
        </w:rPr>
        <w:t>· III) δραστηριότητες που σχετίζονται με χώρους υγειονομικής ταφής αποβλήτων, αποτεφρωτήρες</w:t>
      </w:r>
      <w:r>
        <w:rPr>
          <w:noProof/>
        </w:rPr>
        <w:footnoteReference w:id="13"/>
      </w:r>
      <w:r>
        <w:rPr>
          <w:noProof/>
        </w:rPr>
        <w:t xml:space="preserve"> και μονάδες μηχανικής βιολογικής επεξεργασίας</w:t>
      </w:r>
      <w:r>
        <w:rPr>
          <w:noProof/>
        </w:rPr>
        <w:footnoteReference w:id="14"/>
      </w:r>
      <w:r>
        <w:rPr>
          <w:noProof/>
        </w:rPr>
        <w:t>· και iv) δραστηριότητες στις οποίες η μακροπρόθεσμη διάθεση αποβλήτων μπορεί να βλάψει το περιβάλλον. Οι όροι εντολής απαιτούν επιπλέον να επιλέγονται μόνο οι δραστηριότητες που συμμορφώνονται με τη σχετική ενωσιακή και εθνική περιβαλλοντική νομοθεσία.</w:t>
      </w:r>
    </w:p>
    <w:p w14:paraId="5C52E9CB" w14:textId="77777777" w:rsidR="00154AD2" w:rsidRDefault="007F6BF3">
      <w:pPr>
        <w:pStyle w:val="P68B1DB1-Normal4"/>
        <w:keepNext/>
        <w:spacing w:before="40" w:after="0" w:line="259" w:lineRule="auto"/>
        <w:jc w:val="both"/>
        <w:rPr>
          <w:rFonts w:eastAsiaTheme="minorEastAsia" w:cs="Times New Roman"/>
          <w:noProof/>
        </w:rPr>
      </w:pPr>
      <w:r>
        <w:rPr>
          <w:noProof/>
        </w:rPr>
        <w:t>Η υλοποίηση της επένδυσης θα ολοκληρωθεί έως τις 31 Δεκεμβρίου 2025.</w:t>
      </w:r>
    </w:p>
    <w:p w14:paraId="73E004CF"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Επένδυση RE-C05-i01.02: Πράσινα θεματολόγια/Συμμαχίες για την επιχειρηματική καινοτομία</w:t>
      </w:r>
    </w:p>
    <w:p w14:paraId="742560E6" w14:textId="52E527EF" w:rsidR="00154AD2" w:rsidRDefault="007F6BF3">
      <w:pPr>
        <w:pStyle w:val="P68B1DB1-Normal4"/>
        <w:keepNext/>
        <w:spacing w:before="40" w:after="0" w:line="259" w:lineRule="auto"/>
        <w:jc w:val="both"/>
        <w:rPr>
          <w:rFonts w:eastAsiaTheme="minorEastAsia" w:cs="Times New Roman"/>
          <w:noProof/>
        </w:rPr>
      </w:pPr>
      <w:r>
        <w:rPr>
          <w:noProof/>
        </w:rPr>
        <w:t xml:space="preserve">Στόχος αυτής της επένδυσης είναι η εφαρμογή των ίδιων μέσων με εκείνα της RE-C05-i01.01, ωστόσο, εξειδικευμένων σε περιορισμένο σύνολο πράσινων θεματολογίων μέσω κοινοπραξιών μεταξύ επιχειρήσεων και ακαδημαϊκών, επιστημονικών και/ή τεχνολογικών ιδρυμάτων για τη στήριξη της καινοτομίας (με έμφαση στην πράσινη μετάβαση, πεδίο 022 του παραρτήματος του κανονισμού για τον μηχανισμό ανάκαμψης και ανθεκτικότητας). </w:t>
      </w:r>
    </w:p>
    <w:p w14:paraId="59034061" w14:textId="2902A5C2" w:rsidR="00154AD2" w:rsidRDefault="007F6BF3">
      <w:pPr>
        <w:pStyle w:val="P68B1DB1-Normal4"/>
        <w:keepNext/>
        <w:spacing w:before="40" w:after="0" w:line="259" w:lineRule="auto"/>
        <w:jc w:val="both"/>
        <w:rPr>
          <w:rFonts w:eastAsiaTheme="minorEastAsia" w:cs="Times New Roman"/>
          <w:noProof/>
          <w:highlight w:val="green"/>
        </w:rPr>
      </w:pPr>
      <w:r>
        <w:rPr>
          <w:noProof/>
        </w:rPr>
        <w:t>Προκειμένου να διασφαλιστεί ότι το μέτρο είναι σύμφωνο με την τεχνική καθοδήγηση σχετικά με την εφαρμογή της αρχής της «μη πρόκλησης σημαντικής βλάβης» (2021/C58/01), τα κριτήρια επιλεξιμότητας που περιλαμβάνονται σε όρους αναφοράς για επικείμενες προσκλήσεις υποβολής έργων αποκλείουν τον ακόλουθο κατάλογο δραστηριοτήτων: I) δραστηριότητες που σχετίζονται με ορυκτά καύσιμα, συμπεριλαμβανομένης της μεταγενέστερης χρήσης</w:t>
      </w:r>
      <w:r>
        <w:rPr>
          <w:noProof/>
        </w:rPr>
        <w:footnoteReference w:id="15"/>
      </w:r>
      <w:r>
        <w:rPr>
          <w:noProof/>
        </w:rPr>
        <w:t>· II) δραστηριότητες στο πλαίσιο του συστήματος εμπορίας δικαιωμάτων εκπομπής (ΣΕΔΕ) της ΕΕ που επιτυγχάνουν προβλεπόμενες εκπομπές αερίων του θερμοκηπίου που δεν είναι χαμηλότερες από τους σχετικούς δείκτες αναφοράς</w:t>
      </w:r>
      <w:r>
        <w:rPr>
          <w:noProof/>
        </w:rPr>
        <w:footnoteReference w:id="16"/>
      </w:r>
      <w:r>
        <w:rPr>
          <w:noProof/>
        </w:rPr>
        <w:t>· III) δραστηριότητες που σχετίζονται με χώρους υγειονομικής ταφής αποβλήτων, αποτεφρωτήρες</w:t>
      </w:r>
      <w:r>
        <w:rPr>
          <w:noProof/>
        </w:rPr>
        <w:footnoteReference w:id="17"/>
      </w:r>
      <w:r>
        <w:rPr>
          <w:noProof/>
        </w:rPr>
        <w:t xml:space="preserve"> και μονάδες μηχανικής βιολογικής επεξεργασίας</w:t>
      </w:r>
      <w:r>
        <w:rPr>
          <w:noProof/>
        </w:rPr>
        <w:footnoteReference w:id="18"/>
      </w:r>
      <w:r>
        <w:rPr>
          <w:noProof/>
        </w:rPr>
        <w:t>· και iv) δραστηριότητες στις οποίες η μακροπρόθεσμη διάθεση αποβλήτων μπορεί να βλάψει το περιβάλλον. Οι όροι εντολής απαιτούν επιπλέον να επιλέγονται μόνο οι δραστηριότητες που συμμορφώνονται με τη σχετική ενωσιακή και εθνική περιβαλλοντική νομοθεσία.</w:t>
      </w:r>
    </w:p>
    <w:p w14:paraId="484ECBF2" w14:textId="77777777" w:rsidR="00154AD2" w:rsidRDefault="007F6BF3">
      <w:pPr>
        <w:pStyle w:val="P68B1DB1-Normal4"/>
        <w:keepNext/>
        <w:spacing w:before="40" w:after="0" w:line="259" w:lineRule="auto"/>
        <w:jc w:val="both"/>
        <w:rPr>
          <w:rFonts w:eastAsiaTheme="minorEastAsia"/>
          <w:noProof/>
        </w:rPr>
      </w:pPr>
      <w:r>
        <w:rPr>
          <w:noProof/>
        </w:rPr>
        <w:t xml:space="preserve">Η υλοποίηση της επένδυσης θα ολοκληρωθεί έως τις 31 Δεκεμβρίου 2025. </w:t>
      </w:r>
    </w:p>
    <w:p w14:paraId="11F2ED51"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Επένδυση RE-C05-i02: Αποστολή διεπαφής — ανανέωση του δικτύου επιστημονικής και τεχνολογικής υποστήριξης και καθοδήγηση για τον παραγωγικό ιστό</w:t>
      </w:r>
    </w:p>
    <w:p w14:paraId="2F86ED35" w14:textId="34E07F85" w:rsidR="00154AD2" w:rsidRDefault="007F6BF3">
      <w:pPr>
        <w:pStyle w:val="P68B1DB1-Normal4"/>
        <w:keepNext/>
        <w:spacing w:before="40" w:after="0" w:line="259" w:lineRule="auto"/>
        <w:jc w:val="both"/>
        <w:rPr>
          <w:rFonts w:eastAsiaTheme="minorEastAsia" w:cs="Times New Roman"/>
          <w:noProof/>
        </w:rPr>
      </w:pPr>
      <w:r>
        <w:rPr>
          <w:noProof/>
        </w:rPr>
        <w:t>Στόχος της επένδυσης είναι η ενίσχυση και η ενδυνάμωση του εθνικού επιστημονικού και τεχνολογικού συστήματος και η βελτίωση των δεσμών μεταξύ της ακαδημαϊκής κοινότητας των επιχειρήσεων, ώστε να διασφαλιστεί η αποτελεσματική μεταφορά τεχνολογίας και η μετουσίωση των αποτελεσμάτων της έρευνας στην καινοτομία. Η επένδυση συνίσταται στην εδραίωση του νέου μοντέλου χρηματοδότησης των κέντρων του συστήματος τεχνολογικής διεπαφής και των συνεργατικών εργαστηρίων CoLAB, ιδιωτικών μη κερδοσκοπικών ενώσεων ή επιχειρήσεων που αποσκοπούν στη δημιουργία εξειδικευμένων θέσεων απασχόλησης, άμεσα ή έμμεσα, μέσω της υλοποίησης θεματολογίων έρευνας και καινοτομίας με βάση τη δομή του 1/3 της βασικής χρηματοδότησης, του 1/3 της ανταγωνιστικής χρηματοδότησης και του 1/3 της χρηματοδότησης από την αγορά, εξασφαλίζοντας βασική χρηματοδότηση ύψους 186 εκατ. EUR για την</w:t>
      </w:r>
      <w:r>
        <w:rPr>
          <w:i/>
          <w:noProof/>
        </w:rPr>
        <w:t xml:space="preserve"> αποστολή διασύνδεσης</w:t>
      </w:r>
      <w:r>
        <w:rPr>
          <w:noProof/>
        </w:rPr>
        <w:t xml:space="preserve">. Η επένδυση συνίσταται στην προσέγγιση 500 επιχειρήσεων που θα επωφεληθούν από το παρόν καθεστώς και στις υπηρεσίες που παρέχονται από τις οντότητες INTERFACE. Η συνδυασμένη δράση της μεταρρύθμισης RE-r11 και της επενδυτικής RE-C05-i02 αναμένεται να επιτύχει τους προαναφερθέντες στόχους. </w:t>
      </w:r>
    </w:p>
    <w:p w14:paraId="6646C73E" w14:textId="77777777" w:rsidR="00154AD2" w:rsidRDefault="007F6BF3">
      <w:pPr>
        <w:pStyle w:val="P68B1DB1-Normal4"/>
        <w:keepNext/>
        <w:spacing w:before="40" w:after="0" w:line="259" w:lineRule="auto"/>
        <w:jc w:val="both"/>
        <w:rPr>
          <w:rFonts w:eastAsiaTheme="minorEastAsia" w:cs="Times New Roman"/>
          <w:noProof/>
          <w:highlight w:val="green"/>
        </w:rPr>
      </w:pPr>
      <w:r>
        <w:rPr>
          <w:noProof/>
        </w:rPr>
        <w:t>Προκειμένου να διασφαλιστεί ότι το μέτρο είναι σύμφωνο με την τεχνική καθοδήγηση σχετικά με την εφαρμογή της αρχής της «μη πρόκλησης σημαντικής βλάβης» (2021/C58/01), τα κριτήρια επιλεξιμότητας που περιλαμβάνονται σε όρους αναφοράς για επικείμενες προσκλήσεις υποβολής έργων αποκλείουν τον ακόλουθο κατάλογο δραστηριοτήτων: I) δραστηριότητες που σχετίζονται με ορυκτά καύσιμα, συμπεριλαμβανομένης της μεταγενέστερης χρήσης</w:t>
      </w:r>
      <w:r>
        <w:rPr>
          <w:noProof/>
        </w:rPr>
        <w:footnoteReference w:id="19"/>
      </w:r>
      <w:r>
        <w:rPr>
          <w:noProof/>
        </w:rPr>
        <w:t>· II) δραστηριότητες στο πλαίσιο του συστήματος εμπορίας δικαιωμάτων εκπομπής (ΣΕΔΕ) της ΕΕ που επιτυγχάνουν προβλεπόμενες εκπομπές αερίων του θερμοκηπίου που δεν είναι χαμηλότερες από τους σχετικούς δείκτες αναφοράς</w:t>
      </w:r>
      <w:r>
        <w:rPr>
          <w:noProof/>
        </w:rPr>
        <w:footnoteReference w:id="20"/>
      </w:r>
      <w:r>
        <w:rPr>
          <w:noProof/>
        </w:rPr>
        <w:t>· III) δραστηριότητες που σχετίζονται με χώρους υγειονομικής ταφής αποβλήτων, αποτεφρωτήρες</w:t>
      </w:r>
      <w:r>
        <w:rPr>
          <w:noProof/>
        </w:rPr>
        <w:footnoteReference w:id="21"/>
      </w:r>
      <w:r>
        <w:rPr>
          <w:noProof/>
        </w:rPr>
        <w:t xml:space="preserve"> και μονάδες μηχανικής βιολογικής επεξεργασίας</w:t>
      </w:r>
      <w:r>
        <w:rPr>
          <w:noProof/>
        </w:rPr>
        <w:footnoteReference w:id="22"/>
      </w:r>
      <w:r>
        <w:rPr>
          <w:noProof/>
        </w:rPr>
        <w:t>· και iv) δραστηριότητες στις οποίες η μακροπρόθεσμη διάθεση αποβλήτων μπορεί να βλάψει το περιβάλλον. Οι όροι εντολής απαιτούν επιπλέον να επιλέγονται μόνο οι δραστηριότητες που συμμορφώνονται με τη σχετική ενωσιακή και εθνική περιβαλλοντική νομοθεσία.</w:t>
      </w:r>
    </w:p>
    <w:p w14:paraId="5B04203E" w14:textId="77777777" w:rsidR="00154AD2" w:rsidRDefault="007F6BF3">
      <w:pPr>
        <w:pStyle w:val="P68B1DB1-Normal4"/>
        <w:keepNext/>
        <w:spacing w:before="40" w:after="0" w:line="259" w:lineRule="auto"/>
        <w:jc w:val="both"/>
        <w:rPr>
          <w:rFonts w:eastAsiaTheme="minorEastAsia" w:cs="Times New Roman"/>
          <w:noProof/>
        </w:rPr>
      </w:pPr>
      <w:r>
        <w:rPr>
          <w:noProof/>
        </w:rPr>
        <w:t>Η υλοποίηση της επένδυσης θα ολοκληρωθεί έως τις 31 Δεκεμβρίου 2025.</w:t>
      </w:r>
    </w:p>
    <w:p w14:paraId="4855D333"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Επένδυση RE-C05-i03: Θεματολόγιο έρευνας και καινοτομίας για βιώσιμη γεωργία, τρόφιμα και γεωργική βιομηχανία [Θεματολόγιο καινοτομίας για τη γεωργία 20 30].</w:t>
      </w:r>
    </w:p>
    <w:p w14:paraId="1F941BDA"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Στόχος αυτής της επένδυσης είναι η τόνωση της έρευνας και της καινοτομίας για την επίτευξη μιας πιο βιώσιμης γεωργίας. </w:t>
      </w:r>
    </w:p>
    <w:p w14:paraId="0FFD493F" w14:textId="49252C87" w:rsidR="00154AD2" w:rsidRDefault="007F6BF3">
      <w:pPr>
        <w:pStyle w:val="P68B1DB1-Normal4"/>
        <w:keepNext/>
        <w:spacing w:before="40" w:after="0" w:line="259" w:lineRule="auto"/>
        <w:jc w:val="both"/>
        <w:rPr>
          <w:rFonts w:eastAsiaTheme="minorEastAsia" w:cs="Times New Roman"/>
          <w:noProof/>
        </w:rPr>
      </w:pPr>
      <w:r>
        <w:rPr>
          <w:noProof/>
        </w:rPr>
        <w:t xml:space="preserve">Η επένδυση συνίσταται σε επιχορηγήσεις για δημόσιους και ιδιωτικούς φορείς για τη στήριξη του θεματολογίου καινοτομίας για τη γεωργία 20 | 30. Το θεματολόγιο διαρθρώνεται σε 15 εμβληματικές πρωτοβουλίες που στηρίζουν έργα Ε &amp; Α και καινοτομίας και σε 5 έργα διάρθρωσης της καινοτομίας που επικεντρώνονται στην ψηφιοποίηση. Τα εν λόγω έργα έρευνας και καινοτομίας ανταποκρίνονται στις ανάγκες που προσδιορίζονται στο στρατηγικό σχέδιο της Πορτογαλίας για την κοινή γεωργική πολιτική. Οι διάφορες πρωτοβουλίες περιλαμβάνουν δράσεις για την κυκλική βιοοικονομία και τη γεωργία ακριβείας. Κατά την επιλογή των έργων λαμβάνονται υπόψη διαφορετικά συστήματα και τομείς παραγωγής. Αναμένεται ότι θα υποστηριχθούν 100 έργα έρευνας και καινοτομίας. Επιπλέον, η επένδυση περιλαμβάνει την ανάκαμψη και την αναβάθμιση των επιστημονικών εγκαταστάσεων και του εξοπλισμού 24 πειραματικών εκμεταλλεύσεων και εργαστηρίων (κόμβοι καινοτομίας). </w:t>
      </w:r>
    </w:p>
    <w:p w14:paraId="02EFC191" w14:textId="727A1287" w:rsidR="00154AD2" w:rsidRDefault="007F6BF3">
      <w:pPr>
        <w:pStyle w:val="P68B1DB1-Normal4"/>
        <w:keepNext/>
        <w:spacing w:before="40" w:after="0" w:line="259" w:lineRule="auto"/>
        <w:jc w:val="both"/>
        <w:rPr>
          <w:rFonts w:eastAsiaTheme="minorEastAsia" w:cs="Times New Roman"/>
          <w:noProof/>
          <w:highlight w:val="green"/>
        </w:rPr>
      </w:pPr>
      <w:r>
        <w:rPr>
          <w:noProof/>
        </w:rPr>
        <w:t>Προκειμένου να διασφαλιστεί ότι το μέτρο είναι σύμφωνο με την τεχνική καθοδήγηση σχετικά με την εφαρμογή της αρχής της «μη πρόκλησης σημαντικής βλάβης» (2021/C58/01), τα κριτήρια επιλεξιμότητας που περιλαμβάνονται σε όρους αναφοράς για επικείμενες προσκλήσεις υποβολής έργων αποκλείουν τον ακόλουθο κατάλογο δραστηριοτήτων: I) δραστηριότητες που σχετίζονται με ορυκτά καύσιμα, συμπεριλαμβανομένης της μεταγενέστερης χρήσης</w:t>
      </w:r>
      <w:r>
        <w:rPr>
          <w:noProof/>
        </w:rPr>
        <w:footnoteReference w:id="23"/>
      </w:r>
      <w:r>
        <w:rPr>
          <w:noProof/>
        </w:rPr>
        <w:t>· II) δραστηριότητες στο πλαίσιο του συστήματος εμπορίας δικαιωμάτων εκπομπής (ΣΕΔΕ) της ΕΕ που επιτυγχάνουν προβλεπόμενες εκπομπές αερίων του θερμοκηπίου που δεν είναι χαμηλότερες από τους σχετικούς δείκτες αναφοράς</w:t>
      </w:r>
      <w:r>
        <w:rPr>
          <w:noProof/>
        </w:rPr>
        <w:footnoteReference w:id="24"/>
      </w:r>
      <w:r>
        <w:rPr>
          <w:noProof/>
        </w:rPr>
        <w:t>· III) δραστηριότητες που σχετίζονται με χώρους υγειονομικής ταφής αποβλήτων, αποτεφρωτήρες</w:t>
      </w:r>
      <w:r>
        <w:rPr>
          <w:noProof/>
        </w:rPr>
        <w:footnoteReference w:id="25"/>
      </w:r>
      <w:r>
        <w:rPr>
          <w:noProof/>
        </w:rPr>
        <w:t xml:space="preserve"> και μονάδες μηχανικής βιολογικής επεξεργασίας</w:t>
      </w:r>
      <w:r>
        <w:rPr>
          <w:noProof/>
        </w:rPr>
        <w:footnoteReference w:id="26"/>
      </w:r>
      <w:r>
        <w:rPr>
          <w:noProof/>
        </w:rPr>
        <w:t>· και iv) δραστηριότητες στις οποίες η μακροπρόθεσμη διάθεση αποβλήτων μπορεί να βλάψει το περιβάλλον. Οι όροι εντολής απαιτούν επιπλέον να επιλέγονται μόνο οι δραστηριότητες που συμμορφώνονται με τη σχετική ενωσιακή και εθνική περιβαλλοντική νομοθεσία.</w:t>
      </w:r>
    </w:p>
    <w:p w14:paraId="67497350"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υλοποίηση της επένδυσης θα ολοκληρωθεί έως τις 31 Δεκεμβρίου 2025. </w:t>
      </w:r>
    </w:p>
    <w:p w14:paraId="07D9C278" w14:textId="77777777" w:rsidR="00154AD2" w:rsidRDefault="007F6BF3">
      <w:pPr>
        <w:pStyle w:val="P68B1DB1-Normal5"/>
        <w:spacing w:before="240" w:after="0" w:line="259" w:lineRule="auto"/>
        <w:ind w:left="851"/>
        <w:jc w:val="both"/>
        <w:outlineLvl w:val="3"/>
        <w:rPr>
          <w:rFonts w:eastAsiaTheme="minorEastAsia" w:cs="Times New Roman"/>
          <w:noProof/>
        </w:rPr>
      </w:pPr>
      <w:r>
        <w:rPr>
          <w:noProof/>
        </w:rPr>
        <w:t>Επένδυση RE-C05-i04-RAA: Ανακεφαλαιοποίηση του επιχειρηματικού συστήματος των Αζορών</w:t>
      </w:r>
    </w:p>
    <w:p w14:paraId="4806397B" w14:textId="77777777" w:rsidR="00154AD2" w:rsidRDefault="007F6BF3">
      <w:pPr>
        <w:pStyle w:val="P68B1DB1-Normal4"/>
        <w:spacing w:before="40" w:after="0" w:line="259" w:lineRule="auto"/>
        <w:jc w:val="both"/>
        <w:rPr>
          <w:rFonts w:eastAsiaTheme="minorEastAsia" w:cs="Times New Roman"/>
          <w:noProof/>
        </w:rPr>
      </w:pPr>
      <w:r>
        <w:rPr>
          <w:noProof/>
        </w:rPr>
        <w:t>Στόχος του μέτρου είναι η αντιμετώπιση του διαρθρωτικού προβλήματος της υποκεφαλαιοποίησης των επιχειρήσεων στην αυτόνομη περιφέρεια των Αζορών.</w:t>
      </w:r>
    </w:p>
    <w:p w14:paraId="31D7ECE4" w14:textId="0CCCA1E9" w:rsidR="00154AD2" w:rsidRDefault="007F6BF3">
      <w:pPr>
        <w:pStyle w:val="P68B1DB1-Normal4"/>
        <w:spacing w:before="40" w:after="0" w:line="259" w:lineRule="auto"/>
        <w:jc w:val="both"/>
        <w:rPr>
          <w:rFonts w:eastAsiaTheme="minorEastAsia" w:cs="Times New Roman"/>
          <w:noProof/>
        </w:rPr>
      </w:pPr>
      <w:r>
        <w:rPr>
          <w:noProof/>
        </w:rPr>
        <w:t xml:space="preserve">Η επένδυση αυτή συνίσταται στη δημιουργία του φορέα ειδικού σκοπού, ο οποίος στη συνέχεια θα επενδύσει 125 000 000 EUR σε βιώσιμες επιχειρήσεις της Αζόρας κυρίως με τη μορφή μετοχικού κεφαλαίου. Η επένδυση συμπληρώνει τις εθνικές επενδύσεις που αποσκοπούν στην κεφαλαιοποίηση εταιρειών με περιφερειακό κονδύλιο και με ειδικά μέσα που ανταποκρίνονται στις ιδιαιτερότητες της επιχειρηματικής δομής της Αυτόνομης Περιφέρειας. </w:t>
      </w:r>
    </w:p>
    <w:p w14:paraId="43A7AC10" w14:textId="77777777" w:rsidR="00154AD2" w:rsidRDefault="007F6BF3">
      <w:pPr>
        <w:pStyle w:val="P68B1DB1-Normal4"/>
        <w:spacing w:before="40" w:after="0" w:line="259" w:lineRule="auto"/>
        <w:jc w:val="both"/>
        <w:rPr>
          <w:rFonts w:eastAsiaTheme="minorEastAsia" w:cs="Times New Roman"/>
          <w:noProof/>
        </w:rPr>
      </w:pPr>
      <w:r>
        <w:rPr>
          <w:noProof/>
        </w:rPr>
        <w:t xml:space="preserve">Όλα τα έργα εκτελούνται σε πλήρη συμμόρφωση με την τεχνική καθοδήγηση «μη πρόκλησης σημαντικής βλάβης» (2021/C58/01). Επιπλέον, η Πορτογαλία έχει δεσμευτεί ότι το έγγραφο επενδυτικής πολιτικής που αφορά το μέσο των 125 000 000 EUR, το οποίο θα εγκριθεί από την </w:t>
      </w:r>
      <w:r>
        <w:rPr>
          <w:i/>
          <w:noProof/>
        </w:rPr>
        <w:t>Banco Português de Fomento</w:t>
      </w:r>
      <w:r>
        <w:rPr>
          <w:noProof/>
        </w:rPr>
        <w:t xml:space="preserve"> ως διαχειριστικός φορέας του φορέα ειδικού σκοπού, θα περιγράφει λεπτομερώς τα κριτήρια επιλογής/επιλεξιμότητας για τις υποστηριζόμενες εταιρείες, διασφαλίζοντας την τήρηση των κλιματικών και περιβαλλοντικών απαιτήσεων του μηχανισμού ανάκαμψης και ανθεκτικότητας, συμπεριλαμβανομένης της συμμόρφωσης με τις τεχνικές κατευθυντήριες γραμμές σχετικά με την αρχή της μη πρόκλησης σημαντικής βλάβης (2021/C58/01) των υποστηριζόμενων περιουσιακών στοιχείων/δραστηριοτήτων και/ή εταιρειών και προσδιορίζοντας επενδυτικούς στόχους και στοχευμένες αποδόσεις. Για τη συμμόρφωση με την τεχνική καθοδήγηση «μη πρόκλησης σημαντικής βλάβης» (2021/C58/01) των υποστηριζόμενων εταιρειών, η επενδυτική πολιτική απαιτεί: </w:t>
      </w:r>
    </w:p>
    <w:p w14:paraId="1280B55C" w14:textId="77777777" w:rsidR="00154AD2" w:rsidRDefault="007F6BF3">
      <w:pPr>
        <w:pStyle w:val="P68B1DB1-Normal4"/>
        <w:numPr>
          <w:ilvl w:val="0"/>
          <w:numId w:val="57"/>
        </w:numPr>
        <w:spacing w:before="40" w:after="160" w:line="259" w:lineRule="auto"/>
        <w:contextualSpacing/>
        <w:jc w:val="both"/>
        <w:rPr>
          <w:rFonts w:eastAsiaTheme="minorEastAsia" w:cs="Times New Roman"/>
          <w:noProof/>
        </w:rPr>
      </w:pPr>
      <w:r>
        <w:rPr>
          <w:noProof/>
        </w:rPr>
        <w:t xml:space="preserve">τη χρήση ελέγχου βιωσιμότητας, </w:t>
      </w:r>
    </w:p>
    <w:p w14:paraId="6EBA5233" w14:textId="77777777" w:rsidR="00154AD2" w:rsidRDefault="007F6BF3">
      <w:pPr>
        <w:pStyle w:val="P68B1DB1-Normal4"/>
        <w:numPr>
          <w:ilvl w:val="0"/>
          <w:numId w:val="57"/>
        </w:numPr>
        <w:spacing w:before="40" w:after="160" w:line="259" w:lineRule="auto"/>
        <w:contextualSpacing/>
        <w:jc w:val="both"/>
        <w:rPr>
          <w:rFonts w:eastAsiaTheme="minorEastAsia" w:cs="Times New Roman"/>
          <w:noProof/>
        </w:rPr>
      </w:pPr>
      <w:r>
        <w:rPr>
          <w:noProof/>
        </w:rPr>
        <w:t>κατάλογο εξαιρέσεων που περιλαμβάνει τα ακόλουθα στοιχεία:</w:t>
      </w:r>
    </w:p>
    <w:p w14:paraId="7CF06F2D" w14:textId="77777777" w:rsidR="00154AD2" w:rsidRDefault="007F6BF3">
      <w:pPr>
        <w:pStyle w:val="P68B1DB1-Normal4"/>
        <w:numPr>
          <w:ilvl w:val="1"/>
          <w:numId w:val="64"/>
        </w:numPr>
        <w:spacing w:before="40" w:after="160" w:line="259" w:lineRule="auto"/>
        <w:contextualSpacing/>
        <w:jc w:val="both"/>
        <w:rPr>
          <w:rFonts w:eastAsiaTheme="minorEastAsia" w:cs="Times New Roman"/>
          <w:noProof/>
        </w:rPr>
      </w:pPr>
      <w:r>
        <w:rPr>
          <w:noProof/>
        </w:rPr>
        <w:t>Δραστηριότητες που σχετίζονται με τα ορυκτά καύσιμα, συμπεριλαμβανομένης της μεταγενέστερης χρήσης</w:t>
      </w:r>
      <w:r>
        <w:rPr>
          <w:noProof/>
        </w:rPr>
        <w:footnoteReference w:id="27"/>
      </w:r>
      <w:r>
        <w:rPr>
          <w:noProof/>
        </w:rPr>
        <w:t xml:space="preserve">· </w:t>
      </w:r>
    </w:p>
    <w:p w14:paraId="4A89E7FD" w14:textId="77777777" w:rsidR="00154AD2" w:rsidRDefault="007F6BF3">
      <w:pPr>
        <w:pStyle w:val="P68B1DB1-Normal4"/>
        <w:numPr>
          <w:ilvl w:val="1"/>
          <w:numId w:val="64"/>
        </w:numPr>
        <w:spacing w:before="40" w:after="160" w:line="259" w:lineRule="auto"/>
        <w:contextualSpacing/>
        <w:jc w:val="both"/>
        <w:rPr>
          <w:rFonts w:eastAsiaTheme="minorEastAsia" w:cs="Times New Roman"/>
          <w:noProof/>
        </w:rPr>
      </w:pPr>
      <w:r>
        <w:rPr>
          <w:noProof/>
        </w:rPr>
        <w:t>Δραστηριότητες στο πλαίσιο του συστήματος εμπορίας δικαιωμάτων εκπομπών της ΕΕ (ΣΕΔΕ) για την επίτευξη των προβλεπόμενων εκπομπών αερίων θερμοκηπίου που δεν είναι χαμηλότερες από τους σχετικούς δείκτες αναφοράς</w:t>
      </w:r>
      <w:r>
        <w:rPr>
          <w:noProof/>
        </w:rPr>
        <w:footnoteReference w:id="28"/>
      </w:r>
      <w:r>
        <w:rPr>
          <w:noProof/>
        </w:rPr>
        <w:t xml:space="preserve">· </w:t>
      </w:r>
    </w:p>
    <w:p w14:paraId="3363B8AD" w14:textId="77777777" w:rsidR="00154AD2" w:rsidRDefault="007F6BF3">
      <w:pPr>
        <w:pStyle w:val="P68B1DB1-Normal4"/>
        <w:numPr>
          <w:ilvl w:val="1"/>
          <w:numId w:val="64"/>
        </w:numPr>
        <w:spacing w:before="40" w:after="160" w:line="259" w:lineRule="auto"/>
        <w:contextualSpacing/>
        <w:jc w:val="both"/>
        <w:rPr>
          <w:rFonts w:eastAsiaTheme="minorEastAsia" w:cs="Times New Roman"/>
          <w:noProof/>
        </w:rPr>
      </w:pPr>
      <w:r>
        <w:rPr>
          <w:noProof/>
        </w:rPr>
        <w:t>Δραστηριότητες που σχετίζονται με χώρους ιατροφαρμακευτικής ταφής αποβλήτων, αποτεφρωτήρες</w:t>
      </w:r>
      <w:r>
        <w:rPr>
          <w:noProof/>
        </w:rPr>
        <w:footnoteReference w:id="29"/>
      </w:r>
      <w:r>
        <w:rPr>
          <w:noProof/>
        </w:rPr>
        <w:t xml:space="preserve"> και μονάδες μηχανικής βιολογικής επεξεργασίας</w:t>
      </w:r>
      <w:r>
        <w:rPr>
          <w:noProof/>
        </w:rPr>
        <w:footnoteReference w:id="30"/>
      </w:r>
      <w:r>
        <w:rPr>
          <w:noProof/>
        </w:rPr>
        <w:t xml:space="preserve">· </w:t>
      </w:r>
    </w:p>
    <w:p w14:paraId="222E0859" w14:textId="77777777" w:rsidR="00154AD2" w:rsidRDefault="007F6BF3">
      <w:pPr>
        <w:pStyle w:val="P68B1DB1-Normal4"/>
        <w:numPr>
          <w:ilvl w:val="1"/>
          <w:numId w:val="64"/>
        </w:numPr>
        <w:spacing w:before="40" w:after="160" w:line="259" w:lineRule="auto"/>
        <w:contextualSpacing/>
        <w:jc w:val="both"/>
        <w:rPr>
          <w:rFonts w:eastAsiaTheme="minorEastAsia" w:cs="Times New Roman"/>
          <w:noProof/>
        </w:rPr>
      </w:pPr>
      <w:r>
        <w:rPr>
          <w:noProof/>
        </w:rPr>
        <w:t>Δραστηριότητες στις οποίες η μακροπρόθεσμη διάθεση αποβλήτων μπορεί να προκαλέσει μακροπρόθεσμη βλάβη στο περιβάλλον, όπως τα πυρηνικά απόβλητα· και</w:t>
      </w:r>
    </w:p>
    <w:p w14:paraId="5B02FFE5" w14:textId="77777777" w:rsidR="00154AD2" w:rsidRDefault="007F6BF3">
      <w:pPr>
        <w:pStyle w:val="P68B1DB1-Normal4"/>
        <w:numPr>
          <w:ilvl w:val="1"/>
          <w:numId w:val="64"/>
        </w:numPr>
        <w:spacing w:before="40" w:after="160" w:line="259" w:lineRule="auto"/>
        <w:contextualSpacing/>
        <w:jc w:val="both"/>
        <w:rPr>
          <w:rFonts w:eastAsiaTheme="minorEastAsia" w:cs="Times New Roman"/>
          <w:noProof/>
        </w:rPr>
      </w:pPr>
      <w:r>
        <w:rPr>
          <w:noProof/>
        </w:rPr>
        <w:t xml:space="preserve">Ε &amp; D &amp; I αφιερωμένη στα ανωτέρω περιουσιακά στοιχεία και δραστηριότητες. </w:t>
      </w:r>
    </w:p>
    <w:p w14:paraId="1D1FCB8F" w14:textId="77777777" w:rsidR="00154AD2" w:rsidRDefault="007F6BF3">
      <w:pPr>
        <w:pStyle w:val="P68B1DB1-Normal4"/>
        <w:numPr>
          <w:ilvl w:val="0"/>
          <w:numId w:val="57"/>
        </w:numPr>
        <w:spacing w:before="40" w:after="160" w:line="259" w:lineRule="auto"/>
        <w:contextualSpacing/>
        <w:jc w:val="both"/>
        <w:rPr>
          <w:rFonts w:eastAsiaTheme="minorEastAsia" w:cs="Times New Roman"/>
          <w:noProof/>
        </w:rPr>
      </w:pPr>
      <w:r>
        <w:rPr>
          <w:noProof/>
        </w:rPr>
        <w:t xml:space="preserve">υποχρεωτικούς ελέγχους συμμόρφωσης προς τις νομοθετικές </w:t>
      </w:r>
      <w:r>
        <w:rPr>
          <w:i/>
          <w:noProof/>
        </w:rPr>
        <w:t>διατάξεις μέσω της Banco Português de Fomento</w:t>
      </w:r>
      <w:r>
        <w:rPr>
          <w:noProof/>
        </w:rPr>
        <w:t xml:space="preserve"> και/ή των επιλεγμένων ενδιάμεσων χρηματοπιστωτικών οργανισμών για συναλλαγές που εξαιρούνται από τον έλεγχο βιωσιμότητας, και </w:t>
      </w:r>
    </w:p>
    <w:p w14:paraId="67D0FED8" w14:textId="77777777" w:rsidR="00154AD2" w:rsidRDefault="007F6BF3">
      <w:pPr>
        <w:pStyle w:val="P68B1DB1-Normal4"/>
        <w:numPr>
          <w:ilvl w:val="0"/>
          <w:numId w:val="57"/>
        </w:numPr>
        <w:spacing w:before="40" w:after="160" w:line="259" w:lineRule="auto"/>
        <w:contextualSpacing/>
        <w:jc w:val="both"/>
        <w:rPr>
          <w:rFonts w:eastAsiaTheme="minorEastAsia" w:cs="Times New Roman"/>
          <w:noProof/>
        </w:rPr>
      </w:pPr>
      <w:r>
        <w:rPr>
          <w:noProof/>
        </w:rPr>
        <w:t>οι δικαιούχοι στήριξης μετοχικού κεφαλαίου που αντλούν τουλάχιστον το 50 % των εσόδων τους από δραστηριότητες που απαριθμούνται στον κατάλογο αποκλεισμού για την έγκριση και τη δημοσίευση σχεδίων πράσινης μετάβασης.</w:t>
      </w:r>
    </w:p>
    <w:p w14:paraId="57CD92C3" w14:textId="77777777" w:rsidR="00154AD2" w:rsidRDefault="007F6BF3">
      <w:pPr>
        <w:pStyle w:val="P68B1DB1-Normal4"/>
        <w:spacing w:before="40" w:after="0" w:line="259" w:lineRule="auto"/>
        <w:jc w:val="both"/>
        <w:rPr>
          <w:rFonts w:eastAsiaTheme="minorEastAsia" w:cs="Times New Roman"/>
          <w:noProof/>
        </w:rPr>
      </w:pPr>
      <w:r>
        <w:rPr>
          <w:noProof/>
        </w:rPr>
        <w:t xml:space="preserve">Η υλοποίηση της επένδυσης θα ολοκληρωθεί έως τις 31 Δεκεμβρίου 2025. </w:t>
      </w:r>
    </w:p>
    <w:p w14:paraId="04842B12"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Επένδυση RE-C05-i05-RAA: Οικονομική ανάκαμψη της γεωργίας των Αζορών</w:t>
      </w:r>
    </w:p>
    <w:p w14:paraId="5D74F80D" w14:textId="77777777" w:rsidR="00154AD2" w:rsidRDefault="007F6BF3">
      <w:pPr>
        <w:pStyle w:val="P68B1DB1-Normal4"/>
        <w:spacing w:before="40" w:after="0" w:line="259" w:lineRule="auto"/>
        <w:jc w:val="both"/>
        <w:rPr>
          <w:rFonts w:eastAsiaTheme="minorEastAsia" w:cs="Times New Roman"/>
          <w:noProof/>
        </w:rPr>
      </w:pPr>
      <w:r>
        <w:rPr>
          <w:noProof/>
        </w:rPr>
        <w:t xml:space="preserve">Στόχος της επένδυσης είναι η τόνωση της γεωργίας στις Αζόρες, με ιδιαίτερη έμφαση στη βιωσιμότητα, καθώς και στην προώθηση της τοπικής παραγωγής. Η γεωργία στις Αζόρες έχει μεγάλη οικονομική, κοινωνική και εδαφική σημασία για την περιφερειακή συνοχή, λαμβανομένου υπόψη του κατακερματισμού της περιφερειακής επικράτειας που χαρακτηρίζεται από νησιά με ιδιαίτερα χαρακτηριστικά. Η επένδυση αυτή αποσκοπεί i) στη συμβολή στην ανθεκτικότητα και τη βιώσιμη ανάπτυξη του περιφερειακού παραγωγικού δυναμικού, ii) στον μετριασμό των οικονομικών και κοινωνικών επιπτώσεων της κρίσης στον γεωργικό και τον αγροδιατροφικό τομέα στις Αζόρες και iii) στη διττή κλιματική και ψηφιακή μετάβαση στον γεωργικό και τον αγροδιατροφικό τομέα στις Αζόρες. </w:t>
      </w:r>
    </w:p>
    <w:p w14:paraId="6B5CF27F" w14:textId="216C1C52" w:rsidR="00154AD2" w:rsidRDefault="007F6BF3">
      <w:pPr>
        <w:pStyle w:val="P68B1DB1-Normal4"/>
        <w:spacing w:before="40" w:after="0" w:line="259" w:lineRule="auto"/>
        <w:jc w:val="both"/>
        <w:rPr>
          <w:rFonts w:eastAsiaTheme="minorEastAsia" w:cs="Times New Roman"/>
          <w:noProof/>
        </w:rPr>
      </w:pPr>
      <w:r>
        <w:rPr>
          <w:noProof/>
        </w:rPr>
        <w:t xml:space="preserve">Η επένδυση συνίσταται σε i) στήριξη επενδυτικών έργων για την καινοτομία προϊόντων και διαδικασιών παραγωγής για περιφερειακές γεωργικές επιχειρήσεις, ii) δημόσιες επενδύσεις στην καινοτομία και τη διττή μετάβαση (συμπεριλαμβανομένου ενός προγράμματος για τη βελτίωση των δεξιοτήτων των γεωργών για τη διττή μετάβαση και τη βιώσιμη κατανάλωση, συμπεριλαμβανομένων των πιστοποιήσεων) και iii) δημόσιες επενδύσεις στην αναδιάρθρωση, συμπεριλαμβανομένων των επενδύσεων στην καινοτομία των διαδικασιών παραγωγής και στην πράσινη μετάβαση του περιφερειακού δικτύου σφαγής και στην πιστοποίηση της ποιότητας του γάλακτος. </w:t>
      </w:r>
    </w:p>
    <w:p w14:paraId="67CFE1ED" w14:textId="77777777" w:rsidR="00154AD2" w:rsidRDefault="007F6BF3">
      <w:pPr>
        <w:pStyle w:val="P68B1DB1-Normal4"/>
        <w:spacing w:before="40" w:after="0" w:line="259" w:lineRule="auto"/>
        <w:jc w:val="both"/>
        <w:rPr>
          <w:rFonts w:eastAsiaTheme="minorEastAsia" w:cs="Times New Roman"/>
          <w:noProof/>
        </w:rPr>
      </w:pPr>
      <w:r>
        <w:rPr>
          <w:noProof/>
        </w:rPr>
        <w:t>Η υλοποίηση της επένδυσης θα ολοκληρωθεί έως τις 31 Δεκεμβρίου 2025.</w:t>
      </w:r>
    </w:p>
    <w:p w14:paraId="0FE3436B" w14:textId="1CD87910" w:rsidR="00154AD2" w:rsidRDefault="007F6BF3">
      <w:pPr>
        <w:pStyle w:val="P68B1DB1-Normal5"/>
        <w:keepNext/>
        <w:spacing w:before="240" w:after="0" w:line="259" w:lineRule="auto"/>
        <w:ind w:left="851"/>
        <w:jc w:val="both"/>
        <w:outlineLvl w:val="3"/>
        <w:rPr>
          <w:rFonts w:eastAsiaTheme="minorEastAsia" w:cs="Times New Roman"/>
          <w:noProof/>
        </w:rPr>
      </w:pPr>
      <w:bookmarkStart w:id="8" w:name="_Toc137472448"/>
      <w:bookmarkStart w:id="9" w:name="_Hlk144129521"/>
      <w:r>
        <w:rPr>
          <w:noProof/>
        </w:rPr>
        <w:t xml:space="preserve">Επένδυση RE-C05-i07-RAM: Μέσα κεφαλαιοποίησης για εταιρείες </w:t>
      </w:r>
      <w:bookmarkEnd w:id="8"/>
      <w:r>
        <w:rPr>
          <w:noProof/>
        </w:rPr>
        <w:t xml:space="preserve">στη Μαδέρα </w:t>
      </w:r>
    </w:p>
    <w:p w14:paraId="1C9E1081" w14:textId="77777777" w:rsidR="00154AD2" w:rsidRDefault="007F6BF3">
      <w:pPr>
        <w:pStyle w:val="P68B1DB1-Normal4"/>
        <w:spacing w:before="40" w:after="0" w:line="259" w:lineRule="auto"/>
        <w:jc w:val="both"/>
        <w:rPr>
          <w:rFonts w:cs="Times New Roman"/>
          <w:noProof/>
        </w:rPr>
      </w:pPr>
      <w:r>
        <w:rPr>
          <w:noProof/>
        </w:rPr>
        <w:t xml:space="preserve">Στόχος του μέτρου αυτού είναι η στήριξη των επενδύσεων στην αυτόνομη περιφέρεια της Μαδέρας, με στόχο την αντιμετώπιση των διαρθρωτικών προβλημάτων ρευστότητας των τοπικών επιχειρήσεων, καθώς και την ενίσχυση της ανταγωνιστικότητας της περιφερειακής οικονομίας. </w:t>
      </w:r>
    </w:p>
    <w:p w14:paraId="76EBD3EA" w14:textId="19DDA592" w:rsidR="00154AD2" w:rsidRDefault="007F6BF3">
      <w:pPr>
        <w:pStyle w:val="P68B1DB1-Normal4"/>
        <w:spacing w:before="40" w:after="0" w:line="259" w:lineRule="auto"/>
        <w:jc w:val="both"/>
        <w:rPr>
          <w:rFonts w:cs="Times New Roman"/>
          <w:noProof/>
        </w:rPr>
      </w:pPr>
      <w:r>
        <w:rPr>
          <w:noProof/>
        </w:rPr>
        <w:t>Η επένδυση αυτή συνίσταται στην ενίσχυση της χρηματοδοτικής στήριξης που χορηγείται μέσω πιστωτικής γραμμής (</w:t>
      </w:r>
      <w:r>
        <w:rPr>
          <w:i/>
          <w:noProof/>
        </w:rPr>
        <w:t>Investe RAM 2020)</w:t>
      </w:r>
      <w:r>
        <w:rPr>
          <w:noProof/>
        </w:rPr>
        <w:t xml:space="preserve">. Το μέσο παρέχει εγγυήσεις πιστώσεων σε εταιρείες, εγγυώμενες συνολικό ποσό δανείων ύψους 15 900 000 EUR. Το μέσο επιδοτεί επίσης τα έξοδα για τόκους των δανείων (για το 100 % του επιτοκίου μηδενικού κινδύνου (Euribor), συν τουλάχιστον 60 % ενός περιθωρίου κινδύνου έως 3,4 %). Η επένδυση θα τεθεί σε λειτουργία μέσω πρωτοκόλλου μεταξύ της </w:t>
      </w:r>
      <w:r>
        <w:rPr>
          <w:i/>
          <w:noProof/>
        </w:rPr>
        <w:t>Banco Português de Fomento, του Instituto de Desenvolvimento Empresarial</w:t>
      </w:r>
      <w:r>
        <w:rPr>
          <w:noProof/>
        </w:rPr>
        <w:t xml:space="preserve"> και των ενδιάμεσων χρηματοπιστωτικών οργανισμών που επιλέγονται από αυτούς.</w:t>
      </w:r>
    </w:p>
    <w:p w14:paraId="502DBAE8" w14:textId="3F70318A" w:rsidR="00154AD2" w:rsidRDefault="007F6BF3">
      <w:pPr>
        <w:pStyle w:val="P68B1DB1-Normal4"/>
        <w:spacing w:before="40" w:after="0" w:line="259" w:lineRule="auto"/>
        <w:jc w:val="both"/>
        <w:rPr>
          <w:rFonts w:cs="Times New Roman"/>
          <w:noProof/>
        </w:rPr>
      </w:pPr>
      <w:r>
        <w:rPr>
          <w:noProof/>
        </w:rPr>
        <w:t xml:space="preserve">Προκειμένου να διασφαλιστεί ότι το μέτρο συμμορφώνεται με την αρχή της «μη πρόκλησης σημαντικής βλάβης» στο πλαίσιο του μηχανισμού ανάκαμψης και ανθεκτικότητας, όπως ορίζεται στις τεχνικές κατευθυντήριες γραμμές «μη πρόκλησης σημαντικής βλάβης» (2021/C58/01), η/οι νομική/-ές συμφωνία/-ες μεταξύ της </w:t>
      </w:r>
      <w:r>
        <w:rPr>
          <w:i/>
          <w:noProof/>
        </w:rPr>
        <w:t>Banco Português de Fomento</w:t>
      </w:r>
      <w:r>
        <w:rPr>
          <w:noProof/>
        </w:rPr>
        <w:t xml:space="preserve">, του </w:t>
      </w:r>
      <w:r>
        <w:rPr>
          <w:i/>
          <w:noProof/>
        </w:rPr>
        <w:t>Instituto de Desenvolvimento Empresarial</w:t>
      </w:r>
      <w:r>
        <w:rPr>
          <w:noProof/>
        </w:rPr>
        <w:t xml:space="preserve"> και των ενδιάμεσων χρηματοπιστωτικών οργανισμών που επιλέγονται από αυτούς, καθώς και η επακόλουθη συμφωνία εφαρμογής (πρωτόκολλο) του χρηματοδοτικού μέσου:</w:t>
      </w:r>
    </w:p>
    <w:p w14:paraId="05683CB6" w14:textId="2E756E4E" w:rsidR="00154AD2" w:rsidRDefault="007F6BF3">
      <w:pPr>
        <w:pStyle w:val="ListParagraph"/>
        <w:keepNext w:val="0"/>
        <w:numPr>
          <w:ilvl w:val="0"/>
          <w:numId w:val="74"/>
        </w:numPr>
        <w:spacing w:before="120" w:after="120" w:line="22" w:lineRule="atLeast"/>
        <w:rPr>
          <w:noProof/>
        </w:rPr>
      </w:pPr>
      <w:r>
        <w:rPr>
          <w:noProof/>
        </w:rPr>
        <w:t>Εξαιρεί από την επιλεξιμότητα τον ακόλουθο κατάλογο δραστηριοτήτων και περιουσιακών στοιχείων: I) δραστηριότητες και στοιχεία ενεργητικού που σχετίζονται με ορυκτά καύσιμα, συμπεριλαμβανομένης της μεταγενέστερης χρήσης</w:t>
      </w:r>
      <w:r>
        <w:rPr>
          <w:rStyle w:val="FootnoteReference"/>
          <w:noProof/>
        </w:rPr>
        <w:footnoteReference w:id="31"/>
      </w:r>
      <w:r>
        <w:rPr>
          <w:noProof/>
        </w:rPr>
        <w:t>· II) δραστηριότητες και στοιχεία ενεργητικού στο πλαίσιο του συστήματος εμπορίας δικαιωμάτων εκπομπών της ΕΕ (ΣΕΔΕ) που επιτυγχάνουν προβλεπόμενες εκπομπές αερίων του θερμοκηπίου που δεν είναι χαμηλότερες από τους σχετικούς δείκτες αναφοράς</w:t>
      </w:r>
      <w:r>
        <w:rPr>
          <w:rStyle w:val="FootnoteReference"/>
          <w:noProof/>
        </w:rPr>
        <w:footnoteReference w:id="32"/>
      </w:r>
      <w:r>
        <w:rPr>
          <w:noProof/>
        </w:rPr>
        <w:t>· III) δραστηριότητες και περιουσιακά στοιχεία που σχετίζονται με χώρους υγειονομικής ταφής αποβλήτων, αποτεφρωτήρες</w:t>
      </w:r>
      <w:r>
        <w:rPr>
          <w:rStyle w:val="FootnoteReference"/>
          <w:noProof/>
        </w:rPr>
        <w:footnoteReference w:id="33"/>
      </w:r>
      <w:r>
        <w:rPr>
          <w:noProof/>
        </w:rPr>
        <w:t xml:space="preserve"> και μονάδες μηχανικής βιολογικής επεξεργασίας</w:t>
      </w:r>
      <w:r>
        <w:rPr>
          <w:rStyle w:val="FootnoteReference"/>
          <w:noProof/>
        </w:rPr>
        <w:footnoteReference w:id="34"/>
      </w:r>
      <w:r>
        <w:rPr>
          <w:noProof/>
        </w:rPr>
        <w:t>· και</w:t>
      </w:r>
    </w:p>
    <w:p w14:paraId="0AEDD136" w14:textId="78BAD798" w:rsidR="00154AD2" w:rsidRDefault="007F6BF3">
      <w:pPr>
        <w:pStyle w:val="ListParagraph"/>
        <w:keepNext w:val="0"/>
        <w:numPr>
          <w:ilvl w:val="0"/>
          <w:numId w:val="74"/>
        </w:numPr>
        <w:spacing w:before="120" w:after="120" w:line="22" w:lineRule="atLeast"/>
        <w:rPr>
          <w:noProof/>
        </w:rPr>
      </w:pPr>
      <w:r>
        <w:rPr>
          <w:noProof/>
        </w:rPr>
        <w:t>Απαίτηση συμμόρφωσης με τη σχετική ενωσιακή και εθνική περιβαλλοντική νομοθεσία του αποδέκτη.</w:t>
      </w:r>
    </w:p>
    <w:p w14:paraId="0AB91DA2" w14:textId="6E00CAC3" w:rsidR="00154AD2" w:rsidRDefault="007F6BF3">
      <w:pPr>
        <w:pStyle w:val="P68B1DB1-Normal4"/>
        <w:spacing w:line="22" w:lineRule="atLeast"/>
        <w:jc w:val="both"/>
        <w:rPr>
          <w:rFonts w:cs="Times New Roman"/>
          <w:noProof/>
        </w:rPr>
      </w:pPr>
      <w:r>
        <w:rPr>
          <w:noProof/>
        </w:rPr>
        <w:t>Η υλοποίηση της επένδυσης θα ολοκληρωθεί έως τις 31 Δεκεμβρίου 2025.</w:t>
      </w:r>
    </w:p>
    <w:p w14:paraId="3868A1A9" w14:textId="37A914CF" w:rsidR="00154AD2" w:rsidRDefault="007F6BF3">
      <w:pPr>
        <w:pStyle w:val="P68B1DB1-Heading214"/>
        <w:rPr>
          <w:noProof/>
        </w:rPr>
      </w:pPr>
      <w:bookmarkStart w:id="10" w:name="_Toc137472449"/>
      <w:bookmarkEnd w:id="9"/>
      <w:r>
        <w:rPr>
          <w:noProof/>
        </w:rPr>
        <w:t>Επένδυση RE-C05-i08: Περισσότερη ψηφιακή επιστήμη</w:t>
      </w:r>
      <w:bookmarkEnd w:id="10"/>
    </w:p>
    <w:p w14:paraId="210E9435" w14:textId="77777777" w:rsidR="00154AD2" w:rsidRDefault="007F6BF3">
      <w:pPr>
        <w:pStyle w:val="P68B1DB1-Normal4"/>
        <w:rPr>
          <w:rFonts w:cs="Times New Roman"/>
          <w:noProof/>
        </w:rPr>
      </w:pPr>
      <w:r>
        <w:rPr>
          <w:noProof/>
        </w:rPr>
        <w:t>Στόχος του μέτρου αυτού είναι η επιτάχυνση της διαδικασίας ψηφιακού μετασχηματισμού και ψηφιοποίησης της επιστήμης και των υπηρεσιών που υποστηρίζουν το εθνικό σύστημα επιστήμης και τεχνολογίας.</w:t>
      </w:r>
    </w:p>
    <w:p w14:paraId="27ECE621" w14:textId="77777777" w:rsidR="00154AD2" w:rsidRDefault="007F6BF3">
      <w:pPr>
        <w:pStyle w:val="P68B1DB1-Normal4"/>
        <w:rPr>
          <w:rFonts w:cs="Times New Roman"/>
          <w:noProof/>
        </w:rPr>
      </w:pPr>
      <w:r>
        <w:rPr>
          <w:noProof/>
        </w:rPr>
        <w:t>Για τον σκοπό αυτό, η επένδυση:</w:t>
      </w:r>
    </w:p>
    <w:p w14:paraId="46455329" w14:textId="5256B8E3" w:rsidR="00154AD2" w:rsidRDefault="007F6BF3">
      <w:pPr>
        <w:pStyle w:val="ListParagraph"/>
        <w:keepNext w:val="0"/>
        <w:numPr>
          <w:ilvl w:val="0"/>
          <w:numId w:val="75"/>
        </w:numPr>
        <w:spacing w:before="120" w:after="120" w:line="240" w:lineRule="auto"/>
        <w:rPr>
          <w:noProof/>
        </w:rPr>
      </w:pPr>
      <w:r>
        <w:rPr>
          <w:noProof/>
        </w:rPr>
        <w:t>Να συμπληρώσουν το «Science XXI campus» και το «επιστημονικό γραφείο» (σε φυσική και διαδικτυακή μορφή), όπου οι υπηρεσίες και οι μηχανισμοί χρηματοδότησης για ερευνητές, οντότητες Ε &amp; Α και ιδρύματα τριτοβάθμιας εκπαίδευσης θα είναι διαθέσιμοι σε έναν τόπο·</w:t>
      </w:r>
    </w:p>
    <w:p w14:paraId="6C941732" w14:textId="2B79750A" w:rsidR="00154AD2" w:rsidRDefault="007F6BF3">
      <w:pPr>
        <w:pStyle w:val="ListParagraph"/>
        <w:keepNext w:val="0"/>
        <w:numPr>
          <w:ilvl w:val="0"/>
          <w:numId w:val="75"/>
        </w:numPr>
        <w:spacing w:before="120" w:after="120" w:line="240" w:lineRule="auto"/>
        <w:rPr>
          <w:noProof/>
        </w:rPr>
      </w:pPr>
      <w:r>
        <w:rPr>
          <w:noProof/>
        </w:rPr>
        <w:t>Να δημιουργήσει το Εθνικό Κέντρο Προηγμένης Πληροφορικής (CNCA), το οποίο θα καλύπτει την εθνική συνεισφορά της Πορτογαλίας στον νέο υπερυπολογιστή «Deucalion» και θα συμπληρώνει την υποδομή του κέντρου δεδομένων/υποστήριξης για τη λειτουργία των δύο υπερυπολογιστών «Deucalion» και «Mare Nostrum 5»·</w:t>
      </w:r>
    </w:p>
    <w:p w14:paraId="084AC810" w14:textId="77777777" w:rsidR="00154AD2" w:rsidRDefault="007F6BF3">
      <w:pPr>
        <w:pStyle w:val="ListParagraph"/>
        <w:keepNext w:val="0"/>
        <w:numPr>
          <w:ilvl w:val="0"/>
          <w:numId w:val="75"/>
        </w:numPr>
        <w:spacing w:before="120" w:after="120" w:line="240" w:lineRule="auto"/>
        <w:rPr>
          <w:noProof/>
        </w:rPr>
      </w:pPr>
      <w:r>
        <w:rPr>
          <w:noProof/>
        </w:rPr>
        <w:t>Στήριξη της δρομολόγησης προγράμματος έργου Ε &amp; Α που επικεντρώνεται στην ανάπτυξη και εφαρμογή προηγμένων συστημάτων κυβερνοασφάλειας, τεχνητής νοημοσύνης και επιστήμης των δεδομένων στη δημόσια διοίκηση, καθώς και ενός προγράμματος επιστημονικής ενδυνάμωσης·</w:t>
      </w:r>
    </w:p>
    <w:p w14:paraId="37E9BAB2" w14:textId="659E6A48" w:rsidR="00154AD2" w:rsidRDefault="007F6BF3">
      <w:pPr>
        <w:pStyle w:val="ListParagraph"/>
        <w:keepNext w:val="0"/>
        <w:numPr>
          <w:ilvl w:val="0"/>
          <w:numId w:val="75"/>
        </w:numPr>
        <w:spacing w:before="120" w:after="120" w:line="240" w:lineRule="auto"/>
        <w:rPr>
          <w:noProof/>
        </w:rPr>
      </w:pPr>
      <w:r>
        <w:rPr>
          <w:noProof/>
        </w:rPr>
        <w:t>Να αυξήσει τον αριθμό των μαθημάτων που προσφέρονται μέσω της Εθνικής Πλατφόρμας για τα Μαζικά Επιγραμμικά Μαθήματα (NAU)·</w:t>
      </w:r>
    </w:p>
    <w:p w14:paraId="1CAC10F0" w14:textId="77777777" w:rsidR="00154AD2" w:rsidRDefault="007F6BF3">
      <w:pPr>
        <w:pStyle w:val="ListParagraph"/>
        <w:keepNext w:val="0"/>
        <w:numPr>
          <w:ilvl w:val="0"/>
          <w:numId w:val="75"/>
        </w:numPr>
        <w:spacing w:before="120" w:after="120" w:line="240" w:lineRule="auto"/>
        <w:rPr>
          <w:noProof/>
        </w:rPr>
      </w:pPr>
      <w:r>
        <w:rPr>
          <w:noProof/>
        </w:rPr>
        <w:t>Εφαρμογή του εθνικού προγράμματος ανοικτών επιστημονικών και ερευνητικών δεδομένων (PNCADAI).</w:t>
      </w:r>
    </w:p>
    <w:p w14:paraId="32824034" w14:textId="77777777" w:rsidR="00154AD2" w:rsidRDefault="007F6BF3">
      <w:pPr>
        <w:pStyle w:val="P68B1DB1-Normal4"/>
        <w:rPr>
          <w:rFonts w:cs="Times New Roman"/>
          <w:noProof/>
        </w:rPr>
      </w:pPr>
      <w:r>
        <w:rPr>
          <w:noProof/>
        </w:rPr>
        <w:t>Η υλοποίηση της επένδυσης θα ολοκληρωθεί έως τις 31 Μαρτίου 2026.</w:t>
      </w:r>
    </w:p>
    <w:p w14:paraId="37E57FD8" w14:textId="6C90134D" w:rsidR="00154AD2" w:rsidRDefault="007F6BF3">
      <w:pPr>
        <w:pStyle w:val="P68B1DB1-Heading214"/>
        <w:rPr>
          <w:noProof/>
        </w:rPr>
      </w:pPr>
      <w:bookmarkStart w:id="11" w:name="_Toc209238830"/>
      <w:bookmarkStart w:id="12" w:name="_Toc137472447"/>
      <w:r>
        <w:rPr>
          <w:noProof/>
        </w:rPr>
        <w:t>Επένδυση RE-C05-i09 — - Αύξηση: Κινητοποίηση θεματολογίων/συμμαχιών για την επιχειρηματική καινοτομία</w:t>
      </w:r>
      <w:bookmarkEnd w:id="11"/>
      <w:bookmarkEnd w:id="12"/>
    </w:p>
    <w:p w14:paraId="2416536F" w14:textId="77777777" w:rsidR="00154AD2" w:rsidRDefault="007F6BF3">
      <w:pPr>
        <w:pStyle w:val="P68B1DB1-Normal4"/>
        <w:jc w:val="both"/>
        <w:rPr>
          <w:rFonts w:cs="Times New Roman"/>
          <w:noProof/>
        </w:rPr>
      </w:pPr>
      <w:r>
        <w:rPr>
          <w:noProof/>
        </w:rPr>
        <w:t xml:space="preserve">Στόχος αυτής της επένδυσης είναι η κλιμάκωση της επένδυσης RE-C05-i01.01, στο πλαίσιο της συνιστώσας 5. Το κλιμακούμενο μέρος του μέτρου αυξάνει τον αριθμό των προϊόντων, των διαδικασιών ή των υπηρεσιών που ολοκληρώνονται από τα θεματολόγια κινητοποίησης/συμμαχίες για την επιχειρηματική καινοτομία. </w:t>
      </w:r>
    </w:p>
    <w:p w14:paraId="71CB417C" w14:textId="39E86924" w:rsidR="00154AD2" w:rsidRDefault="007F6BF3">
      <w:pPr>
        <w:pStyle w:val="P68B1DB1-Normal4"/>
        <w:jc w:val="both"/>
        <w:rPr>
          <w:rFonts w:eastAsiaTheme="minorEastAsia" w:cs="Times New Roman"/>
          <w:noProof/>
        </w:rPr>
      </w:pPr>
      <w:r>
        <w:rPr>
          <w:noProof/>
        </w:rPr>
        <w:t>Η υλοποίηση της επένδυσης θα ολοκληρωθεί έως τις 31 Δεκεμβρίου 2025.</w:t>
      </w:r>
    </w:p>
    <w:p w14:paraId="0EE30DD3" w14:textId="6E416376" w:rsidR="00154AD2" w:rsidRDefault="007F6BF3">
      <w:pPr>
        <w:pStyle w:val="P68B1DB1-Heading214"/>
        <w:rPr>
          <w:noProof/>
        </w:rPr>
      </w:pPr>
      <w:bookmarkStart w:id="13" w:name="_Toc137472485"/>
      <w:r>
        <w:rPr>
          <w:noProof/>
        </w:rPr>
        <w:t>Επένδυση RE-C05-i10 — - Αύξηση: Πράσινα θεματολόγια/Συμμαχίες για την επιχειρηματική καινοτομία</w:t>
      </w:r>
      <w:bookmarkEnd w:id="13"/>
    </w:p>
    <w:p w14:paraId="150A2213" w14:textId="5D8DC0D8" w:rsidR="00154AD2" w:rsidRDefault="007F6BF3">
      <w:pPr>
        <w:pStyle w:val="P68B1DB1-Normal4"/>
        <w:jc w:val="both"/>
        <w:rPr>
          <w:rFonts w:cs="Times New Roman"/>
          <w:noProof/>
        </w:rPr>
      </w:pPr>
      <w:r>
        <w:rPr>
          <w:noProof/>
        </w:rPr>
        <w:t>Στόχος αυτής της επένδυσης είναι η κλιμάκωση της επένδυσης RE-C05-i01.02 στο πλαίσιο της συνιστώσας 5. Το κλιμακούμενο μέρος του μέτρου αυξάνει τον αριθμό των προϊόντων, των διαδικασιών ή των υπηρεσιών από πρόσθετα πράσινα θεματολόγια.</w:t>
      </w:r>
    </w:p>
    <w:p w14:paraId="40C9E33B" w14:textId="77777777" w:rsidR="00154AD2" w:rsidRDefault="007F6BF3">
      <w:pPr>
        <w:pStyle w:val="P68B1DB1-Normal4"/>
        <w:jc w:val="both"/>
        <w:rPr>
          <w:rFonts w:eastAsiaTheme="minorEastAsia" w:cs="Times New Roman"/>
          <w:noProof/>
        </w:rPr>
      </w:pPr>
      <w:r>
        <w:rPr>
          <w:noProof/>
        </w:rPr>
        <w:t xml:space="preserve">Η υλοποίηση της επένδυσης θα ολοκληρωθεί έως τις 31 Δεκεμβρίου 2025. </w:t>
      </w:r>
    </w:p>
    <w:p w14:paraId="2DD7051F" w14:textId="77777777" w:rsidR="00154AD2" w:rsidRDefault="00154AD2">
      <w:pPr>
        <w:rPr>
          <w:rFonts w:ascii="Times New Roman" w:hAnsi="Times New Roman" w:cs="Times New Roman"/>
          <w:noProof/>
          <w:sz w:val="24"/>
        </w:rPr>
      </w:pPr>
    </w:p>
    <w:p w14:paraId="528A2C1C" w14:textId="77777777" w:rsidR="00154AD2" w:rsidRDefault="00154AD2">
      <w:pPr>
        <w:spacing w:line="22" w:lineRule="atLeast"/>
        <w:jc w:val="both"/>
        <w:rPr>
          <w:rFonts w:ascii="Times New Roman" w:hAnsi="Times New Roman" w:cs="Times New Roman"/>
          <w:noProof/>
          <w:sz w:val="24"/>
        </w:rPr>
      </w:pPr>
    </w:p>
    <w:p w14:paraId="040D9F53" w14:textId="77777777" w:rsidR="00154AD2" w:rsidRDefault="00154AD2">
      <w:pPr>
        <w:spacing w:before="40" w:after="0" w:line="259" w:lineRule="auto"/>
        <w:jc w:val="both"/>
        <w:rPr>
          <w:rFonts w:ascii="Times New Roman" w:eastAsiaTheme="minorEastAsia" w:hAnsi="Times New Roman" w:cs="Times New Roman"/>
          <w:noProof/>
          <w:sz w:val="24"/>
        </w:rPr>
        <w:sectPr w:rsidR="00154AD2" w:rsidSect="00E00EDD">
          <w:headerReference w:type="even" r:id="rId96"/>
          <w:headerReference w:type="default" r:id="rId97"/>
          <w:footerReference w:type="even" r:id="rId98"/>
          <w:footerReference w:type="default" r:id="rId99"/>
          <w:headerReference w:type="first" r:id="rId100"/>
          <w:footerReference w:type="first" r:id="rId101"/>
          <w:pgSz w:w="11907" w:h="16839"/>
          <w:pgMar w:top="1134" w:right="1134" w:bottom="1134" w:left="1134" w:header="567" w:footer="567" w:gutter="0"/>
          <w:cols w:space="720"/>
          <w:docGrid w:linePitch="360"/>
        </w:sectPr>
      </w:pPr>
    </w:p>
    <w:p w14:paraId="19A5F577" w14:textId="77777777" w:rsidR="00154AD2" w:rsidRDefault="00154AD2">
      <w:pPr>
        <w:spacing w:before="40" w:after="0" w:line="259" w:lineRule="auto"/>
        <w:jc w:val="both"/>
        <w:rPr>
          <w:rFonts w:ascii="Times New Roman" w:eastAsiaTheme="minorEastAsia" w:hAnsi="Times New Roman" w:cs="Times New Roman"/>
          <w:noProof/>
          <w:sz w:val="24"/>
        </w:rPr>
      </w:pPr>
    </w:p>
    <w:p w14:paraId="0EC6A68F" w14:textId="77777777" w:rsidR="00154AD2" w:rsidRDefault="007F6BF3">
      <w:pPr>
        <w:pStyle w:val="P68B1DB1-Normal3"/>
        <w:spacing w:before="40" w:after="0" w:line="259" w:lineRule="auto"/>
        <w:ind w:left="130" w:firstLine="720"/>
        <w:jc w:val="both"/>
        <w:outlineLvl w:val="2"/>
        <w:rPr>
          <w:rFonts w:eastAsiaTheme="minorEastAsia" w:cs="Times New Roman"/>
          <w:noProof/>
        </w:rPr>
      </w:pPr>
      <w:r>
        <w:rPr>
          <w:noProof/>
        </w:rPr>
        <w:t>Ε.2. Ορόσημα, στόχοι, δείκτες και χρονοδιάγραμμα για την παρακολούθηση και την υλοποίηση της μη επιστρεπτέας χρηματοδοτικής στήριξης</w:t>
      </w:r>
    </w:p>
    <w:p w14:paraId="75F064A2" w14:textId="77777777" w:rsidR="00154AD2" w:rsidRDefault="00154AD2">
      <w:pPr>
        <w:spacing w:before="40" w:after="0" w:line="259" w:lineRule="auto"/>
        <w:jc w:val="both"/>
        <w:rPr>
          <w:rFonts w:ascii="Times New Roman" w:eastAsiaTheme="minorEastAsia" w:hAnsi="Times New Roman" w:cs="Times New Roman"/>
          <w:noProof/>
          <w:sz w:val="24"/>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65"/>
        <w:gridCol w:w="976"/>
        <w:gridCol w:w="1668"/>
        <w:gridCol w:w="2029"/>
        <w:gridCol w:w="982"/>
        <w:gridCol w:w="982"/>
        <w:gridCol w:w="626"/>
        <w:gridCol w:w="514"/>
        <w:gridCol w:w="747"/>
        <w:gridCol w:w="3919"/>
      </w:tblGrid>
      <w:tr w:rsidR="00154AD2" w14:paraId="1198CA4A" w14:textId="77777777">
        <w:trPr>
          <w:trHeight w:val="300"/>
          <w:tblHeader/>
        </w:trPr>
        <w:tc>
          <w:tcPr>
            <w:tcW w:w="1134" w:type="dxa"/>
            <w:vMerge w:val="restart"/>
            <w:shd w:val="clear" w:color="auto" w:fill="BDD6EE"/>
            <w:vAlign w:val="center"/>
            <w:hideMark/>
          </w:tcPr>
          <w:p w14:paraId="22518CE5" w14:textId="77777777" w:rsidR="00154AD2" w:rsidRDefault="007F6BF3">
            <w:pPr>
              <w:pStyle w:val="P68B1DB1-Normal6"/>
              <w:spacing w:after="0" w:line="240" w:lineRule="auto"/>
              <w:jc w:val="center"/>
              <w:rPr>
                <w:rFonts w:eastAsia="Times New Roman" w:cs="Times New Roman"/>
                <w:noProof/>
              </w:rPr>
            </w:pPr>
            <w:r>
              <w:rPr>
                <w:noProof/>
              </w:rPr>
              <w:t>Αύξων αριθμός</w:t>
            </w:r>
          </w:p>
        </w:tc>
        <w:tc>
          <w:tcPr>
            <w:tcW w:w="1165" w:type="dxa"/>
            <w:vMerge w:val="restart"/>
            <w:shd w:val="clear" w:color="auto" w:fill="BDD6EE"/>
            <w:noWrap/>
            <w:vAlign w:val="center"/>
            <w:hideMark/>
          </w:tcPr>
          <w:p w14:paraId="2D96F25A" w14:textId="77777777" w:rsidR="00154AD2" w:rsidRDefault="007F6BF3">
            <w:pPr>
              <w:pStyle w:val="P68B1DB1-Normal6"/>
              <w:spacing w:after="0" w:line="240" w:lineRule="auto"/>
              <w:jc w:val="center"/>
              <w:rPr>
                <w:rFonts w:eastAsia="Times New Roman" w:cs="Times New Roman"/>
                <w:noProof/>
              </w:rPr>
            </w:pPr>
            <w:r>
              <w:rPr>
                <w:noProof/>
              </w:rPr>
              <w:t>Μέτρο (Μεταρρύθμιση ή Επενδύσεις)</w:t>
            </w:r>
          </w:p>
        </w:tc>
        <w:tc>
          <w:tcPr>
            <w:tcW w:w="976" w:type="dxa"/>
            <w:vMerge w:val="restart"/>
            <w:shd w:val="clear" w:color="auto" w:fill="BDD6EE"/>
            <w:noWrap/>
            <w:vAlign w:val="center"/>
            <w:hideMark/>
          </w:tcPr>
          <w:p w14:paraId="441A5184" w14:textId="53663AE8" w:rsidR="00154AD2" w:rsidRDefault="007F6BF3">
            <w:pPr>
              <w:pStyle w:val="P68B1DB1-Normal6"/>
              <w:spacing w:after="0" w:line="240" w:lineRule="auto"/>
              <w:jc w:val="center"/>
              <w:rPr>
                <w:rFonts w:eastAsia="Times New Roman" w:cs="Times New Roman"/>
                <w:noProof/>
              </w:rPr>
            </w:pPr>
            <w:r>
              <w:rPr>
                <w:noProof/>
              </w:rPr>
              <w:t xml:space="preserve">Ορόσημο/Στόχος </w:t>
            </w:r>
          </w:p>
          <w:p w14:paraId="12DC3346" w14:textId="13EEAED9" w:rsidR="00154AD2" w:rsidRDefault="00154AD2">
            <w:pPr>
              <w:spacing w:after="0" w:line="240" w:lineRule="auto"/>
              <w:rPr>
                <w:rFonts w:ascii="Times New Roman" w:eastAsia="Times New Roman" w:hAnsi="Times New Roman" w:cs="Times New Roman"/>
                <w:b/>
                <w:noProof/>
                <w:sz w:val="18"/>
              </w:rPr>
            </w:pPr>
          </w:p>
        </w:tc>
        <w:tc>
          <w:tcPr>
            <w:tcW w:w="1668" w:type="dxa"/>
            <w:vMerge w:val="restart"/>
            <w:shd w:val="clear" w:color="auto" w:fill="BDD6EE"/>
            <w:noWrap/>
            <w:vAlign w:val="center"/>
            <w:hideMark/>
          </w:tcPr>
          <w:p w14:paraId="24A7D056" w14:textId="77777777" w:rsidR="00154AD2" w:rsidRDefault="007F6BF3">
            <w:pPr>
              <w:pStyle w:val="P68B1DB1-Normal6"/>
              <w:spacing w:after="0" w:line="240" w:lineRule="auto"/>
              <w:jc w:val="center"/>
              <w:rPr>
                <w:rFonts w:eastAsia="Times New Roman" w:cs="Times New Roman"/>
                <w:noProof/>
              </w:rPr>
            </w:pPr>
            <w:r>
              <w:rPr>
                <w:noProof/>
              </w:rPr>
              <w:t>Όνομα</w:t>
            </w:r>
          </w:p>
        </w:tc>
        <w:tc>
          <w:tcPr>
            <w:tcW w:w="2029" w:type="dxa"/>
            <w:vMerge w:val="restart"/>
            <w:shd w:val="clear" w:color="auto" w:fill="BDD6EE"/>
            <w:noWrap/>
            <w:vAlign w:val="center"/>
            <w:hideMark/>
          </w:tcPr>
          <w:p w14:paraId="54F026CB" w14:textId="77777777" w:rsidR="00154AD2" w:rsidRDefault="007F6BF3">
            <w:pPr>
              <w:pStyle w:val="P68B1DB1-Normal6"/>
              <w:spacing w:after="0" w:line="240" w:lineRule="auto"/>
              <w:jc w:val="center"/>
              <w:rPr>
                <w:rFonts w:eastAsia="Times New Roman" w:cs="Times New Roman"/>
                <w:noProof/>
              </w:rPr>
            </w:pPr>
            <w:r>
              <w:rPr>
                <w:noProof/>
              </w:rPr>
              <w:t>Ποιοτικοί δείκτες (για τα ορόσημα)</w:t>
            </w:r>
          </w:p>
        </w:tc>
        <w:tc>
          <w:tcPr>
            <w:tcW w:w="2590" w:type="dxa"/>
            <w:gridSpan w:val="3"/>
            <w:shd w:val="clear" w:color="auto" w:fill="BDD6EE"/>
            <w:noWrap/>
            <w:vAlign w:val="center"/>
            <w:hideMark/>
          </w:tcPr>
          <w:p w14:paraId="1C0D1264" w14:textId="77777777" w:rsidR="00154AD2" w:rsidRDefault="007F6BF3">
            <w:pPr>
              <w:pStyle w:val="P68B1DB1-Normal6"/>
              <w:spacing w:after="0" w:line="240" w:lineRule="auto"/>
              <w:jc w:val="center"/>
              <w:rPr>
                <w:rFonts w:eastAsia="Times New Roman" w:cs="Times New Roman"/>
                <w:noProof/>
              </w:rPr>
            </w:pPr>
            <w:r>
              <w:rPr>
                <w:noProof/>
              </w:rPr>
              <w:t>Ποσοτικοί δείκτες (για τους στόχους)</w:t>
            </w:r>
          </w:p>
        </w:tc>
        <w:tc>
          <w:tcPr>
            <w:tcW w:w="1261" w:type="dxa"/>
            <w:gridSpan w:val="2"/>
            <w:shd w:val="clear" w:color="auto" w:fill="BDD6EE"/>
            <w:noWrap/>
            <w:vAlign w:val="center"/>
            <w:hideMark/>
          </w:tcPr>
          <w:p w14:paraId="3C87353C" w14:textId="77777777" w:rsidR="00154AD2" w:rsidRDefault="007F6BF3">
            <w:pPr>
              <w:pStyle w:val="P68B1DB1-Normal6"/>
              <w:spacing w:after="0" w:line="240" w:lineRule="auto"/>
              <w:jc w:val="center"/>
              <w:rPr>
                <w:rFonts w:eastAsia="Times New Roman" w:cs="Times New Roman"/>
                <w:noProof/>
              </w:rPr>
            </w:pPr>
            <w:r>
              <w:rPr>
                <w:noProof/>
              </w:rPr>
              <w:t>Ενδεικτικό χρονοδιάγραμμα ολοκλήρωσης</w:t>
            </w:r>
          </w:p>
        </w:tc>
        <w:tc>
          <w:tcPr>
            <w:tcW w:w="3919" w:type="dxa"/>
            <w:vMerge w:val="restart"/>
            <w:shd w:val="clear" w:color="auto" w:fill="BDD6EE"/>
            <w:noWrap/>
            <w:vAlign w:val="center"/>
            <w:hideMark/>
          </w:tcPr>
          <w:p w14:paraId="2A120D66" w14:textId="77777777" w:rsidR="00154AD2" w:rsidRDefault="007F6BF3">
            <w:pPr>
              <w:pStyle w:val="P68B1DB1-Normal6"/>
              <w:spacing w:after="0" w:line="240" w:lineRule="auto"/>
              <w:jc w:val="center"/>
              <w:rPr>
                <w:rFonts w:eastAsia="Times New Roman" w:cs="Times New Roman"/>
                <w:noProof/>
              </w:rPr>
            </w:pPr>
            <w:r>
              <w:rPr>
                <w:noProof/>
              </w:rPr>
              <w:t>Περιγραφή και σαφής ορισμός κάθε ορόσημου και στόχου</w:t>
            </w:r>
          </w:p>
        </w:tc>
      </w:tr>
      <w:tr w:rsidR="00154AD2" w14:paraId="328E94F7" w14:textId="77777777">
        <w:trPr>
          <w:trHeight w:val="414"/>
          <w:tblHeader/>
        </w:trPr>
        <w:tc>
          <w:tcPr>
            <w:tcW w:w="1134" w:type="dxa"/>
            <w:vMerge/>
            <w:vAlign w:val="center"/>
            <w:hideMark/>
          </w:tcPr>
          <w:p w14:paraId="2D953042" w14:textId="77777777" w:rsidR="00154AD2" w:rsidRDefault="00154AD2">
            <w:pPr>
              <w:spacing w:after="0" w:line="240" w:lineRule="auto"/>
              <w:rPr>
                <w:rFonts w:ascii="Times New Roman" w:eastAsia="Times New Roman" w:hAnsi="Times New Roman" w:cs="Times New Roman"/>
                <w:b/>
                <w:noProof/>
                <w:sz w:val="18"/>
              </w:rPr>
            </w:pPr>
          </w:p>
        </w:tc>
        <w:tc>
          <w:tcPr>
            <w:tcW w:w="1165" w:type="dxa"/>
            <w:vMerge/>
            <w:vAlign w:val="center"/>
            <w:hideMark/>
          </w:tcPr>
          <w:p w14:paraId="4F69105E" w14:textId="77777777" w:rsidR="00154AD2" w:rsidRDefault="00154AD2">
            <w:pPr>
              <w:spacing w:after="0" w:line="240" w:lineRule="auto"/>
              <w:rPr>
                <w:rFonts w:ascii="Times New Roman" w:eastAsia="Times New Roman" w:hAnsi="Times New Roman" w:cs="Times New Roman"/>
                <w:b/>
                <w:noProof/>
                <w:sz w:val="18"/>
              </w:rPr>
            </w:pPr>
          </w:p>
        </w:tc>
        <w:tc>
          <w:tcPr>
            <w:tcW w:w="976" w:type="dxa"/>
            <w:vMerge/>
            <w:noWrap/>
            <w:vAlign w:val="center"/>
            <w:hideMark/>
          </w:tcPr>
          <w:p w14:paraId="0CA5CF6D" w14:textId="53822D8D" w:rsidR="00154AD2" w:rsidRDefault="00154AD2">
            <w:pPr>
              <w:spacing w:after="0" w:line="240" w:lineRule="auto"/>
              <w:rPr>
                <w:rFonts w:ascii="Times New Roman" w:eastAsia="Times New Roman" w:hAnsi="Times New Roman" w:cs="Times New Roman"/>
                <w:b/>
                <w:noProof/>
                <w:sz w:val="18"/>
              </w:rPr>
            </w:pPr>
          </w:p>
        </w:tc>
        <w:tc>
          <w:tcPr>
            <w:tcW w:w="1668" w:type="dxa"/>
            <w:vMerge/>
            <w:vAlign w:val="center"/>
            <w:hideMark/>
          </w:tcPr>
          <w:p w14:paraId="501343F1" w14:textId="77777777" w:rsidR="00154AD2" w:rsidRDefault="00154AD2">
            <w:pPr>
              <w:spacing w:after="0" w:line="240" w:lineRule="auto"/>
              <w:rPr>
                <w:rFonts w:ascii="Times New Roman" w:eastAsia="Times New Roman" w:hAnsi="Times New Roman" w:cs="Times New Roman"/>
                <w:b/>
                <w:noProof/>
                <w:sz w:val="18"/>
              </w:rPr>
            </w:pPr>
          </w:p>
        </w:tc>
        <w:tc>
          <w:tcPr>
            <w:tcW w:w="2029" w:type="dxa"/>
            <w:vMerge/>
            <w:vAlign w:val="center"/>
            <w:hideMark/>
          </w:tcPr>
          <w:p w14:paraId="0E224900" w14:textId="77777777" w:rsidR="00154AD2" w:rsidRDefault="00154AD2">
            <w:pPr>
              <w:spacing w:after="0" w:line="240" w:lineRule="auto"/>
              <w:rPr>
                <w:rFonts w:ascii="Times New Roman" w:eastAsia="Times New Roman" w:hAnsi="Times New Roman" w:cs="Times New Roman"/>
                <w:b/>
                <w:noProof/>
                <w:sz w:val="18"/>
              </w:rPr>
            </w:pPr>
          </w:p>
        </w:tc>
        <w:tc>
          <w:tcPr>
            <w:tcW w:w="982" w:type="dxa"/>
            <w:tcBorders>
              <w:bottom w:val="single" w:sz="4" w:space="0" w:color="auto"/>
            </w:tcBorders>
            <w:shd w:val="clear" w:color="auto" w:fill="BDD6EE"/>
            <w:noWrap/>
            <w:vAlign w:val="center"/>
            <w:hideMark/>
          </w:tcPr>
          <w:p w14:paraId="54572D4F" w14:textId="77777777" w:rsidR="00154AD2" w:rsidRDefault="007F6BF3">
            <w:pPr>
              <w:pStyle w:val="P68B1DB1-Normal6"/>
              <w:spacing w:after="0" w:line="240" w:lineRule="auto"/>
              <w:jc w:val="center"/>
              <w:rPr>
                <w:rFonts w:eastAsia="Times New Roman" w:cs="Times New Roman"/>
                <w:noProof/>
              </w:rPr>
            </w:pPr>
            <w:r>
              <w:rPr>
                <w:noProof/>
              </w:rPr>
              <w:t>Μονάδα μέτρησης</w:t>
            </w:r>
          </w:p>
        </w:tc>
        <w:tc>
          <w:tcPr>
            <w:tcW w:w="982" w:type="dxa"/>
            <w:tcBorders>
              <w:bottom w:val="single" w:sz="4" w:space="0" w:color="auto"/>
            </w:tcBorders>
            <w:shd w:val="clear" w:color="auto" w:fill="BDD6EE"/>
            <w:noWrap/>
            <w:vAlign w:val="center"/>
            <w:hideMark/>
          </w:tcPr>
          <w:p w14:paraId="2F722543" w14:textId="77777777" w:rsidR="00154AD2" w:rsidRDefault="007F6BF3">
            <w:pPr>
              <w:pStyle w:val="P68B1DB1-Normal6"/>
              <w:spacing w:after="0" w:line="240" w:lineRule="auto"/>
              <w:jc w:val="center"/>
              <w:rPr>
                <w:rFonts w:eastAsia="Times New Roman" w:cs="Times New Roman"/>
                <w:noProof/>
              </w:rPr>
            </w:pPr>
            <w:r>
              <w:rPr>
                <w:noProof/>
              </w:rPr>
              <w:t>Γραμμή βάσης</w:t>
            </w:r>
          </w:p>
        </w:tc>
        <w:tc>
          <w:tcPr>
            <w:tcW w:w="626" w:type="dxa"/>
            <w:tcBorders>
              <w:bottom w:val="single" w:sz="4" w:space="0" w:color="auto"/>
            </w:tcBorders>
            <w:shd w:val="clear" w:color="auto" w:fill="BDD6EE"/>
            <w:noWrap/>
            <w:vAlign w:val="center"/>
            <w:hideMark/>
          </w:tcPr>
          <w:p w14:paraId="490C54F4" w14:textId="77777777" w:rsidR="00154AD2" w:rsidRDefault="007F6BF3">
            <w:pPr>
              <w:pStyle w:val="P68B1DB1-Normal6"/>
              <w:spacing w:after="0" w:line="240" w:lineRule="auto"/>
              <w:jc w:val="center"/>
              <w:rPr>
                <w:rFonts w:eastAsia="Times New Roman" w:cs="Times New Roman"/>
                <w:noProof/>
              </w:rPr>
            </w:pPr>
            <w:r>
              <w:rPr>
                <w:noProof/>
              </w:rPr>
              <w:t>Στόχοι</w:t>
            </w:r>
          </w:p>
        </w:tc>
        <w:tc>
          <w:tcPr>
            <w:tcW w:w="514" w:type="dxa"/>
            <w:tcBorders>
              <w:bottom w:val="single" w:sz="4" w:space="0" w:color="auto"/>
            </w:tcBorders>
            <w:shd w:val="clear" w:color="auto" w:fill="BDD6EE"/>
            <w:noWrap/>
            <w:vAlign w:val="center"/>
            <w:hideMark/>
          </w:tcPr>
          <w:p w14:paraId="7923F7C5" w14:textId="77777777" w:rsidR="00154AD2" w:rsidRDefault="007F6BF3">
            <w:pPr>
              <w:pStyle w:val="P68B1DB1-Normal6"/>
              <w:spacing w:after="0" w:line="240" w:lineRule="auto"/>
              <w:jc w:val="center"/>
              <w:rPr>
                <w:rFonts w:eastAsia="Times New Roman" w:cs="Times New Roman"/>
                <w:noProof/>
              </w:rPr>
            </w:pPr>
            <w:r>
              <w:rPr>
                <w:noProof/>
              </w:rPr>
              <w:t>Ε</w:t>
            </w:r>
          </w:p>
        </w:tc>
        <w:tc>
          <w:tcPr>
            <w:tcW w:w="747" w:type="dxa"/>
            <w:tcBorders>
              <w:bottom w:val="single" w:sz="4" w:space="0" w:color="auto"/>
            </w:tcBorders>
            <w:shd w:val="clear" w:color="auto" w:fill="BDD6EE"/>
            <w:noWrap/>
            <w:vAlign w:val="center"/>
            <w:hideMark/>
          </w:tcPr>
          <w:p w14:paraId="73E52651" w14:textId="77777777" w:rsidR="00154AD2" w:rsidRDefault="007F6BF3">
            <w:pPr>
              <w:pStyle w:val="P68B1DB1-Normal6"/>
              <w:spacing w:after="0" w:line="240" w:lineRule="auto"/>
              <w:jc w:val="center"/>
              <w:rPr>
                <w:rFonts w:eastAsia="Times New Roman" w:cs="Times New Roman"/>
                <w:noProof/>
              </w:rPr>
            </w:pPr>
            <w:r>
              <w:rPr>
                <w:noProof/>
              </w:rPr>
              <w:t>Έτος</w:t>
            </w:r>
          </w:p>
        </w:tc>
        <w:tc>
          <w:tcPr>
            <w:tcW w:w="3919" w:type="dxa"/>
            <w:vMerge/>
            <w:vAlign w:val="center"/>
            <w:hideMark/>
          </w:tcPr>
          <w:p w14:paraId="38FBE50A" w14:textId="77777777" w:rsidR="00154AD2" w:rsidRDefault="00154AD2">
            <w:pPr>
              <w:spacing w:after="0" w:line="240" w:lineRule="auto"/>
              <w:rPr>
                <w:rFonts w:ascii="Times New Roman" w:eastAsia="Times New Roman" w:hAnsi="Times New Roman" w:cs="Times New Roman"/>
                <w:b/>
                <w:noProof/>
                <w:sz w:val="18"/>
              </w:rPr>
            </w:pPr>
          </w:p>
        </w:tc>
      </w:tr>
      <w:tr w:rsidR="00154AD2" w14:paraId="110D1462" w14:textId="77777777">
        <w:trPr>
          <w:trHeight w:val="1328"/>
        </w:trPr>
        <w:tc>
          <w:tcPr>
            <w:tcW w:w="1134" w:type="dxa"/>
            <w:shd w:val="clear" w:color="auto" w:fill="C4EFCE"/>
            <w:vAlign w:val="center"/>
            <w:hideMark/>
          </w:tcPr>
          <w:p w14:paraId="6746EC53" w14:textId="77777777" w:rsidR="00154AD2" w:rsidRDefault="007F6BF3">
            <w:pPr>
              <w:pStyle w:val="P68B1DB1-Normal7"/>
              <w:spacing w:after="0" w:line="240" w:lineRule="auto"/>
              <w:jc w:val="center"/>
              <w:rPr>
                <w:rFonts w:eastAsia="Times New Roman" w:cs="Calibri"/>
                <w:noProof/>
              </w:rPr>
            </w:pPr>
            <w:r>
              <w:rPr>
                <w:noProof/>
              </w:rPr>
              <w:t>5.1</w:t>
            </w:r>
          </w:p>
        </w:tc>
        <w:tc>
          <w:tcPr>
            <w:tcW w:w="1165" w:type="dxa"/>
            <w:shd w:val="clear" w:color="auto" w:fill="C4EFCE"/>
            <w:vAlign w:val="center"/>
            <w:hideMark/>
          </w:tcPr>
          <w:p w14:paraId="26E5077E" w14:textId="77777777" w:rsidR="00154AD2" w:rsidRDefault="007F6BF3">
            <w:pPr>
              <w:pStyle w:val="P68B1DB1-Normal8"/>
              <w:spacing w:after="0" w:line="240" w:lineRule="auto"/>
              <w:jc w:val="center"/>
              <w:rPr>
                <w:rFonts w:eastAsia="Times New Roman" w:cs="Calibri"/>
                <w:noProof/>
              </w:rPr>
            </w:pPr>
            <w:r>
              <w:rPr>
                <w:noProof/>
              </w:rPr>
              <w:t>RE-C05-r09</w:t>
            </w:r>
          </w:p>
        </w:tc>
        <w:tc>
          <w:tcPr>
            <w:tcW w:w="976" w:type="dxa"/>
            <w:shd w:val="clear" w:color="auto" w:fill="C4EFCE"/>
            <w:vAlign w:val="center"/>
            <w:hideMark/>
          </w:tcPr>
          <w:p w14:paraId="3B5D305C" w14:textId="77777777" w:rsidR="00154AD2" w:rsidRDefault="007F6BF3">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01150D1F" w14:textId="77777777" w:rsidR="00154AD2" w:rsidRDefault="007F6BF3">
            <w:pPr>
              <w:pStyle w:val="P68B1DB1-Normal8"/>
              <w:spacing w:after="0" w:line="240" w:lineRule="auto"/>
              <w:jc w:val="center"/>
              <w:rPr>
                <w:rFonts w:eastAsia="Times New Roman" w:cs="Calibri"/>
                <w:noProof/>
              </w:rPr>
            </w:pPr>
            <w:r>
              <w:rPr>
                <w:noProof/>
              </w:rPr>
              <w:t>Επικαιροποίηση των κατευθυντήριων γραμμών για τη στρατηγική τεχνολογικής και επιχειρηματικής καινοτομίας για την Πορτογαλία το 2030</w:t>
            </w:r>
          </w:p>
        </w:tc>
        <w:tc>
          <w:tcPr>
            <w:tcW w:w="2029" w:type="dxa"/>
            <w:shd w:val="clear" w:color="auto" w:fill="C4EFCE"/>
            <w:vAlign w:val="center"/>
            <w:hideMark/>
          </w:tcPr>
          <w:p w14:paraId="1FA50D9E" w14:textId="77777777" w:rsidR="00154AD2" w:rsidRDefault="007F6BF3">
            <w:pPr>
              <w:pStyle w:val="P68B1DB1-Normal8"/>
              <w:spacing w:after="0" w:line="240" w:lineRule="auto"/>
              <w:jc w:val="center"/>
              <w:rPr>
                <w:rFonts w:eastAsia="Times New Roman" w:cs="Calibri"/>
                <w:noProof/>
              </w:rPr>
            </w:pPr>
            <w:r>
              <w:rPr>
                <w:noProof/>
              </w:rPr>
              <w:t>Δημοσίευση επικαιροποιημένων κατευθυντήριων γραμμών για τη στρατηγική τεχνολογικής και επιχειρηματικής καινοτομίας για την Πορτογαλία το 2030</w:t>
            </w:r>
          </w:p>
        </w:tc>
        <w:tc>
          <w:tcPr>
            <w:tcW w:w="982" w:type="dxa"/>
            <w:shd w:val="clear" w:color="auto" w:fill="C4EFCE"/>
            <w:vAlign w:val="center"/>
            <w:hideMark/>
          </w:tcPr>
          <w:p w14:paraId="1A083873" w14:textId="77777777" w:rsidR="00154AD2" w:rsidRDefault="007F6BF3">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486A4EC8" w14:textId="77777777" w:rsidR="00154AD2" w:rsidRDefault="007F6BF3">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315D3D4A" w14:textId="77777777" w:rsidR="00154AD2" w:rsidRDefault="007F6BF3">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61050DF5"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47" w:type="dxa"/>
            <w:shd w:val="clear" w:color="auto" w:fill="C4EFCE"/>
            <w:vAlign w:val="center"/>
            <w:hideMark/>
          </w:tcPr>
          <w:p w14:paraId="19F55430" w14:textId="77777777" w:rsidR="00154AD2" w:rsidRDefault="007F6BF3">
            <w:pPr>
              <w:pStyle w:val="P68B1DB1-Normal8"/>
              <w:spacing w:after="0" w:line="240" w:lineRule="auto"/>
              <w:jc w:val="center"/>
              <w:rPr>
                <w:rFonts w:eastAsia="Times New Roman" w:cs="Calibri"/>
                <w:noProof/>
              </w:rPr>
            </w:pPr>
            <w:r>
              <w:rPr>
                <w:noProof/>
              </w:rPr>
              <w:t>2021</w:t>
            </w:r>
          </w:p>
        </w:tc>
        <w:tc>
          <w:tcPr>
            <w:tcW w:w="3919" w:type="dxa"/>
            <w:shd w:val="clear" w:color="auto" w:fill="C4EFCE"/>
            <w:vAlign w:val="center"/>
            <w:hideMark/>
          </w:tcPr>
          <w:p w14:paraId="73AB634A" w14:textId="77777777" w:rsidR="00154AD2" w:rsidRDefault="007F6BF3">
            <w:pPr>
              <w:pStyle w:val="P68B1DB1-Normal8"/>
              <w:spacing w:after="0" w:line="240" w:lineRule="auto"/>
              <w:jc w:val="both"/>
              <w:rPr>
                <w:rFonts w:eastAsia="Times New Roman" w:cs="Calibri"/>
                <w:noProof/>
              </w:rPr>
            </w:pPr>
            <w:r>
              <w:rPr>
                <w:noProof/>
              </w:rPr>
              <w:t xml:space="preserve">Επικαιροποίηση της απόφασης του Υπουργικού Συμβουλίου σχετικά με την έγκριση των κατευθυντήριων γραμμών για μια στρατηγική τεχνολογικής και επιχειρηματικής καινοτομίας για την Πορτογαλία, 2018-2030, λαμβάνοντας υπόψη την πρόσφατα εγκριθείσα στρατηγική της Πορτογαλίας για το 2030 και τις νέες προκλήσεις της οικονομικής ανάκαμψης.  </w:t>
            </w:r>
          </w:p>
        </w:tc>
      </w:tr>
      <w:tr w:rsidR="00154AD2" w14:paraId="5E5E0ADB" w14:textId="77777777">
        <w:trPr>
          <w:trHeight w:val="1134"/>
        </w:trPr>
        <w:tc>
          <w:tcPr>
            <w:tcW w:w="1134" w:type="dxa"/>
            <w:shd w:val="clear" w:color="auto" w:fill="C4EFCE"/>
            <w:vAlign w:val="center"/>
            <w:hideMark/>
          </w:tcPr>
          <w:p w14:paraId="3DD3A8E0" w14:textId="77777777" w:rsidR="00154AD2" w:rsidRDefault="007F6BF3">
            <w:pPr>
              <w:pStyle w:val="P68B1DB1-Normal7"/>
              <w:spacing w:after="0" w:line="240" w:lineRule="auto"/>
              <w:jc w:val="center"/>
              <w:rPr>
                <w:rFonts w:eastAsia="Times New Roman" w:cs="Calibri"/>
                <w:noProof/>
              </w:rPr>
            </w:pPr>
            <w:r>
              <w:rPr>
                <w:noProof/>
              </w:rPr>
              <w:t>5.2</w:t>
            </w:r>
          </w:p>
        </w:tc>
        <w:tc>
          <w:tcPr>
            <w:tcW w:w="1165" w:type="dxa"/>
            <w:shd w:val="clear" w:color="auto" w:fill="C4EFCE"/>
            <w:vAlign w:val="center"/>
            <w:hideMark/>
          </w:tcPr>
          <w:p w14:paraId="7C0278D5" w14:textId="77777777" w:rsidR="00154AD2" w:rsidRDefault="007F6BF3">
            <w:pPr>
              <w:pStyle w:val="P68B1DB1-Normal8"/>
              <w:spacing w:after="0" w:line="240" w:lineRule="auto"/>
              <w:jc w:val="center"/>
              <w:rPr>
                <w:rFonts w:eastAsia="Times New Roman" w:cs="Calibri"/>
                <w:noProof/>
              </w:rPr>
            </w:pPr>
            <w:r>
              <w:rPr>
                <w:noProof/>
              </w:rPr>
              <w:t>RE-C05-r11</w:t>
            </w:r>
          </w:p>
        </w:tc>
        <w:tc>
          <w:tcPr>
            <w:tcW w:w="976" w:type="dxa"/>
            <w:shd w:val="clear" w:color="auto" w:fill="C4EFCE"/>
            <w:vAlign w:val="center"/>
            <w:hideMark/>
          </w:tcPr>
          <w:p w14:paraId="05E26CF5" w14:textId="77777777" w:rsidR="00154AD2" w:rsidRDefault="007F6BF3">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5A7AA3EE" w14:textId="77777777" w:rsidR="00154AD2" w:rsidRDefault="007F6BF3">
            <w:pPr>
              <w:pStyle w:val="P68B1DB1-Normal8"/>
              <w:spacing w:after="0" w:line="240" w:lineRule="auto"/>
              <w:jc w:val="center"/>
              <w:rPr>
                <w:rFonts w:eastAsia="Times New Roman" w:cs="Calibri"/>
                <w:noProof/>
              </w:rPr>
            </w:pPr>
            <w:r>
              <w:rPr>
                <w:noProof/>
              </w:rPr>
              <w:t>Επέκταση του δικτύου αναγνωρισμένων συνεργατικών εργαστηρίων</w:t>
            </w:r>
          </w:p>
        </w:tc>
        <w:tc>
          <w:tcPr>
            <w:tcW w:w="2029" w:type="dxa"/>
            <w:shd w:val="clear" w:color="auto" w:fill="C4EFCE"/>
            <w:vAlign w:val="center"/>
            <w:hideMark/>
          </w:tcPr>
          <w:p w14:paraId="2DEFD2C1" w14:textId="77777777" w:rsidR="00154AD2" w:rsidRDefault="007F6BF3">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6475022A"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82" w:type="dxa"/>
            <w:shd w:val="clear" w:color="auto" w:fill="C4EFCE"/>
            <w:vAlign w:val="center"/>
            <w:hideMark/>
          </w:tcPr>
          <w:p w14:paraId="77E0ED1B" w14:textId="77777777" w:rsidR="00154AD2" w:rsidRDefault="007F6BF3">
            <w:pPr>
              <w:pStyle w:val="P68B1DB1-Normal8"/>
              <w:spacing w:after="0" w:line="240" w:lineRule="auto"/>
              <w:jc w:val="center"/>
              <w:rPr>
                <w:rFonts w:eastAsia="Times New Roman" w:cs="Calibri"/>
                <w:noProof/>
              </w:rPr>
            </w:pPr>
            <w:r>
              <w:rPr>
                <w:noProof/>
              </w:rPr>
              <w:t>26</w:t>
            </w:r>
          </w:p>
        </w:tc>
        <w:tc>
          <w:tcPr>
            <w:tcW w:w="626" w:type="dxa"/>
            <w:shd w:val="clear" w:color="auto" w:fill="C4EFCE"/>
            <w:vAlign w:val="center"/>
            <w:hideMark/>
          </w:tcPr>
          <w:p w14:paraId="0AF51B93" w14:textId="77777777" w:rsidR="00154AD2" w:rsidRDefault="007F6BF3">
            <w:pPr>
              <w:pStyle w:val="P68B1DB1-Normal8"/>
              <w:spacing w:after="0" w:line="240" w:lineRule="auto"/>
              <w:jc w:val="center"/>
              <w:rPr>
                <w:rFonts w:eastAsia="Times New Roman" w:cs="Calibri"/>
                <w:noProof/>
              </w:rPr>
            </w:pPr>
            <w:r>
              <w:rPr>
                <w:noProof/>
              </w:rPr>
              <w:t>35</w:t>
            </w:r>
          </w:p>
        </w:tc>
        <w:tc>
          <w:tcPr>
            <w:tcW w:w="514" w:type="dxa"/>
            <w:shd w:val="clear" w:color="auto" w:fill="C4EFCE"/>
            <w:vAlign w:val="center"/>
            <w:hideMark/>
          </w:tcPr>
          <w:p w14:paraId="782F8621"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747" w:type="dxa"/>
            <w:shd w:val="clear" w:color="auto" w:fill="C4EFCE"/>
            <w:vAlign w:val="center"/>
            <w:hideMark/>
          </w:tcPr>
          <w:p w14:paraId="523994E0" w14:textId="77777777" w:rsidR="00154AD2" w:rsidRDefault="007F6BF3">
            <w:pPr>
              <w:pStyle w:val="P68B1DB1-Normal8"/>
              <w:spacing w:after="0" w:line="240" w:lineRule="auto"/>
              <w:jc w:val="center"/>
              <w:rPr>
                <w:rFonts w:eastAsia="Times New Roman" w:cs="Calibri"/>
                <w:noProof/>
              </w:rPr>
            </w:pPr>
            <w:r>
              <w:rPr>
                <w:noProof/>
              </w:rPr>
              <w:t>2021</w:t>
            </w:r>
          </w:p>
        </w:tc>
        <w:tc>
          <w:tcPr>
            <w:tcW w:w="3919" w:type="dxa"/>
            <w:shd w:val="clear" w:color="auto" w:fill="C4EFCE"/>
            <w:vAlign w:val="center"/>
            <w:hideMark/>
          </w:tcPr>
          <w:p w14:paraId="06113D01" w14:textId="77777777" w:rsidR="00154AD2" w:rsidRDefault="007F6BF3">
            <w:pPr>
              <w:pStyle w:val="P68B1DB1-Normal8"/>
              <w:spacing w:after="0" w:line="240" w:lineRule="auto"/>
              <w:jc w:val="both"/>
              <w:rPr>
                <w:rFonts w:eastAsia="Times New Roman" w:cs="Calibri"/>
                <w:noProof/>
              </w:rPr>
            </w:pPr>
            <w:r>
              <w:rPr>
                <w:noProof/>
              </w:rPr>
              <w:t>Αναγνώριση και χορήγηση προσόντων για νέα εργαστήρια συνεργασίας — Επέκταση του δικτύου εργαστηρίων συνεργασίας μέσω της αναγνώρισης και της απονομής του τίτλου σε νέους φορείς, όπως προκύπτει από τη διαδικασία υποβολής αιτήσεων και αξιολόγησης που διεξάγεται από ανεξάρτητη επιτροπή αξιολόγησης εμπειρογνωμόνων αναγνωρισμένων διεθνών προσόντων που διορίζονται από το διοικητικό συμβούλιο της FCT, I.P (Ίδρυμα Επιστήμης και Τεχνολογίας)</w:t>
            </w:r>
          </w:p>
        </w:tc>
      </w:tr>
      <w:tr w:rsidR="00154AD2" w14:paraId="35A3451C" w14:textId="77777777">
        <w:trPr>
          <w:trHeight w:val="832"/>
        </w:trPr>
        <w:tc>
          <w:tcPr>
            <w:tcW w:w="1134" w:type="dxa"/>
            <w:shd w:val="clear" w:color="auto" w:fill="C4EFCE"/>
            <w:vAlign w:val="center"/>
            <w:hideMark/>
          </w:tcPr>
          <w:p w14:paraId="58D355F0" w14:textId="77777777" w:rsidR="00154AD2" w:rsidRDefault="007F6BF3">
            <w:pPr>
              <w:pStyle w:val="P68B1DB1-Normal7"/>
              <w:spacing w:after="0" w:line="240" w:lineRule="auto"/>
              <w:jc w:val="center"/>
              <w:rPr>
                <w:rFonts w:eastAsia="Times New Roman" w:cs="Calibri"/>
                <w:noProof/>
              </w:rPr>
            </w:pPr>
            <w:r>
              <w:rPr>
                <w:noProof/>
              </w:rPr>
              <w:t>5.3</w:t>
            </w:r>
          </w:p>
        </w:tc>
        <w:tc>
          <w:tcPr>
            <w:tcW w:w="1165" w:type="dxa"/>
            <w:shd w:val="clear" w:color="auto" w:fill="C4EFCE"/>
            <w:vAlign w:val="center"/>
            <w:hideMark/>
          </w:tcPr>
          <w:p w14:paraId="3E94C4FC" w14:textId="77777777" w:rsidR="00154AD2" w:rsidRDefault="007F6BF3">
            <w:pPr>
              <w:pStyle w:val="P68B1DB1-Normal8"/>
              <w:spacing w:after="0" w:line="240" w:lineRule="auto"/>
              <w:jc w:val="center"/>
              <w:rPr>
                <w:rFonts w:eastAsia="Times New Roman" w:cs="Calibri"/>
                <w:noProof/>
              </w:rPr>
            </w:pPr>
            <w:r>
              <w:rPr>
                <w:noProof/>
              </w:rPr>
              <w:t>RE-C05-r11</w:t>
            </w:r>
          </w:p>
        </w:tc>
        <w:tc>
          <w:tcPr>
            <w:tcW w:w="976" w:type="dxa"/>
            <w:shd w:val="clear" w:color="auto" w:fill="C4EFCE"/>
            <w:vAlign w:val="center"/>
            <w:hideMark/>
          </w:tcPr>
          <w:p w14:paraId="6C55C77E" w14:textId="77777777" w:rsidR="00154AD2" w:rsidRDefault="007F6BF3">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31D325B5" w14:textId="77777777" w:rsidR="00154AD2" w:rsidRDefault="007F6BF3">
            <w:pPr>
              <w:pStyle w:val="P68B1DB1-Normal8"/>
              <w:spacing w:after="0" w:line="240" w:lineRule="auto"/>
              <w:jc w:val="center"/>
              <w:rPr>
                <w:rFonts w:eastAsia="Times New Roman" w:cs="Calibri"/>
                <w:noProof/>
              </w:rPr>
            </w:pPr>
            <w:r>
              <w:rPr>
                <w:noProof/>
              </w:rPr>
              <w:t>Έναρξη ισχύος του νέου νομικού καθεστώτος για τα κέντρα τεχνολογίας και καινοτομίας</w:t>
            </w:r>
          </w:p>
        </w:tc>
        <w:tc>
          <w:tcPr>
            <w:tcW w:w="2029" w:type="dxa"/>
            <w:shd w:val="clear" w:color="auto" w:fill="C4EFCE"/>
            <w:vAlign w:val="center"/>
            <w:hideMark/>
          </w:tcPr>
          <w:p w14:paraId="0C5A7131" w14:textId="77777777" w:rsidR="00154AD2" w:rsidRDefault="007F6BF3">
            <w:pPr>
              <w:pStyle w:val="P68B1DB1-Normal8"/>
              <w:spacing w:after="0" w:line="240" w:lineRule="auto"/>
              <w:jc w:val="center"/>
              <w:rPr>
                <w:rFonts w:eastAsia="Times New Roman" w:cs="Calibri"/>
                <w:noProof/>
              </w:rPr>
            </w:pPr>
            <w:r>
              <w:rPr>
                <w:noProof/>
              </w:rPr>
              <w:t xml:space="preserve">Έναρξη ισχύος του νέου νομικού καθεστώτος για τα κέντρα τεχνολογίας και καινοτομίας </w:t>
            </w:r>
          </w:p>
        </w:tc>
        <w:tc>
          <w:tcPr>
            <w:tcW w:w="982" w:type="dxa"/>
            <w:shd w:val="clear" w:color="auto" w:fill="C4EFCE"/>
            <w:vAlign w:val="center"/>
            <w:hideMark/>
          </w:tcPr>
          <w:p w14:paraId="04B50F84" w14:textId="77777777" w:rsidR="00154AD2" w:rsidRDefault="007F6BF3">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3120DC99" w14:textId="77777777" w:rsidR="00154AD2" w:rsidRDefault="007F6BF3">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54BBA269" w14:textId="77777777" w:rsidR="00154AD2" w:rsidRDefault="007F6BF3">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3D528544"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47" w:type="dxa"/>
            <w:shd w:val="clear" w:color="auto" w:fill="C4EFCE"/>
            <w:vAlign w:val="center"/>
            <w:hideMark/>
          </w:tcPr>
          <w:p w14:paraId="21CF437E" w14:textId="77777777" w:rsidR="00154AD2" w:rsidRDefault="007F6BF3">
            <w:pPr>
              <w:pStyle w:val="P68B1DB1-Normal8"/>
              <w:spacing w:after="0" w:line="240" w:lineRule="auto"/>
              <w:jc w:val="center"/>
              <w:rPr>
                <w:rFonts w:eastAsia="Times New Roman" w:cs="Calibri"/>
                <w:noProof/>
              </w:rPr>
            </w:pPr>
            <w:r>
              <w:rPr>
                <w:noProof/>
              </w:rPr>
              <w:t>2021</w:t>
            </w:r>
          </w:p>
        </w:tc>
        <w:tc>
          <w:tcPr>
            <w:tcW w:w="3919" w:type="dxa"/>
            <w:shd w:val="clear" w:color="auto" w:fill="C4EFCE"/>
            <w:vAlign w:val="center"/>
            <w:hideMark/>
          </w:tcPr>
          <w:p w14:paraId="275CFEAF" w14:textId="77777777" w:rsidR="00154AD2" w:rsidRDefault="007F6BF3">
            <w:pPr>
              <w:pStyle w:val="P68B1DB1-Normal8"/>
              <w:spacing w:after="0" w:line="240" w:lineRule="auto"/>
              <w:jc w:val="both"/>
              <w:rPr>
                <w:rFonts w:eastAsia="Times New Roman" w:cs="Calibri"/>
                <w:noProof/>
              </w:rPr>
            </w:pPr>
            <w:r>
              <w:rPr>
                <w:noProof/>
              </w:rPr>
              <w:t>Η νομοθεσία επανεξετάζει και τυποποιεί το νομοθετικό και κανονιστικό πλαίσιο των φορέων που αποτελούν μέρος του επιστημονικού και τεχνολογικού συστήματος, καθορίζοντας το μοντέλο χρηματοδότησης και αξιολόγησής του.</w:t>
            </w:r>
          </w:p>
        </w:tc>
      </w:tr>
      <w:tr w:rsidR="00154AD2" w14:paraId="0A1CA6E0" w14:textId="77777777">
        <w:trPr>
          <w:trHeight w:val="882"/>
        </w:trPr>
        <w:tc>
          <w:tcPr>
            <w:tcW w:w="1134" w:type="dxa"/>
            <w:shd w:val="clear" w:color="auto" w:fill="C4EFCE"/>
            <w:vAlign w:val="center"/>
            <w:hideMark/>
          </w:tcPr>
          <w:p w14:paraId="539F0C3A" w14:textId="77777777" w:rsidR="00154AD2" w:rsidRDefault="007F6BF3">
            <w:pPr>
              <w:pStyle w:val="P68B1DB1-Normal7"/>
              <w:spacing w:after="0" w:line="240" w:lineRule="auto"/>
              <w:jc w:val="center"/>
              <w:rPr>
                <w:rFonts w:eastAsia="Times New Roman" w:cs="Calibri"/>
                <w:noProof/>
              </w:rPr>
            </w:pPr>
            <w:r>
              <w:rPr>
                <w:noProof/>
              </w:rPr>
              <w:t>5.4</w:t>
            </w:r>
          </w:p>
        </w:tc>
        <w:tc>
          <w:tcPr>
            <w:tcW w:w="1165" w:type="dxa"/>
            <w:shd w:val="clear" w:color="auto" w:fill="C4EFCE"/>
            <w:vAlign w:val="center"/>
            <w:hideMark/>
          </w:tcPr>
          <w:p w14:paraId="17A4EABC" w14:textId="77777777" w:rsidR="00154AD2" w:rsidRDefault="007F6BF3">
            <w:pPr>
              <w:pStyle w:val="P68B1DB1-Normal8"/>
              <w:spacing w:after="0" w:line="240" w:lineRule="auto"/>
              <w:jc w:val="center"/>
              <w:rPr>
                <w:rFonts w:eastAsia="Times New Roman" w:cs="Calibri"/>
                <w:noProof/>
              </w:rPr>
            </w:pPr>
            <w:r>
              <w:rPr>
                <w:noProof/>
              </w:rPr>
              <w:t>RE-C05-r12</w:t>
            </w:r>
          </w:p>
        </w:tc>
        <w:tc>
          <w:tcPr>
            <w:tcW w:w="976" w:type="dxa"/>
            <w:shd w:val="clear" w:color="auto" w:fill="C4EFCE"/>
            <w:vAlign w:val="center"/>
            <w:hideMark/>
          </w:tcPr>
          <w:p w14:paraId="2CCDE3B9" w14:textId="77777777" w:rsidR="00154AD2" w:rsidRDefault="007F6BF3">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71A5F73D" w14:textId="77777777" w:rsidR="00154AD2" w:rsidRDefault="007F6BF3">
            <w:pPr>
              <w:pStyle w:val="P68B1DB1-Normal8"/>
              <w:spacing w:after="0" w:line="240" w:lineRule="auto"/>
              <w:jc w:val="center"/>
              <w:rPr>
                <w:rFonts w:eastAsia="Times New Roman" w:cs="Calibri"/>
                <w:noProof/>
              </w:rPr>
            </w:pPr>
            <w:r>
              <w:rPr>
                <w:noProof/>
              </w:rPr>
              <w:t>Έγκριση του θεματολογίου καινοτομίας για τη γεωργία</w:t>
            </w:r>
          </w:p>
        </w:tc>
        <w:tc>
          <w:tcPr>
            <w:tcW w:w="2029" w:type="dxa"/>
            <w:shd w:val="clear" w:color="auto" w:fill="C4EFCE"/>
            <w:vAlign w:val="center"/>
            <w:hideMark/>
          </w:tcPr>
          <w:p w14:paraId="070AC07F" w14:textId="77777777" w:rsidR="00154AD2" w:rsidRDefault="007F6BF3">
            <w:pPr>
              <w:pStyle w:val="P68B1DB1-Normal8"/>
              <w:spacing w:after="0" w:line="240" w:lineRule="auto"/>
              <w:jc w:val="center"/>
              <w:rPr>
                <w:rFonts w:eastAsia="Times New Roman" w:cs="Calibri"/>
                <w:noProof/>
              </w:rPr>
            </w:pPr>
            <w:r>
              <w:rPr>
                <w:noProof/>
              </w:rPr>
              <w:t>Έγκριση του θεματολογίου καινοτομίας για τη γεωργία</w:t>
            </w:r>
          </w:p>
        </w:tc>
        <w:tc>
          <w:tcPr>
            <w:tcW w:w="982" w:type="dxa"/>
            <w:shd w:val="clear" w:color="auto" w:fill="C4EFCE"/>
            <w:vAlign w:val="center"/>
            <w:hideMark/>
          </w:tcPr>
          <w:p w14:paraId="428779D0" w14:textId="77777777" w:rsidR="00154AD2" w:rsidRDefault="007F6BF3">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62590ACF" w14:textId="77777777" w:rsidR="00154AD2" w:rsidRDefault="007F6BF3">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0D0096C5" w14:textId="77777777" w:rsidR="00154AD2" w:rsidRDefault="007F6BF3">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6AA4C8CC"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47" w:type="dxa"/>
            <w:shd w:val="clear" w:color="auto" w:fill="C4EFCE"/>
            <w:vAlign w:val="center"/>
            <w:hideMark/>
          </w:tcPr>
          <w:p w14:paraId="4EB83404" w14:textId="77777777" w:rsidR="00154AD2" w:rsidRDefault="007F6BF3">
            <w:pPr>
              <w:pStyle w:val="P68B1DB1-Normal8"/>
              <w:spacing w:after="0" w:line="240" w:lineRule="auto"/>
              <w:jc w:val="center"/>
              <w:rPr>
                <w:rFonts w:eastAsia="Times New Roman" w:cs="Calibri"/>
                <w:noProof/>
              </w:rPr>
            </w:pPr>
            <w:r>
              <w:rPr>
                <w:noProof/>
              </w:rPr>
              <w:t>2020</w:t>
            </w:r>
          </w:p>
        </w:tc>
        <w:tc>
          <w:tcPr>
            <w:tcW w:w="3919" w:type="dxa"/>
            <w:shd w:val="clear" w:color="auto" w:fill="C4EFCE"/>
            <w:vAlign w:val="center"/>
            <w:hideMark/>
          </w:tcPr>
          <w:p w14:paraId="0BB06B9A" w14:textId="77777777" w:rsidR="00154AD2" w:rsidRDefault="007F6BF3">
            <w:pPr>
              <w:pStyle w:val="P68B1DB1-Normal8"/>
              <w:spacing w:after="0" w:line="240" w:lineRule="auto"/>
              <w:jc w:val="both"/>
              <w:rPr>
                <w:rFonts w:eastAsia="Times New Roman" w:cs="Calibri"/>
                <w:noProof/>
              </w:rPr>
            </w:pPr>
            <w:r>
              <w:rPr>
                <w:noProof/>
              </w:rPr>
              <w:t>Δημοσίευση της απόφασης του Συμβουλίου Υπουργών για την έγκριση του θεματολογίου καινοτομίας για τη γεωργία. Απόφαση του Υπουργικού Συμβουλίου που δημοσιεύτηκε στις 15/10/2020</w:t>
            </w:r>
          </w:p>
        </w:tc>
      </w:tr>
      <w:tr w:rsidR="00154AD2" w14:paraId="32426B30" w14:textId="77777777">
        <w:trPr>
          <w:trHeight w:val="290"/>
        </w:trPr>
        <w:tc>
          <w:tcPr>
            <w:tcW w:w="1134" w:type="dxa"/>
            <w:shd w:val="clear" w:color="auto" w:fill="C4EFCE"/>
            <w:vAlign w:val="center"/>
            <w:hideMark/>
          </w:tcPr>
          <w:p w14:paraId="496B6F04" w14:textId="11995258" w:rsidR="00154AD2" w:rsidRDefault="007F6BF3">
            <w:pPr>
              <w:pStyle w:val="P68B1DB1-Normal7"/>
              <w:spacing w:after="0" w:line="240" w:lineRule="auto"/>
              <w:jc w:val="center"/>
              <w:rPr>
                <w:rFonts w:eastAsia="Times New Roman" w:cs="Calibri"/>
                <w:noProof/>
              </w:rPr>
            </w:pPr>
            <w:r>
              <w:rPr>
                <w:noProof/>
              </w:rPr>
              <w:t>5.5</w:t>
            </w:r>
          </w:p>
        </w:tc>
        <w:tc>
          <w:tcPr>
            <w:tcW w:w="1165" w:type="dxa"/>
            <w:shd w:val="clear" w:color="auto" w:fill="C4EFCE"/>
            <w:vAlign w:val="center"/>
            <w:hideMark/>
          </w:tcPr>
          <w:p w14:paraId="398EBCED" w14:textId="77777777" w:rsidR="00154AD2" w:rsidRDefault="007F6BF3">
            <w:pPr>
              <w:pStyle w:val="P68B1DB1-Normal8"/>
              <w:spacing w:after="0" w:line="240" w:lineRule="auto"/>
              <w:jc w:val="center"/>
              <w:rPr>
                <w:rFonts w:eastAsia="Times New Roman" w:cs="Calibri"/>
                <w:noProof/>
              </w:rPr>
            </w:pPr>
            <w:r>
              <w:rPr>
                <w:noProof/>
              </w:rPr>
              <w:t>RE-C05-i01.01</w:t>
            </w:r>
          </w:p>
        </w:tc>
        <w:tc>
          <w:tcPr>
            <w:tcW w:w="976" w:type="dxa"/>
            <w:shd w:val="clear" w:color="auto" w:fill="C4EFCE"/>
            <w:vAlign w:val="center"/>
            <w:hideMark/>
          </w:tcPr>
          <w:p w14:paraId="33F2AD16" w14:textId="77777777" w:rsidR="00154AD2" w:rsidRDefault="007F6BF3">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7FE6E86D" w14:textId="1BD699C7" w:rsidR="00154AD2" w:rsidRDefault="007F6BF3">
            <w:pPr>
              <w:pStyle w:val="P68B1DB1-Normal8"/>
              <w:spacing w:after="0" w:line="240" w:lineRule="auto"/>
              <w:jc w:val="center"/>
              <w:rPr>
                <w:rFonts w:eastAsia="Times New Roman" w:cs="Calibri"/>
                <w:noProof/>
              </w:rPr>
            </w:pPr>
            <w:r>
              <w:rPr>
                <w:noProof/>
              </w:rPr>
              <w:t>Σύναψη συμβάσεων για την ανάπτυξη νέων προϊόντων, διαδικασιών ή υπηρεσιών σε σχετικούς στρατηγικούς τομείς (θεματολόγια καινοτομίας).</w:t>
            </w:r>
          </w:p>
        </w:tc>
        <w:tc>
          <w:tcPr>
            <w:tcW w:w="2029" w:type="dxa"/>
            <w:shd w:val="clear" w:color="auto" w:fill="C4EFCE"/>
            <w:vAlign w:val="center"/>
            <w:hideMark/>
          </w:tcPr>
          <w:p w14:paraId="586F89B8" w14:textId="77777777" w:rsidR="00154AD2" w:rsidRDefault="007F6BF3">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4A0335E1"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82" w:type="dxa"/>
            <w:shd w:val="clear" w:color="auto" w:fill="C4EFCE"/>
            <w:vAlign w:val="center"/>
            <w:hideMark/>
          </w:tcPr>
          <w:p w14:paraId="7836D100" w14:textId="77777777" w:rsidR="00154AD2" w:rsidRDefault="007F6BF3">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69FCEC27" w14:textId="77777777" w:rsidR="00154AD2" w:rsidRDefault="007F6BF3">
            <w:pPr>
              <w:pStyle w:val="P68B1DB1-Normal8"/>
              <w:spacing w:after="0" w:line="240" w:lineRule="auto"/>
              <w:jc w:val="center"/>
              <w:rPr>
                <w:rFonts w:eastAsia="Times New Roman" w:cs="Calibri"/>
                <w:noProof/>
              </w:rPr>
            </w:pPr>
            <w:r>
              <w:rPr>
                <w:noProof/>
              </w:rPr>
              <w:t>6</w:t>
            </w:r>
          </w:p>
        </w:tc>
        <w:tc>
          <w:tcPr>
            <w:tcW w:w="514" w:type="dxa"/>
            <w:shd w:val="clear" w:color="auto" w:fill="C4EFCE"/>
            <w:vAlign w:val="center"/>
            <w:hideMark/>
          </w:tcPr>
          <w:p w14:paraId="26FC7773"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47" w:type="dxa"/>
            <w:shd w:val="clear" w:color="auto" w:fill="C4EFCE"/>
            <w:vAlign w:val="center"/>
            <w:hideMark/>
          </w:tcPr>
          <w:p w14:paraId="3E7F441B" w14:textId="77777777" w:rsidR="00154AD2" w:rsidRDefault="007F6BF3">
            <w:pPr>
              <w:pStyle w:val="P68B1DB1-Normal8"/>
              <w:spacing w:after="0" w:line="240" w:lineRule="auto"/>
              <w:jc w:val="center"/>
              <w:rPr>
                <w:rFonts w:eastAsia="Times New Roman" w:cs="Calibri"/>
                <w:noProof/>
              </w:rPr>
            </w:pPr>
            <w:r>
              <w:rPr>
                <w:noProof/>
              </w:rPr>
              <w:t>2022</w:t>
            </w:r>
          </w:p>
        </w:tc>
        <w:tc>
          <w:tcPr>
            <w:tcW w:w="3919" w:type="dxa"/>
            <w:shd w:val="clear" w:color="auto" w:fill="C4EFCE"/>
            <w:vAlign w:val="center"/>
            <w:hideMark/>
          </w:tcPr>
          <w:p w14:paraId="60B6D042" w14:textId="77777777" w:rsidR="00154AD2" w:rsidRDefault="007F6BF3">
            <w:pPr>
              <w:pStyle w:val="P68B1DB1-Normal8"/>
              <w:spacing w:after="0" w:line="240" w:lineRule="auto"/>
              <w:jc w:val="both"/>
              <w:rPr>
                <w:rFonts w:eastAsia="Times New Roman" w:cs="Calibri"/>
                <w:noProof/>
              </w:rPr>
            </w:pPr>
            <w:r>
              <w:rPr>
                <w:noProof/>
              </w:rPr>
              <w:t xml:space="preserve">Σύναψη έξι συμβάσεων (σύμφωνα καινοτομίας ή κινητοποίηση έργων) με κοινοπραξίες, οι οποίες περιλαμβάνουν: Τον προσδιορισμό των συνιστωσών οντοτήτων της κοινοπραξίας· </w:t>
            </w:r>
          </w:p>
          <w:p w14:paraId="4551FC29" w14:textId="213B120F" w:rsidR="00154AD2" w:rsidRDefault="007F6BF3">
            <w:pPr>
              <w:pStyle w:val="P68B1DB1-Normal8"/>
              <w:spacing w:after="0" w:line="240" w:lineRule="auto"/>
              <w:jc w:val="both"/>
              <w:rPr>
                <w:rFonts w:eastAsia="Times New Roman" w:cs="Calibri"/>
                <w:noProof/>
              </w:rPr>
            </w:pPr>
            <w:r>
              <w:rPr>
                <w:noProof/>
              </w:rPr>
              <w:t>Το επιχειρηματικό σχέδιο/επένδυση·</w:t>
            </w:r>
          </w:p>
          <w:p w14:paraId="74966FD9" w14:textId="77777777" w:rsidR="00154AD2" w:rsidRDefault="007F6BF3">
            <w:pPr>
              <w:pStyle w:val="P68B1DB1-Normal8"/>
              <w:spacing w:after="0" w:line="240" w:lineRule="auto"/>
              <w:jc w:val="both"/>
              <w:rPr>
                <w:rFonts w:eastAsia="Times New Roman" w:cs="Calibri"/>
                <w:noProof/>
              </w:rPr>
            </w:pPr>
            <w:r>
              <w:rPr>
                <w:noProof/>
              </w:rPr>
              <w:t xml:space="preserve">το ποσό της χρηματοδότησης· </w:t>
            </w:r>
          </w:p>
          <w:p w14:paraId="3EC5A194" w14:textId="77777777" w:rsidR="00154AD2" w:rsidRDefault="007F6BF3">
            <w:pPr>
              <w:pStyle w:val="P68B1DB1-Normal8"/>
              <w:spacing w:after="0" w:line="240" w:lineRule="auto"/>
              <w:jc w:val="both"/>
              <w:rPr>
                <w:rFonts w:eastAsia="Times New Roman" w:cs="Calibri"/>
                <w:noProof/>
              </w:rPr>
            </w:pPr>
            <w:r>
              <w:rPr>
                <w:noProof/>
              </w:rPr>
              <w:t xml:space="preserve">Τους στόχους από τους οποίους δεσμεύεται ο δικαιούχος· </w:t>
            </w:r>
          </w:p>
          <w:p w14:paraId="6A5827B9" w14:textId="77777777" w:rsidR="00154AD2" w:rsidRDefault="007F6BF3">
            <w:pPr>
              <w:pStyle w:val="P68B1DB1-Normal8"/>
              <w:spacing w:after="0" w:line="240" w:lineRule="auto"/>
              <w:jc w:val="both"/>
              <w:rPr>
                <w:rFonts w:eastAsia="Times New Roman" w:cs="Calibri"/>
                <w:noProof/>
              </w:rPr>
            </w:pPr>
            <w:r>
              <w:rPr>
                <w:noProof/>
              </w:rPr>
              <w:t xml:space="preserve">Τη μορφή της παρακολούθησης. </w:t>
            </w:r>
          </w:p>
          <w:p w14:paraId="336484AB" w14:textId="12D62436" w:rsidR="00154AD2" w:rsidRDefault="007F6BF3">
            <w:pPr>
              <w:pStyle w:val="P68B1DB1-Normal8"/>
              <w:spacing w:after="0" w:line="240" w:lineRule="auto"/>
              <w:jc w:val="both"/>
              <w:rPr>
                <w:rFonts w:eastAsia="Times New Roman" w:cs="Calibri"/>
                <w:noProof/>
              </w:rPr>
            </w:pPr>
            <w:r>
              <w:rPr>
                <w:noProof/>
              </w:rPr>
              <w:t>Οι συμβάσεις υποστηρίζουν συνολικά τουλάχιστον 60 προϊόντα, διαδικασίες ή υπηρεσίες. Οι όροι αναφοράς περιλαμβάνουν κριτήρια επιλεξιμότητας που διασφαλίζουν ότι τα επιλεγμένα έργα συμμορφώνονται με την τεχνική καθοδήγηση για την εφαρμογή της αρχής της «μη πρόκλησης σημαντικής βλάβης» (2021/C58/01) μέσω της χρήσης καταλόγου αποκλεισμού και της απαίτησης συμμόρφωσης με τη σχετική ενωσιακή και εθνική περιβαλλοντική νομοθεσία.</w:t>
            </w:r>
          </w:p>
        </w:tc>
      </w:tr>
      <w:tr w:rsidR="00154AD2" w14:paraId="2A70DAF8" w14:textId="77777777">
        <w:trPr>
          <w:trHeight w:val="1177"/>
        </w:trPr>
        <w:tc>
          <w:tcPr>
            <w:tcW w:w="1134" w:type="dxa"/>
            <w:shd w:val="clear" w:color="auto" w:fill="C4EFCE"/>
            <w:vAlign w:val="center"/>
            <w:hideMark/>
          </w:tcPr>
          <w:p w14:paraId="509D06FA" w14:textId="77777777" w:rsidR="00154AD2" w:rsidRDefault="007F6BF3">
            <w:pPr>
              <w:pStyle w:val="P68B1DB1-Normal7"/>
              <w:spacing w:after="0" w:line="240" w:lineRule="auto"/>
              <w:jc w:val="center"/>
              <w:rPr>
                <w:rFonts w:eastAsia="Times New Roman" w:cs="Calibri"/>
                <w:noProof/>
              </w:rPr>
            </w:pPr>
            <w:r>
              <w:rPr>
                <w:noProof/>
              </w:rPr>
              <w:t>5.6</w:t>
            </w:r>
          </w:p>
        </w:tc>
        <w:tc>
          <w:tcPr>
            <w:tcW w:w="1165" w:type="dxa"/>
            <w:shd w:val="clear" w:color="auto" w:fill="C4EFCE"/>
            <w:vAlign w:val="center"/>
            <w:hideMark/>
          </w:tcPr>
          <w:p w14:paraId="33218AE0" w14:textId="77777777" w:rsidR="00154AD2" w:rsidRDefault="007F6BF3">
            <w:pPr>
              <w:pStyle w:val="P68B1DB1-Normal8"/>
              <w:spacing w:after="0" w:line="240" w:lineRule="auto"/>
              <w:jc w:val="center"/>
              <w:rPr>
                <w:rFonts w:eastAsia="Times New Roman" w:cs="Calibri"/>
                <w:noProof/>
              </w:rPr>
            </w:pPr>
            <w:r>
              <w:rPr>
                <w:noProof/>
              </w:rPr>
              <w:t>RE-C05-i01.01</w:t>
            </w:r>
          </w:p>
        </w:tc>
        <w:tc>
          <w:tcPr>
            <w:tcW w:w="976" w:type="dxa"/>
            <w:shd w:val="clear" w:color="auto" w:fill="C4EFCE"/>
            <w:vAlign w:val="center"/>
            <w:hideMark/>
          </w:tcPr>
          <w:p w14:paraId="28D975FD" w14:textId="77777777" w:rsidR="00154AD2" w:rsidRDefault="007F6BF3">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399030BE" w14:textId="77777777" w:rsidR="00154AD2" w:rsidRDefault="007F6BF3">
            <w:pPr>
              <w:pStyle w:val="P68B1DB1-Normal8"/>
              <w:spacing w:after="0" w:line="240" w:lineRule="auto"/>
              <w:jc w:val="center"/>
              <w:rPr>
                <w:rFonts w:eastAsia="Times New Roman" w:cs="Calibri"/>
                <w:noProof/>
              </w:rPr>
            </w:pPr>
            <w:r>
              <w:rPr>
                <w:noProof/>
              </w:rPr>
              <w:t xml:space="preserve">Ολοκλήρωση της εκτέλεσης των 6 συμβάσεων (σύμφωνα καινοτομίας ή σχέδια κινητοποίησης)  </w:t>
            </w:r>
          </w:p>
        </w:tc>
        <w:tc>
          <w:tcPr>
            <w:tcW w:w="2029" w:type="dxa"/>
            <w:shd w:val="clear" w:color="auto" w:fill="C4EFCE"/>
            <w:vAlign w:val="center"/>
            <w:hideMark/>
          </w:tcPr>
          <w:p w14:paraId="6BAACDF3" w14:textId="77777777" w:rsidR="00154AD2" w:rsidRDefault="007F6BF3">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12ABD6D2"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82" w:type="dxa"/>
            <w:shd w:val="clear" w:color="auto" w:fill="C4EFCE"/>
            <w:vAlign w:val="center"/>
            <w:hideMark/>
          </w:tcPr>
          <w:p w14:paraId="655CED5C" w14:textId="77777777" w:rsidR="00154AD2" w:rsidRDefault="007F6BF3">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390ACFAB" w14:textId="77777777" w:rsidR="00154AD2" w:rsidRDefault="007F6BF3">
            <w:pPr>
              <w:pStyle w:val="P68B1DB1-Normal8"/>
              <w:spacing w:after="0" w:line="240" w:lineRule="auto"/>
              <w:jc w:val="center"/>
              <w:rPr>
                <w:rFonts w:eastAsia="Times New Roman" w:cs="Calibri"/>
                <w:noProof/>
              </w:rPr>
            </w:pPr>
            <w:r>
              <w:rPr>
                <w:noProof/>
              </w:rPr>
              <w:t>6</w:t>
            </w:r>
          </w:p>
        </w:tc>
        <w:tc>
          <w:tcPr>
            <w:tcW w:w="514" w:type="dxa"/>
            <w:shd w:val="clear" w:color="auto" w:fill="C4EFCE"/>
            <w:vAlign w:val="center"/>
            <w:hideMark/>
          </w:tcPr>
          <w:p w14:paraId="6ECDA684"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47" w:type="dxa"/>
            <w:shd w:val="clear" w:color="auto" w:fill="C4EFCE"/>
            <w:vAlign w:val="center"/>
            <w:hideMark/>
          </w:tcPr>
          <w:p w14:paraId="6279F629" w14:textId="77777777" w:rsidR="00154AD2" w:rsidRDefault="007F6BF3">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7BE5656C" w14:textId="77777777" w:rsidR="00154AD2" w:rsidRDefault="007F6BF3">
            <w:pPr>
              <w:pStyle w:val="P68B1DB1-Normal8"/>
              <w:spacing w:after="0" w:line="240" w:lineRule="auto"/>
              <w:jc w:val="both"/>
              <w:rPr>
                <w:rFonts w:eastAsia="Times New Roman" w:cs="Calibri"/>
                <w:noProof/>
              </w:rPr>
            </w:pPr>
            <w:r>
              <w:rPr>
                <w:noProof/>
              </w:rPr>
              <w:t xml:space="preserve">Ολοκλήρωση των προϊόντων, των διαδικασιών ή των υπηρεσιών σε σχετικούς στρατηγικούς τομείς, που προκύπτουν από την εφαρμογή των έξι συμβάσεων (σύμφωνα καινοτομίας ή κινητοποίηση έργων) που έχουν συναφθεί με κοινοπραξίες. </w:t>
            </w:r>
          </w:p>
        </w:tc>
      </w:tr>
      <w:tr w:rsidR="00154AD2" w14:paraId="6643E212" w14:textId="77777777">
        <w:trPr>
          <w:trHeight w:val="3677"/>
        </w:trPr>
        <w:tc>
          <w:tcPr>
            <w:tcW w:w="1134" w:type="dxa"/>
            <w:shd w:val="clear" w:color="auto" w:fill="C4EFCE"/>
            <w:vAlign w:val="center"/>
            <w:hideMark/>
          </w:tcPr>
          <w:p w14:paraId="468D23F3" w14:textId="77777777" w:rsidR="00154AD2" w:rsidRDefault="007F6BF3">
            <w:pPr>
              <w:pStyle w:val="P68B1DB1-Normal7"/>
              <w:spacing w:after="0" w:line="240" w:lineRule="auto"/>
              <w:jc w:val="center"/>
              <w:rPr>
                <w:rFonts w:eastAsia="Times New Roman" w:cs="Calibri"/>
                <w:noProof/>
              </w:rPr>
            </w:pPr>
            <w:r>
              <w:rPr>
                <w:noProof/>
              </w:rPr>
              <w:t>5.7 </w:t>
            </w:r>
          </w:p>
        </w:tc>
        <w:tc>
          <w:tcPr>
            <w:tcW w:w="1165" w:type="dxa"/>
            <w:shd w:val="clear" w:color="auto" w:fill="C4EFCE"/>
            <w:vAlign w:val="center"/>
            <w:hideMark/>
          </w:tcPr>
          <w:p w14:paraId="2FA90289" w14:textId="77777777" w:rsidR="00154AD2" w:rsidRDefault="007F6BF3">
            <w:pPr>
              <w:pStyle w:val="P68B1DB1-Normal8"/>
              <w:spacing w:after="0" w:line="240" w:lineRule="auto"/>
              <w:jc w:val="center"/>
              <w:rPr>
                <w:rFonts w:eastAsia="Times New Roman" w:cs="Calibri"/>
                <w:noProof/>
              </w:rPr>
            </w:pPr>
            <w:r>
              <w:rPr>
                <w:noProof/>
              </w:rPr>
              <w:t>RE-C05-i01.02</w:t>
            </w:r>
          </w:p>
        </w:tc>
        <w:tc>
          <w:tcPr>
            <w:tcW w:w="976" w:type="dxa"/>
            <w:shd w:val="clear" w:color="auto" w:fill="C4EFCE"/>
            <w:vAlign w:val="center"/>
            <w:hideMark/>
          </w:tcPr>
          <w:p w14:paraId="01D312C5" w14:textId="77777777" w:rsidR="00154AD2" w:rsidRDefault="007F6BF3">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1983D09B" w14:textId="4A5620C6" w:rsidR="00154AD2" w:rsidRDefault="007F6BF3">
            <w:pPr>
              <w:pStyle w:val="P68B1DB1-Normal8"/>
              <w:spacing w:after="0" w:line="240" w:lineRule="auto"/>
              <w:jc w:val="center"/>
              <w:rPr>
                <w:rFonts w:eastAsia="Times New Roman" w:cs="Calibri"/>
                <w:noProof/>
              </w:rPr>
            </w:pPr>
            <w:r>
              <w:rPr>
                <w:noProof/>
              </w:rPr>
              <w:t xml:space="preserve">Σύναψη συμβάσεων για την ανάπτυξη νέων προϊόντων, διαδικασιών ή υπηρεσιών σε στρατηγικούς τομείς που σχετίζονται με την οικονομία χαμηλών εκπομπών διοξειδίου του άνθρακα, την ανθεκτικότητα και την προσαρμογή στην κλιματική αλλαγή. </w:t>
            </w:r>
          </w:p>
        </w:tc>
        <w:tc>
          <w:tcPr>
            <w:tcW w:w="2029" w:type="dxa"/>
            <w:shd w:val="clear" w:color="auto" w:fill="C4EFCE"/>
            <w:vAlign w:val="center"/>
            <w:hideMark/>
          </w:tcPr>
          <w:p w14:paraId="70E69742" w14:textId="77777777" w:rsidR="00154AD2" w:rsidRDefault="007F6BF3">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5945C4B9"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82" w:type="dxa"/>
            <w:shd w:val="clear" w:color="auto" w:fill="C4EFCE"/>
            <w:vAlign w:val="center"/>
            <w:hideMark/>
          </w:tcPr>
          <w:p w14:paraId="6498CFE3" w14:textId="77777777" w:rsidR="00154AD2" w:rsidRDefault="007F6BF3">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556C19C5" w14:textId="77777777" w:rsidR="00154AD2" w:rsidRDefault="007F6BF3">
            <w:pPr>
              <w:pStyle w:val="P68B1DB1-Normal8"/>
              <w:spacing w:after="0" w:line="240" w:lineRule="auto"/>
              <w:jc w:val="center"/>
              <w:rPr>
                <w:rFonts w:eastAsia="Times New Roman" w:cs="Calibri"/>
                <w:noProof/>
              </w:rPr>
            </w:pPr>
            <w:r>
              <w:rPr>
                <w:noProof/>
              </w:rPr>
              <w:t>4</w:t>
            </w:r>
          </w:p>
        </w:tc>
        <w:tc>
          <w:tcPr>
            <w:tcW w:w="514" w:type="dxa"/>
            <w:shd w:val="clear" w:color="auto" w:fill="C4EFCE"/>
            <w:vAlign w:val="center"/>
            <w:hideMark/>
          </w:tcPr>
          <w:p w14:paraId="2F258065"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47" w:type="dxa"/>
            <w:shd w:val="clear" w:color="auto" w:fill="C4EFCE"/>
            <w:vAlign w:val="center"/>
            <w:hideMark/>
          </w:tcPr>
          <w:p w14:paraId="4CBB76C3" w14:textId="77777777" w:rsidR="00154AD2" w:rsidRDefault="007F6BF3">
            <w:pPr>
              <w:pStyle w:val="P68B1DB1-Normal8"/>
              <w:spacing w:after="0" w:line="240" w:lineRule="auto"/>
              <w:jc w:val="center"/>
              <w:rPr>
                <w:rFonts w:eastAsia="Times New Roman" w:cs="Calibri"/>
                <w:noProof/>
              </w:rPr>
            </w:pPr>
            <w:r>
              <w:rPr>
                <w:noProof/>
              </w:rPr>
              <w:t>2022</w:t>
            </w:r>
          </w:p>
        </w:tc>
        <w:tc>
          <w:tcPr>
            <w:tcW w:w="3919" w:type="dxa"/>
            <w:shd w:val="clear" w:color="auto" w:fill="C4EFCE"/>
            <w:vAlign w:val="center"/>
            <w:hideMark/>
          </w:tcPr>
          <w:p w14:paraId="60F200E4" w14:textId="77777777" w:rsidR="00154AD2" w:rsidRDefault="007F6BF3">
            <w:pPr>
              <w:pStyle w:val="P68B1DB1-Normal8"/>
              <w:spacing w:after="0" w:line="240" w:lineRule="auto"/>
              <w:jc w:val="both"/>
              <w:rPr>
                <w:rFonts w:eastAsia="Times New Roman" w:cs="Calibri"/>
                <w:noProof/>
              </w:rPr>
            </w:pPr>
            <w:r>
              <w:rPr>
                <w:noProof/>
              </w:rPr>
              <w:t>Σύναψη τεσσάρων συμβάσεων (σύμφωνα καινοτομίας ή κινητοποίηση έργων) με κοινοπραξίες, οι οποίες περιλαμβάνουν: Τον προσδιορισμό των συνιστωσών οντοτήτων της κοινοπραξίας·</w:t>
            </w:r>
          </w:p>
          <w:p w14:paraId="270B450D" w14:textId="4F7D3223" w:rsidR="00154AD2" w:rsidRDefault="007F6BF3">
            <w:pPr>
              <w:pStyle w:val="P68B1DB1-Normal8"/>
              <w:spacing w:after="0" w:line="240" w:lineRule="auto"/>
              <w:jc w:val="both"/>
              <w:rPr>
                <w:rFonts w:eastAsia="Times New Roman" w:cs="Calibri"/>
                <w:noProof/>
              </w:rPr>
            </w:pPr>
            <w:r>
              <w:rPr>
                <w:noProof/>
              </w:rPr>
              <w:t xml:space="preserve">Το επιχειρηματικό σχέδιο/επένδυση· </w:t>
            </w:r>
          </w:p>
          <w:p w14:paraId="026E6977" w14:textId="77777777" w:rsidR="00154AD2" w:rsidRDefault="007F6BF3">
            <w:pPr>
              <w:pStyle w:val="P68B1DB1-Normal8"/>
              <w:spacing w:after="0" w:line="240" w:lineRule="auto"/>
              <w:jc w:val="both"/>
              <w:rPr>
                <w:rFonts w:eastAsia="Times New Roman" w:cs="Calibri"/>
                <w:noProof/>
              </w:rPr>
            </w:pPr>
            <w:r>
              <w:rPr>
                <w:noProof/>
              </w:rPr>
              <w:t xml:space="preserve">το ποσό της χρηματοδότησης· </w:t>
            </w:r>
          </w:p>
          <w:p w14:paraId="3DAD31FF" w14:textId="77777777" w:rsidR="00154AD2" w:rsidRDefault="007F6BF3">
            <w:pPr>
              <w:pStyle w:val="P68B1DB1-Normal8"/>
              <w:spacing w:after="0" w:line="240" w:lineRule="auto"/>
              <w:jc w:val="both"/>
              <w:rPr>
                <w:rFonts w:eastAsia="Times New Roman" w:cs="Calibri"/>
                <w:noProof/>
              </w:rPr>
            </w:pPr>
            <w:r>
              <w:rPr>
                <w:noProof/>
              </w:rPr>
              <w:t xml:space="preserve">Τους στόχους από τους οποίους δεσμεύεται ο δικαιούχος· </w:t>
            </w:r>
          </w:p>
          <w:p w14:paraId="7918E159" w14:textId="77777777" w:rsidR="00154AD2" w:rsidRDefault="007F6BF3">
            <w:pPr>
              <w:pStyle w:val="P68B1DB1-Normal8"/>
              <w:spacing w:after="0" w:line="240" w:lineRule="auto"/>
              <w:jc w:val="both"/>
              <w:rPr>
                <w:rFonts w:eastAsia="Times New Roman" w:cs="Calibri"/>
                <w:noProof/>
              </w:rPr>
            </w:pPr>
            <w:r>
              <w:rPr>
                <w:noProof/>
              </w:rPr>
              <w:t>Τη μορφή της παρακολούθησης.</w:t>
            </w:r>
          </w:p>
          <w:p w14:paraId="663B5E0B" w14:textId="77777777" w:rsidR="00154AD2" w:rsidRDefault="00154AD2">
            <w:pPr>
              <w:spacing w:after="0" w:line="240" w:lineRule="auto"/>
              <w:jc w:val="both"/>
              <w:rPr>
                <w:rFonts w:ascii="Calibri" w:eastAsia="Times New Roman" w:hAnsi="Calibri" w:cs="Calibri"/>
                <w:noProof/>
                <w:sz w:val="16"/>
              </w:rPr>
            </w:pPr>
          </w:p>
          <w:p w14:paraId="4EC7E909" w14:textId="1C2F6D07" w:rsidR="00154AD2" w:rsidRDefault="007F6BF3">
            <w:pPr>
              <w:pStyle w:val="P68B1DB1-Normal9"/>
              <w:spacing w:after="0" w:line="240" w:lineRule="auto"/>
              <w:jc w:val="both"/>
              <w:rPr>
                <w:rFonts w:eastAsia="Times New Roman" w:cs="Calibri"/>
                <w:noProof/>
                <w:sz w:val="16"/>
              </w:rPr>
            </w:pPr>
            <w:r>
              <w:rPr>
                <w:noProof/>
                <w:sz w:val="16"/>
              </w:rPr>
              <w:t>Οι συμβάσεις στηρίζουν συνολικά τουλάχιστον 40 προϊόντα, διαδικασίες ή υπηρεσίες και αντικατοπτρίζουν την ευθυγράμμιση με τον τομέα παρέμβασης 022 (διαδικασίες έρευνας και καινοτομίας, μεταφορά τεχνολογίας και συνεργασία μεταξύ εταιρειών με έμφαση στην οικονομία χαμηλών εκπομπών διοξειδίου του άνθρακα και στην ανθεκτικότητα και την προσαρμογή στην κλιματική αλλαγή).</w:t>
            </w:r>
            <w:r>
              <w:rPr>
                <w:noProof/>
              </w:rPr>
              <w:t xml:space="preserve"> </w:t>
            </w:r>
            <w:r>
              <w:rPr>
                <w:noProof/>
                <w:sz w:val="16"/>
              </w:rPr>
              <w:t>Οι όροι αναφοράς περιλαμβάνουν κριτήρια επιλεξιμότητας που διασφαλίζουν ότι τα επιλεγμένα έργα συμμορφώνονται με την τεχνική καθοδήγηση για την εφαρμογή της αρχής της «μη πρόκλησης σημαντικής βλάβης» (2021/C58/01) μέσω της χρήσης καταλόγου αποκλεισμού και της απαίτησης συμμόρφωσης με τη σχετική ενωσιακή και εθνική περιβαλλοντική νομοθεσία.</w:t>
            </w:r>
          </w:p>
        </w:tc>
      </w:tr>
      <w:tr w:rsidR="00154AD2" w14:paraId="7CCE9FC2" w14:textId="77777777">
        <w:trPr>
          <w:trHeight w:val="1405"/>
        </w:trPr>
        <w:tc>
          <w:tcPr>
            <w:tcW w:w="1134" w:type="dxa"/>
            <w:shd w:val="clear" w:color="auto" w:fill="C4EFCE"/>
            <w:vAlign w:val="center"/>
            <w:hideMark/>
          </w:tcPr>
          <w:p w14:paraId="42B4F12E" w14:textId="77777777" w:rsidR="00154AD2" w:rsidRDefault="007F6BF3">
            <w:pPr>
              <w:pStyle w:val="P68B1DB1-Normal7"/>
              <w:spacing w:after="0" w:line="240" w:lineRule="auto"/>
              <w:jc w:val="center"/>
              <w:rPr>
                <w:rFonts w:eastAsia="Times New Roman" w:cs="Calibri"/>
                <w:noProof/>
              </w:rPr>
            </w:pPr>
            <w:r>
              <w:rPr>
                <w:noProof/>
              </w:rPr>
              <w:t>5.8</w:t>
            </w:r>
          </w:p>
        </w:tc>
        <w:tc>
          <w:tcPr>
            <w:tcW w:w="1165" w:type="dxa"/>
            <w:shd w:val="clear" w:color="auto" w:fill="C4EFCE"/>
            <w:vAlign w:val="center"/>
            <w:hideMark/>
          </w:tcPr>
          <w:p w14:paraId="32953778" w14:textId="77777777" w:rsidR="00154AD2" w:rsidRDefault="007F6BF3">
            <w:pPr>
              <w:pStyle w:val="P68B1DB1-Normal8"/>
              <w:spacing w:after="0" w:line="240" w:lineRule="auto"/>
              <w:jc w:val="center"/>
              <w:rPr>
                <w:rFonts w:eastAsia="Times New Roman" w:cs="Calibri"/>
                <w:noProof/>
              </w:rPr>
            </w:pPr>
            <w:r>
              <w:rPr>
                <w:noProof/>
              </w:rPr>
              <w:t>RE-C05-i01.02</w:t>
            </w:r>
          </w:p>
        </w:tc>
        <w:tc>
          <w:tcPr>
            <w:tcW w:w="976" w:type="dxa"/>
            <w:shd w:val="clear" w:color="auto" w:fill="C4EFCE"/>
            <w:vAlign w:val="center"/>
            <w:hideMark/>
          </w:tcPr>
          <w:p w14:paraId="217DD48E" w14:textId="77777777" w:rsidR="00154AD2" w:rsidRDefault="007F6BF3">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73501CE1" w14:textId="77777777" w:rsidR="00154AD2" w:rsidRDefault="007F6BF3">
            <w:pPr>
              <w:pStyle w:val="P68B1DB1-Normal8"/>
              <w:spacing w:after="0" w:line="240" w:lineRule="auto"/>
              <w:jc w:val="center"/>
              <w:rPr>
                <w:rFonts w:eastAsia="Times New Roman" w:cs="Calibri"/>
                <w:noProof/>
              </w:rPr>
            </w:pPr>
            <w:r>
              <w:rPr>
                <w:noProof/>
              </w:rPr>
              <w:t xml:space="preserve">Προϊόντα, διαδικασίες ή υπηρεσίες (ΜΑΔ) που έχουν ολοκληρωθεί και σχετίζονται με την οικονομία χαμηλών εκπομπών διοξειδίου του άνθρακα, την ανθεκτικότητα και την προσαρμογή στην κλιματική αλλαγή </w:t>
            </w:r>
          </w:p>
        </w:tc>
        <w:tc>
          <w:tcPr>
            <w:tcW w:w="2029" w:type="dxa"/>
            <w:shd w:val="clear" w:color="auto" w:fill="C4EFCE"/>
            <w:vAlign w:val="center"/>
            <w:hideMark/>
          </w:tcPr>
          <w:p w14:paraId="6370E703" w14:textId="77777777" w:rsidR="00154AD2" w:rsidRDefault="007F6BF3">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7D5B40EB"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82" w:type="dxa"/>
            <w:shd w:val="clear" w:color="auto" w:fill="C4EFCE"/>
            <w:vAlign w:val="center"/>
            <w:hideMark/>
          </w:tcPr>
          <w:p w14:paraId="30D6679D" w14:textId="77777777" w:rsidR="00154AD2" w:rsidRDefault="007F6BF3">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2C51CFC6" w14:textId="77777777" w:rsidR="00154AD2" w:rsidRDefault="007F6BF3">
            <w:pPr>
              <w:pStyle w:val="P68B1DB1-Normal8"/>
              <w:spacing w:after="0" w:line="240" w:lineRule="auto"/>
              <w:jc w:val="center"/>
              <w:rPr>
                <w:rFonts w:eastAsia="Times New Roman" w:cs="Calibri"/>
                <w:noProof/>
              </w:rPr>
            </w:pPr>
            <w:r>
              <w:rPr>
                <w:noProof/>
              </w:rPr>
              <w:t>4</w:t>
            </w:r>
          </w:p>
        </w:tc>
        <w:tc>
          <w:tcPr>
            <w:tcW w:w="514" w:type="dxa"/>
            <w:shd w:val="clear" w:color="auto" w:fill="C4EFCE"/>
            <w:vAlign w:val="center"/>
            <w:hideMark/>
          </w:tcPr>
          <w:p w14:paraId="599C9B52"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47" w:type="dxa"/>
            <w:shd w:val="clear" w:color="auto" w:fill="C4EFCE"/>
            <w:vAlign w:val="center"/>
            <w:hideMark/>
          </w:tcPr>
          <w:p w14:paraId="67FF8210" w14:textId="77777777" w:rsidR="00154AD2" w:rsidRDefault="007F6BF3">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502D8185" w14:textId="77777777" w:rsidR="00154AD2" w:rsidRDefault="007F6BF3">
            <w:pPr>
              <w:pStyle w:val="P68B1DB1-Normal8"/>
              <w:spacing w:after="0" w:line="240" w:lineRule="auto"/>
              <w:jc w:val="both"/>
              <w:rPr>
                <w:rFonts w:eastAsia="Times New Roman" w:cs="Calibri"/>
                <w:noProof/>
              </w:rPr>
            </w:pPr>
            <w:r>
              <w:rPr>
                <w:noProof/>
              </w:rPr>
              <w:t>Ολοκλήρωση των προϊόντων, των διαδικασιών ή των υπηρεσιών που προκύπτουν από την εφαρμογή των τεσσάρων συμβάσεων (σύμφωνα καινοτομίας ή κινητοποίηση έργων) που έχουν συναφθεί με κοινοπραξίες, αντικατοπτρίζοντας την ευθυγράμμιση με τον τομέα παρέμβασης 022 (διαδικασίες έρευνας και καινοτομίας, μεταφορά τεχνολογίας και συνεργασία μεταξύ εταιρειών με έμφαση στην οικονομία χαμηλών εκπομπών διοξειδίου του άνθρακα και στην ανθεκτικότητα και την προσαρμογή στην κλιματική αλλαγή).</w:t>
            </w:r>
          </w:p>
        </w:tc>
      </w:tr>
      <w:tr w:rsidR="00154AD2" w14:paraId="7306DD3C" w14:textId="77777777">
        <w:trPr>
          <w:trHeight w:val="420"/>
        </w:trPr>
        <w:tc>
          <w:tcPr>
            <w:tcW w:w="1134" w:type="dxa"/>
            <w:shd w:val="clear" w:color="auto" w:fill="C4EFCE"/>
            <w:vAlign w:val="center"/>
            <w:hideMark/>
          </w:tcPr>
          <w:p w14:paraId="1DD3CA84" w14:textId="77777777" w:rsidR="00154AD2" w:rsidRDefault="007F6BF3">
            <w:pPr>
              <w:pStyle w:val="P68B1DB1-Normal7"/>
              <w:spacing w:after="0" w:line="240" w:lineRule="auto"/>
              <w:jc w:val="center"/>
              <w:rPr>
                <w:rFonts w:eastAsia="Times New Roman" w:cs="Calibri"/>
                <w:noProof/>
              </w:rPr>
            </w:pPr>
            <w:r>
              <w:rPr>
                <w:noProof/>
              </w:rPr>
              <w:t>5.9</w:t>
            </w:r>
          </w:p>
        </w:tc>
        <w:tc>
          <w:tcPr>
            <w:tcW w:w="1165" w:type="dxa"/>
            <w:shd w:val="clear" w:color="auto" w:fill="C4EFCE"/>
            <w:vAlign w:val="center"/>
            <w:hideMark/>
          </w:tcPr>
          <w:p w14:paraId="610CF94D" w14:textId="77777777" w:rsidR="00154AD2" w:rsidRDefault="007F6BF3">
            <w:pPr>
              <w:pStyle w:val="P68B1DB1-Normal8"/>
              <w:spacing w:after="0" w:line="240" w:lineRule="auto"/>
              <w:jc w:val="center"/>
              <w:rPr>
                <w:rFonts w:eastAsia="Times New Roman" w:cs="Calibri"/>
                <w:noProof/>
              </w:rPr>
            </w:pPr>
            <w:r>
              <w:rPr>
                <w:noProof/>
              </w:rPr>
              <w:t>RE-C05-i02</w:t>
            </w:r>
          </w:p>
        </w:tc>
        <w:tc>
          <w:tcPr>
            <w:tcW w:w="976" w:type="dxa"/>
            <w:shd w:val="clear" w:color="auto" w:fill="C4EFCE"/>
            <w:vAlign w:val="center"/>
            <w:hideMark/>
          </w:tcPr>
          <w:p w14:paraId="49C4E686" w14:textId="77777777" w:rsidR="00154AD2" w:rsidRDefault="007F6BF3">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21CC7D92" w14:textId="62765798" w:rsidR="00154AD2" w:rsidRDefault="007F6BF3">
            <w:pPr>
              <w:pStyle w:val="P68B1DB1-Normal8"/>
              <w:spacing w:after="0" w:line="240" w:lineRule="auto"/>
              <w:jc w:val="center"/>
              <w:rPr>
                <w:rFonts w:eastAsia="Times New Roman" w:cs="Calibri"/>
                <w:noProof/>
              </w:rPr>
            </w:pPr>
            <w:r>
              <w:rPr>
                <w:noProof/>
              </w:rPr>
              <w:t xml:space="preserve">Συναφθείσες συμβάσεις με φορείς διασύνδεσης, συμπεριλαμβανομένων συνεργατικών εργαστηρίων — Colabs </w:t>
            </w:r>
          </w:p>
        </w:tc>
        <w:tc>
          <w:tcPr>
            <w:tcW w:w="2029" w:type="dxa"/>
            <w:shd w:val="clear" w:color="auto" w:fill="C4EFCE"/>
            <w:vAlign w:val="center"/>
            <w:hideMark/>
          </w:tcPr>
          <w:p w14:paraId="3CFA0A2E" w14:textId="77777777" w:rsidR="00154AD2" w:rsidRDefault="007F6BF3">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5F654CC4"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82" w:type="dxa"/>
            <w:shd w:val="clear" w:color="auto" w:fill="C4EFCE"/>
            <w:vAlign w:val="center"/>
            <w:hideMark/>
          </w:tcPr>
          <w:p w14:paraId="4C3EF509" w14:textId="77777777" w:rsidR="00154AD2" w:rsidRDefault="007F6BF3">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264B4173" w14:textId="77777777" w:rsidR="00154AD2" w:rsidRDefault="007F6BF3">
            <w:pPr>
              <w:pStyle w:val="P68B1DB1-Normal8"/>
              <w:spacing w:after="0" w:line="240" w:lineRule="auto"/>
              <w:jc w:val="center"/>
              <w:rPr>
                <w:rFonts w:eastAsia="Times New Roman" w:cs="Calibri"/>
                <w:noProof/>
              </w:rPr>
            </w:pPr>
            <w:r>
              <w:rPr>
                <w:noProof/>
              </w:rPr>
              <w:t>20</w:t>
            </w:r>
          </w:p>
        </w:tc>
        <w:tc>
          <w:tcPr>
            <w:tcW w:w="514" w:type="dxa"/>
            <w:shd w:val="clear" w:color="auto" w:fill="C4EFCE"/>
            <w:vAlign w:val="center"/>
            <w:hideMark/>
          </w:tcPr>
          <w:p w14:paraId="301A90D3"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47" w:type="dxa"/>
            <w:shd w:val="clear" w:color="auto" w:fill="C4EFCE"/>
            <w:vAlign w:val="center"/>
            <w:hideMark/>
          </w:tcPr>
          <w:p w14:paraId="0632C366" w14:textId="77777777" w:rsidR="00154AD2" w:rsidRDefault="007F6BF3">
            <w:pPr>
              <w:pStyle w:val="P68B1DB1-Normal8"/>
              <w:spacing w:after="0" w:line="240" w:lineRule="auto"/>
              <w:jc w:val="center"/>
              <w:rPr>
                <w:rFonts w:eastAsia="Times New Roman" w:cs="Calibri"/>
                <w:noProof/>
              </w:rPr>
            </w:pPr>
            <w:r>
              <w:rPr>
                <w:noProof/>
              </w:rPr>
              <w:t>2022</w:t>
            </w:r>
          </w:p>
        </w:tc>
        <w:tc>
          <w:tcPr>
            <w:tcW w:w="3919" w:type="dxa"/>
            <w:shd w:val="clear" w:color="auto" w:fill="C4EFCE"/>
            <w:vAlign w:val="center"/>
            <w:hideMark/>
          </w:tcPr>
          <w:p w14:paraId="41D8E0A7" w14:textId="77777777" w:rsidR="00154AD2" w:rsidRDefault="007F6BF3">
            <w:pPr>
              <w:pStyle w:val="P68B1DB1-Normal8"/>
              <w:spacing w:after="0" w:line="240" w:lineRule="auto"/>
              <w:jc w:val="both"/>
              <w:rPr>
                <w:rFonts w:eastAsia="Times New Roman" w:cs="Calibri"/>
                <w:noProof/>
              </w:rPr>
            </w:pPr>
            <w:r>
              <w:rPr>
                <w:noProof/>
              </w:rPr>
              <w:t xml:space="preserve">Μετά από πρόσκληση υποβολής προσφορών, επιλογή των οντοτήτων που θα λάβουν στήριξη. Η παρούσα πρόσκληση υποβολής προτάσεων περιορίζεται σε προτείνοντες που αναγνωρίζονται ως οντότητες «διεπαφής» ή ως συνεργατικά εργαστήρια. </w:t>
            </w:r>
          </w:p>
          <w:p w14:paraId="7F724A76" w14:textId="77777777" w:rsidR="00154AD2" w:rsidRDefault="00154AD2">
            <w:pPr>
              <w:spacing w:after="0" w:line="240" w:lineRule="auto"/>
              <w:jc w:val="both"/>
              <w:rPr>
                <w:rFonts w:ascii="Calibri" w:eastAsia="Times New Roman" w:hAnsi="Calibri" w:cs="Calibri"/>
                <w:noProof/>
                <w:sz w:val="16"/>
              </w:rPr>
            </w:pPr>
          </w:p>
          <w:p w14:paraId="647EE43D" w14:textId="710B48F1" w:rsidR="00154AD2" w:rsidRDefault="007F6BF3">
            <w:pPr>
              <w:pStyle w:val="P68B1DB1-Normal9"/>
              <w:spacing w:after="0" w:line="240" w:lineRule="auto"/>
              <w:jc w:val="both"/>
              <w:rPr>
                <w:rFonts w:eastAsia="Times New Roman" w:cs="Calibri"/>
                <w:noProof/>
                <w:sz w:val="16"/>
              </w:rPr>
            </w:pPr>
            <w:r>
              <w:rPr>
                <w:noProof/>
                <w:sz w:val="16"/>
              </w:rPr>
              <w:t>Οι συμβάσεις αντικατοπτρίζουν την ευθυγράμμιση με τους τομείς παρέμβασης 021 (Μεταφορά τεχνολογίας και συνεργασία μεταξύ επιχειρήσεων, ερευνητικών κέντρων και εκπαιδευτικού τομέα) και/ή 022 (διαδικασίες έρευνας και καινοτομίας, μεταφορά τεχνολογίας και συνεργασία μεταξύ επιχειρήσεων, με έμφαση στην οικονομία χαμηλών εκπομπών διοξειδίου του άνθρακα και στην ανθεκτικότητα και την προσαρμογή στην κλιματική αλλαγή).</w:t>
            </w:r>
            <w:r>
              <w:rPr>
                <w:noProof/>
              </w:rPr>
              <w:t xml:space="preserve"> </w:t>
            </w:r>
            <w:r>
              <w:rPr>
                <w:noProof/>
                <w:sz w:val="16"/>
              </w:rPr>
              <w:t>Οι όροι αναφοράς περιλαμβάνουν κριτήρια επιλεξιμότητας που διασφαλίζουν ότι τα επιλεγμένα έργα συμμορφώνονται με την τεχνική καθοδήγηση για την εφαρμογή της αρχής της «μη πρόκλησης σημαντικής βλάβης» (2021/C58/01) μέσω της χρήσης καταλόγου αποκλεισμού και της απαίτησης συμμόρφωσης με τη σχετική ενωσιακή και εθνική περιβαλλοντική νομοθεσία.</w:t>
            </w:r>
          </w:p>
        </w:tc>
      </w:tr>
      <w:tr w:rsidR="00154AD2" w14:paraId="5DDFFD35" w14:textId="77777777">
        <w:trPr>
          <w:trHeight w:val="1366"/>
        </w:trPr>
        <w:tc>
          <w:tcPr>
            <w:tcW w:w="1134" w:type="dxa"/>
            <w:shd w:val="clear" w:color="auto" w:fill="C4EFCE"/>
            <w:vAlign w:val="center"/>
            <w:hideMark/>
          </w:tcPr>
          <w:p w14:paraId="4A7C31C4" w14:textId="77777777" w:rsidR="00154AD2" w:rsidRDefault="007F6BF3">
            <w:pPr>
              <w:pStyle w:val="P68B1DB1-Normal7"/>
              <w:spacing w:after="0" w:line="240" w:lineRule="auto"/>
              <w:jc w:val="center"/>
              <w:rPr>
                <w:rFonts w:eastAsia="Times New Roman" w:cs="Calibri"/>
                <w:noProof/>
              </w:rPr>
            </w:pPr>
            <w:r>
              <w:rPr>
                <w:noProof/>
              </w:rPr>
              <w:t>5.10</w:t>
            </w:r>
          </w:p>
        </w:tc>
        <w:tc>
          <w:tcPr>
            <w:tcW w:w="1165" w:type="dxa"/>
            <w:shd w:val="clear" w:color="auto" w:fill="C4EFCE"/>
            <w:vAlign w:val="center"/>
            <w:hideMark/>
          </w:tcPr>
          <w:p w14:paraId="198E11A9" w14:textId="77777777" w:rsidR="00154AD2" w:rsidRDefault="007F6BF3">
            <w:pPr>
              <w:pStyle w:val="P68B1DB1-Normal8"/>
              <w:spacing w:after="0" w:line="240" w:lineRule="auto"/>
              <w:jc w:val="center"/>
              <w:rPr>
                <w:rFonts w:eastAsia="Times New Roman" w:cs="Calibri"/>
                <w:noProof/>
              </w:rPr>
            </w:pPr>
            <w:r>
              <w:rPr>
                <w:noProof/>
              </w:rPr>
              <w:t>RE-C05-i02</w:t>
            </w:r>
          </w:p>
        </w:tc>
        <w:tc>
          <w:tcPr>
            <w:tcW w:w="976" w:type="dxa"/>
            <w:shd w:val="clear" w:color="auto" w:fill="C4EFCE"/>
            <w:vAlign w:val="center"/>
            <w:hideMark/>
          </w:tcPr>
          <w:p w14:paraId="7A48319F" w14:textId="77777777" w:rsidR="00154AD2" w:rsidRDefault="007F6BF3">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3EA48790" w14:textId="77777777" w:rsidR="00154AD2" w:rsidRDefault="007F6BF3">
            <w:pPr>
              <w:pStyle w:val="P68B1DB1-Normal8"/>
              <w:spacing w:after="0" w:line="240" w:lineRule="auto"/>
              <w:jc w:val="center"/>
              <w:rPr>
                <w:rFonts w:eastAsia="Times New Roman" w:cs="Calibri"/>
                <w:noProof/>
              </w:rPr>
            </w:pPr>
            <w:r>
              <w:rPr>
                <w:noProof/>
              </w:rPr>
              <w:t>Εταιρείες που επωφελούνται από τις υπηρεσίες που παρέχονται από τους φορείς διεπαφής, συμπεριλαμβανομένων των συνεργατικών εργαστηρίων -Colabs</w:t>
            </w:r>
          </w:p>
        </w:tc>
        <w:tc>
          <w:tcPr>
            <w:tcW w:w="2029" w:type="dxa"/>
            <w:shd w:val="clear" w:color="auto" w:fill="C4EFCE"/>
            <w:vAlign w:val="center"/>
            <w:hideMark/>
          </w:tcPr>
          <w:p w14:paraId="48F1813E" w14:textId="77777777" w:rsidR="00154AD2" w:rsidRDefault="007F6BF3">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73F810DF"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82" w:type="dxa"/>
            <w:shd w:val="clear" w:color="auto" w:fill="C4EFCE"/>
            <w:vAlign w:val="center"/>
            <w:hideMark/>
          </w:tcPr>
          <w:p w14:paraId="0EAC23B1" w14:textId="77777777" w:rsidR="00154AD2" w:rsidRDefault="007F6BF3">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7CE1E755" w14:textId="77777777" w:rsidR="00154AD2" w:rsidRDefault="007F6BF3">
            <w:pPr>
              <w:pStyle w:val="P68B1DB1-Normal8"/>
              <w:spacing w:after="0" w:line="240" w:lineRule="auto"/>
              <w:jc w:val="center"/>
              <w:rPr>
                <w:rFonts w:eastAsia="Times New Roman" w:cs="Calibri"/>
                <w:noProof/>
              </w:rPr>
            </w:pPr>
            <w:r>
              <w:rPr>
                <w:noProof/>
              </w:rPr>
              <w:t>500</w:t>
            </w:r>
          </w:p>
        </w:tc>
        <w:tc>
          <w:tcPr>
            <w:tcW w:w="514" w:type="dxa"/>
            <w:shd w:val="clear" w:color="auto" w:fill="C4EFCE"/>
            <w:vAlign w:val="center"/>
            <w:hideMark/>
          </w:tcPr>
          <w:p w14:paraId="0174A444"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47" w:type="dxa"/>
            <w:shd w:val="clear" w:color="auto" w:fill="C4EFCE"/>
            <w:vAlign w:val="center"/>
            <w:hideMark/>
          </w:tcPr>
          <w:p w14:paraId="72CE65E5" w14:textId="77777777" w:rsidR="00154AD2" w:rsidRDefault="007F6BF3">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7327EDF0" w14:textId="77777777" w:rsidR="00154AD2" w:rsidRDefault="007F6BF3">
            <w:pPr>
              <w:pStyle w:val="P68B1DB1-Normal8"/>
              <w:spacing w:after="0" w:line="240" w:lineRule="auto"/>
              <w:jc w:val="both"/>
              <w:rPr>
                <w:rFonts w:eastAsia="Times New Roman" w:cs="Calibri"/>
                <w:noProof/>
              </w:rPr>
            </w:pPr>
            <w:r>
              <w:rPr>
                <w:noProof/>
              </w:rPr>
              <w:t>Οι εκθέσεις υλοποίησης που υποβάλλονται ετησίως από τους φορείς διεπαφής καθιστούν δυνατή τη μέτρηση της ποσοτικής προόδου σε σχέση με τους ειδικούς στόχους που ελήφθησαν κατά τη χορήγηση της βασικής χρηματοδότησης, ιδίως τον αριθμό των επιχειρήσεων που επωφελούνται από τις παρεχόμενες υπηρεσίες.</w:t>
            </w:r>
          </w:p>
        </w:tc>
      </w:tr>
      <w:tr w:rsidR="00154AD2" w14:paraId="296A7EE2" w14:textId="77777777">
        <w:trPr>
          <w:trHeight w:val="420"/>
        </w:trPr>
        <w:tc>
          <w:tcPr>
            <w:tcW w:w="1134" w:type="dxa"/>
            <w:shd w:val="clear" w:color="auto" w:fill="C4EFCE"/>
            <w:vAlign w:val="center"/>
            <w:hideMark/>
          </w:tcPr>
          <w:p w14:paraId="7501BF2E" w14:textId="0A9B9B12" w:rsidR="00154AD2" w:rsidRDefault="007F6BF3">
            <w:pPr>
              <w:pStyle w:val="P68B1DB1-Normal7"/>
              <w:spacing w:after="0" w:line="240" w:lineRule="auto"/>
              <w:jc w:val="center"/>
              <w:rPr>
                <w:rFonts w:eastAsia="Times New Roman" w:cs="Calibri"/>
                <w:noProof/>
              </w:rPr>
            </w:pPr>
            <w:r>
              <w:rPr>
                <w:noProof/>
              </w:rPr>
              <w:t>5.11</w:t>
            </w:r>
          </w:p>
        </w:tc>
        <w:tc>
          <w:tcPr>
            <w:tcW w:w="1165" w:type="dxa"/>
            <w:shd w:val="clear" w:color="auto" w:fill="C4EFCE"/>
            <w:vAlign w:val="center"/>
            <w:hideMark/>
          </w:tcPr>
          <w:p w14:paraId="5F103B40" w14:textId="77777777" w:rsidR="00154AD2" w:rsidRDefault="007F6BF3">
            <w:pPr>
              <w:pStyle w:val="P68B1DB1-Normal8"/>
              <w:spacing w:after="0" w:line="240" w:lineRule="auto"/>
              <w:jc w:val="center"/>
              <w:rPr>
                <w:rFonts w:eastAsia="Times New Roman" w:cs="Calibri"/>
                <w:noProof/>
              </w:rPr>
            </w:pPr>
            <w:r>
              <w:rPr>
                <w:noProof/>
              </w:rPr>
              <w:t>RE-C05-i03</w:t>
            </w:r>
          </w:p>
        </w:tc>
        <w:tc>
          <w:tcPr>
            <w:tcW w:w="976" w:type="dxa"/>
            <w:shd w:val="clear" w:color="auto" w:fill="C4EFCE"/>
            <w:vAlign w:val="center"/>
            <w:hideMark/>
          </w:tcPr>
          <w:p w14:paraId="0CBDE3B0" w14:textId="77777777" w:rsidR="00154AD2" w:rsidRDefault="007F6BF3">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6BD49DD1" w14:textId="77777777" w:rsidR="00154AD2" w:rsidRDefault="007F6BF3">
            <w:pPr>
              <w:pStyle w:val="P68B1DB1-Normal8"/>
              <w:spacing w:after="0" w:line="240" w:lineRule="auto"/>
              <w:jc w:val="center"/>
              <w:rPr>
                <w:rFonts w:eastAsia="Times New Roman" w:cs="Calibri"/>
                <w:noProof/>
              </w:rPr>
            </w:pPr>
            <w:r>
              <w:rPr>
                <w:noProof/>
              </w:rPr>
              <w:t xml:space="preserve">Διαδικασία υποβολής προσφορών για έργα έρευνας και καινοτομίας </w:t>
            </w:r>
          </w:p>
        </w:tc>
        <w:tc>
          <w:tcPr>
            <w:tcW w:w="2029" w:type="dxa"/>
            <w:shd w:val="clear" w:color="auto" w:fill="C4EFCE"/>
            <w:vAlign w:val="center"/>
            <w:hideMark/>
          </w:tcPr>
          <w:p w14:paraId="56B754AF" w14:textId="77777777" w:rsidR="00154AD2" w:rsidRDefault="007F6BF3">
            <w:pPr>
              <w:pStyle w:val="P68B1DB1-Normal8"/>
              <w:spacing w:after="0" w:line="240" w:lineRule="auto"/>
              <w:jc w:val="center"/>
              <w:rPr>
                <w:rFonts w:eastAsia="Times New Roman" w:cs="Calibri"/>
                <w:noProof/>
              </w:rPr>
            </w:pPr>
            <w:r>
              <w:rPr>
                <w:noProof/>
              </w:rPr>
              <w:t xml:space="preserve">Δημοσίευση προκήρυξης για την προκήρυξη διαδικασίας υποβολής προσφορών για έργα έρευνας και καινοτομίας </w:t>
            </w:r>
          </w:p>
        </w:tc>
        <w:tc>
          <w:tcPr>
            <w:tcW w:w="982" w:type="dxa"/>
            <w:shd w:val="clear" w:color="auto" w:fill="C4EFCE"/>
            <w:vAlign w:val="center"/>
            <w:hideMark/>
          </w:tcPr>
          <w:p w14:paraId="52389DDB" w14:textId="77777777" w:rsidR="00154AD2" w:rsidRDefault="007F6BF3">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610CC40E" w14:textId="77777777" w:rsidR="00154AD2" w:rsidRDefault="007F6BF3">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41CA43B3" w14:textId="77777777" w:rsidR="00154AD2" w:rsidRDefault="007F6BF3">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0793F21D"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747" w:type="dxa"/>
            <w:shd w:val="clear" w:color="auto" w:fill="C4EFCE"/>
            <w:vAlign w:val="center"/>
            <w:hideMark/>
          </w:tcPr>
          <w:p w14:paraId="51BBEBF8" w14:textId="77777777" w:rsidR="00154AD2" w:rsidRDefault="007F6BF3">
            <w:pPr>
              <w:pStyle w:val="P68B1DB1-Normal8"/>
              <w:spacing w:after="0" w:line="240" w:lineRule="auto"/>
              <w:jc w:val="center"/>
              <w:rPr>
                <w:rFonts w:eastAsia="Times New Roman" w:cs="Calibri"/>
                <w:noProof/>
              </w:rPr>
            </w:pPr>
            <w:r>
              <w:rPr>
                <w:noProof/>
              </w:rPr>
              <w:t>2021</w:t>
            </w:r>
          </w:p>
        </w:tc>
        <w:tc>
          <w:tcPr>
            <w:tcW w:w="3919" w:type="dxa"/>
            <w:shd w:val="clear" w:color="auto" w:fill="C4EFCE"/>
            <w:vAlign w:val="center"/>
            <w:hideMark/>
          </w:tcPr>
          <w:p w14:paraId="09C4175C" w14:textId="77777777" w:rsidR="00154AD2" w:rsidRDefault="007F6BF3">
            <w:pPr>
              <w:pStyle w:val="P68B1DB1-Normal8"/>
              <w:spacing w:after="0" w:line="240" w:lineRule="auto"/>
              <w:jc w:val="both"/>
              <w:rPr>
                <w:rFonts w:eastAsia="Times New Roman" w:cs="Calibri"/>
                <w:noProof/>
              </w:rPr>
            </w:pPr>
            <w:r>
              <w:rPr>
                <w:noProof/>
              </w:rPr>
              <w:t xml:space="preserve">Προκήρυξη διαγωνισμού για προγράμματα/έργα έρευνας και καινοτομίας που θα χρηματοδοτηθούν στο πλαίσιο πρωτοβουλιών του θεματολογίου καινοτομίας για τη γεωργία 2030. </w:t>
            </w:r>
          </w:p>
          <w:p w14:paraId="424377D2" w14:textId="77777777" w:rsidR="00154AD2" w:rsidRDefault="00154AD2">
            <w:pPr>
              <w:spacing w:after="0" w:line="240" w:lineRule="auto"/>
              <w:jc w:val="both"/>
              <w:rPr>
                <w:rFonts w:ascii="Calibri" w:eastAsia="Times New Roman" w:hAnsi="Calibri" w:cs="Calibri"/>
                <w:noProof/>
                <w:sz w:val="16"/>
              </w:rPr>
            </w:pPr>
          </w:p>
          <w:p w14:paraId="4EAA924A" w14:textId="77777777" w:rsidR="00154AD2" w:rsidRDefault="007F6BF3">
            <w:pPr>
              <w:pStyle w:val="P68B1DB1-Normal8"/>
              <w:spacing w:after="0" w:line="240" w:lineRule="auto"/>
              <w:jc w:val="both"/>
              <w:rPr>
                <w:rFonts w:eastAsia="Times New Roman" w:cs="Calibri"/>
                <w:noProof/>
              </w:rPr>
            </w:pPr>
            <w:r>
              <w:rPr>
                <w:noProof/>
              </w:rPr>
              <w:t xml:space="preserve">Οι όροι αναφοράς περιλαμβάνουν κριτήρια επιλεξιμότητας που διασφαλίζουν ότι τα επιλεγμένα έργα συμμορφώνονται με την τεχνική καθοδήγηση σχετικά με την εφαρμογή της αρχής της «μη πρόκλησης σημαντικής βλάβης» (2021/C58/01) μέσω της χρήσης καταλόγου αποκλεισμού και της απαίτησης συμμόρφωσης με τη σχετική ενωσιακή και εθνική περιβαλλοντική νομοθεσία. Τα κριτήρια επιλογής διασφαλίζουν ότι τα έργα εστιάζουν είτε: </w:t>
            </w:r>
          </w:p>
          <w:p w14:paraId="6AB443B7" w14:textId="3523683F" w:rsidR="00154AD2" w:rsidRDefault="007F6BF3">
            <w:pPr>
              <w:pStyle w:val="P68B1DB1-Normal8"/>
              <w:spacing w:after="0" w:line="240" w:lineRule="auto"/>
              <w:rPr>
                <w:rFonts w:eastAsia="Times New Roman" w:cs="Calibri"/>
                <w:noProof/>
              </w:rPr>
            </w:pPr>
            <w:r>
              <w:rPr>
                <w:noProof/>
              </w:rPr>
              <w:t xml:space="preserve">— σχετικά με την οικονομία χαμηλών ανθρακούχων εκπομπών, την ανθεκτικότητα και την προσαρμογή στην κλιματική αλλαγή, μέσω της μείωσης των εκπομπών, της αύξησης της παγίδευσης του άνθρακα ή της ενίσχυσης της ανθεκτικότητας και της προσαρμογής στην κλιματική αλλαγή, αντικατοπτρίζοντας τις απαιτήσεις του τομέα παρέμβασης 022, όπως αναφέρεται στο παράρτημα VI του κανονισμού ΜΑΑ </w:t>
            </w:r>
          </w:p>
          <w:p w14:paraId="31587418" w14:textId="3A5A6E5D" w:rsidR="00154AD2" w:rsidRDefault="007F6BF3">
            <w:pPr>
              <w:pStyle w:val="P68B1DB1-Normal8"/>
              <w:spacing w:after="0" w:line="240" w:lineRule="auto"/>
              <w:jc w:val="both"/>
              <w:rPr>
                <w:rFonts w:eastAsia="Times New Roman" w:cs="Calibri"/>
                <w:noProof/>
              </w:rPr>
            </w:pPr>
            <w:r>
              <w:rPr>
                <w:noProof/>
              </w:rPr>
              <w:t>— ή σε έργα ψηφιοποίησης Ε &amp; Α, όπως η ενιαία πύλη για τη γεωργία, η ψηφιακή μετάβαση και τα έργα έρευνας και καινοτομίας που σχετίζονται με αξιακές αλυσίδες, τα οποία αντικατοπτρίζουν τις απαιτήσεις του τομέα παρέμβασης 009.</w:t>
            </w:r>
          </w:p>
        </w:tc>
      </w:tr>
      <w:tr w:rsidR="00154AD2" w14:paraId="00335F0E" w14:textId="77777777">
        <w:trPr>
          <w:trHeight w:val="1347"/>
        </w:trPr>
        <w:tc>
          <w:tcPr>
            <w:tcW w:w="1134" w:type="dxa"/>
            <w:shd w:val="clear" w:color="auto" w:fill="C4EFCE"/>
            <w:vAlign w:val="center"/>
            <w:hideMark/>
          </w:tcPr>
          <w:p w14:paraId="6928F1B6" w14:textId="77777777" w:rsidR="00154AD2" w:rsidRDefault="007F6BF3">
            <w:pPr>
              <w:pStyle w:val="P68B1DB1-Normal7"/>
              <w:spacing w:after="0" w:line="240" w:lineRule="auto"/>
              <w:jc w:val="center"/>
              <w:rPr>
                <w:rFonts w:eastAsia="Times New Roman" w:cs="Calibri"/>
                <w:noProof/>
              </w:rPr>
            </w:pPr>
            <w:r>
              <w:rPr>
                <w:noProof/>
              </w:rPr>
              <w:t>5.12</w:t>
            </w:r>
          </w:p>
        </w:tc>
        <w:tc>
          <w:tcPr>
            <w:tcW w:w="1165" w:type="dxa"/>
            <w:shd w:val="clear" w:color="auto" w:fill="C4EFCE"/>
            <w:vAlign w:val="center"/>
            <w:hideMark/>
          </w:tcPr>
          <w:p w14:paraId="62CDCC6D" w14:textId="77777777" w:rsidR="00154AD2" w:rsidRDefault="007F6BF3">
            <w:pPr>
              <w:pStyle w:val="P68B1DB1-Normal8"/>
              <w:spacing w:after="0" w:line="240" w:lineRule="auto"/>
              <w:jc w:val="center"/>
              <w:rPr>
                <w:rFonts w:eastAsia="Times New Roman" w:cs="Calibri"/>
                <w:noProof/>
              </w:rPr>
            </w:pPr>
            <w:r>
              <w:rPr>
                <w:noProof/>
              </w:rPr>
              <w:t>RE-C05-i03</w:t>
            </w:r>
          </w:p>
        </w:tc>
        <w:tc>
          <w:tcPr>
            <w:tcW w:w="976" w:type="dxa"/>
            <w:shd w:val="clear" w:color="auto" w:fill="C4EFCE"/>
            <w:vAlign w:val="center"/>
            <w:hideMark/>
          </w:tcPr>
          <w:p w14:paraId="0C284E5D" w14:textId="77777777" w:rsidR="00154AD2" w:rsidRDefault="007F6BF3">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0152F452" w14:textId="77777777" w:rsidR="00154AD2" w:rsidRDefault="007F6BF3">
            <w:pPr>
              <w:pStyle w:val="P68B1DB1-Normal8"/>
              <w:spacing w:after="0" w:line="240" w:lineRule="auto"/>
              <w:jc w:val="center"/>
              <w:rPr>
                <w:rFonts w:eastAsia="Times New Roman" w:cs="Calibri"/>
                <w:noProof/>
              </w:rPr>
            </w:pPr>
            <w:r>
              <w:rPr>
                <w:noProof/>
              </w:rPr>
              <w:t xml:space="preserve">Ολοκλήρωση των έργων καινοτομίας και έρευνας που επικεντρώνονται στις πράσινες πτυχές του θεματολογίου καινοτομίας για τη γεωργία 2030 </w:t>
            </w:r>
          </w:p>
        </w:tc>
        <w:tc>
          <w:tcPr>
            <w:tcW w:w="2029" w:type="dxa"/>
            <w:shd w:val="clear" w:color="auto" w:fill="C4EFCE"/>
            <w:vAlign w:val="center"/>
            <w:hideMark/>
          </w:tcPr>
          <w:p w14:paraId="6673998C" w14:textId="77777777" w:rsidR="00154AD2" w:rsidRDefault="007F6BF3">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7BD66CB2"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82" w:type="dxa"/>
            <w:shd w:val="clear" w:color="auto" w:fill="C4EFCE"/>
            <w:vAlign w:val="center"/>
            <w:hideMark/>
          </w:tcPr>
          <w:p w14:paraId="6C14CFFD" w14:textId="77777777" w:rsidR="00154AD2" w:rsidRDefault="007F6BF3">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757C0954" w14:textId="77777777" w:rsidR="00154AD2" w:rsidRDefault="007F6BF3">
            <w:pPr>
              <w:pStyle w:val="P68B1DB1-Normal8"/>
              <w:spacing w:after="0" w:line="240" w:lineRule="auto"/>
              <w:jc w:val="center"/>
              <w:rPr>
                <w:rFonts w:eastAsia="Times New Roman" w:cs="Calibri"/>
                <w:noProof/>
              </w:rPr>
            </w:pPr>
            <w:r>
              <w:rPr>
                <w:noProof/>
              </w:rPr>
              <w:t>100</w:t>
            </w:r>
          </w:p>
        </w:tc>
        <w:tc>
          <w:tcPr>
            <w:tcW w:w="514" w:type="dxa"/>
            <w:shd w:val="clear" w:color="auto" w:fill="C4EFCE"/>
            <w:vAlign w:val="center"/>
            <w:hideMark/>
          </w:tcPr>
          <w:p w14:paraId="327ED56D"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747" w:type="dxa"/>
            <w:shd w:val="clear" w:color="auto" w:fill="C4EFCE"/>
            <w:vAlign w:val="center"/>
            <w:hideMark/>
          </w:tcPr>
          <w:p w14:paraId="46CE7E74" w14:textId="77777777" w:rsidR="00154AD2" w:rsidRDefault="007F6BF3">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7AD60965" w14:textId="77777777" w:rsidR="00154AD2" w:rsidRDefault="007F6BF3">
            <w:pPr>
              <w:pStyle w:val="P68B1DB1-Normal8"/>
              <w:spacing w:after="0" w:line="240" w:lineRule="auto"/>
              <w:jc w:val="both"/>
              <w:rPr>
                <w:rFonts w:eastAsia="Times New Roman" w:cs="Calibri"/>
                <w:noProof/>
              </w:rPr>
            </w:pPr>
            <w:r>
              <w:rPr>
                <w:noProof/>
              </w:rPr>
              <w:t>Συνολικά χρηματοδοτήθηκαν και ολοκληρώθηκαν 100 έργα Ε &amp; Ι. Στήριξη έργων και προγραμμάτων έρευνας και καινοτομίας που συμβάλλουν σε τουλάχιστον μία από τις 15 πρωτοβουλίες του θεματολογίου καινοτομίας και εστιάζουν στην οικονομία χαμηλών εκπομπών διοξειδίου του άνθρακα, την ανθεκτικότητα και την προσαρμογή στην κλιματική αλλαγή.</w:t>
            </w:r>
          </w:p>
        </w:tc>
      </w:tr>
      <w:tr w:rsidR="00154AD2" w14:paraId="58EE858D" w14:textId="77777777">
        <w:trPr>
          <w:trHeight w:val="1406"/>
        </w:trPr>
        <w:tc>
          <w:tcPr>
            <w:tcW w:w="1134" w:type="dxa"/>
            <w:shd w:val="clear" w:color="auto" w:fill="C4EFCE"/>
            <w:vAlign w:val="center"/>
            <w:hideMark/>
          </w:tcPr>
          <w:p w14:paraId="4DD25D33" w14:textId="77777777" w:rsidR="00154AD2" w:rsidRDefault="007F6BF3">
            <w:pPr>
              <w:pStyle w:val="P68B1DB1-Normal7"/>
              <w:spacing w:after="0" w:line="240" w:lineRule="auto"/>
              <w:jc w:val="center"/>
              <w:rPr>
                <w:rFonts w:eastAsia="Times New Roman" w:cs="Calibri"/>
                <w:noProof/>
              </w:rPr>
            </w:pPr>
            <w:r>
              <w:rPr>
                <w:noProof/>
              </w:rPr>
              <w:t>5.13</w:t>
            </w:r>
          </w:p>
        </w:tc>
        <w:tc>
          <w:tcPr>
            <w:tcW w:w="1165" w:type="dxa"/>
            <w:shd w:val="clear" w:color="auto" w:fill="C4EFCE"/>
            <w:vAlign w:val="center"/>
            <w:hideMark/>
          </w:tcPr>
          <w:p w14:paraId="1A4E4173" w14:textId="77777777" w:rsidR="00154AD2" w:rsidRDefault="007F6BF3">
            <w:pPr>
              <w:pStyle w:val="P68B1DB1-Normal8"/>
              <w:spacing w:after="0" w:line="240" w:lineRule="auto"/>
              <w:jc w:val="center"/>
              <w:rPr>
                <w:rFonts w:eastAsia="Times New Roman" w:cs="Calibri"/>
                <w:noProof/>
              </w:rPr>
            </w:pPr>
            <w:r>
              <w:rPr>
                <w:noProof/>
              </w:rPr>
              <w:t>RE-C05-i03</w:t>
            </w:r>
          </w:p>
        </w:tc>
        <w:tc>
          <w:tcPr>
            <w:tcW w:w="976" w:type="dxa"/>
            <w:shd w:val="clear" w:color="auto" w:fill="C4EFCE"/>
            <w:vAlign w:val="center"/>
            <w:hideMark/>
          </w:tcPr>
          <w:p w14:paraId="4731AB6C" w14:textId="77777777" w:rsidR="00154AD2" w:rsidRDefault="007F6BF3">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578A357C" w14:textId="147DED00" w:rsidR="00154AD2" w:rsidRDefault="007F6BF3">
            <w:pPr>
              <w:pStyle w:val="P68B1DB1-Normal8"/>
              <w:spacing w:after="0" w:line="240" w:lineRule="auto"/>
              <w:jc w:val="center"/>
              <w:rPr>
                <w:rFonts w:eastAsia="Times New Roman" w:cs="Calibri"/>
                <w:noProof/>
              </w:rPr>
            </w:pPr>
            <w:r>
              <w:rPr>
                <w:noProof/>
              </w:rPr>
              <w:t>Ολοκλήρωση 5 διαρθρωτικών έργων που επικεντρώνονται στις ψηφιακές πτυχές του θεματολογίου καινοτομίας για τη γεωργία 2030</w:t>
            </w:r>
          </w:p>
        </w:tc>
        <w:tc>
          <w:tcPr>
            <w:tcW w:w="2029" w:type="dxa"/>
            <w:shd w:val="clear" w:color="auto" w:fill="C4EFCE"/>
            <w:vAlign w:val="center"/>
            <w:hideMark/>
          </w:tcPr>
          <w:p w14:paraId="6C32BB6C" w14:textId="77777777" w:rsidR="00154AD2" w:rsidRDefault="007F6BF3">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714D1538"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82" w:type="dxa"/>
            <w:shd w:val="clear" w:color="auto" w:fill="C4EFCE"/>
            <w:vAlign w:val="center"/>
            <w:hideMark/>
          </w:tcPr>
          <w:p w14:paraId="3533F044" w14:textId="77777777" w:rsidR="00154AD2" w:rsidRDefault="007F6BF3">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24954256" w14:textId="77777777" w:rsidR="00154AD2" w:rsidRDefault="007F6BF3">
            <w:pPr>
              <w:pStyle w:val="P68B1DB1-Normal8"/>
              <w:spacing w:after="0" w:line="240" w:lineRule="auto"/>
              <w:jc w:val="center"/>
              <w:rPr>
                <w:rFonts w:eastAsia="Times New Roman" w:cs="Calibri"/>
                <w:noProof/>
              </w:rPr>
            </w:pPr>
            <w:r>
              <w:rPr>
                <w:noProof/>
              </w:rPr>
              <w:t>5</w:t>
            </w:r>
          </w:p>
        </w:tc>
        <w:tc>
          <w:tcPr>
            <w:tcW w:w="514" w:type="dxa"/>
            <w:shd w:val="clear" w:color="auto" w:fill="C4EFCE"/>
            <w:vAlign w:val="center"/>
            <w:hideMark/>
          </w:tcPr>
          <w:p w14:paraId="0D1EAAB9"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747" w:type="dxa"/>
            <w:shd w:val="clear" w:color="auto" w:fill="C4EFCE"/>
            <w:vAlign w:val="center"/>
            <w:hideMark/>
          </w:tcPr>
          <w:p w14:paraId="6C8827A3" w14:textId="77777777" w:rsidR="00154AD2" w:rsidRDefault="007F6BF3">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3E658D67" w14:textId="77777777" w:rsidR="00154AD2" w:rsidRDefault="007F6BF3">
            <w:pPr>
              <w:pStyle w:val="P68B1DB1-Normal8"/>
              <w:spacing w:after="0" w:line="240" w:lineRule="auto"/>
              <w:jc w:val="both"/>
              <w:rPr>
                <w:rFonts w:eastAsia="Times New Roman" w:cs="Calibri"/>
                <w:noProof/>
              </w:rPr>
            </w:pPr>
            <w:r>
              <w:rPr>
                <w:noProof/>
              </w:rPr>
              <w:t>Χρηματοδοτήθηκαν και ολοκληρώθηκαν συνολικά 5 έργα διάρθρωσης της καινοτομίας. Στήριξη έργων καινοτομίας που συμβάλλουν σε τουλάχιστον μία από τις 15 πρωτοβουλίες του θεματολογίου καινοτομίας και εστιάζουν στην ψηφιοποίηση.</w:t>
            </w:r>
          </w:p>
        </w:tc>
      </w:tr>
      <w:tr w:rsidR="00154AD2" w14:paraId="0325433E" w14:textId="77777777">
        <w:trPr>
          <w:trHeight w:val="420"/>
        </w:trPr>
        <w:tc>
          <w:tcPr>
            <w:tcW w:w="1134" w:type="dxa"/>
            <w:shd w:val="clear" w:color="auto" w:fill="C4EFCE"/>
            <w:vAlign w:val="center"/>
            <w:hideMark/>
          </w:tcPr>
          <w:p w14:paraId="2C9BBFE3" w14:textId="330406B0" w:rsidR="00154AD2" w:rsidRDefault="007F6BF3">
            <w:pPr>
              <w:pStyle w:val="P68B1DB1-Normal7"/>
              <w:spacing w:after="0" w:line="240" w:lineRule="auto"/>
              <w:jc w:val="center"/>
              <w:rPr>
                <w:rFonts w:eastAsia="Times New Roman" w:cs="Calibri"/>
                <w:noProof/>
              </w:rPr>
            </w:pPr>
            <w:r>
              <w:rPr>
                <w:noProof/>
              </w:rPr>
              <w:t>5.14</w:t>
            </w:r>
          </w:p>
        </w:tc>
        <w:tc>
          <w:tcPr>
            <w:tcW w:w="1165" w:type="dxa"/>
            <w:shd w:val="clear" w:color="auto" w:fill="C4EFCE"/>
            <w:vAlign w:val="center"/>
            <w:hideMark/>
          </w:tcPr>
          <w:p w14:paraId="6E1D1FCF" w14:textId="77777777" w:rsidR="00154AD2" w:rsidRDefault="007F6BF3">
            <w:pPr>
              <w:pStyle w:val="P68B1DB1-Normal8"/>
              <w:spacing w:after="0" w:line="240" w:lineRule="auto"/>
              <w:jc w:val="center"/>
              <w:rPr>
                <w:rFonts w:eastAsia="Times New Roman" w:cs="Calibri"/>
                <w:noProof/>
              </w:rPr>
            </w:pPr>
            <w:r>
              <w:rPr>
                <w:noProof/>
              </w:rPr>
              <w:t>RE-C05-i03</w:t>
            </w:r>
          </w:p>
        </w:tc>
        <w:tc>
          <w:tcPr>
            <w:tcW w:w="976" w:type="dxa"/>
            <w:shd w:val="clear" w:color="auto" w:fill="C4EFCE"/>
            <w:vAlign w:val="center"/>
            <w:hideMark/>
          </w:tcPr>
          <w:p w14:paraId="6E5A38D0" w14:textId="77777777" w:rsidR="00154AD2" w:rsidRDefault="007F6BF3">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16428411" w14:textId="77777777" w:rsidR="00154AD2" w:rsidRDefault="007F6BF3">
            <w:pPr>
              <w:pStyle w:val="P68B1DB1-Normal8"/>
              <w:spacing w:after="0" w:line="240" w:lineRule="auto"/>
              <w:jc w:val="center"/>
              <w:rPr>
                <w:rFonts w:eastAsia="Times New Roman" w:cs="Calibri"/>
                <w:noProof/>
              </w:rPr>
            </w:pPr>
            <w:r>
              <w:rPr>
                <w:noProof/>
              </w:rPr>
              <w:t>Ανανέωση/αναβάθμιση κόμβων γεωργικής καινοτομίας</w:t>
            </w:r>
          </w:p>
        </w:tc>
        <w:tc>
          <w:tcPr>
            <w:tcW w:w="2029" w:type="dxa"/>
            <w:shd w:val="clear" w:color="auto" w:fill="C4EFCE"/>
            <w:vAlign w:val="center"/>
            <w:hideMark/>
          </w:tcPr>
          <w:p w14:paraId="10D14770" w14:textId="77777777" w:rsidR="00154AD2" w:rsidRDefault="007F6BF3">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47AE3D33"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82" w:type="dxa"/>
            <w:shd w:val="clear" w:color="auto" w:fill="C4EFCE"/>
            <w:vAlign w:val="center"/>
            <w:hideMark/>
          </w:tcPr>
          <w:p w14:paraId="026E9922" w14:textId="77777777" w:rsidR="00154AD2" w:rsidRDefault="007F6BF3">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67F56B64" w14:textId="77777777" w:rsidR="00154AD2" w:rsidRDefault="007F6BF3">
            <w:pPr>
              <w:pStyle w:val="P68B1DB1-Normal8"/>
              <w:spacing w:after="0" w:line="240" w:lineRule="auto"/>
              <w:jc w:val="center"/>
              <w:rPr>
                <w:rFonts w:eastAsia="Times New Roman" w:cs="Calibri"/>
                <w:noProof/>
              </w:rPr>
            </w:pPr>
            <w:r>
              <w:rPr>
                <w:noProof/>
              </w:rPr>
              <w:t>24</w:t>
            </w:r>
          </w:p>
        </w:tc>
        <w:tc>
          <w:tcPr>
            <w:tcW w:w="514" w:type="dxa"/>
            <w:shd w:val="clear" w:color="auto" w:fill="C4EFCE"/>
            <w:vAlign w:val="center"/>
            <w:hideMark/>
          </w:tcPr>
          <w:p w14:paraId="4D25C474"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47" w:type="dxa"/>
            <w:shd w:val="clear" w:color="auto" w:fill="C4EFCE"/>
            <w:vAlign w:val="center"/>
            <w:hideMark/>
          </w:tcPr>
          <w:p w14:paraId="3CEE80EA" w14:textId="77777777" w:rsidR="00154AD2" w:rsidRDefault="007F6BF3">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03E8138F" w14:textId="77777777" w:rsidR="00154AD2" w:rsidRDefault="007F6BF3">
            <w:pPr>
              <w:pStyle w:val="P68B1DB1-Normal8"/>
              <w:spacing w:after="0" w:line="240" w:lineRule="auto"/>
              <w:jc w:val="both"/>
              <w:rPr>
                <w:rFonts w:eastAsia="Times New Roman" w:cs="Calibri"/>
                <w:noProof/>
              </w:rPr>
            </w:pPr>
            <w:r>
              <w:rPr>
                <w:noProof/>
              </w:rPr>
              <w:t xml:space="preserve">Δημιουργία εθνικού δικτύου καινοτομίας για τη γεωργία, τα τρόφιμα και την αγροτική ανάπτυξη, μέσω της αναβάθμισης 24 κόμβων καινοτομίας. </w:t>
            </w:r>
          </w:p>
          <w:p w14:paraId="24D464A1" w14:textId="2ABBDBB2" w:rsidR="00154AD2" w:rsidRDefault="007F6BF3">
            <w:pPr>
              <w:pStyle w:val="P68B1DB1-Normal8"/>
              <w:spacing w:after="0" w:line="240" w:lineRule="auto"/>
              <w:jc w:val="both"/>
              <w:rPr>
                <w:rFonts w:eastAsia="Times New Roman" w:cs="Calibri"/>
                <w:noProof/>
              </w:rPr>
            </w:pPr>
            <w:r>
              <w:rPr>
                <w:noProof/>
              </w:rPr>
              <w:t>Η επένδυση αυτή περιλαμβάνει κυρίως την ανακαίνιση των υποδομών και την αγορά εργαστηριακού επιστημονικού εξοπλισμού.</w:t>
            </w:r>
          </w:p>
        </w:tc>
      </w:tr>
      <w:tr w:rsidR="00154AD2" w14:paraId="60F470C2" w14:textId="77777777">
        <w:trPr>
          <w:trHeight w:val="1050"/>
        </w:trPr>
        <w:tc>
          <w:tcPr>
            <w:tcW w:w="1134" w:type="dxa"/>
            <w:shd w:val="clear" w:color="auto" w:fill="C4EFCE"/>
            <w:vAlign w:val="center"/>
            <w:hideMark/>
          </w:tcPr>
          <w:p w14:paraId="5E8992DB" w14:textId="470E960C" w:rsidR="00154AD2" w:rsidRDefault="007F6BF3">
            <w:pPr>
              <w:pStyle w:val="P68B1DB1-Normal7"/>
              <w:spacing w:after="0" w:line="240" w:lineRule="auto"/>
              <w:jc w:val="center"/>
              <w:rPr>
                <w:rFonts w:eastAsia="Times New Roman" w:cs="Calibri"/>
                <w:noProof/>
              </w:rPr>
            </w:pPr>
            <w:r>
              <w:rPr>
                <w:noProof/>
              </w:rPr>
              <w:t>5.15</w:t>
            </w:r>
          </w:p>
        </w:tc>
        <w:tc>
          <w:tcPr>
            <w:tcW w:w="1165" w:type="dxa"/>
            <w:shd w:val="clear" w:color="auto" w:fill="C4EFCE"/>
            <w:vAlign w:val="center"/>
            <w:hideMark/>
          </w:tcPr>
          <w:p w14:paraId="5ED3CA87" w14:textId="77777777" w:rsidR="00154AD2" w:rsidRDefault="007F6BF3">
            <w:pPr>
              <w:pStyle w:val="P68B1DB1-Normal8"/>
              <w:spacing w:after="0" w:line="240" w:lineRule="auto"/>
              <w:jc w:val="center"/>
              <w:rPr>
                <w:rFonts w:eastAsia="Times New Roman" w:cs="Calibri"/>
                <w:noProof/>
              </w:rPr>
            </w:pPr>
            <w:r>
              <w:rPr>
                <w:noProof/>
              </w:rPr>
              <w:t>RE-C05-i04-RAA</w:t>
            </w:r>
          </w:p>
        </w:tc>
        <w:tc>
          <w:tcPr>
            <w:tcW w:w="976" w:type="dxa"/>
            <w:shd w:val="clear" w:color="auto" w:fill="C4EFCE"/>
            <w:vAlign w:val="center"/>
            <w:hideMark/>
          </w:tcPr>
          <w:p w14:paraId="7E0D7741" w14:textId="77777777" w:rsidR="00154AD2" w:rsidRDefault="007F6BF3">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65A4ED20" w14:textId="77777777" w:rsidR="00154AD2" w:rsidRDefault="007F6BF3">
            <w:pPr>
              <w:pStyle w:val="P68B1DB1-Normal8"/>
              <w:spacing w:after="0" w:line="240" w:lineRule="auto"/>
              <w:jc w:val="center"/>
              <w:rPr>
                <w:rFonts w:eastAsia="Times New Roman" w:cs="Calibri"/>
                <w:noProof/>
              </w:rPr>
            </w:pPr>
            <w:r>
              <w:rPr>
                <w:noProof/>
              </w:rPr>
              <w:t>Έκδοση κανονισμού για το μέσο ανακεφαλαιοποίησης των επιχειρήσεων στις Αζόρες</w:t>
            </w:r>
          </w:p>
        </w:tc>
        <w:tc>
          <w:tcPr>
            <w:tcW w:w="2029" w:type="dxa"/>
            <w:shd w:val="clear" w:color="auto" w:fill="C4EFCE"/>
            <w:vAlign w:val="center"/>
            <w:hideMark/>
          </w:tcPr>
          <w:p w14:paraId="0329CFDA" w14:textId="77777777" w:rsidR="00154AD2" w:rsidRDefault="007F6BF3">
            <w:pPr>
              <w:pStyle w:val="P68B1DB1-Normal8"/>
              <w:spacing w:after="0" w:line="240" w:lineRule="auto"/>
              <w:jc w:val="center"/>
              <w:rPr>
                <w:rFonts w:eastAsia="Times New Roman" w:cs="Calibri"/>
                <w:noProof/>
              </w:rPr>
            </w:pPr>
            <w:r>
              <w:rPr>
                <w:noProof/>
              </w:rPr>
              <w:t xml:space="preserve">Έκδοση από την περιφερειακή κυβέρνηση των Αζορών κανονισμού με τον οποίο θεσπίζεται το μέτρο κεφαλαιοποίησης και ανατίθεται στην </w:t>
            </w:r>
            <w:r>
              <w:rPr>
                <w:i/>
                <w:noProof/>
              </w:rPr>
              <w:t>Banco Portugues de Fomento η έκδοση επενδυτικής πολιτικής από την Banco Portugues de Fomento</w:t>
            </w:r>
          </w:p>
        </w:tc>
        <w:tc>
          <w:tcPr>
            <w:tcW w:w="982" w:type="dxa"/>
            <w:shd w:val="clear" w:color="auto" w:fill="C4EFCE"/>
            <w:vAlign w:val="center"/>
            <w:hideMark/>
          </w:tcPr>
          <w:p w14:paraId="76178EE5" w14:textId="77777777" w:rsidR="00154AD2" w:rsidRDefault="007F6BF3">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00D1E9F3" w14:textId="77777777" w:rsidR="00154AD2" w:rsidRDefault="007F6BF3">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1008B1F9" w14:textId="77777777" w:rsidR="00154AD2" w:rsidRDefault="007F6BF3">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38A054C2"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747" w:type="dxa"/>
            <w:shd w:val="clear" w:color="auto" w:fill="C4EFCE"/>
            <w:vAlign w:val="center"/>
            <w:hideMark/>
          </w:tcPr>
          <w:p w14:paraId="79E05766" w14:textId="77777777" w:rsidR="00154AD2" w:rsidRDefault="007F6BF3">
            <w:pPr>
              <w:pStyle w:val="P68B1DB1-Normal8"/>
              <w:spacing w:after="0" w:line="240" w:lineRule="auto"/>
              <w:jc w:val="center"/>
              <w:rPr>
                <w:rFonts w:eastAsia="Times New Roman" w:cs="Calibri"/>
                <w:noProof/>
              </w:rPr>
            </w:pPr>
            <w:r>
              <w:rPr>
                <w:noProof/>
              </w:rPr>
              <w:t>2021</w:t>
            </w:r>
          </w:p>
        </w:tc>
        <w:tc>
          <w:tcPr>
            <w:tcW w:w="3919" w:type="dxa"/>
            <w:shd w:val="clear" w:color="auto" w:fill="C4EFCE"/>
            <w:vAlign w:val="center"/>
            <w:hideMark/>
          </w:tcPr>
          <w:p w14:paraId="2D2AB17A" w14:textId="77777777" w:rsidR="00154AD2" w:rsidRDefault="007F6BF3">
            <w:pPr>
              <w:pStyle w:val="P68B1DB1-Normal8"/>
              <w:spacing w:after="0" w:line="240" w:lineRule="auto"/>
              <w:jc w:val="both"/>
              <w:rPr>
                <w:rFonts w:eastAsia="Times New Roman" w:cs="Calibri"/>
                <w:noProof/>
              </w:rPr>
            </w:pPr>
            <w:r>
              <w:rPr>
                <w:noProof/>
              </w:rPr>
              <w:t xml:space="preserve">Έκδοση από την περιφερειακή κυβέρνηση των Αζορών κανονισμού με τον οποίο θεσπίζεται το μέτρο κεφαλαιοποίησης και ανατίθεται στην </w:t>
            </w:r>
            <w:r>
              <w:rPr>
                <w:i/>
                <w:noProof/>
              </w:rPr>
              <w:t>Banco Portugues de Fomento</w:t>
            </w:r>
            <w:r>
              <w:rPr>
                <w:noProof/>
              </w:rPr>
              <w:t xml:space="preserve"> η έκδοση επενδυτικής πολιτικής που καθορίζει, μεταξύ άλλων, τα κριτήρια επιλεξιμότητας και επιλογής των δικαιούχων εταιρειών για κάθε είδος χρηματοπιστωτικών μέσων. Ο κανονισμός απαιτεί η επενδυτική πολιτική να περιλαμβάνει κριτήρια επιλογής/επιλεξιμότητας για τη συμμόρφωση με την τεχνική καθοδήγηση σχετικά με την αρχή της μη πρόκλησης σημαντικής βλάβης (2021/C58/01) των υποστηριζόμενων εταιρειών, τα οποία απαιτούν: </w:t>
            </w:r>
          </w:p>
          <w:p w14:paraId="34F2D080" w14:textId="77777777" w:rsidR="00154AD2" w:rsidRDefault="007F6BF3">
            <w:pPr>
              <w:pStyle w:val="P68B1DB1-Normal8"/>
              <w:spacing w:after="0" w:line="240" w:lineRule="auto"/>
              <w:jc w:val="both"/>
              <w:rPr>
                <w:rFonts w:eastAsia="Times New Roman" w:cs="Calibri"/>
                <w:noProof/>
              </w:rPr>
            </w:pPr>
            <w:r>
              <w:rPr>
                <w:noProof/>
              </w:rPr>
              <w:t xml:space="preserve">— τη χρήση ελέγχου βιωσιμότητας, </w:t>
            </w:r>
          </w:p>
          <w:p w14:paraId="65116438" w14:textId="77777777" w:rsidR="00154AD2" w:rsidRDefault="007F6BF3">
            <w:pPr>
              <w:pStyle w:val="P68B1DB1-Normal8"/>
              <w:spacing w:after="0" w:line="240" w:lineRule="auto"/>
              <w:jc w:val="both"/>
              <w:rPr>
                <w:rFonts w:eastAsia="Times New Roman" w:cs="Calibri"/>
                <w:noProof/>
              </w:rPr>
            </w:pPr>
            <w:r>
              <w:rPr>
                <w:noProof/>
              </w:rPr>
              <w:t xml:space="preserve">— κατάλογος εξαιρέσεων που περιλαμβάνει τα ακόλουθα στοιχεία: </w:t>
            </w:r>
          </w:p>
          <w:p w14:paraId="436922B2" w14:textId="77777777" w:rsidR="00154AD2" w:rsidRDefault="007F6BF3">
            <w:pPr>
              <w:spacing w:after="0" w:line="240" w:lineRule="auto"/>
              <w:jc w:val="both"/>
              <w:rPr>
                <w:rFonts w:ascii="Calibri" w:eastAsia="Times New Roman" w:hAnsi="Calibri" w:cs="Calibri"/>
                <w:noProof/>
                <w:sz w:val="16"/>
              </w:rPr>
            </w:pPr>
            <w:r>
              <w:rPr>
                <w:rFonts w:ascii="Calibri" w:hAnsi="Calibri"/>
                <w:noProof/>
                <w:sz w:val="16"/>
              </w:rPr>
              <w:t>Επενδύσεις που σχετίζονται με ορυκτά καύσιμα (συμπεριλαμβανομένης της κατάντη χρήσης), εκτός από τη θερμότητα/ηλεκτρική ενέργεια που βασίζεται στο φυσικό αέριο και πληρούν τους όρους που καθορίζονται στο παράρτημα III των κατευθυντήριων γραμμών σχετικά με τη μη πρόκληση σημαντικής βλάβης</w:t>
            </w:r>
          </w:p>
          <w:p w14:paraId="14409371" w14:textId="77777777" w:rsidR="00154AD2" w:rsidRDefault="007F6BF3">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 xml:space="preserve">Δραστηριότητες στο πλαίσιο του ΣΕΔΕ με προβλεπόμενες εκπομπές ισοδυνάμου CO2 που δεν είναι χαμηλότερες από τους σχετικούς δείκτες αναφοράς που έχουν καθοριστεί για τη δωρεάν κατανομή. </w:t>
            </w:r>
          </w:p>
          <w:p w14:paraId="55434946" w14:textId="77777777" w:rsidR="00154AD2" w:rsidRDefault="007F6BF3">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 xml:space="preserve">Επενδύσεις σε εγκαταστάσεις διάθεσης αποβλήτων σε χώρους υγειονομικής ταφής, εγκαταστάσεις μηχανικής βιολογικής επεξεργασίας (ΜΒΕ) και αποτεφρωτήρες για την επεξεργασία αποβλήτων. Ο κατάλογος εξαιρέσεων δεν εφαρμόζεται σε μονάδες που προορίζονται αποκλειστικά για την επεξεργασία μη ανακυκλώσιμων επικίνδυνων αποβλήτων· σε υφιστάμενες εγκαταστάσεις, όταν η επένδυση αποσκοπεί στην αύξηση της ενεργειακής απόδοσης, στη δέσμευση καυσαερίων για αποθήκευση ή χρήση ή στην ανάκτηση υλικών από την τέφρα αποτέφρωσης, υπό την προϋπόθεση ότι οι επενδύσεις αυτές δεν οδηγούν σε αύξηση της ικανότητας επεξεργασίας αποβλήτων της μονάδας ή σε παράταση της διάρκειας ζωής της μονάδας. </w:t>
            </w:r>
          </w:p>
          <w:p w14:paraId="344B3A1B" w14:textId="77777777" w:rsidR="00154AD2" w:rsidRDefault="007F6BF3">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 xml:space="preserve">Δραστηριότητες στις οποίες η μακροπρόθεσμη διάθεση αποβλήτων μπορεί να προκαλέσει μακροπρόθεσμη βλάβη στο περιβάλλον (π.χ. πυρηνικά απόβλητα). </w:t>
            </w:r>
          </w:p>
          <w:p w14:paraId="1A84525D" w14:textId="77777777" w:rsidR="00154AD2" w:rsidRDefault="007F6BF3">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 xml:space="preserve">R &amp; D &amp; I που αφορά τα ανωτέρω στοιχεία ενεργητικού και δραστηριότητες. </w:t>
            </w:r>
          </w:p>
          <w:p w14:paraId="54498B89" w14:textId="77777777" w:rsidR="00154AD2" w:rsidRDefault="007F6BF3">
            <w:pPr>
              <w:pStyle w:val="P68B1DB1-Normal8"/>
              <w:spacing w:after="0" w:line="240" w:lineRule="auto"/>
              <w:jc w:val="both"/>
              <w:rPr>
                <w:rFonts w:eastAsia="Times New Roman" w:cs="Calibri"/>
                <w:noProof/>
              </w:rPr>
            </w:pPr>
            <w:r>
              <w:rPr>
                <w:noProof/>
              </w:rPr>
              <w:t>υποχρεωτικοί έλεγχοι συμμόρφωσης προς τις νομοθετικές διατάξεις μέσω της BPF και/ή των επιλεγμένων ενδιάμεσων χρηματοπιστωτικών οργανισμών για συναλλαγές που εξαιρούνται από τον έλεγχο βιωσιμότητας</w:t>
            </w:r>
          </w:p>
          <w:p w14:paraId="2E85E023" w14:textId="05CE3EBD" w:rsidR="00154AD2" w:rsidRDefault="007F6BF3">
            <w:pPr>
              <w:pStyle w:val="P68B1DB1-Normal8"/>
              <w:spacing w:after="0" w:line="240" w:lineRule="auto"/>
              <w:jc w:val="both"/>
              <w:rPr>
                <w:rFonts w:eastAsia="Times New Roman" w:cs="Calibri"/>
                <w:noProof/>
              </w:rPr>
            </w:pPr>
            <w:r>
              <w:rPr>
                <w:noProof/>
              </w:rPr>
              <w:t>— δικαιούχοι στήριξης μετοχικού κεφαλαίου που αντλούν τουλάχιστον το 50 % των εσόδων τους από δραστηριότητες που απαριθμούνται στον κατάλογο αποκλεισμού για την έγκριση και τη δημοσίευση σχεδίων πράσινης μετάβασης.</w:t>
            </w:r>
          </w:p>
        </w:tc>
      </w:tr>
      <w:tr w:rsidR="00154AD2" w14:paraId="140CEE72" w14:textId="77777777">
        <w:trPr>
          <w:trHeight w:val="1933"/>
        </w:trPr>
        <w:tc>
          <w:tcPr>
            <w:tcW w:w="1134" w:type="dxa"/>
            <w:shd w:val="clear" w:color="auto" w:fill="C4EFCE"/>
            <w:vAlign w:val="center"/>
            <w:hideMark/>
          </w:tcPr>
          <w:p w14:paraId="5D768A55" w14:textId="58B8B80D" w:rsidR="00154AD2" w:rsidRDefault="007F6BF3">
            <w:pPr>
              <w:pStyle w:val="P68B1DB1-Normal7"/>
              <w:spacing w:after="0" w:line="240" w:lineRule="auto"/>
              <w:jc w:val="center"/>
              <w:rPr>
                <w:rFonts w:eastAsia="Times New Roman" w:cs="Calibri"/>
                <w:noProof/>
              </w:rPr>
            </w:pPr>
            <w:r>
              <w:rPr>
                <w:noProof/>
              </w:rPr>
              <w:t>5.16</w:t>
            </w:r>
          </w:p>
        </w:tc>
        <w:tc>
          <w:tcPr>
            <w:tcW w:w="1165" w:type="dxa"/>
            <w:shd w:val="clear" w:color="auto" w:fill="C4EFCE"/>
            <w:vAlign w:val="center"/>
            <w:hideMark/>
          </w:tcPr>
          <w:p w14:paraId="27A5C23C" w14:textId="77777777" w:rsidR="00154AD2" w:rsidRDefault="007F6BF3">
            <w:pPr>
              <w:pStyle w:val="P68B1DB1-Normal8"/>
              <w:spacing w:after="0" w:line="240" w:lineRule="auto"/>
              <w:jc w:val="center"/>
              <w:rPr>
                <w:rFonts w:eastAsia="Times New Roman" w:cs="Calibri"/>
                <w:noProof/>
              </w:rPr>
            </w:pPr>
            <w:r>
              <w:rPr>
                <w:noProof/>
              </w:rPr>
              <w:t>RE-C05-i04-RAA</w:t>
            </w:r>
          </w:p>
        </w:tc>
        <w:tc>
          <w:tcPr>
            <w:tcW w:w="976" w:type="dxa"/>
            <w:shd w:val="clear" w:color="auto" w:fill="C4EFCE"/>
            <w:vAlign w:val="center"/>
            <w:hideMark/>
          </w:tcPr>
          <w:p w14:paraId="1D194C18" w14:textId="77777777" w:rsidR="00154AD2" w:rsidRDefault="007F6BF3">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6E88F574" w14:textId="77777777" w:rsidR="00154AD2" w:rsidRDefault="007F6BF3">
            <w:pPr>
              <w:pStyle w:val="P68B1DB1-Normal8"/>
              <w:spacing w:after="0" w:line="240" w:lineRule="auto"/>
              <w:jc w:val="center"/>
              <w:rPr>
                <w:rFonts w:eastAsia="Times New Roman" w:cs="Calibri"/>
                <w:noProof/>
              </w:rPr>
            </w:pPr>
            <w:r>
              <w:rPr>
                <w:noProof/>
              </w:rPr>
              <w:t>Έγκριση της επενδυτικής πολιτικής για το μέσο ανακεφαλαιοποίησης των επιχειρήσεων στις Αζόρες</w:t>
            </w:r>
          </w:p>
        </w:tc>
        <w:tc>
          <w:tcPr>
            <w:tcW w:w="2029" w:type="dxa"/>
            <w:shd w:val="clear" w:color="auto" w:fill="C4EFCE"/>
            <w:vAlign w:val="center"/>
            <w:hideMark/>
          </w:tcPr>
          <w:p w14:paraId="173D60F3" w14:textId="77777777" w:rsidR="00154AD2" w:rsidRDefault="007F6BF3">
            <w:pPr>
              <w:pStyle w:val="P68B1DB1-Normal8"/>
              <w:spacing w:after="0" w:line="240" w:lineRule="auto"/>
              <w:jc w:val="center"/>
              <w:rPr>
                <w:rFonts w:eastAsia="Times New Roman" w:cs="Calibri"/>
                <w:noProof/>
              </w:rPr>
            </w:pPr>
            <w:r>
              <w:rPr>
                <w:noProof/>
              </w:rPr>
              <w:t>Έγκριση από την BPF της επενδυτικής πολιτικής που καλύπτει όλα τα χρηματοδοτικά μέσα που προβλέπονται στο μέτρο.</w:t>
            </w:r>
          </w:p>
        </w:tc>
        <w:tc>
          <w:tcPr>
            <w:tcW w:w="982" w:type="dxa"/>
            <w:shd w:val="clear" w:color="auto" w:fill="C4EFCE"/>
            <w:vAlign w:val="center"/>
            <w:hideMark/>
          </w:tcPr>
          <w:p w14:paraId="28BCFCDB" w14:textId="77777777" w:rsidR="00154AD2" w:rsidRDefault="007F6BF3">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753D2856" w14:textId="77777777" w:rsidR="00154AD2" w:rsidRDefault="007F6BF3">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46414FB9" w14:textId="77777777" w:rsidR="00154AD2" w:rsidRDefault="007F6BF3">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529C3603"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747" w:type="dxa"/>
            <w:shd w:val="clear" w:color="auto" w:fill="C4EFCE"/>
            <w:vAlign w:val="center"/>
            <w:hideMark/>
          </w:tcPr>
          <w:p w14:paraId="4DD0E7B5" w14:textId="77777777" w:rsidR="00154AD2" w:rsidRDefault="007F6BF3">
            <w:pPr>
              <w:pStyle w:val="P68B1DB1-Normal8"/>
              <w:spacing w:after="0" w:line="240" w:lineRule="auto"/>
              <w:jc w:val="center"/>
              <w:rPr>
                <w:rFonts w:eastAsia="Times New Roman" w:cs="Calibri"/>
                <w:noProof/>
              </w:rPr>
            </w:pPr>
            <w:r>
              <w:rPr>
                <w:noProof/>
              </w:rPr>
              <w:t>2021</w:t>
            </w:r>
          </w:p>
        </w:tc>
        <w:tc>
          <w:tcPr>
            <w:tcW w:w="3919" w:type="dxa"/>
            <w:shd w:val="clear" w:color="auto" w:fill="C4EFCE"/>
            <w:vAlign w:val="center"/>
            <w:hideMark/>
          </w:tcPr>
          <w:p w14:paraId="6255E3B1" w14:textId="77777777" w:rsidR="00154AD2" w:rsidRDefault="007F6BF3">
            <w:pPr>
              <w:pStyle w:val="P68B1DB1-Normal8"/>
              <w:spacing w:after="0" w:line="240" w:lineRule="auto"/>
              <w:jc w:val="both"/>
              <w:rPr>
                <w:rFonts w:eastAsia="Times New Roman" w:cs="Calibri"/>
                <w:noProof/>
              </w:rPr>
            </w:pPr>
            <w:r>
              <w:rPr>
                <w:noProof/>
              </w:rPr>
              <w:t>Έγκριση από την BPF της επενδυτικής πολιτικής που καλύπτει όλα τα χρηματοδοτικά μέσα που προβλέπονται στο μέτρο. Η επενδυτική πολιτική αναπτύσσεται και εγκρίνεται από την BPF ως διαχειριστικός φορέας του οχήματος που κατέχει τις συμμετοχές που προκύπτουν από τα χρηματοδοτικά μέσα που εφαρμόζονται για τη στήριξη των εταιρειών που επιλέγονται ως δικαιούχοι. Η επενδυτική πολιτική αντικατοπτρίζει τα κριτήρια επιλογής/επιλεξιμότητας και τις εφαρμοστέες δεσμεύσεις/στόχους που ορίζονται στον κανονισμό για το μέσο ανακεφαλαιοποίησης των επιχειρήσεων στις Αζόρες.</w:t>
            </w:r>
          </w:p>
        </w:tc>
      </w:tr>
      <w:tr w:rsidR="00154AD2" w14:paraId="787BD1C2" w14:textId="77777777">
        <w:trPr>
          <w:trHeight w:val="684"/>
        </w:trPr>
        <w:tc>
          <w:tcPr>
            <w:tcW w:w="1134" w:type="dxa"/>
            <w:shd w:val="clear" w:color="auto" w:fill="C4EFCE"/>
            <w:vAlign w:val="center"/>
            <w:hideMark/>
          </w:tcPr>
          <w:p w14:paraId="4F244987" w14:textId="77777777" w:rsidR="00154AD2" w:rsidRDefault="007F6BF3">
            <w:pPr>
              <w:pStyle w:val="P68B1DB1-Normal7"/>
              <w:spacing w:after="0" w:line="240" w:lineRule="auto"/>
              <w:jc w:val="center"/>
              <w:rPr>
                <w:rFonts w:eastAsia="Times New Roman" w:cs="Calibri"/>
                <w:noProof/>
              </w:rPr>
            </w:pPr>
            <w:r>
              <w:rPr>
                <w:noProof/>
              </w:rPr>
              <w:t>5.17</w:t>
            </w:r>
          </w:p>
        </w:tc>
        <w:tc>
          <w:tcPr>
            <w:tcW w:w="1165" w:type="dxa"/>
            <w:shd w:val="clear" w:color="auto" w:fill="C4EFCE"/>
            <w:vAlign w:val="center"/>
            <w:hideMark/>
          </w:tcPr>
          <w:p w14:paraId="3E25B023" w14:textId="77777777" w:rsidR="00154AD2" w:rsidRDefault="007F6BF3">
            <w:pPr>
              <w:pStyle w:val="P68B1DB1-Normal8"/>
              <w:spacing w:after="0" w:line="240" w:lineRule="auto"/>
              <w:jc w:val="center"/>
              <w:rPr>
                <w:rFonts w:eastAsia="Times New Roman" w:cs="Calibri"/>
                <w:noProof/>
              </w:rPr>
            </w:pPr>
            <w:r>
              <w:rPr>
                <w:noProof/>
              </w:rPr>
              <w:t>RE-C05-i04-RAA</w:t>
            </w:r>
          </w:p>
        </w:tc>
        <w:tc>
          <w:tcPr>
            <w:tcW w:w="976" w:type="dxa"/>
            <w:shd w:val="clear" w:color="auto" w:fill="C4EFCE"/>
            <w:vAlign w:val="center"/>
            <w:hideMark/>
          </w:tcPr>
          <w:p w14:paraId="46E2FE5D" w14:textId="77777777" w:rsidR="00154AD2" w:rsidRDefault="007F6BF3">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0D4512D9" w14:textId="77777777" w:rsidR="00154AD2" w:rsidRDefault="007F6BF3">
            <w:pPr>
              <w:pStyle w:val="P68B1DB1-Normal8"/>
              <w:spacing w:after="0" w:line="240" w:lineRule="auto"/>
              <w:jc w:val="center"/>
              <w:rPr>
                <w:rFonts w:eastAsia="Times New Roman" w:cs="Calibri"/>
                <w:noProof/>
              </w:rPr>
            </w:pPr>
            <w:r>
              <w:rPr>
                <w:noProof/>
              </w:rPr>
              <w:t xml:space="preserve">Παράδοση συνολικού ποσού 125 000 000 EUR στις μη χρηματοπιστωτικές επιχειρήσεις της περιοχής ως στήριξη ιδίων κεφαλαίων και οιονεί ιδίων κεφαλαίων, σύμφωνα με την επενδυτική πολιτική του μέσου. Ενδεικτικά, εκτιμάται ότι τουλάχιστον 300 επιχειρήσεις θα υποστηριχθούν από την ολοκλήρωση του σχεδίου. </w:t>
            </w:r>
          </w:p>
        </w:tc>
        <w:tc>
          <w:tcPr>
            <w:tcW w:w="2029" w:type="dxa"/>
            <w:shd w:val="clear" w:color="auto" w:fill="C4EFCE"/>
            <w:vAlign w:val="center"/>
            <w:hideMark/>
          </w:tcPr>
          <w:p w14:paraId="2DF0D93D" w14:textId="77777777" w:rsidR="00154AD2" w:rsidRDefault="007F6BF3">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0BCABACD" w14:textId="77777777" w:rsidR="00154AD2" w:rsidRDefault="007F6BF3">
            <w:pPr>
              <w:pStyle w:val="P68B1DB1-Normal8"/>
              <w:spacing w:after="0" w:line="240" w:lineRule="auto"/>
              <w:jc w:val="center"/>
              <w:rPr>
                <w:rFonts w:eastAsia="Times New Roman" w:cs="Calibri"/>
                <w:noProof/>
              </w:rPr>
            </w:pPr>
            <w:r>
              <w:rPr>
                <w:noProof/>
              </w:rPr>
              <w:t>ΕΥΡΏ</w:t>
            </w:r>
          </w:p>
        </w:tc>
        <w:tc>
          <w:tcPr>
            <w:tcW w:w="982" w:type="dxa"/>
            <w:shd w:val="clear" w:color="auto" w:fill="C4EFCE"/>
            <w:vAlign w:val="center"/>
            <w:hideMark/>
          </w:tcPr>
          <w:p w14:paraId="7B6D0271" w14:textId="77777777" w:rsidR="00154AD2" w:rsidRDefault="007F6BF3">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20039D31" w14:textId="77777777" w:rsidR="00154AD2" w:rsidRDefault="007F6BF3">
            <w:pPr>
              <w:pStyle w:val="P68B1DB1-Normal8"/>
              <w:spacing w:after="0" w:line="240" w:lineRule="auto"/>
              <w:jc w:val="center"/>
              <w:rPr>
                <w:rFonts w:eastAsia="Times New Roman" w:cs="Calibri"/>
                <w:noProof/>
              </w:rPr>
            </w:pPr>
            <w:r>
              <w:rPr>
                <w:noProof/>
              </w:rPr>
              <w:t xml:space="preserve">125 000 000 </w:t>
            </w:r>
          </w:p>
        </w:tc>
        <w:tc>
          <w:tcPr>
            <w:tcW w:w="514" w:type="dxa"/>
            <w:shd w:val="clear" w:color="auto" w:fill="C4EFCE"/>
            <w:vAlign w:val="center"/>
            <w:hideMark/>
          </w:tcPr>
          <w:p w14:paraId="45B22942"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47" w:type="dxa"/>
            <w:shd w:val="clear" w:color="auto" w:fill="C4EFCE"/>
            <w:vAlign w:val="center"/>
            <w:hideMark/>
          </w:tcPr>
          <w:p w14:paraId="5EE59541" w14:textId="77777777" w:rsidR="00154AD2" w:rsidRDefault="007F6BF3">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289BB502" w14:textId="31A7E732" w:rsidR="00154AD2" w:rsidRDefault="007F6BF3">
            <w:pPr>
              <w:pStyle w:val="P68B1DB1-Normal8"/>
              <w:spacing w:after="0" w:line="240" w:lineRule="auto"/>
              <w:jc w:val="both"/>
              <w:rPr>
                <w:rFonts w:eastAsia="Times New Roman" w:cs="Calibri"/>
                <w:noProof/>
              </w:rPr>
            </w:pPr>
            <w:r>
              <w:rPr>
                <w:noProof/>
              </w:rPr>
              <w:t>Παράδοση συνολικού ποσού 125 000 000 EUR στις μη χρηματοπιστωτικές επιχειρήσεις της περιοχής ως στήριξη ιδίων κεφαλαίων και οιονεί ιδίων κεφαλαίων, σύμφωνα με την επενδυτική πολιτική που εγκρίθηκε για το μέσο ανακεφαλαιοποίησης των επιχειρήσεων στις Αζόρες. Η</w:t>
            </w:r>
            <w:r>
              <w:rPr>
                <w:i/>
                <w:noProof/>
              </w:rPr>
              <w:t>Banco Portugues de Fomento</w:t>
            </w:r>
            <w:r>
              <w:rPr>
                <w:noProof/>
              </w:rPr>
              <w:t xml:space="preserve"> είναι υπεύθυνη για την υποβολή εκθέσεων σχετικά με τις πραγματοποιηθείσες πράξεις. Στην εν λόγω έκθεση δημοσιεύονται, εκτός από τις χρηματοοικονομικές κινήσεις, εκτός από τις χρηματοοικονομικές κινήσεις, κατάλογος των δικαιούχων εταιρειών, του ΑΦΜ και του CAE, η ημερομηνία της σύμβασης, η χορηγηθείσα χρηματοδότηση, το είδος του χρησιμοποιούμενου χρηματοδοτικού μέσου και, κατά περίπτωση, η εμπλεκόμενη χρηματοπιστωτική οντότητα.</w:t>
            </w:r>
          </w:p>
        </w:tc>
      </w:tr>
      <w:tr w:rsidR="00154AD2" w14:paraId="22040B4A" w14:textId="77777777">
        <w:trPr>
          <w:trHeight w:val="1480"/>
        </w:trPr>
        <w:tc>
          <w:tcPr>
            <w:tcW w:w="1134" w:type="dxa"/>
            <w:shd w:val="clear" w:color="auto" w:fill="C4EFCE"/>
            <w:vAlign w:val="center"/>
            <w:hideMark/>
          </w:tcPr>
          <w:p w14:paraId="412AFCFB" w14:textId="77777777" w:rsidR="00154AD2" w:rsidRDefault="007F6BF3">
            <w:pPr>
              <w:pStyle w:val="P68B1DB1-Normal7"/>
              <w:spacing w:after="0" w:line="240" w:lineRule="auto"/>
              <w:jc w:val="center"/>
              <w:rPr>
                <w:rFonts w:eastAsia="Times New Roman" w:cs="Calibri"/>
                <w:noProof/>
              </w:rPr>
            </w:pPr>
            <w:r>
              <w:rPr>
                <w:noProof/>
              </w:rPr>
              <w:t>5.18</w:t>
            </w:r>
          </w:p>
        </w:tc>
        <w:tc>
          <w:tcPr>
            <w:tcW w:w="1165" w:type="dxa"/>
            <w:shd w:val="clear" w:color="auto" w:fill="C4EFCE"/>
            <w:vAlign w:val="center"/>
            <w:hideMark/>
          </w:tcPr>
          <w:p w14:paraId="29380C9D" w14:textId="77777777" w:rsidR="00154AD2" w:rsidRDefault="007F6BF3">
            <w:pPr>
              <w:pStyle w:val="P68B1DB1-Normal8"/>
              <w:spacing w:after="0" w:line="240" w:lineRule="auto"/>
              <w:jc w:val="center"/>
              <w:rPr>
                <w:rFonts w:eastAsia="Times New Roman" w:cs="Calibri"/>
                <w:noProof/>
              </w:rPr>
            </w:pPr>
            <w:r>
              <w:rPr>
                <w:noProof/>
              </w:rPr>
              <w:t>RE-C05-i05-RAA</w:t>
            </w:r>
          </w:p>
        </w:tc>
        <w:tc>
          <w:tcPr>
            <w:tcW w:w="976" w:type="dxa"/>
            <w:shd w:val="clear" w:color="auto" w:fill="C4EFCE"/>
            <w:vAlign w:val="center"/>
            <w:hideMark/>
          </w:tcPr>
          <w:p w14:paraId="6648BE4C" w14:textId="77777777" w:rsidR="00154AD2" w:rsidRDefault="007F6BF3">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0FB94C98" w14:textId="77777777" w:rsidR="00154AD2" w:rsidRDefault="007F6BF3">
            <w:pPr>
              <w:pStyle w:val="P68B1DB1-Normal8"/>
              <w:spacing w:after="0" w:line="240" w:lineRule="auto"/>
              <w:jc w:val="center"/>
              <w:rPr>
                <w:rFonts w:eastAsia="Times New Roman" w:cs="Calibri"/>
                <w:noProof/>
              </w:rPr>
            </w:pPr>
            <w:r>
              <w:rPr>
                <w:noProof/>
              </w:rPr>
              <w:t>Δημοσίευση του προγράμματος «Γεωργική καινοτομία και ψηφιοποίηση» των Αζορών</w:t>
            </w:r>
          </w:p>
        </w:tc>
        <w:tc>
          <w:tcPr>
            <w:tcW w:w="2029" w:type="dxa"/>
            <w:shd w:val="clear" w:color="auto" w:fill="C4EFCE"/>
            <w:vAlign w:val="center"/>
            <w:hideMark/>
          </w:tcPr>
          <w:p w14:paraId="52BC14AC" w14:textId="77777777" w:rsidR="00154AD2" w:rsidRDefault="007F6BF3">
            <w:pPr>
              <w:pStyle w:val="P68B1DB1-Normal8"/>
              <w:spacing w:after="0" w:line="240" w:lineRule="auto"/>
              <w:jc w:val="center"/>
              <w:rPr>
                <w:rFonts w:eastAsia="Times New Roman" w:cs="Calibri"/>
                <w:noProof/>
              </w:rPr>
            </w:pPr>
            <w:r>
              <w:rPr>
                <w:noProof/>
              </w:rPr>
              <w:t>Δημοσίευση του προγράμματος «Γεωργική καινοτομία και ψηφιοποίηση» των Αζορών</w:t>
            </w:r>
          </w:p>
        </w:tc>
        <w:tc>
          <w:tcPr>
            <w:tcW w:w="982" w:type="dxa"/>
            <w:shd w:val="clear" w:color="auto" w:fill="C4EFCE"/>
            <w:vAlign w:val="center"/>
            <w:hideMark/>
          </w:tcPr>
          <w:p w14:paraId="1471DFD5" w14:textId="77777777" w:rsidR="00154AD2" w:rsidRDefault="007F6BF3">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6FA49D95" w14:textId="77777777" w:rsidR="00154AD2" w:rsidRDefault="007F6BF3">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193E479B" w14:textId="77777777" w:rsidR="00154AD2" w:rsidRDefault="007F6BF3">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054DBD22"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747" w:type="dxa"/>
            <w:shd w:val="clear" w:color="auto" w:fill="C4EFCE"/>
            <w:vAlign w:val="center"/>
            <w:hideMark/>
          </w:tcPr>
          <w:p w14:paraId="125D8132" w14:textId="77777777" w:rsidR="00154AD2" w:rsidRDefault="007F6BF3">
            <w:pPr>
              <w:pStyle w:val="P68B1DB1-Normal8"/>
              <w:spacing w:after="0" w:line="240" w:lineRule="auto"/>
              <w:jc w:val="center"/>
              <w:rPr>
                <w:rFonts w:eastAsia="Times New Roman" w:cs="Calibri"/>
                <w:noProof/>
              </w:rPr>
            </w:pPr>
            <w:r>
              <w:rPr>
                <w:noProof/>
              </w:rPr>
              <w:t>2022</w:t>
            </w:r>
          </w:p>
        </w:tc>
        <w:tc>
          <w:tcPr>
            <w:tcW w:w="3919" w:type="dxa"/>
            <w:shd w:val="clear" w:color="auto" w:fill="C4EFCE"/>
            <w:vAlign w:val="center"/>
            <w:hideMark/>
          </w:tcPr>
          <w:p w14:paraId="2832055A" w14:textId="77777777" w:rsidR="00154AD2" w:rsidRDefault="007F6BF3">
            <w:pPr>
              <w:pStyle w:val="P68B1DB1-Normal8"/>
              <w:spacing w:after="0" w:line="240" w:lineRule="auto"/>
              <w:jc w:val="both"/>
              <w:rPr>
                <w:rFonts w:eastAsia="Times New Roman" w:cs="Calibri"/>
                <w:noProof/>
              </w:rPr>
            </w:pPr>
            <w:r>
              <w:rPr>
                <w:noProof/>
              </w:rPr>
              <w:t>Δημοσίευση προγράμματος καινοτομίας και ψηφιοποίησης για τη γεωργία στις Αζόρες, συμπεριλαμβανομένου σχεδίου για την ανάπτυξη δικτύου παρακολούθησης και ανακοινώσεων γεωργικών προϊόντων σε νησιωτικό επίπεδο, καθώς και σχεδίου για τη μετάβαση στην ψηφιακή πραγματικότητα και τη γεωργία ακριβείας.</w:t>
            </w:r>
          </w:p>
        </w:tc>
      </w:tr>
      <w:tr w:rsidR="00154AD2" w14:paraId="66C0B1D9" w14:textId="77777777">
        <w:trPr>
          <w:trHeight w:val="1446"/>
        </w:trPr>
        <w:tc>
          <w:tcPr>
            <w:tcW w:w="1134" w:type="dxa"/>
            <w:shd w:val="clear" w:color="auto" w:fill="C4EFCE"/>
            <w:vAlign w:val="center"/>
            <w:hideMark/>
          </w:tcPr>
          <w:p w14:paraId="1031D533" w14:textId="77777777" w:rsidR="00154AD2" w:rsidRDefault="007F6BF3">
            <w:pPr>
              <w:pStyle w:val="P68B1DB1-Normal7"/>
              <w:spacing w:after="0" w:line="240" w:lineRule="auto"/>
              <w:jc w:val="center"/>
              <w:rPr>
                <w:rFonts w:eastAsia="Times New Roman" w:cs="Calibri"/>
                <w:noProof/>
              </w:rPr>
            </w:pPr>
            <w:r>
              <w:rPr>
                <w:noProof/>
              </w:rPr>
              <w:t>5.19</w:t>
            </w:r>
          </w:p>
        </w:tc>
        <w:tc>
          <w:tcPr>
            <w:tcW w:w="1165" w:type="dxa"/>
            <w:shd w:val="clear" w:color="auto" w:fill="C4EFCE"/>
            <w:vAlign w:val="center"/>
            <w:hideMark/>
          </w:tcPr>
          <w:p w14:paraId="62CCCBA9" w14:textId="77777777" w:rsidR="00154AD2" w:rsidRDefault="007F6BF3">
            <w:pPr>
              <w:pStyle w:val="P68B1DB1-Normal8"/>
              <w:spacing w:after="0" w:line="240" w:lineRule="auto"/>
              <w:jc w:val="center"/>
              <w:rPr>
                <w:rFonts w:eastAsia="Times New Roman" w:cs="Calibri"/>
                <w:noProof/>
              </w:rPr>
            </w:pPr>
            <w:r>
              <w:rPr>
                <w:noProof/>
              </w:rPr>
              <w:t>RE-C05-i05-RAA</w:t>
            </w:r>
          </w:p>
        </w:tc>
        <w:tc>
          <w:tcPr>
            <w:tcW w:w="976" w:type="dxa"/>
            <w:shd w:val="clear" w:color="auto" w:fill="C4EFCE"/>
            <w:vAlign w:val="center"/>
            <w:hideMark/>
          </w:tcPr>
          <w:p w14:paraId="65ADECD5" w14:textId="77777777" w:rsidR="00154AD2" w:rsidRDefault="007F6BF3">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5C638A6F" w14:textId="77777777" w:rsidR="00154AD2" w:rsidRDefault="007F6BF3">
            <w:pPr>
              <w:pStyle w:val="P68B1DB1-Normal8"/>
              <w:spacing w:after="0" w:line="240" w:lineRule="auto"/>
              <w:jc w:val="center"/>
              <w:rPr>
                <w:rFonts w:eastAsia="Times New Roman" w:cs="Calibri"/>
                <w:noProof/>
              </w:rPr>
            </w:pPr>
            <w:r>
              <w:rPr>
                <w:noProof/>
              </w:rPr>
              <w:t>Νέες (προς αντικατάσταση των παρωχημένων δομών) ή αναξιοποίητες δομές που είναι υπεύθυνες για τη σφαγή των ζώων και πιστοποίηση της ποιότητας του γάλακτος και της ασφάλειας των τροφίμων</w:t>
            </w:r>
          </w:p>
        </w:tc>
        <w:tc>
          <w:tcPr>
            <w:tcW w:w="2029" w:type="dxa"/>
            <w:shd w:val="clear" w:color="auto" w:fill="C4EFCE"/>
            <w:vAlign w:val="center"/>
            <w:hideMark/>
          </w:tcPr>
          <w:p w14:paraId="71C2A31B" w14:textId="77777777" w:rsidR="00154AD2" w:rsidRDefault="007F6BF3">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52F83A65"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82" w:type="dxa"/>
            <w:shd w:val="clear" w:color="auto" w:fill="C4EFCE"/>
            <w:vAlign w:val="center"/>
            <w:hideMark/>
          </w:tcPr>
          <w:p w14:paraId="17E50AA3" w14:textId="77777777" w:rsidR="00154AD2" w:rsidRDefault="007F6BF3">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48D5CFCE" w14:textId="77777777" w:rsidR="00154AD2" w:rsidRDefault="007F6BF3">
            <w:pPr>
              <w:pStyle w:val="P68B1DB1-Normal8"/>
              <w:spacing w:after="0" w:line="240" w:lineRule="auto"/>
              <w:jc w:val="center"/>
              <w:rPr>
                <w:rFonts w:eastAsia="Times New Roman" w:cs="Calibri"/>
                <w:noProof/>
              </w:rPr>
            </w:pPr>
            <w:r>
              <w:rPr>
                <w:noProof/>
              </w:rPr>
              <w:t>3</w:t>
            </w:r>
          </w:p>
        </w:tc>
        <w:tc>
          <w:tcPr>
            <w:tcW w:w="514" w:type="dxa"/>
            <w:shd w:val="clear" w:color="auto" w:fill="C4EFCE"/>
            <w:vAlign w:val="center"/>
            <w:hideMark/>
          </w:tcPr>
          <w:p w14:paraId="4D91DB57" w14:textId="115D2735" w:rsidR="00154AD2" w:rsidRDefault="007F6BF3">
            <w:pPr>
              <w:pStyle w:val="P68B1DB1-Normal8"/>
              <w:spacing w:after="0" w:line="240" w:lineRule="auto"/>
              <w:jc w:val="center"/>
              <w:rPr>
                <w:rFonts w:eastAsia="Times New Roman" w:cs="Calibri"/>
                <w:noProof/>
              </w:rPr>
            </w:pPr>
            <w:r>
              <w:rPr>
                <w:noProof/>
              </w:rPr>
              <w:t>ΤΡΊΜΗΝΟ 4</w:t>
            </w:r>
          </w:p>
        </w:tc>
        <w:tc>
          <w:tcPr>
            <w:tcW w:w="747" w:type="dxa"/>
            <w:shd w:val="clear" w:color="auto" w:fill="C4EFCE"/>
            <w:vAlign w:val="center"/>
            <w:hideMark/>
          </w:tcPr>
          <w:p w14:paraId="6F9879B6" w14:textId="3DB5DF04" w:rsidR="00154AD2" w:rsidRDefault="007F6BF3">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4782248B" w14:textId="77777777" w:rsidR="00154AD2" w:rsidRDefault="007F6BF3">
            <w:pPr>
              <w:pStyle w:val="P68B1DB1-Normal8"/>
              <w:spacing w:after="0" w:line="240" w:lineRule="auto"/>
              <w:jc w:val="both"/>
              <w:rPr>
                <w:rFonts w:eastAsia="Times New Roman" w:cs="Calibri"/>
                <w:noProof/>
              </w:rPr>
            </w:pPr>
            <w:r>
              <w:rPr>
                <w:noProof/>
              </w:rPr>
              <w:t>Ολοκλήρωση των εργασιών για νέες (για την αντικατάσταση παρωχημένων δομών) ή αναξιοποίητων δομών που είναι υπεύθυνες για τη σφαγή των ζώων, την πιστοποίηση της ποιότητας του γάλακτος και την ασφάλεια των τροφίμων, ώστε να ανταποκριθούν στην εξέλιξη και την αυξανόμενη ζήτηση των αγορών, ενσωματώνοντας επενδύσεις στην καινοτομία των διαδικασιών παραγωγής και οργάνωσης, στην πράσινη μετάβαση, στην ψηφιακή μετάβαση και στην καλή διαβίωση των ζώων.</w:t>
            </w:r>
          </w:p>
        </w:tc>
      </w:tr>
      <w:tr w:rsidR="00154AD2" w14:paraId="0FE8C46B" w14:textId="77777777">
        <w:trPr>
          <w:trHeight w:val="1550"/>
        </w:trPr>
        <w:tc>
          <w:tcPr>
            <w:tcW w:w="1134" w:type="dxa"/>
            <w:shd w:val="clear" w:color="auto" w:fill="C4EFCE"/>
            <w:vAlign w:val="center"/>
            <w:hideMark/>
          </w:tcPr>
          <w:p w14:paraId="0973CB5F" w14:textId="77777777" w:rsidR="00154AD2" w:rsidRDefault="007F6BF3">
            <w:pPr>
              <w:pStyle w:val="P68B1DB1-Normal7"/>
              <w:spacing w:after="0" w:line="240" w:lineRule="auto"/>
              <w:jc w:val="center"/>
              <w:rPr>
                <w:rFonts w:eastAsia="Times New Roman" w:cs="Calibri"/>
                <w:noProof/>
              </w:rPr>
            </w:pPr>
            <w:r>
              <w:rPr>
                <w:noProof/>
              </w:rPr>
              <w:t>5.20</w:t>
            </w:r>
          </w:p>
        </w:tc>
        <w:tc>
          <w:tcPr>
            <w:tcW w:w="1165" w:type="dxa"/>
            <w:shd w:val="clear" w:color="auto" w:fill="C4EFCE"/>
            <w:vAlign w:val="center"/>
            <w:hideMark/>
          </w:tcPr>
          <w:p w14:paraId="3A4DA074" w14:textId="77777777" w:rsidR="00154AD2" w:rsidRDefault="007F6BF3">
            <w:pPr>
              <w:pStyle w:val="P68B1DB1-Normal8"/>
              <w:spacing w:after="0" w:line="240" w:lineRule="auto"/>
              <w:jc w:val="center"/>
              <w:rPr>
                <w:rFonts w:eastAsia="Times New Roman" w:cs="Calibri"/>
                <w:noProof/>
              </w:rPr>
            </w:pPr>
            <w:r>
              <w:rPr>
                <w:noProof/>
              </w:rPr>
              <w:t>RE-C05-i05-RAA</w:t>
            </w:r>
          </w:p>
        </w:tc>
        <w:tc>
          <w:tcPr>
            <w:tcW w:w="976" w:type="dxa"/>
            <w:shd w:val="clear" w:color="auto" w:fill="C4EFCE"/>
            <w:vAlign w:val="center"/>
            <w:hideMark/>
          </w:tcPr>
          <w:p w14:paraId="4F114AAC" w14:textId="77777777" w:rsidR="00154AD2" w:rsidRDefault="007F6BF3">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656A7BBA" w14:textId="77777777" w:rsidR="00154AD2" w:rsidRDefault="007F6BF3">
            <w:pPr>
              <w:pStyle w:val="P68B1DB1-Normal8"/>
              <w:spacing w:after="0" w:line="240" w:lineRule="auto"/>
              <w:jc w:val="center"/>
              <w:rPr>
                <w:rFonts w:eastAsia="Times New Roman" w:cs="Calibri"/>
                <w:noProof/>
              </w:rPr>
            </w:pPr>
            <w:r>
              <w:rPr>
                <w:noProof/>
              </w:rPr>
              <w:t>Σχέδια που υποστηρίζονται στο πλαίσιο καθεστώτων στήριξης για την αναδιάρθρωση επιχειρήσεων στον τομέα της μεταποίησης και της εμπορίας</w:t>
            </w:r>
          </w:p>
        </w:tc>
        <w:tc>
          <w:tcPr>
            <w:tcW w:w="2029" w:type="dxa"/>
            <w:shd w:val="clear" w:color="auto" w:fill="C4EFCE"/>
            <w:vAlign w:val="center"/>
            <w:hideMark/>
          </w:tcPr>
          <w:p w14:paraId="41198735" w14:textId="77777777" w:rsidR="00154AD2" w:rsidRDefault="007F6BF3">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0B64C0AB"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82" w:type="dxa"/>
            <w:shd w:val="clear" w:color="auto" w:fill="C4EFCE"/>
            <w:vAlign w:val="center"/>
            <w:hideMark/>
          </w:tcPr>
          <w:p w14:paraId="33400D61" w14:textId="77777777" w:rsidR="00154AD2" w:rsidRDefault="007F6BF3">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3B4E10FD" w14:textId="77777777" w:rsidR="00154AD2" w:rsidRDefault="007F6BF3">
            <w:pPr>
              <w:pStyle w:val="P68B1DB1-Normal8"/>
              <w:spacing w:after="0" w:line="240" w:lineRule="auto"/>
              <w:jc w:val="center"/>
              <w:rPr>
                <w:rFonts w:eastAsia="Times New Roman" w:cs="Calibri"/>
                <w:noProof/>
              </w:rPr>
            </w:pPr>
            <w:r>
              <w:rPr>
                <w:noProof/>
              </w:rPr>
              <w:t>9</w:t>
            </w:r>
          </w:p>
        </w:tc>
        <w:tc>
          <w:tcPr>
            <w:tcW w:w="514" w:type="dxa"/>
            <w:shd w:val="clear" w:color="auto" w:fill="C4EFCE"/>
            <w:vAlign w:val="center"/>
            <w:hideMark/>
          </w:tcPr>
          <w:p w14:paraId="3CEE9014"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47" w:type="dxa"/>
            <w:shd w:val="clear" w:color="auto" w:fill="C4EFCE"/>
            <w:vAlign w:val="center"/>
            <w:hideMark/>
          </w:tcPr>
          <w:p w14:paraId="271A24C3" w14:textId="77777777" w:rsidR="00154AD2" w:rsidRDefault="007F6BF3">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310109FC" w14:textId="77777777" w:rsidR="00154AD2" w:rsidRDefault="007F6BF3">
            <w:pPr>
              <w:pStyle w:val="P68B1DB1-Normal8"/>
              <w:spacing w:after="0" w:line="240" w:lineRule="auto"/>
              <w:jc w:val="both"/>
              <w:rPr>
                <w:rFonts w:eastAsia="Times New Roman" w:cs="Calibri"/>
                <w:noProof/>
              </w:rPr>
            </w:pPr>
            <w:r>
              <w:rPr>
                <w:noProof/>
              </w:rPr>
              <w:t>Έργα που εγκρίνονται και ανατίθενται βάσει συμβάσεων στο πλαίσιο καθεστώτων στήριξης για την καινοτομία σε προϊόντα και διαδικασίες παραγωγής και οργάνωσης, την πράσινη μετάβαση και την ψηφιακή μετάβαση, με στόχο την αναδιάρθρωση επιχειρήσεων στον τομέα της μεταποίησης και εμπορίας γεωργικών προϊόντων.</w:t>
            </w:r>
          </w:p>
        </w:tc>
      </w:tr>
      <w:tr w:rsidR="00154AD2" w14:paraId="0924F5C3" w14:textId="77777777">
        <w:trPr>
          <w:trHeight w:val="971"/>
        </w:trPr>
        <w:tc>
          <w:tcPr>
            <w:tcW w:w="1134" w:type="dxa"/>
            <w:shd w:val="clear" w:color="auto" w:fill="C4EFCE"/>
            <w:vAlign w:val="center"/>
            <w:hideMark/>
          </w:tcPr>
          <w:p w14:paraId="6FC3F55D" w14:textId="77777777" w:rsidR="00154AD2" w:rsidRDefault="007F6BF3">
            <w:pPr>
              <w:pStyle w:val="P68B1DB1-Normal7"/>
              <w:spacing w:after="0" w:line="240" w:lineRule="auto"/>
              <w:jc w:val="center"/>
              <w:rPr>
                <w:rFonts w:eastAsia="Times New Roman" w:cs="Calibri"/>
                <w:noProof/>
              </w:rPr>
            </w:pPr>
            <w:r>
              <w:rPr>
                <w:noProof/>
              </w:rPr>
              <w:t>5.21</w:t>
            </w:r>
          </w:p>
        </w:tc>
        <w:tc>
          <w:tcPr>
            <w:tcW w:w="1165" w:type="dxa"/>
            <w:shd w:val="clear" w:color="auto" w:fill="C4EFCE"/>
            <w:vAlign w:val="center"/>
            <w:hideMark/>
          </w:tcPr>
          <w:p w14:paraId="4BA8EF57" w14:textId="77777777" w:rsidR="00154AD2" w:rsidRDefault="007F6BF3">
            <w:pPr>
              <w:pStyle w:val="P68B1DB1-Normal8"/>
              <w:spacing w:after="0" w:line="240" w:lineRule="auto"/>
              <w:jc w:val="center"/>
              <w:rPr>
                <w:rFonts w:eastAsia="Times New Roman" w:cs="Calibri"/>
                <w:noProof/>
              </w:rPr>
            </w:pPr>
            <w:r>
              <w:rPr>
                <w:noProof/>
              </w:rPr>
              <w:t>RE-C05-i05-RAA</w:t>
            </w:r>
          </w:p>
        </w:tc>
        <w:tc>
          <w:tcPr>
            <w:tcW w:w="976" w:type="dxa"/>
            <w:shd w:val="clear" w:color="auto" w:fill="C4EFCE"/>
            <w:vAlign w:val="center"/>
            <w:hideMark/>
          </w:tcPr>
          <w:p w14:paraId="2AF2AE81" w14:textId="77777777" w:rsidR="00154AD2" w:rsidRDefault="007F6BF3">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3B1D52CC" w14:textId="77777777" w:rsidR="00154AD2" w:rsidRDefault="007F6BF3">
            <w:pPr>
              <w:pStyle w:val="P68B1DB1-Normal8"/>
              <w:spacing w:after="0" w:line="240" w:lineRule="auto"/>
              <w:jc w:val="center"/>
              <w:rPr>
                <w:rFonts w:eastAsia="Times New Roman" w:cs="Calibri"/>
                <w:noProof/>
              </w:rPr>
            </w:pPr>
            <w:r>
              <w:rPr>
                <w:noProof/>
              </w:rPr>
              <w:t>Έργα που λαμβάνουν στήριξη στο πλαίσιο καθεστώτων στήριξης για την αναδιάρθρωση γεωργικών εκμεταλλεύσεων</w:t>
            </w:r>
          </w:p>
        </w:tc>
        <w:tc>
          <w:tcPr>
            <w:tcW w:w="2029" w:type="dxa"/>
            <w:shd w:val="clear" w:color="auto" w:fill="C4EFCE"/>
            <w:vAlign w:val="center"/>
            <w:hideMark/>
          </w:tcPr>
          <w:p w14:paraId="6EFE1DF8" w14:textId="77777777" w:rsidR="00154AD2" w:rsidRDefault="007F6BF3">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25D0A656"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82" w:type="dxa"/>
            <w:shd w:val="clear" w:color="auto" w:fill="C4EFCE"/>
            <w:vAlign w:val="center"/>
            <w:hideMark/>
          </w:tcPr>
          <w:p w14:paraId="5089F2CE" w14:textId="77777777" w:rsidR="00154AD2" w:rsidRDefault="007F6BF3">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5734A034" w14:textId="30F54B9E" w:rsidR="00154AD2" w:rsidRDefault="007F6BF3">
            <w:pPr>
              <w:pStyle w:val="P68B1DB1-Normal8"/>
              <w:spacing w:after="0" w:line="240" w:lineRule="auto"/>
              <w:jc w:val="center"/>
              <w:rPr>
                <w:rFonts w:eastAsia="Times New Roman" w:cs="Calibri"/>
                <w:noProof/>
              </w:rPr>
            </w:pPr>
            <w:r>
              <w:rPr>
                <w:noProof/>
              </w:rPr>
              <w:t>178</w:t>
            </w:r>
          </w:p>
        </w:tc>
        <w:tc>
          <w:tcPr>
            <w:tcW w:w="514" w:type="dxa"/>
            <w:shd w:val="clear" w:color="auto" w:fill="C4EFCE"/>
            <w:vAlign w:val="center"/>
            <w:hideMark/>
          </w:tcPr>
          <w:p w14:paraId="18F2BCCA"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47" w:type="dxa"/>
            <w:shd w:val="clear" w:color="auto" w:fill="C4EFCE"/>
            <w:vAlign w:val="center"/>
            <w:hideMark/>
          </w:tcPr>
          <w:p w14:paraId="33415951" w14:textId="77777777" w:rsidR="00154AD2" w:rsidRDefault="007F6BF3">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6D0C3A49" w14:textId="77777777" w:rsidR="00154AD2" w:rsidRDefault="007F6BF3">
            <w:pPr>
              <w:pStyle w:val="P68B1DB1-Normal8"/>
              <w:spacing w:after="0" w:line="240" w:lineRule="auto"/>
              <w:jc w:val="both"/>
              <w:rPr>
                <w:rFonts w:eastAsia="Times New Roman" w:cs="Calibri"/>
                <w:noProof/>
              </w:rPr>
            </w:pPr>
            <w:r>
              <w:rPr>
                <w:noProof/>
              </w:rPr>
              <w:t>Έργα που εγκρίνονται και ανατίθενται βάσει συμβάσεων στο πλαίσιο καθεστώτων στήριξης για την καινοτομία σε προϊόντα και διαδικασίες παραγωγής και οργάνωσης, την πράσινη μετάβαση και την ψηφιακή μετάβαση, με στόχο την αναδιάρθρωση των γεωργικών εκμεταλλεύσεων.</w:t>
            </w:r>
          </w:p>
        </w:tc>
      </w:tr>
      <w:tr w:rsidR="00154AD2" w14:paraId="7B64C750" w14:textId="77777777">
        <w:trPr>
          <w:trHeight w:val="67"/>
        </w:trPr>
        <w:tc>
          <w:tcPr>
            <w:tcW w:w="1134" w:type="dxa"/>
            <w:shd w:val="clear" w:color="auto" w:fill="C4EFCE"/>
            <w:vAlign w:val="center"/>
            <w:hideMark/>
          </w:tcPr>
          <w:p w14:paraId="69F4FB66" w14:textId="77777777" w:rsidR="00154AD2" w:rsidRDefault="007F6BF3">
            <w:pPr>
              <w:pStyle w:val="P68B1DB1-Normal7"/>
              <w:spacing w:after="0" w:line="240" w:lineRule="auto"/>
              <w:jc w:val="center"/>
              <w:rPr>
                <w:rFonts w:eastAsia="Times New Roman" w:cs="Calibri"/>
                <w:noProof/>
              </w:rPr>
            </w:pPr>
            <w:r>
              <w:rPr>
                <w:noProof/>
              </w:rPr>
              <w:t>5.22</w:t>
            </w:r>
          </w:p>
        </w:tc>
        <w:tc>
          <w:tcPr>
            <w:tcW w:w="1165" w:type="dxa"/>
            <w:shd w:val="clear" w:color="auto" w:fill="C4EFCE"/>
            <w:vAlign w:val="center"/>
            <w:hideMark/>
          </w:tcPr>
          <w:p w14:paraId="765D75C8" w14:textId="77777777" w:rsidR="00154AD2" w:rsidRDefault="007F6BF3">
            <w:pPr>
              <w:pStyle w:val="P68B1DB1-Normal8"/>
              <w:spacing w:after="0" w:line="240" w:lineRule="auto"/>
              <w:jc w:val="center"/>
              <w:rPr>
                <w:rFonts w:eastAsia="Times New Roman" w:cs="Calibri"/>
                <w:noProof/>
              </w:rPr>
            </w:pPr>
            <w:r>
              <w:rPr>
                <w:noProof/>
              </w:rPr>
              <w:t>RE-C05-i05-RAA</w:t>
            </w:r>
          </w:p>
        </w:tc>
        <w:tc>
          <w:tcPr>
            <w:tcW w:w="976" w:type="dxa"/>
            <w:shd w:val="clear" w:color="auto" w:fill="C4EFCE"/>
            <w:vAlign w:val="center"/>
            <w:hideMark/>
          </w:tcPr>
          <w:p w14:paraId="7A7C71EA" w14:textId="77777777" w:rsidR="00154AD2" w:rsidRDefault="007F6BF3">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132B0C61" w14:textId="77777777" w:rsidR="00154AD2" w:rsidRDefault="007F6BF3">
            <w:pPr>
              <w:pStyle w:val="P68B1DB1-Normal8"/>
              <w:spacing w:after="0" w:line="240" w:lineRule="auto"/>
              <w:jc w:val="center"/>
              <w:rPr>
                <w:rFonts w:eastAsia="Times New Roman" w:cs="Calibri"/>
                <w:noProof/>
              </w:rPr>
            </w:pPr>
            <w:r>
              <w:rPr>
                <w:noProof/>
              </w:rPr>
              <w:t>Γεωργικές εκμεταλλεύσεις που επωφελούνται από εξειδικευμένη τεχνική υποστήριξη στο πλαίσιο του προγράμματος ενδυνάμωσης των γεωργών</w:t>
            </w:r>
          </w:p>
        </w:tc>
        <w:tc>
          <w:tcPr>
            <w:tcW w:w="2029" w:type="dxa"/>
            <w:shd w:val="clear" w:color="auto" w:fill="C4EFCE"/>
            <w:vAlign w:val="center"/>
            <w:hideMark/>
          </w:tcPr>
          <w:p w14:paraId="7586AE24" w14:textId="77777777" w:rsidR="00154AD2" w:rsidRDefault="007F6BF3">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4AD3912A"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82" w:type="dxa"/>
            <w:shd w:val="clear" w:color="auto" w:fill="C4EFCE"/>
            <w:vAlign w:val="center"/>
            <w:hideMark/>
          </w:tcPr>
          <w:p w14:paraId="3174DC4A" w14:textId="77777777" w:rsidR="00154AD2" w:rsidRDefault="007F6BF3">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6B33C92A" w14:textId="77777777" w:rsidR="00154AD2" w:rsidRDefault="007F6BF3">
            <w:pPr>
              <w:pStyle w:val="P68B1DB1-Normal8"/>
              <w:spacing w:after="0" w:line="240" w:lineRule="auto"/>
              <w:jc w:val="center"/>
              <w:rPr>
                <w:rFonts w:eastAsia="Times New Roman" w:cs="Calibri"/>
                <w:noProof/>
              </w:rPr>
            </w:pPr>
            <w:r>
              <w:rPr>
                <w:noProof/>
              </w:rPr>
              <w:t>2 000</w:t>
            </w:r>
          </w:p>
        </w:tc>
        <w:tc>
          <w:tcPr>
            <w:tcW w:w="514" w:type="dxa"/>
            <w:shd w:val="clear" w:color="auto" w:fill="C4EFCE"/>
            <w:vAlign w:val="center"/>
            <w:hideMark/>
          </w:tcPr>
          <w:p w14:paraId="3CB938A2"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47" w:type="dxa"/>
            <w:shd w:val="clear" w:color="auto" w:fill="C4EFCE"/>
            <w:vAlign w:val="center"/>
            <w:hideMark/>
          </w:tcPr>
          <w:p w14:paraId="28BE79BE" w14:textId="77777777" w:rsidR="00154AD2" w:rsidRDefault="007F6BF3">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2E512E2A" w14:textId="77777777" w:rsidR="00154AD2" w:rsidRDefault="007F6BF3">
            <w:pPr>
              <w:pStyle w:val="P68B1DB1-Normal8"/>
              <w:spacing w:after="0" w:line="240" w:lineRule="auto"/>
              <w:jc w:val="both"/>
              <w:rPr>
                <w:rFonts w:eastAsia="Times New Roman" w:cs="Calibri"/>
                <w:noProof/>
              </w:rPr>
            </w:pPr>
            <w:r>
              <w:rPr>
                <w:noProof/>
              </w:rPr>
              <w:t>Γεωργικές εκμεταλλεύσεις που επωφελούνται από εξειδικευμένη τεχνική υποστήριξη στο πλαίσιο των δράσεων που θα υλοποιηθούν στο πλαίσιο του προγράμματος ενδυνάμωσης των γεωργών.</w:t>
            </w:r>
          </w:p>
        </w:tc>
      </w:tr>
      <w:tr w:rsidR="00154AD2" w14:paraId="6B3FA3FC" w14:textId="77777777">
        <w:trPr>
          <w:trHeight w:val="2709"/>
        </w:trPr>
        <w:tc>
          <w:tcPr>
            <w:tcW w:w="1134" w:type="dxa"/>
            <w:shd w:val="clear" w:color="auto" w:fill="C4EFCE"/>
            <w:vAlign w:val="center"/>
          </w:tcPr>
          <w:p w14:paraId="54E7BC25" w14:textId="62E6C5C0" w:rsidR="00154AD2" w:rsidRDefault="007F6BF3">
            <w:pPr>
              <w:pStyle w:val="P68B1DB1-Normal11"/>
              <w:spacing w:after="0" w:line="240" w:lineRule="auto"/>
              <w:jc w:val="center"/>
              <w:rPr>
                <w:rFonts w:eastAsia="Times New Roman" w:cstheme="minorHAnsi"/>
                <w:noProof/>
              </w:rPr>
            </w:pPr>
            <w:r>
              <w:rPr>
                <w:noProof/>
              </w:rPr>
              <w:t>5.33</w:t>
            </w:r>
          </w:p>
        </w:tc>
        <w:tc>
          <w:tcPr>
            <w:tcW w:w="1165" w:type="dxa"/>
            <w:shd w:val="clear" w:color="auto" w:fill="C4EFCE"/>
            <w:vAlign w:val="center"/>
          </w:tcPr>
          <w:p w14:paraId="5929BA6C" w14:textId="428A8C0E" w:rsidR="00154AD2" w:rsidRDefault="007F6BF3">
            <w:pPr>
              <w:pStyle w:val="P68B1DB1-Normal12"/>
              <w:spacing w:after="0" w:line="240" w:lineRule="auto"/>
              <w:jc w:val="center"/>
              <w:rPr>
                <w:rFonts w:eastAsia="Times New Roman" w:cstheme="minorHAnsi"/>
                <w:noProof/>
              </w:rPr>
            </w:pPr>
            <w:r>
              <w:rPr>
                <w:noProof/>
              </w:rPr>
              <w:t>RE-C05-i07-RAM</w:t>
            </w:r>
          </w:p>
        </w:tc>
        <w:tc>
          <w:tcPr>
            <w:tcW w:w="976" w:type="dxa"/>
            <w:shd w:val="clear" w:color="auto" w:fill="C4EFCE"/>
            <w:vAlign w:val="center"/>
          </w:tcPr>
          <w:p w14:paraId="30E1990D" w14:textId="582BDEE3" w:rsidR="00154AD2" w:rsidRDefault="007F6BF3">
            <w:pPr>
              <w:pStyle w:val="P68B1DB1-Normal12"/>
              <w:spacing w:after="0" w:line="240" w:lineRule="auto"/>
              <w:jc w:val="center"/>
              <w:rPr>
                <w:rFonts w:eastAsia="Times New Roman" w:cstheme="minorHAnsi"/>
                <w:noProof/>
              </w:rPr>
            </w:pPr>
            <w:r>
              <w:rPr>
                <w:noProof/>
              </w:rPr>
              <w:t>M</w:t>
            </w:r>
          </w:p>
        </w:tc>
        <w:tc>
          <w:tcPr>
            <w:tcW w:w="1668" w:type="dxa"/>
            <w:shd w:val="clear" w:color="auto" w:fill="C4EFCE"/>
            <w:vAlign w:val="center"/>
          </w:tcPr>
          <w:p w14:paraId="59B95D11" w14:textId="5995F441" w:rsidR="00154AD2" w:rsidRDefault="007F6BF3">
            <w:pPr>
              <w:pStyle w:val="P68B1DB1-Bodytext1013"/>
              <w:jc w:val="center"/>
              <w:rPr>
                <w:rFonts w:cstheme="minorHAnsi"/>
                <w:noProof/>
              </w:rPr>
            </w:pPr>
            <w:r>
              <w:rPr>
                <w:noProof/>
              </w:rPr>
              <w:t>Υπογραφή της συμφωνίας εφαρμογής (πρωτόκολλο) μεταξύ της Banco Português de Fomento, του Instituto de Desenvolvimento Empresarial και επιλεγμένων ενδιάμεσων χρηματοπιστωτικών οργανισμών</w:t>
            </w:r>
          </w:p>
        </w:tc>
        <w:tc>
          <w:tcPr>
            <w:tcW w:w="2029" w:type="dxa"/>
            <w:shd w:val="clear" w:color="auto" w:fill="C4EFCE"/>
            <w:vAlign w:val="center"/>
          </w:tcPr>
          <w:p w14:paraId="37342ABF" w14:textId="1772DDF4" w:rsidR="00154AD2" w:rsidRDefault="007F6BF3">
            <w:pPr>
              <w:pStyle w:val="P68B1DB1-Normal12"/>
              <w:spacing w:after="0" w:line="240" w:lineRule="auto"/>
              <w:jc w:val="center"/>
              <w:rPr>
                <w:rFonts w:eastAsia="Times New Roman" w:cstheme="minorHAnsi"/>
                <w:noProof/>
              </w:rPr>
            </w:pPr>
            <w:r>
              <w:rPr>
                <w:noProof/>
              </w:rPr>
              <w:t>Υπογραφή της συμφωνίας εφαρμογής (πρωτόκολλο) μεταξύ της Banco Português de Fomento, του Instituto de Desenvolvimento Empresarial και επιλεγμένων ενδιάμεσων χρηματοπιστωτικών οργανισμών, η οποία καλύπτει όλα τα χρηματοδοτικά μέσα που προβλέπονται στο μέτρο</w:t>
            </w:r>
          </w:p>
        </w:tc>
        <w:tc>
          <w:tcPr>
            <w:tcW w:w="982" w:type="dxa"/>
            <w:shd w:val="clear" w:color="auto" w:fill="C4EFCE"/>
            <w:vAlign w:val="center"/>
          </w:tcPr>
          <w:p w14:paraId="6758A57F" w14:textId="77777777" w:rsidR="00154AD2" w:rsidRDefault="00154AD2">
            <w:pPr>
              <w:spacing w:after="0" w:line="240" w:lineRule="auto"/>
              <w:jc w:val="center"/>
              <w:rPr>
                <w:rFonts w:eastAsia="Times New Roman" w:cstheme="minorHAnsi"/>
                <w:noProof/>
                <w:sz w:val="16"/>
              </w:rPr>
            </w:pPr>
          </w:p>
        </w:tc>
        <w:tc>
          <w:tcPr>
            <w:tcW w:w="982" w:type="dxa"/>
            <w:shd w:val="clear" w:color="auto" w:fill="C4EFCE"/>
            <w:vAlign w:val="center"/>
          </w:tcPr>
          <w:p w14:paraId="4ED1D73F" w14:textId="77777777" w:rsidR="00154AD2" w:rsidRDefault="00154AD2">
            <w:pPr>
              <w:spacing w:after="0" w:line="240" w:lineRule="auto"/>
              <w:jc w:val="center"/>
              <w:rPr>
                <w:rFonts w:eastAsia="Times New Roman" w:cstheme="minorHAnsi"/>
                <w:noProof/>
                <w:sz w:val="16"/>
              </w:rPr>
            </w:pPr>
          </w:p>
        </w:tc>
        <w:tc>
          <w:tcPr>
            <w:tcW w:w="626" w:type="dxa"/>
            <w:shd w:val="clear" w:color="auto" w:fill="C4EFCE"/>
            <w:vAlign w:val="center"/>
          </w:tcPr>
          <w:p w14:paraId="633B6B1E" w14:textId="77777777" w:rsidR="00154AD2" w:rsidRDefault="00154AD2">
            <w:pPr>
              <w:spacing w:after="0" w:line="240" w:lineRule="auto"/>
              <w:jc w:val="center"/>
              <w:rPr>
                <w:rFonts w:eastAsia="Times New Roman" w:cstheme="minorHAnsi"/>
                <w:noProof/>
                <w:sz w:val="16"/>
              </w:rPr>
            </w:pPr>
          </w:p>
        </w:tc>
        <w:tc>
          <w:tcPr>
            <w:tcW w:w="514" w:type="dxa"/>
            <w:shd w:val="clear" w:color="auto" w:fill="C4EFCE"/>
            <w:vAlign w:val="center"/>
          </w:tcPr>
          <w:p w14:paraId="798958ED" w14:textId="3E2F7C91" w:rsidR="00154AD2" w:rsidRDefault="007F6BF3">
            <w:pPr>
              <w:pStyle w:val="P68B1DB1-Normal12"/>
              <w:spacing w:after="0" w:line="240" w:lineRule="auto"/>
              <w:jc w:val="center"/>
              <w:rPr>
                <w:rFonts w:eastAsia="Times New Roman" w:cstheme="minorHAnsi"/>
                <w:noProof/>
              </w:rPr>
            </w:pPr>
            <w:r>
              <w:rPr>
                <w:noProof/>
              </w:rPr>
              <w:t>ΤΡΊΜΗΝΟ 2</w:t>
            </w:r>
          </w:p>
        </w:tc>
        <w:tc>
          <w:tcPr>
            <w:tcW w:w="747" w:type="dxa"/>
            <w:shd w:val="clear" w:color="auto" w:fill="C4EFCE"/>
            <w:vAlign w:val="center"/>
          </w:tcPr>
          <w:p w14:paraId="2525860B" w14:textId="3ECA8FE2" w:rsidR="00154AD2" w:rsidRDefault="007F6BF3">
            <w:pPr>
              <w:pStyle w:val="P68B1DB1-Normal12"/>
              <w:spacing w:after="0" w:line="240" w:lineRule="auto"/>
              <w:jc w:val="center"/>
              <w:rPr>
                <w:rFonts w:eastAsia="Times New Roman" w:cstheme="minorHAnsi"/>
                <w:noProof/>
              </w:rPr>
            </w:pPr>
            <w:r>
              <w:rPr>
                <w:noProof/>
              </w:rPr>
              <w:t>2024</w:t>
            </w:r>
          </w:p>
        </w:tc>
        <w:tc>
          <w:tcPr>
            <w:tcW w:w="3919" w:type="dxa"/>
            <w:shd w:val="clear" w:color="auto" w:fill="C4EFCE"/>
          </w:tcPr>
          <w:p w14:paraId="7BFE9655" w14:textId="291FD11F" w:rsidR="00154AD2" w:rsidRDefault="007F6BF3">
            <w:pPr>
              <w:pStyle w:val="P68B1DB1-Bodytext1013"/>
              <w:rPr>
                <w:rFonts w:cstheme="minorHAnsi"/>
                <w:noProof/>
              </w:rPr>
            </w:pPr>
            <w:r>
              <w:rPr>
                <w:noProof/>
              </w:rPr>
              <w:t xml:space="preserve">Υπογραφή της συμφωνίας εφαρμογής (πρωτόκολλο) μεταξύ της Banco Português de Fomento, του Instituto de Desenvolvimento Empresarial και επιλεγμένων ενδιάμεσων χρηματοπιστωτικών οργανισμών, η οποία καλύπτει όλα τα χρηματοδοτικά μέσα που προβλέπονται στο μέτρο. </w:t>
            </w:r>
          </w:p>
          <w:p w14:paraId="2B9416E9" w14:textId="1999C5AE" w:rsidR="00154AD2" w:rsidRDefault="007F6BF3">
            <w:pPr>
              <w:pStyle w:val="P68B1DB1-Normal12"/>
              <w:spacing w:after="0" w:line="240" w:lineRule="auto"/>
              <w:jc w:val="both"/>
              <w:rPr>
                <w:rFonts w:eastAsia="Times New Roman" w:cstheme="minorHAnsi"/>
                <w:noProof/>
              </w:rPr>
            </w:pPr>
            <w:r>
              <w:rPr>
                <w:noProof/>
              </w:rPr>
              <w:t xml:space="preserve">Η συμφωνία εφαρμογής και τα επακόλουθα νομικά έγγραφα του χρηματοδοτικού μέσου απαιτούν την εφαρμογή του καταλόγου αποκλεισμού (όπως ορίζεται στην περιγραφή του μέτρου) και έλεγχο συμμόρφωσης με την ενωσιακή και την εθνική περιβαλλοντική νομοθεσία. </w:t>
            </w:r>
          </w:p>
        </w:tc>
      </w:tr>
      <w:tr w:rsidR="00154AD2" w14:paraId="4CBE3D8A" w14:textId="77777777">
        <w:trPr>
          <w:trHeight w:val="67"/>
        </w:trPr>
        <w:tc>
          <w:tcPr>
            <w:tcW w:w="1134" w:type="dxa"/>
            <w:shd w:val="clear" w:color="auto" w:fill="C4EFCE"/>
            <w:vAlign w:val="center"/>
          </w:tcPr>
          <w:p w14:paraId="7BB0CA82" w14:textId="09AAED9B" w:rsidR="00154AD2" w:rsidRDefault="007F6BF3">
            <w:pPr>
              <w:pStyle w:val="P68B1DB1-Normal11"/>
              <w:spacing w:after="0" w:line="240" w:lineRule="auto"/>
              <w:jc w:val="center"/>
              <w:rPr>
                <w:rFonts w:eastAsia="Times New Roman" w:cstheme="minorHAnsi"/>
                <w:noProof/>
              </w:rPr>
            </w:pPr>
            <w:r>
              <w:rPr>
                <w:noProof/>
              </w:rPr>
              <w:t>5.34</w:t>
            </w:r>
          </w:p>
        </w:tc>
        <w:tc>
          <w:tcPr>
            <w:tcW w:w="1165" w:type="dxa"/>
            <w:shd w:val="clear" w:color="auto" w:fill="C4EFCE"/>
            <w:vAlign w:val="center"/>
          </w:tcPr>
          <w:p w14:paraId="4855C77A" w14:textId="5D5E927E" w:rsidR="00154AD2" w:rsidRDefault="007F6BF3">
            <w:pPr>
              <w:pStyle w:val="P68B1DB1-Normal12"/>
              <w:spacing w:after="0" w:line="240" w:lineRule="auto"/>
              <w:jc w:val="center"/>
              <w:rPr>
                <w:rFonts w:eastAsia="Times New Roman" w:cstheme="minorHAnsi"/>
                <w:noProof/>
              </w:rPr>
            </w:pPr>
            <w:r>
              <w:rPr>
                <w:noProof/>
              </w:rPr>
              <w:t>RE-C05-i07-RAM</w:t>
            </w:r>
          </w:p>
        </w:tc>
        <w:tc>
          <w:tcPr>
            <w:tcW w:w="976" w:type="dxa"/>
            <w:shd w:val="clear" w:color="auto" w:fill="C4EFCE"/>
            <w:vAlign w:val="center"/>
          </w:tcPr>
          <w:p w14:paraId="1DD25CAD" w14:textId="1026C3D1" w:rsidR="00154AD2" w:rsidRDefault="007F6BF3">
            <w:pPr>
              <w:pStyle w:val="P68B1DB1-Normal12"/>
              <w:spacing w:after="0" w:line="240" w:lineRule="auto"/>
              <w:jc w:val="center"/>
              <w:rPr>
                <w:rFonts w:eastAsia="Times New Roman" w:cstheme="minorHAnsi"/>
                <w:noProof/>
              </w:rPr>
            </w:pPr>
            <w:r>
              <w:rPr>
                <w:noProof/>
              </w:rPr>
              <w:t>T</w:t>
            </w:r>
          </w:p>
        </w:tc>
        <w:tc>
          <w:tcPr>
            <w:tcW w:w="1668" w:type="dxa"/>
            <w:shd w:val="clear" w:color="auto" w:fill="C4EFCE"/>
            <w:vAlign w:val="center"/>
          </w:tcPr>
          <w:p w14:paraId="2A3A2C05" w14:textId="671BE97B" w:rsidR="00154AD2" w:rsidRDefault="007F6BF3">
            <w:pPr>
              <w:pStyle w:val="P68B1DB1-Normal12"/>
              <w:spacing w:after="0" w:line="240" w:lineRule="auto"/>
              <w:jc w:val="center"/>
              <w:rPr>
                <w:rFonts w:eastAsia="Times New Roman" w:cstheme="minorHAnsi"/>
                <w:noProof/>
              </w:rPr>
            </w:pPr>
            <w:r>
              <w:rPr>
                <w:noProof/>
              </w:rPr>
              <w:t>Εγγυήσεις δανείων για τη στήριξη έργων περιφερειακών επιχειρήσεων.</w:t>
            </w:r>
          </w:p>
        </w:tc>
        <w:tc>
          <w:tcPr>
            <w:tcW w:w="2029" w:type="dxa"/>
            <w:shd w:val="clear" w:color="auto" w:fill="C4EFCE"/>
            <w:vAlign w:val="center"/>
          </w:tcPr>
          <w:p w14:paraId="14B7871F" w14:textId="4EB3B0C4" w:rsidR="00154AD2" w:rsidRDefault="007F6BF3">
            <w:pPr>
              <w:pStyle w:val="P68B1DB1-Normal12"/>
              <w:spacing w:after="0" w:line="240" w:lineRule="auto"/>
              <w:jc w:val="center"/>
              <w:rPr>
                <w:rFonts w:eastAsia="Times New Roman" w:cstheme="minorHAnsi"/>
                <w:noProof/>
              </w:rPr>
            </w:pPr>
            <w:r>
              <w:rPr>
                <w:noProof/>
              </w:rPr>
              <w:t>—</w:t>
            </w:r>
          </w:p>
        </w:tc>
        <w:tc>
          <w:tcPr>
            <w:tcW w:w="982" w:type="dxa"/>
            <w:shd w:val="clear" w:color="auto" w:fill="C4EFCE"/>
            <w:vAlign w:val="center"/>
          </w:tcPr>
          <w:p w14:paraId="5FC778CA" w14:textId="5E913ACC" w:rsidR="00154AD2" w:rsidRDefault="007F6BF3">
            <w:pPr>
              <w:pStyle w:val="P68B1DB1-Normal12"/>
              <w:spacing w:after="0" w:line="240" w:lineRule="auto"/>
              <w:jc w:val="center"/>
              <w:rPr>
                <w:rFonts w:eastAsia="Times New Roman" w:cstheme="minorHAnsi"/>
                <w:noProof/>
              </w:rPr>
            </w:pPr>
            <w:r>
              <w:rPr>
                <w:noProof/>
              </w:rPr>
              <w:t>ΕΥΡΏ</w:t>
            </w:r>
          </w:p>
        </w:tc>
        <w:tc>
          <w:tcPr>
            <w:tcW w:w="982" w:type="dxa"/>
            <w:shd w:val="clear" w:color="auto" w:fill="C4EFCE"/>
            <w:vAlign w:val="center"/>
          </w:tcPr>
          <w:p w14:paraId="0271D6FF" w14:textId="04899E06" w:rsidR="00154AD2" w:rsidRDefault="007F6BF3">
            <w:pPr>
              <w:pStyle w:val="P68B1DB1-Normal12"/>
              <w:spacing w:after="0" w:line="240" w:lineRule="auto"/>
              <w:jc w:val="center"/>
              <w:rPr>
                <w:rFonts w:eastAsia="Times New Roman" w:cstheme="minorHAnsi"/>
                <w:noProof/>
              </w:rPr>
            </w:pPr>
            <w:r>
              <w:rPr>
                <w:noProof/>
              </w:rPr>
              <w:t>0</w:t>
            </w:r>
          </w:p>
        </w:tc>
        <w:tc>
          <w:tcPr>
            <w:tcW w:w="626" w:type="dxa"/>
            <w:shd w:val="clear" w:color="auto" w:fill="C4EFCE"/>
            <w:vAlign w:val="center"/>
          </w:tcPr>
          <w:p w14:paraId="6451A08B" w14:textId="2E7FED99" w:rsidR="00154AD2" w:rsidRDefault="007F6BF3">
            <w:pPr>
              <w:pStyle w:val="P68B1DB1-Normal12"/>
              <w:spacing w:after="0" w:line="240" w:lineRule="auto"/>
              <w:jc w:val="center"/>
              <w:rPr>
                <w:rFonts w:eastAsia="Times New Roman" w:cstheme="minorHAnsi"/>
                <w:noProof/>
              </w:rPr>
            </w:pPr>
            <w:r>
              <w:rPr>
                <w:noProof/>
              </w:rPr>
              <w:t>15 900 000</w:t>
            </w:r>
          </w:p>
        </w:tc>
        <w:tc>
          <w:tcPr>
            <w:tcW w:w="514" w:type="dxa"/>
            <w:shd w:val="clear" w:color="auto" w:fill="C4EFCE"/>
            <w:vAlign w:val="center"/>
          </w:tcPr>
          <w:p w14:paraId="2A88DF46" w14:textId="7CCAE0DE" w:rsidR="00154AD2" w:rsidRDefault="007F6BF3">
            <w:pPr>
              <w:pStyle w:val="P68B1DB1-Normal12"/>
              <w:spacing w:after="0" w:line="240" w:lineRule="auto"/>
              <w:jc w:val="center"/>
              <w:rPr>
                <w:rFonts w:eastAsia="Times New Roman" w:cstheme="minorHAnsi"/>
                <w:noProof/>
              </w:rPr>
            </w:pPr>
            <w:r>
              <w:rPr>
                <w:noProof/>
              </w:rPr>
              <w:t>ΤΡΊΜΗΝΟ 4</w:t>
            </w:r>
          </w:p>
        </w:tc>
        <w:tc>
          <w:tcPr>
            <w:tcW w:w="747" w:type="dxa"/>
            <w:shd w:val="clear" w:color="auto" w:fill="C4EFCE"/>
            <w:vAlign w:val="center"/>
          </w:tcPr>
          <w:p w14:paraId="5FEA44B0" w14:textId="0E21A022" w:rsidR="00154AD2" w:rsidRDefault="007F6BF3">
            <w:pPr>
              <w:pStyle w:val="P68B1DB1-Normal12"/>
              <w:spacing w:after="0" w:line="240" w:lineRule="auto"/>
              <w:jc w:val="center"/>
              <w:rPr>
                <w:rFonts w:eastAsia="Times New Roman" w:cstheme="minorHAnsi"/>
                <w:noProof/>
              </w:rPr>
            </w:pPr>
            <w:r>
              <w:rPr>
                <w:noProof/>
              </w:rPr>
              <w:t>2025</w:t>
            </w:r>
          </w:p>
        </w:tc>
        <w:tc>
          <w:tcPr>
            <w:tcW w:w="3919" w:type="dxa"/>
            <w:shd w:val="clear" w:color="auto" w:fill="C4EFCE"/>
          </w:tcPr>
          <w:p w14:paraId="3959FFFC" w14:textId="44A649C9" w:rsidR="00154AD2" w:rsidRDefault="007F6BF3">
            <w:pPr>
              <w:pStyle w:val="P68B1DB1-Normal12"/>
              <w:spacing w:after="0" w:line="240" w:lineRule="auto"/>
              <w:jc w:val="both"/>
              <w:rPr>
                <w:rFonts w:eastAsia="Times New Roman" w:cstheme="minorHAnsi"/>
                <w:noProof/>
              </w:rPr>
            </w:pPr>
            <w:r>
              <w:rPr>
                <w:noProof/>
              </w:rPr>
              <w:t xml:space="preserve">Παροχή εγγυήσεων για δάνεια ύψους 15 900 000 EUR, καθώς και στήριξη για δαπάνες τόκων δανείων στο πλαίσιο του εθνικού συστήματος αμοιβαίας εγγύησης, για τη στήριξη τουλάχιστον 10 περιφερειακών έργων. </w:t>
            </w:r>
          </w:p>
        </w:tc>
      </w:tr>
      <w:tr w:rsidR="00154AD2" w14:paraId="2C5CFDE1" w14:textId="77777777">
        <w:trPr>
          <w:trHeight w:val="67"/>
        </w:trPr>
        <w:tc>
          <w:tcPr>
            <w:tcW w:w="1134" w:type="dxa"/>
            <w:shd w:val="clear" w:color="auto" w:fill="C4EFCE"/>
            <w:vAlign w:val="center"/>
          </w:tcPr>
          <w:p w14:paraId="0773CFB1" w14:textId="6033DE37" w:rsidR="00154AD2" w:rsidRDefault="007F6BF3">
            <w:pPr>
              <w:pStyle w:val="P68B1DB1-Normal11"/>
              <w:spacing w:after="0" w:line="240" w:lineRule="auto"/>
              <w:jc w:val="center"/>
              <w:rPr>
                <w:rFonts w:cstheme="minorHAnsi"/>
                <w:noProof/>
              </w:rPr>
            </w:pPr>
            <w:r>
              <w:rPr>
                <w:noProof/>
              </w:rPr>
              <w:t>5.35</w:t>
            </w:r>
          </w:p>
        </w:tc>
        <w:tc>
          <w:tcPr>
            <w:tcW w:w="1165" w:type="dxa"/>
            <w:shd w:val="clear" w:color="auto" w:fill="C4EFCE"/>
            <w:vAlign w:val="center"/>
          </w:tcPr>
          <w:p w14:paraId="00F378C5" w14:textId="26E033C1" w:rsidR="00154AD2" w:rsidRDefault="007F6BF3">
            <w:pPr>
              <w:pStyle w:val="P68B1DB1-Normal12"/>
              <w:spacing w:after="0" w:line="240" w:lineRule="auto"/>
              <w:jc w:val="center"/>
              <w:rPr>
                <w:rFonts w:cstheme="minorHAnsi"/>
                <w:noProof/>
              </w:rPr>
            </w:pPr>
            <w:r>
              <w:rPr>
                <w:noProof/>
              </w:rPr>
              <w:t>RE-C05-i08</w:t>
            </w:r>
          </w:p>
        </w:tc>
        <w:tc>
          <w:tcPr>
            <w:tcW w:w="976" w:type="dxa"/>
            <w:shd w:val="clear" w:color="auto" w:fill="C4EFCE"/>
            <w:vAlign w:val="center"/>
          </w:tcPr>
          <w:p w14:paraId="176CCB47" w14:textId="022E3FC5" w:rsidR="00154AD2" w:rsidRDefault="007F6BF3">
            <w:pPr>
              <w:pStyle w:val="P68B1DB1-Normal12"/>
              <w:spacing w:after="0" w:line="240" w:lineRule="auto"/>
              <w:jc w:val="center"/>
              <w:rPr>
                <w:rFonts w:cstheme="minorHAnsi"/>
                <w:noProof/>
              </w:rPr>
            </w:pPr>
            <w:r>
              <w:rPr>
                <w:noProof/>
              </w:rPr>
              <w:t>T</w:t>
            </w:r>
          </w:p>
        </w:tc>
        <w:tc>
          <w:tcPr>
            <w:tcW w:w="1668" w:type="dxa"/>
            <w:shd w:val="clear" w:color="auto" w:fill="C4EFCE"/>
            <w:vAlign w:val="center"/>
          </w:tcPr>
          <w:p w14:paraId="43BF0EA1" w14:textId="55368CAA" w:rsidR="00154AD2" w:rsidRDefault="007F6BF3">
            <w:pPr>
              <w:pStyle w:val="P68B1DB1-Normal12"/>
              <w:spacing w:after="0" w:line="240" w:lineRule="auto"/>
              <w:jc w:val="center"/>
              <w:rPr>
                <w:noProof/>
              </w:rPr>
            </w:pPr>
            <w:r>
              <w:rPr>
                <w:noProof/>
              </w:rPr>
              <w:t>Ολοκλήρωση των προγραμμάτων «Science XXI campus» και «Επιστημονικό γραφείο» και παροχή υπηρεσιών μέσω του εθνικού προγράμματος ανοικτής επιστήμης και ανοικτών ερευνητικών δεδομένων (PNCADAI)</w:t>
            </w:r>
          </w:p>
        </w:tc>
        <w:tc>
          <w:tcPr>
            <w:tcW w:w="2029" w:type="dxa"/>
            <w:shd w:val="clear" w:color="auto" w:fill="C4EFCE"/>
            <w:vAlign w:val="center"/>
          </w:tcPr>
          <w:p w14:paraId="13A0FF6F" w14:textId="77777777" w:rsidR="00154AD2" w:rsidRDefault="00154AD2">
            <w:pPr>
              <w:spacing w:after="0" w:line="240" w:lineRule="auto"/>
              <w:jc w:val="center"/>
              <w:rPr>
                <w:rFonts w:cstheme="minorHAnsi"/>
                <w:noProof/>
                <w:sz w:val="16"/>
              </w:rPr>
            </w:pPr>
          </w:p>
        </w:tc>
        <w:tc>
          <w:tcPr>
            <w:tcW w:w="982" w:type="dxa"/>
            <w:shd w:val="clear" w:color="auto" w:fill="C4EFCE"/>
            <w:vAlign w:val="center"/>
          </w:tcPr>
          <w:p w14:paraId="22740551" w14:textId="1CB75FCC" w:rsidR="00154AD2" w:rsidRDefault="007F6BF3">
            <w:pPr>
              <w:pStyle w:val="P68B1DB1-Normal12"/>
              <w:spacing w:after="0" w:line="240" w:lineRule="auto"/>
              <w:jc w:val="center"/>
              <w:rPr>
                <w:rFonts w:cstheme="minorHAnsi"/>
                <w:noProof/>
              </w:rPr>
            </w:pPr>
            <w:r>
              <w:rPr>
                <w:noProof/>
              </w:rPr>
              <w:t>Αριθμός</w:t>
            </w:r>
          </w:p>
        </w:tc>
        <w:tc>
          <w:tcPr>
            <w:tcW w:w="982" w:type="dxa"/>
            <w:shd w:val="clear" w:color="auto" w:fill="C4EFCE"/>
            <w:vAlign w:val="center"/>
          </w:tcPr>
          <w:p w14:paraId="57FCAC8C" w14:textId="6C811F49" w:rsidR="00154AD2" w:rsidRDefault="007F6BF3">
            <w:pPr>
              <w:pStyle w:val="P68B1DB1-Normal12"/>
              <w:spacing w:after="0" w:line="240" w:lineRule="auto"/>
              <w:jc w:val="center"/>
              <w:rPr>
                <w:rFonts w:cstheme="minorHAnsi"/>
                <w:noProof/>
              </w:rPr>
            </w:pPr>
            <w:r>
              <w:rPr>
                <w:noProof/>
              </w:rPr>
              <w:t>0</w:t>
            </w:r>
          </w:p>
        </w:tc>
        <w:tc>
          <w:tcPr>
            <w:tcW w:w="626" w:type="dxa"/>
            <w:shd w:val="clear" w:color="auto" w:fill="C4EFCE"/>
            <w:vAlign w:val="center"/>
          </w:tcPr>
          <w:p w14:paraId="13745293" w14:textId="3C59DC12" w:rsidR="00154AD2" w:rsidRDefault="007F6BF3">
            <w:pPr>
              <w:pStyle w:val="P68B1DB1-Normal12"/>
              <w:spacing w:after="0" w:line="240" w:lineRule="auto"/>
              <w:jc w:val="center"/>
              <w:rPr>
                <w:noProof/>
                <w:highlight w:val="cyan"/>
              </w:rPr>
            </w:pPr>
            <w:r>
              <w:rPr>
                <w:noProof/>
              </w:rPr>
              <w:t>9</w:t>
            </w:r>
          </w:p>
        </w:tc>
        <w:tc>
          <w:tcPr>
            <w:tcW w:w="514" w:type="dxa"/>
            <w:shd w:val="clear" w:color="auto" w:fill="C4EFCE"/>
            <w:vAlign w:val="center"/>
          </w:tcPr>
          <w:p w14:paraId="70909177" w14:textId="2BF5B3A1" w:rsidR="00154AD2" w:rsidRDefault="007F6BF3">
            <w:pPr>
              <w:pStyle w:val="P68B1DB1-Normal12"/>
              <w:spacing w:after="0" w:line="240" w:lineRule="auto"/>
              <w:jc w:val="center"/>
              <w:rPr>
                <w:rFonts w:cstheme="minorHAnsi"/>
                <w:noProof/>
              </w:rPr>
            </w:pPr>
            <w:r>
              <w:rPr>
                <w:noProof/>
              </w:rPr>
              <w:t>ΤΡΊΜΗΝΟ 4</w:t>
            </w:r>
          </w:p>
        </w:tc>
        <w:tc>
          <w:tcPr>
            <w:tcW w:w="747" w:type="dxa"/>
            <w:shd w:val="clear" w:color="auto" w:fill="C4EFCE"/>
            <w:vAlign w:val="center"/>
          </w:tcPr>
          <w:p w14:paraId="752967AE" w14:textId="0BF8F3C5" w:rsidR="00154AD2" w:rsidRDefault="007F6BF3">
            <w:pPr>
              <w:pStyle w:val="P68B1DB1-Normal12"/>
              <w:spacing w:after="0" w:line="240" w:lineRule="auto"/>
              <w:jc w:val="center"/>
              <w:rPr>
                <w:rFonts w:cstheme="minorHAnsi"/>
                <w:noProof/>
              </w:rPr>
            </w:pPr>
            <w:r>
              <w:rPr>
                <w:noProof/>
              </w:rPr>
              <w:t>2025 </w:t>
            </w:r>
          </w:p>
        </w:tc>
        <w:tc>
          <w:tcPr>
            <w:tcW w:w="3919" w:type="dxa"/>
            <w:shd w:val="clear" w:color="auto" w:fill="C4EFCE"/>
            <w:vAlign w:val="center"/>
          </w:tcPr>
          <w:p w14:paraId="74F80FFD" w14:textId="63AC4EAE" w:rsidR="00154AD2" w:rsidRDefault="007F6BF3">
            <w:pPr>
              <w:pStyle w:val="P68B1DB1-Normal12"/>
              <w:spacing w:after="0" w:line="240" w:lineRule="auto"/>
              <w:jc w:val="both"/>
              <w:rPr>
                <w:noProof/>
              </w:rPr>
            </w:pPr>
            <w:r>
              <w:rPr>
                <w:noProof/>
              </w:rPr>
              <w:t xml:space="preserve">Ολοκλήρωση των δύο ψηφιακών και φυσικών υπηρεσιών επιστήμης και τεχνολογίας: «Campus Science XXI» και «Science Desk». </w:t>
            </w:r>
          </w:p>
          <w:p w14:paraId="00F0CA38" w14:textId="04A5C66F" w:rsidR="00154AD2" w:rsidRDefault="00154AD2">
            <w:pPr>
              <w:spacing w:after="0" w:line="240" w:lineRule="auto"/>
              <w:jc w:val="both"/>
              <w:rPr>
                <w:noProof/>
                <w:sz w:val="16"/>
              </w:rPr>
            </w:pPr>
          </w:p>
          <w:p w14:paraId="507B7C51" w14:textId="320143D7" w:rsidR="00154AD2" w:rsidRDefault="007F6BF3">
            <w:pPr>
              <w:pStyle w:val="P68B1DB1-Normal12"/>
              <w:spacing w:after="0" w:line="240" w:lineRule="auto"/>
              <w:jc w:val="both"/>
              <w:rPr>
                <w:noProof/>
              </w:rPr>
            </w:pPr>
            <w:r>
              <w:rPr>
                <w:noProof/>
              </w:rPr>
              <w:t>Παροχή επτά επιγραμμικών ηλεκτρονικών υπηρεσιών στο πλαίσιο του Εθνικού Προγράμματος Ανοικτής Επιστήμης και Ανοικτών Ερευνητικών Δεδομένων (PNCADAI). Το πρόγραμμα περιλαμβάνει υποδομή κέντρου δεδομένων, καθώς και υπηρεσία διαχείρισης δεδομένων.</w:t>
            </w:r>
          </w:p>
        </w:tc>
      </w:tr>
      <w:tr w:rsidR="00154AD2" w14:paraId="7FB7AC29" w14:textId="77777777">
        <w:trPr>
          <w:trHeight w:val="67"/>
        </w:trPr>
        <w:tc>
          <w:tcPr>
            <w:tcW w:w="1134" w:type="dxa"/>
            <w:shd w:val="clear" w:color="auto" w:fill="C4EFCE"/>
            <w:vAlign w:val="center"/>
          </w:tcPr>
          <w:p w14:paraId="4B3A8873" w14:textId="179ED554" w:rsidR="00154AD2" w:rsidRDefault="007F6BF3">
            <w:pPr>
              <w:pStyle w:val="P68B1DB1-Normal11"/>
              <w:spacing w:after="0" w:line="240" w:lineRule="auto"/>
              <w:jc w:val="center"/>
              <w:rPr>
                <w:rFonts w:cstheme="minorHAnsi"/>
                <w:noProof/>
              </w:rPr>
            </w:pPr>
            <w:r>
              <w:rPr>
                <w:noProof/>
              </w:rPr>
              <w:t>5.36</w:t>
            </w:r>
          </w:p>
        </w:tc>
        <w:tc>
          <w:tcPr>
            <w:tcW w:w="1165" w:type="dxa"/>
            <w:shd w:val="clear" w:color="auto" w:fill="C4EFCE"/>
            <w:vAlign w:val="center"/>
          </w:tcPr>
          <w:p w14:paraId="1F9177C6" w14:textId="5AA691B4" w:rsidR="00154AD2" w:rsidRDefault="007F6BF3">
            <w:pPr>
              <w:pStyle w:val="P68B1DB1-Normal12"/>
              <w:spacing w:after="0" w:line="240" w:lineRule="auto"/>
              <w:jc w:val="center"/>
              <w:rPr>
                <w:rFonts w:cstheme="minorHAnsi"/>
                <w:noProof/>
              </w:rPr>
            </w:pPr>
            <w:r>
              <w:rPr>
                <w:noProof/>
              </w:rPr>
              <w:t>RE-C05-i08</w:t>
            </w:r>
          </w:p>
        </w:tc>
        <w:tc>
          <w:tcPr>
            <w:tcW w:w="976" w:type="dxa"/>
            <w:shd w:val="clear" w:color="auto" w:fill="C4EFCE"/>
            <w:vAlign w:val="center"/>
          </w:tcPr>
          <w:p w14:paraId="2AACB229" w14:textId="43308D7E" w:rsidR="00154AD2" w:rsidRDefault="007F6BF3">
            <w:pPr>
              <w:pStyle w:val="P68B1DB1-Normal12"/>
              <w:spacing w:after="0" w:line="240" w:lineRule="auto"/>
              <w:jc w:val="center"/>
              <w:rPr>
                <w:rFonts w:cstheme="minorHAnsi"/>
                <w:noProof/>
              </w:rPr>
            </w:pPr>
            <w:r>
              <w:rPr>
                <w:noProof/>
              </w:rPr>
              <w:t>T</w:t>
            </w:r>
          </w:p>
        </w:tc>
        <w:tc>
          <w:tcPr>
            <w:tcW w:w="1668" w:type="dxa"/>
            <w:shd w:val="clear" w:color="auto" w:fill="C4EFCE"/>
            <w:vAlign w:val="center"/>
          </w:tcPr>
          <w:p w14:paraId="3E3B9075" w14:textId="3A696E59" w:rsidR="00154AD2" w:rsidRDefault="007F6BF3">
            <w:pPr>
              <w:pStyle w:val="P68B1DB1-Normal12"/>
              <w:spacing w:after="0" w:line="240" w:lineRule="auto"/>
              <w:jc w:val="center"/>
              <w:rPr>
                <w:noProof/>
              </w:rPr>
            </w:pPr>
            <w:r>
              <w:rPr>
                <w:noProof/>
              </w:rPr>
              <w:t>Ολοκλήρωση έργων στο πλαίσιο του προγράμματος Ε &amp; Α στη δημόσια διοίκηση και νέων μαθημάτων στην Εθνική Πλατφόρμα για Μαζικά Επιγραμμικά Μαθήματα (NAU)</w:t>
            </w:r>
          </w:p>
        </w:tc>
        <w:tc>
          <w:tcPr>
            <w:tcW w:w="2029" w:type="dxa"/>
            <w:shd w:val="clear" w:color="auto" w:fill="C4EFCE"/>
            <w:vAlign w:val="center"/>
          </w:tcPr>
          <w:p w14:paraId="0E21AFE0" w14:textId="774900D8" w:rsidR="00154AD2" w:rsidRDefault="007F6BF3">
            <w:pPr>
              <w:pStyle w:val="P68B1DB1-Normal12"/>
              <w:spacing w:after="0" w:line="240" w:lineRule="auto"/>
              <w:jc w:val="center"/>
              <w:rPr>
                <w:rFonts w:cstheme="minorHAnsi"/>
                <w:noProof/>
              </w:rPr>
            </w:pPr>
            <w:r>
              <w:rPr>
                <w:noProof/>
              </w:rPr>
              <w:t> </w:t>
            </w:r>
          </w:p>
        </w:tc>
        <w:tc>
          <w:tcPr>
            <w:tcW w:w="982" w:type="dxa"/>
            <w:shd w:val="clear" w:color="auto" w:fill="C4EFCE"/>
            <w:vAlign w:val="center"/>
          </w:tcPr>
          <w:p w14:paraId="3D64CFE9" w14:textId="46B248A4" w:rsidR="00154AD2" w:rsidRDefault="007F6BF3">
            <w:pPr>
              <w:pStyle w:val="P68B1DB1-Normal12"/>
              <w:spacing w:after="0" w:line="240" w:lineRule="auto"/>
              <w:jc w:val="center"/>
              <w:rPr>
                <w:rFonts w:cstheme="minorHAnsi"/>
                <w:noProof/>
              </w:rPr>
            </w:pPr>
            <w:r>
              <w:rPr>
                <w:noProof/>
              </w:rPr>
              <w:t>Αριθμός</w:t>
            </w:r>
          </w:p>
        </w:tc>
        <w:tc>
          <w:tcPr>
            <w:tcW w:w="982" w:type="dxa"/>
            <w:shd w:val="clear" w:color="auto" w:fill="C4EFCE"/>
            <w:vAlign w:val="center"/>
          </w:tcPr>
          <w:p w14:paraId="5F88E593" w14:textId="4099A441" w:rsidR="00154AD2" w:rsidRDefault="007F6BF3">
            <w:pPr>
              <w:pStyle w:val="P68B1DB1-Normal12"/>
              <w:spacing w:after="0" w:line="240" w:lineRule="auto"/>
              <w:jc w:val="center"/>
              <w:rPr>
                <w:rFonts w:cstheme="minorHAnsi"/>
                <w:noProof/>
              </w:rPr>
            </w:pPr>
            <w:r>
              <w:rPr>
                <w:noProof/>
              </w:rPr>
              <w:t>0</w:t>
            </w:r>
          </w:p>
        </w:tc>
        <w:tc>
          <w:tcPr>
            <w:tcW w:w="626" w:type="dxa"/>
            <w:shd w:val="clear" w:color="auto" w:fill="C4EFCE"/>
            <w:vAlign w:val="center"/>
          </w:tcPr>
          <w:p w14:paraId="21DC20A1" w14:textId="13A50267" w:rsidR="00154AD2" w:rsidRDefault="007F6BF3">
            <w:pPr>
              <w:pStyle w:val="P68B1DB1-Normal12"/>
              <w:spacing w:after="0" w:line="240" w:lineRule="auto"/>
              <w:jc w:val="center"/>
              <w:rPr>
                <w:noProof/>
                <w:highlight w:val="cyan"/>
              </w:rPr>
            </w:pPr>
            <w:r>
              <w:rPr>
                <w:noProof/>
              </w:rPr>
              <w:t>144</w:t>
            </w:r>
          </w:p>
        </w:tc>
        <w:tc>
          <w:tcPr>
            <w:tcW w:w="514" w:type="dxa"/>
            <w:shd w:val="clear" w:color="auto" w:fill="C4EFCE"/>
            <w:vAlign w:val="center"/>
          </w:tcPr>
          <w:p w14:paraId="14DC8D5E" w14:textId="4E1FC6D6" w:rsidR="00154AD2" w:rsidRDefault="007F6BF3">
            <w:pPr>
              <w:pStyle w:val="P68B1DB1-Normal12"/>
              <w:spacing w:after="0" w:line="240" w:lineRule="auto"/>
              <w:jc w:val="center"/>
              <w:rPr>
                <w:rFonts w:cstheme="minorHAnsi"/>
                <w:noProof/>
              </w:rPr>
            </w:pPr>
            <w:r>
              <w:rPr>
                <w:noProof/>
              </w:rPr>
              <w:t>ΤΡΊΜΗΝΟ 1</w:t>
            </w:r>
          </w:p>
        </w:tc>
        <w:tc>
          <w:tcPr>
            <w:tcW w:w="747" w:type="dxa"/>
            <w:shd w:val="clear" w:color="auto" w:fill="C4EFCE"/>
            <w:vAlign w:val="center"/>
          </w:tcPr>
          <w:p w14:paraId="6C28108F" w14:textId="341BEB1E" w:rsidR="00154AD2" w:rsidRDefault="007F6BF3">
            <w:pPr>
              <w:pStyle w:val="P68B1DB1-Normal12"/>
              <w:spacing w:after="0" w:line="240" w:lineRule="auto"/>
              <w:jc w:val="center"/>
              <w:rPr>
                <w:rFonts w:cstheme="minorHAnsi"/>
                <w:noProof/>
              </w:rPr>
            </w:pPr>
            <w:r>
              <w:rPr>
                <w:noProof/>
              </w:rPr>
              <w:t>2026</w:t>
            </w:r>
          </w:p>
        </w:tc>
        <w:tc>
          <w:tcPr>
            <w:tcW w:w="3919" w:type="dxa"/>
            <w:shd w:val="clear" w:color="auto" w:fill="C4EFCE"/>
            <w:vAlign w:val="center"/>
          </w:tcPr>
          <w:p w14:paraId="3741DF14" w14:textId="79BB2D5C" w:rsidR="00154AD2" w:rsidRDefault="007F6BF3">
            <w:pPr>
              <w:pStyle w:val="P68B1DB1-Normal12"/>
              <w:spacing w:after="0" w:line="240" w:lineRule="auto"/>
              <w:jc w:val="both"/>
              <w:rPr>
                <w:noProof/>
              </w:rPr>
            </w:pPr>
            <w:r>
              <w:rPr>
                <w:noProof/>
              </w:rPr>
              <w:t xml:space="preserve">Ολοκλήρωση 94 έργων που χρηματοδοτήθηκαν στο πλαίσιο του προγράμματος Ε &amp; Α στη δημόσια διοίκηση [μεταξύ άλλων στους τομείς της τεχνητής νοημοσύνης (ΤΝ), της κυβερνοασφάλειας και της επιστήμης των δεδομένων]. </w:t>
            </w:r>
          </w:p>
          <w:p w14:paraId="222B1DF4" w14:textId="507AAE05" w:rsidR="00154AD2" w:rsidRDefault="00154AD2">
            <w:pPr>
              <w:spacing w:after="0" w:line="240" w:lineRule="auto"/>
              <w:jc w:val="both"/>
              <w:rPr>
                <w:noProof/>
                <w:sz w:val="16"/>
              </w:rPr>
            </w:pPr>
          </w:p>
          <w:p w14:paraId="58102DBE" w14:textId="173B1D60" w:rsidR="00154AD2" w:rsidRDefault="007F6BF3">
            <w:pPr>
              <w:pStyle w:val="P68B1DB1-Normal12"/>
              <w:spacing w:after="0" w:line="240" w:lineRule="auto"/>
              <w:jc w:val="both"/>
              <w:rPr>
                <w:noProof/>
              </w:rPr>
            </w:pPr>
            <w:r>
              <w:rPr>
                <w:noProof/>
              </w:rPr>
              <w:t>Προσφέρθηκαν 50 νέα μαθήματα μέσω της Εθνικής Πλατφόρμας για τα Μαζικά Επιγραμμικά Μαθήματα (NAU), τα οποία επωφελούνται από τη νεοαναπτυχθείσα τεχνολογική υποδομή.</w:t>
            </w:r>
          </w:p>
        </w:tc>
      </w:tr>
      <w:tr w:rsidR="00154AD2" w14:paraId="3CFFEAB5" w14:textId="77777777">
        <w:trPr>
          <w:trHeight w:val="67"/>
        </w:trPr>
        <w:tc>
          <w:tcPr>
            <w:tcW w:w="1134" w:type="dxa"/>
            <w:shd w:val="clear" w:color="auto" w:fill="C4EFCE"/>
            <w:vAlign w:val="center"/>
          </w:tcPr>
          <w:p w14:paraId="02998C93" w14:textId="7BC372D7" w:rsidR="00154AD2" w:rsidRDefault="007F6BF3">
            <w:pPr>
              <w:pStyle w:val="P68B1DB1-Normal11"/>
              <w:spacing w:after="0" w:line="240" w:lineRule="auto"/>
              <w:jc w:val="center"/>
              <w:rPr>
                <w:rFonts w:cstheme="minorHAnsi"/>
                <w:noProof/>
              </w:rPr>
            </w:pPr>
            <w:r>
              <w:rPr>
                <w:noProof/>
              </w:rPr>
              <w:t>5.37</w:t>
            </w:r>
          </w:p>
        </w:tc>
        <w:tc>
          <w:tcPr>
            <w:tcW w:w="1165" w:type="dxa"/>
            <w:shd w:val="clear" w:color="auto" w:fill="C4EFCE"/>
            <w:vAlign w:val="center"/>
          </w:tcPr>
          <w:p w14:paraId="57B2A843" w14:textId="724532F4" w:rsidR="00154AD2" w:rsidRDefault="007F6BF3">
            <w:pPr>
              <w:pStyle w:val="P68B1DB1-Normal12"/>
              <w:spacing w:after="0" w:line="240" w:lineRule="auto"/>
              <w:jc w:val="center"/>
              <w:rPr>
                <w:rFonts w:cstheme="minorHAnsi"/>
                <w:noProof/>
              </w:rPr>
            </w:pPr>
            <w:r>
              <w:rPr>
                <w:noProof/>
              </w:rPr>
              <w:t>RE-C05-i08</w:t>
            </w:r>
          </w:p>
        </w:tc>
        <w:tc>
          <w:tcPr>
            <w:tcW w:w="976" w:type="dxa"/>
            <w:shd w:val="clear" w:color="auto" w:fill="C4EFCE"/>
            <w:vAlign w:val="center"/>
          </w:tcPr>
          <w:p w14:paraId="7BEDE968" w14:textId="63C0C0AF" w:rsidR="00154AD2" w:rsidRDefault="007F6BF3">
            <w:pPr>
              <w:pStyle w:val="P68B1DB1-Normal12"/>
              <w:spacing w:after="0" w:line="240" w:lineRule="auto"/>
              <w:jc w:val="center"/>
              <w:rPr>
                <w:rFonts w:cstheme="minorHAnsi"/>
                <w:noProof/>
              </w:rPr>
            </w:pPr>
            <w:r>
              <w:rPr>
                <w:noProof/>
              </w:rPr>
              <w:t>M</w:t>
            </w:r>
          </w:p>
        </w:tc>
        <w:tc>
          <w:tcPr>
            <w:tcW w:w="1668" w:type="dxa"/>
            <w:shd w:val="clear" w:color="auto" w:fill="C4EFCE"/>
            <w:vAlign w:val="center"/>
          </w:tcPr>
          <w:p w14:paraId="71202E2B" w14:textId="74ACF820" w:rsidR="00154AD2" w:rsidRDefault="007F6BF3">
            <w:pPr>
              <w:pStyle w:val="P68B1DB1-Normal12"/>
              <w:spacing w:after="0" w:line="240" w:lineRule="auto"/>
              <w:jc w:val="center"/>
              <w:rPr>
                <w:rFonts w:cstheme="minorHAnsi"/>
                <w:noProof/>
              </w:rPr>
            </w:pPr>
            <w:r>
              <w:rPr>
                <w:noProof/>
              </w:rPr>
              <w:t>Ίδρυση του Εθνικού Κέντρου Προηγμένης Πληροφορικής (CNCA).</w:t>
            </w:r>
          </w:p>
        </w:tc>
        <w:tc>
          <w:tcPr>
            <w:tcW w:w="2029" w:type="dxa"/>
            <w:shd w:val="clear" w:color="auto" w:fill="C4EFCE"/>
            <w:vAlign w:val="center"/>
          </w:tcPr>
          <w:p w14:paraId="7A981D55" w14:textId="2AB7DBD0" w:rsidR="00154AD2" w:rsidRDefault="007F6BF3">
            <w:pPr>
              <w:pStyle w:val="P68B1DB1-Normal12"/>
              <w:spacing w:after="0" w:line="240" w:lineRule="auto"/>
              <w:jc w:val="center"/>
              <w:rPr>
                <w:rFonts w:cstheme="minorHAnsi"/>
                <w:noProof/>
              </w:rPr>
            </w:pPr>
            <w:r>
              <w:rPr>
                <w:noProof/>
              </w:rPr>
              <w:t>Ίδρυση του Εθνικού Κέντρου Προηγμένης Πληροφορικής</w:t>
            </w:r>
          </w:p>
        </w:tc>
        <w:tc>
          <w:tcPr>
            <w:tcW w:w="982" w:type="dxa"/>
            <w:shd w:val="clear" w:color="auto" w:fill="C4EFCE"/>
            <w:vAlign w:val="center"/>
          </w:tcPr>
          <w:p w14:paraId="38AA2D81" w14:textId="77777777" w:rsidR="00154AD2" w:rsidRDefault="00154AD2">
            <w:pPr>
              <w:spacing w:after="0" w:line="240" w:lineRule="auto"/>
              <w:jc w:val="center"/>
              <w:rPr>
                <w:rFonts w:cstheme="minorHAnsi"/>
                <w:noProof/>
                <w:sz w:val="16"/>
              </w:rPr>
            </w:pPr>
          </w:p>
        </w:tc>
        <w:tc>
          <w:tcPr>
            <w:tcW w:w="982" w:type="dxa"/>
            <w:shd w:val="clear" w:color="auto" w:fill="C4EFCE"/>
            <w:vAlign w:val="center"/>
          </w:tcPr>
          <w:p w14:paraId="73A08FCB" w14:textId="77777777" w:rsidR="00154AD2" w:rsidRDefault="00154AD2">
            <w:pPr>
              <w:spacing w:after="0" w:line="240" w:lineRule="auto"/>
              <w:jc w:val="center"/>
              <w:rPr>
                <w:rFonts w:cstheme="minorHAnsi"/>
                <w:noProof/>
                <w:sz w:val="16"/>
              </w:rPr>
            </w:pPr>
          </w:p>
        </w:tc>
        <w:tc>
          <w:tcPr>
            <w:tcW w:w="626" w:type="dxa"/>
            <w:shd w:val="clear" w:color="auto" w:fill="C4EFCE"/>
            <w:vAlign w:val="center"/>
          </w:tcPr>
          <w:p w14:paraId="71B94818" w14:textId="77777777" w:rsidR="00154AD2" w:rsidRDefault="00154AD2">
            <w:pPr>
              <w:spacing w:after="0" w:line="240" w:lineRule="auto"/>
              <w:jc w:val="center"/>
              <w:rPr>
                <w:rFonts w:cstheme="minorHAnsi"/>
                <w:noProof/>
                <w:sz w:val="16"/>
                <w:highlight w:val="cyan"/>
              </w:rPr>
            </w:pPr>
          </w:p>
        </w:tc>
        <w:tc>
          <w:tcPr>
            <w:tcW w:w="514" w:type="dxa"/>
            <w:shd w:val="clear" w:color="auto" w:fill="C4EFCE"/>
            <w:vAlign w:val="center"/>
          </w:tcPr>
          <w:p w14:paraId="6C0FA98B" w14:textId="6A787B86" w:rsidR="00154AD2" w:rsidRDefault="007F6BF3">
            <w:pPr>
              <w:pStyle w:val="P68B1DB1-Normal12"/>
              <w:spacing w:after="0" w:line="240" w:lineRule="auto"/>
              <w:jc w:val="center"/>
              <w:rPr>
                <w:rFonts w:cstheme="minorHAnsi"/>
                <w:noProof/>
              </w:rPr>
            </w:pPr>
            <w:r>
              <w:rPr>
                <w:noProof/>
              </w:rPr>
              <w:t>ΤΡΊΜΗΝΟ 4</w:t>
            </w:r>
          </w:p>
        </w:tc>
        <w:tc>
          <w:tcPr>
            <w:tcW w:w="747" w:type="dxa"/>
            <w:shd w:val="clear" w:color="auto" w:fill="C4EFCE"/>
            <w:vAlign w:val="center"/>
          </w:tcPr>
          <w:p w14:paraId="2FE817D5" w14:textId="2B27B007" w:rsidR="00154AD2" w:rsidRDefault="007F6BF3">
            <w:pPr>
              <w:pStyle w:val="P68B1DB1-Normal12"/>
              <w:spacing w:after="0" w:line="240" w:lineRule="auto"/>
              <w:jc w:val="center"/>
              <w:rPr>
                <w:rFonts w:cstheme="minorHAnsi"/>
                <w:noProof/>
              </w:rPr>
            </w:pPr>
            <w:r>
              <w:rPr>
                <w:noProof/>
              </w:rPr>
              <w:t>2024 </w:t>
            </w:r>
          </w:p>
        </w:tc>
        <w:tc>
          <w:tcPr>
            <w:tcW w:w="3919" w:type="dxa"/>
            <w:shd w:val="clear" w:color="auto" w:fill="C4EFCE"/>
            <w:vAlign w:val="center"/>
          </w:tcPr>
          <w:p w14:paraId="75E7143A" w14:textId="7709FF39" w:rsidR="00154AD2" w:rsidRDefault="007F6BF3">
            <w:pPr>
              <w:pStyle w:val="P68B1DB1-Normal12"/>
              <w:spacing w:after="0" w:line="240" w:lineRule="auto"/>
              <w:jc w:val="both"/>
              <w:rPr>
                <w:rFonts w:cstheme="minorHAnsi"/>
                <w:noProof/>
              </w:rPr>
            </w:pPr>
            <w:r>
              <w:rPr>
                <w:noProof/>
              </w:rPr>
              <w:t>Σύσταση του Εθνικού Κέντρου Προηγμένης Πληροφορικής, το οποίο θα αναδιοργανώσει τα υφιστάμενα πορτογαλικά δίκτυα και κέντρα υπολογιστικής σε μία ενιαία οντότητα· υποστήριξη της λειτουργίας δύο υπερυπολογιστών (Deucalion και Mare Nostrum 5).</w:t>
            </w:r>
          </w:p>
        </w:tc>
      </w:tr>
      <w:tr w:rsidR="00154AD2" w14:paraId="1168D75D" w14:textId="77777777">
        <w:trPr>
          <w:trHeight w:val="67"/>
        </w:trPr>
        <w:tc>
          <w:tcPr>
            <w:tcW w:w="1134" w:type="dxa"/>
            <w:shd w:val="clear" w:color="auto" w:fill="C4EFCE"/>
            <w:vAlign w:val="center"/>
          </w:tcPr>
          <w:p w14:paraId="6355B752" w14:textId="337B4A60" w:rsidR="00154AD2" w:rsidRDefault="007F6BF3">
            <w:pPr>
              <w:pStyle w:val="P68B1DB1-Normal11"/>
              <w:spacing w:after="0" w:line="240" w:lineRule="auto"/>
              <w:jc w:val="center"/>
              <w:rPr>
                <w:rFonts w:cstheme="minorHAnsi"/>
                <w:noProof/>
              </w:rPr>
            </w:pPr>
            <w:r>
              <w:rPr>
                <w:noProof/>
              </w:rPr>
              <w:t>5.38</w:t>
            </w:r>
          </w:p>
        </w:tc>
        <w:tc>
          <w:tcPr>
            <w:tcW w:w="1165" w:type="dxa"/>
            <w:shd w:val="clear" w:color="auto" w:fill="C4EFCE"/>
            <w:vAlign w:val="center"/>
          </w:tcPr>
          <w:p w14:paraId="6A66A585" w14:textId="1CB84C87" w:rsidR="00154AD2" w:rsidRDefault="007F6BF3">
            <w:pPr>
              <w:pStyle w:val="P68B1DB1-Normal12"/>
              <w:spacing w:after="0" w:line="240" w:lineRule="auto"/>
              <w:jc w:val="center"/>
              <w:rPr>
                <w:rFonts w:cstheme="minorHAnsi"/>
                <w:noProof/>
              </w:rPr>
            </w:pPr>
            <w:r>
              <w:rPr>
                <w:noProof/>
              </w:rPr>
              <w:t>RE-C05-i08</w:t>
            </w:r>
          </w:p>
        </w:tc>
        <w:tc>
          <w:tcPr>
            <w:tcW w:w="976" w:type="dxa"/>
            <w:shd w:val="clear" w:color="auto" w:fill="C4EFCE"/>
            <w:vAlign w:val="center"/>
          </w:tcPr>
          <w:p w14:paraId="7EE8CC42" w14:textId="655C9C80" w:rsidR="00154AD2" w:rsidRDefault="007F6BF3">
            <w:pPr>
              <w:pStyle w:val="P68B1DB1-Normal12"/>
              <w:spacing w:after="0" w:line="240" w:lineRule="auto"/>
              <w:jc w:val="center"/>
              <w:rPr>
                <w:rFonts w:cstheme="minorHAnsi"/>
                <w:noProof/>
              </w:rPr>
            </w:pPr>
            <w:r>
              <w:rPr>
                <w:noProof/>
              </w:rPr>
              <w:t>M</w:t>
            </w:r>
          </w:p>
        </w:tc>
        <w:tc>
          <w:tcPr>
            <w:tcW w:w="1668" w:type="dxa"/>
            <w:shd w:val="clear" w:color="auto" w:fill="C4EFCE"/>
            <w:vAlign w:val="center"/>
          </w:tcPr>
          <w:p w14:paraId="43F1043A" w14:textId="587CA9BE" w:rsidR="00154AD2" w:rsidRDefault="007F6BF3">
            <w:pPr>
              <w:pStyle w:val="P68B1DB1-Normal12"/>
              <w:spacing w:after="0" w:line="240" w:lineRule="auto"/>
              <w:jc w:val="center"/>
              <w:rPr>
                <w:rFonts w:cstheme="minorHAnsi"/>
                <w:noProof/>
              </w:rPr>
            </w:pPr>
            <w:r>
              <w:rPr>
                <w:noProof/>
              </w:rPr>
              <w:t>Ολοκλήρωση της υποστηρικτικής υποδομής και του κέντρου δεδομένων του Εθνικού Κέντρου Προηγμένης Πληροφορικής</w:t>
            </w:r>
          </w:p>
        </w:tc>
        <w:tc>
          <w:tcPr>
            <w:tcW w:w="2029" w:type="dxa"/>
            <w:shd w:val="clear" w:color="auto" w:fill="C4EFCE"/>
            <w:vAlign w:val="center"/>
          </w:tcPr>
          <w:p w14:paraId="103BEF7A" w14:textId="505B7CAB" w:rsidR="00154AD2" w:rsidRDefault="007F6BF3">
            <w:pPr>
              <w:pStyle w:val="P68B1DB1-Normal12"/>
              <w:spacing w:after="0" w:line="240" w:lineRule="auto"/>
              <w:jc w:val="center"/>
              <w:rPr>
                <w:rFonts w:cstheme="minorHAnsi"/>
                <w:noProof/>
              </w:rPr>
            </w:pPr>
            <w:r>
              <w:rPr>
                <w:noProof/>
              </w:rPr>
              <w:t xml:space="preserve"> Ολοκλήρωση της υποστηρικτικής υποδομής και του κέντρου δεδομένων του Εθνικού Κέντρου Προηγμένης Πληροφορικής</w:t>
            </w:r>
          </w:p>
        </w:tc>
        <w:tc>
          <w:tcPr>
            <w:tcW w:w="982" w:type="dxa"/>
            <w:shd w:val="clear" w:color="auto" w:fill="C4EFCE"/>
            <w:vAlign w:val="center"/>
          </w:tcPr>
          <w:p w14:paraId="665EDCF5" w14:textId="77777777" w:rsidR="00154AD2" w:rsidRDefault="00154AD2">
            <w:pPr>
              <w:spacing w:after="0" w:line="240" w:lineRule="auto"/>
              <w:jc w:val="center"/>
              <w:rPr>
                <w:rFonts w:cstheme="minorHAnsi"/>
                <w:noProof/>
                <w:sz w:val="16"/>
              </w:rPr>
            </w:pPr>
          </w:p>
        </w:tc>
        <w:tc>
          <w:tcPr>
            <w:tcW w:w="982" w:type="dxa"/>
            <w:shd w:val="clear" w:color="auto" w:fill="C4EFCE"/>
            <w:vAlign w:val="center"/>
          </w:tcPr>
          <w:p w14:paraId="604F8156" w14:textId="77777777" w:rsidR="00154AD2" w:rsidRDefault="00154AD2">
            <w:pPr>
              <w:spacing w:after="0" w:line="240" w:lineRule="auto"/>
              <w:jc w:val="center"/>
              <w:rPr>
                <w:rFonts w:cstheme="minorHAnsi"/>
                <w:noProof/>
                <w:sz w:val="16"/>
              </w:rPr>
            </w:pPr>
          </w:p>
        </w:tc>
        <w:tc>
          <w:tcPr>
            <w:tcW w:w="626" w:type="dxa"/>
            <w:shd w:val="clear" w:color="auto" w:fill="C4EFCE"/>
            <w:vAlign w:val="center"/>
          </w:tcPr>
          <w:p w14:paraId="6521B461" w14:textId="77777777" w:rsidR="00154AD2" w:rsidRDefault="00154AD2">
            <w:pPr>
              <w:spacing w:after="0" w:line="240" w:lineRule="auto"/>
              <w:jc w:val="center"/>
              <w:rPr>
                <w:rFonts w:cstheme="minorHAnsi"/>
                <w:noProof/>
                <w:sz w:val="16"/>
                <w:highlight w:val="cyan"/>
              </w:rPr>
            </w:pPr>
          </w:p>
        </w:tc>
        <w:tc>
          <w:tcPr>
            <w:tcW w:w="514" w:type="dxa"/>
            <w:shd w:val="clear" w:color="auto" w:fill="C4EFCE"/>
            <w:vAlign w:val="center"/>
          </w:tcPr>
          <w:p w14:paraId="5911DBE8" w14:textId="2778B2F0" w:rsidR="00154AD2" w:rsidRDefault="007F6BF3">
            <w:pPr>
              <w:pStyle w:val="P68B1DB1-Normal12"/>
              <w:spacing w:after="0" w:line="240" w:lineRule="auto"/>
              <w:jc w:val="center"/>
              <w:rPr>
                <w:rFonts w:cstheme="minorHAnsi"/>
                <w:noProof/>
              </w:rPr>
            </w:pPr>
            <w:r>
              <w:rPr>
                <w:noProof/>
              </w:rPr>
              <w:t>ΤΡΊΜΗΝΟ 1</w:t>
            </w:r>
          </w:p>
        </w:tc>
        <w:tc>
          <w:tcPr>
            <w:tcW w:w="747" w:type="dxa"/>
            <w:shd w:val="clear" w:color="auto" w:fill="C4EFCE"/>
            <w:vAlign w:val="center"/>
          </w:tcPr>
          <w:p w14:paraId="1D2E37FD" w14:textId="5C75696B" w:rsidR="00154AD2" w:rsidRDefault="007F6BF3">
            <w:pPr>
              <w:pStyle w:val="P68B1DB1-Normal12"/>
              <w:spacing w:after="0" w:line="240" w:lineRule="auto"/>
              <w:jc w:val="center"/>
              <w:rPr>
                <w:rFonts w:cstheme="minorHAnsi"/>
                <w:noProof/>
              </w:rPr>
            </w:pPr>
            <w:r>
              <w:rPr>
                <w:noProof/>
              </w:rPr>
              <w:t>2026</w:t>
            </w:r>
          </w:p>
        </w:tc>
        <w:tc>
          <w:tcPr>
            <w:tcW w:w="3919" w:type="dxa"/>
            <w:shd w:val="clear" w:color="auto" w:fill="C4EFCE"/>
            <w:vAlign w:val="center"/>
          </w:tcPr>
          <w:p w14:paraId="11269D2F" w14:textId="53F8063F" w:rsidR="00154AD2" w:rsidRDefault="007F6BF3">
            <w:pPr>
              <w:pStyle w:val="P68B1DB1-Bodytext1013"/>
              <w:spacing w:line="256" w:lineRule="auto"/>
              <w:rPr>
                <w:rFonts w:cstheme="minorHAnsi"/>
                <w:noProof/>
              </w:rPr>
            </w:pPr>
            <w:r>
              <w:rPr>
                <w:noProof/>
              </w:rPr>
              <w:t>Ολοκλήρωση της υποστηρικτικής υποδομής και του κέντρου δεδομένων του Εθνικού Κέντρου Προηγμένης Πληροφορικής </w:t>
            </w:r>
          </w:p>
        </w:tc>
      </w:tr>
      <w:tr w:rsidR="00154AD2" w14:paraId="3AE6E34A" w14:textId="77777777">
        <w:trPr>
          <w:trHeight w:val="67"/>
        </w:trPr>
        <w:tc>
          <w:tcPr>
            <w:tcW w:w="1134" w:type="dxa"/>
            <w:shd w:val="clear" w:color="auto" w:fill="C4EFCE"/>
            <w:vAlign w:val="center"/>
          </w:tcPr>
          <w:p w14:paraId="55867E7C" w14:textId="373DE81E" w:rsidR="00154AD2" w:rsidRDefault="007F6BF3">
            <w:pPr>
              <w:pStyle w:val="P68B1DB1-Normal11"/>
              <w:spacing w:after="0" w:line="240" w:lineRule="auto"/>
              <w:jc w:val="center"/>
              <w:rPr>
                <w:rFonts w:cstheme="minorHAnsi"/>
                <w:noProof/>
              </w:rPr>
            </w:pPr>
            <w:r>
              <w:rPr>
                <w:noProof/>
              </w:rPr>
              <w:t>5.39</w:t>
            </w:r>
          </w:p>
        </w:tc>
        <w:tc>
          <w:tcPr>
            <w:tcW w:w="1165" w:type="dxa"/>
            <w:shd w:val="clear" w:color="auto" w:fill="C4EFCE"/>
            <w:vAlign w:val="center"/>
          </w:tcPr>
          <w:p w14:paraId="23AF3018" w14:textId="0A8EDF3B" w:rsidR="00154AD2" w:rsidRDefault="007F6BF3">
            <w:pPr>
              <w:pStyle w:val="P68B1DB1-Normal12"/>
              <w:spacing w:after="0" w:line="240" w:lineRule="auto"/>
              <w:jc w:val="center"/>
              <w:rPr>
                <w:rFonts w:cstheme="minorHAnsi"/>
                <w:noProof/>
              </w:rPr>
            </w:pPr>
            <w:r>
              <w:rPr>
                <w:noProof/>
              </w:rPr>
              <w:t>RE-C05-i09</w:t>
            </w:r>
          </w:p>
        </w:tc>
        <w:tc>
          <w:tcPr>
            <w:tcW w:w="976" w:type="dxa"/>
            <w:shd w:val="clear" w:color="auto" w:fill="C4EFCE"/>
            <w:vAlign w:val="center"/>
          </w:tcPr>
          <w:p w14:paraId="12D4C26B" w14:textId="71E2271E" w:rsidR="00154AD2" w:rsidRDefault="007F6BF3">
            <w:pPr>
              <w:pStyle w:val="P68B1DB1-Normal12"/>
              <w:spacing w:after="0" w:line="240" w:lineRule="auto"/>
              <w:jc w:val="center"/>
              <w:rPr>
                <w:rFonts w:cstheme="minorHAnsi"/>
                <w:noProof/>
              </w:rPr>
            </w:pPr>
            <w:r>
              <w:rPr>
                <w:noProof/>
              </w:rPr>
              <w:t>T</w:t>
            </w:r>
          </w:p>
        </w:tc>
        <w:tc>
          <w:tcPr>
            <w:tcW w:w="1668" w:type="dxa"/>
            <w:shd w:val="clear" w:color="auto" w:fill="C4EFCE"/>
            <w:vAlign w:val="center"/>
          </w:tcPr>
          <w:p w14:paraId="0733311B" w14:textId="4DAD6F17" w:rsidR="00154AD2" w:rsidRDefault="007F6BF3">
            <w:pPr>
              <w:pStyle w:val="P68B1DB1-Bodytext1013"/>
              <w:spacing w:line="256" w:lineRule="auto"/>
              <w:jc w:val="center"/>
              <w:rPr>
                <w:rFonts w:cstheme="minorHAnsi"/>
                <w:noProof/>
              </w:rPr>
            </w:pPr>
            <w:r>
              <w:rPr>
                <w:noProof/>
              </w:rPr>
              <w:t>Σύναψη συμβάσεων για την ανάπτυξη νέων προϊόντων, διαδικασιών ή υπηρεσιών σε σχετικούς στρατηγικούς τομείς (θεματολόγια καινοτομίας).</w:t>
            </w:r>
          </w:p>
        </w:tc>
        <w:tc>
          <w:tcPr>
            <w:tcW w:w="2029" w:type="dxa"/>
            <w:shd w:val="clear" w:color="auto" w:fill="C4EFCE"/>
            <w:vAlign w:val="center"/>
          </w:tcPr>
          <w:p w14:paraId="51EF8F0E" w14:textId="406D3CE7" w:rsidR="00154AD2" w:rsidRDefault="00154AD2">
            <w:pPr>
              <w:spacing w:after="0" w:line="240" w:lineRule="auto"/>
              <w:jc w:val="center"/>
              <w:rPr>
                <w:rFonts w:cstheme="minorHAnsi"/>
                <w:noProof/>
                <w:sz w:val="16"/>
              </w:rPr>
            </w:pPr>
          </w:p>
        </w:tc>
        <w:tc>
          <w:tcPr>
            <w:tcW w:w="982" w:type="dxa"/>
            <w:shd w:val="clear" w:color="auto" w:fill="C4EFCE"/>
            <w:vAlign w:val="center"/>
          </w:tcPr>
          <w:p w14:paraId="6E4FF967" w14:textId="04C05558" w:rsidR="00154AD2" w:rsidRDefault="007F6BF3">
            <w:pPr>
              <w:pStyle w:val="P68B1DB1-Normal12"/>
              <w:spacing w:after="0" w:line="240" w:lineRule="auto"/>
              <w:jc w:val="center"/>
              <w:rPr>
                <w:rFonts w:cstheme="minorHAnsi"/>
                <w:noProof/>
              </w:rPr>
            </w:pPr>
            <w:r>
              <w:rPr>
                <w:noProof/>
              </w:rPr>
              <w:t>Αριθμός</w:t>
            </w:r>
          </w:p>
        </w:tc>
        <w:tc>
          <w:tcPr>
            <w:tcW w:w="982" w:type="dxa"/>
            <w:shd w:val="clear" w:color="auto" w:fill="C4EFCE"/>
            <w:vAlign w:val="center"/>
          </w:tcPr>
          <w:p w14:paraId="0D1FE526" w14:textId="0994B876" w:rsidR="00154AD2" w:rsidRDefault="007F6BF3">
            <w:pPr>
              <w:pStyle w:val="P68B1DB1-Normal12"/>
              <w:spacing w:after="0" w:line="240" w:lineRule="auto"/>
              <w:jc w:val="center"/>
              <w:rPr>
                <w:rFonts w:cstheme="minorHAnsi"/>
                <w:noProof/>
              </w:rPr>
            </w:pPr>
            <w:r>
              <w:rPr>
                <w:noProof/>
              </w:rPr>
              <w:t>6</w:t>
            </w:r>
          </w:p>
        </w:tc>
        <w:tc>
          <w:tcPr>
            <w:tcW w:w="626" w:type="dxa"/>
            <w:shd w:val="clear" w:color="auto" w:fill="C4EFCE"/>
            <w:vAlign w:val="center"/>
          </w:tcPr>
          <w:p w14:paraId="1BA698AE" w14:textId="4F2BA1A9" w:rsidR="00154AD2" w:rsidRDefault="007F6BF3">
            <w:pPr>
              <w:pStyle w:val="P68B1DB1-Normal12"/>
              <w:spacing w:after="0" w:line="240" w:lineRule="auto"/>
              <w:jc w:val="center"/>
              <w:rPr>
                <w:rFonts w:cstheme="minorHAnsi"/>
                <w:noProof/>
              </w:rPr>
            </w:pPr>
            <w:r>
              <w:rPr>
                <w:noProof/>
              </w:rPr>
              <w:t>12</w:t>
            </w:r>
          </w:p>
        </w:tc>
        <w:tc>
          <w:tcPr>
            <w:tcW w:w="514" w:type="dxa"/>
            <w:shd w:val="clear" w:color="auto" w:fill="C4EFCE"/>
            <w:vAlign w:val="center"/>
          </w:tcPr>
          <w:p w14:paraId="613C15B0" w14:textId="65072EBB" w:rsidR="00154AD2" w:rsidRDefault="007F6BF3">
            <w:pPr>
              <w:pStyle w:val="P68B1DB1-Normal12"/>
              <w:spacing w:after="0" w:line="240" w:lineRule="auto"/>
              <w:jc w:val="center"/>
              <w:rPr>
                <w:noProof/>
              </w:rPr>
            </w:pPr>
            <w:r>
              <w:rPr>
                <w:noProof/>
              </w:rPr>
              <w:t>ΤΡΊΜΗΝΟ 2</w:t>
            </w:r>
          </w:p>
        </w:tc>
        <w:tc>
          <w:tcPr>
            <w:tcW w:w="747" w:type="dxa"/>
            <w:shd w:val="clear" w:color="auto" w:fill="C4EFCE"/>
            <w:vAlign w:val="center"/>
          </w:tcPr>
          <w:p w14:paraId="5918EFE8" w14:textId="585FC784" w:rsidR="00154AD2" w:rsidRDefault="007F6BF3">
            <w:pPr>
              <w:pStyle w:val="P68B1DB1-Normal12"/>
              <w:spacing w:after="0" w:line="240" w:lineRule="auto"/>
              <w:jc w:val="center"/>
              <w:rPr>
                <w:rFonts w:cstheme="minorHAnsi"/>
                <w:noProof/>
              </w:rPr>
            </w:pPr>
            <w:r>
              <w:rPr>
                <w:noProof/>
              </w:rPr>
              <w:t>2023</w:t>
            </w:r>
          </w:p>
        </w:tc>
        <w:tc>
          <w:tcPr>
            <w:tcW w:w="3919" w:type="dxa"/>
            <w:shd w:val="clear" w:color="auto" w:fill="C4EFCE"/>
            <w:vAlign w:val="center"/>
          </w:tcPr>
          <w:p w14:paraId="6D75FE2C" w14:textId="033B317C" w:rsidR="00154AD2" w:rsidRDefault="007F6BF3">
            <w:pPr>
              <w:pStyle w:val="P68B1DB1-Bodytext1013"/>
              <w:spacing w:after="0" w:line="256" w:lineRule="auto"/>
              <w:rPr>
                <w:rFonts w:cstheme="minorHAnsi"/>
                <w:noProof/>
              </w:rPr>
            </w:pPr>
            <w:r>
              <w:rPr>
                <w:noProof/>
              </w:rPr>
              <w:t>Σύναψη έξι πρόσθετων συμβάσεων (σύμφωνα καινοτομίας ή κινητοποίηση έργων) με κοινοπραξίες, οι οποίες περιλαμβάνουν:</w:t>
            </w:r>
          </w:p>
          <w:p w14:paraId="62A4DB6A" w14:textId="77777777" w:rsidR="00154AD2" w:rsidRDefault="007F6BF3">
            <w:pPr>
              <w:pStyle w:val="P68B1DB1-Bodytext1013"/>
              <w:spacing w:after="0" w:line="256" w:lineRule="auto"/>
              <w:rPr>
                <w:rFonts w:cstheme="minorHAnsi"/>
                <w:noProof/>
              </w:rPr>
            </w:pPr>
            <w:r>
              <w:rPr>
                <w:noProof/>
              </w:rPr>
              <w:t>• Προσδιορισμός των συνιστωσών οντοτήτων της κοινοπραξίας·</w:t>
            </w:r>
          </w:p>
          <w:p w14:paraId="69824E0B" w14:textId="77777777" w:rsidR="00154AD2" w:rsidRDefault="007F6BF3">
            <w:pPr>
              <w:pStyle w:val="P68B1DB1-Bodytext1013"/>
              <w:spacing w:after="0" w:line="256" w:lineRule="auto"/>
              <w:rPr>
                <w:rFonts w:cstheme="minorHAnsi"/>
                <w:noProof/>
              </w:rPr>
            </w:pPr>
            <w:r>
              <w:rPr>
                <w:noProof/>
              </w:rPr>
              <w:t>• Το επιχειρηματικό σχέδιο/επένδυση·</w:t>
            </w:r>
          </w:p>
          <w:p w14:paraId="46F8E259" w14:textId="77777777" w:rsidR="00154AD2" w:rsidRDefault="007F6BF3">
            <w:pPr>
              <w:pStyle w:val="P68B1DB1-Bodytext1013"/>
              <w:spacing w:after="0" w:line="256" w:lineRule="auto"/>
              <w:rPr>
                <w:rFonts w:cstheme="minorHAnsi"/>
                <w:noProof/>
              </w:rPr>
            </w:pPr>
            <w:r>
              <w:rPr>
                <w:noProof/>
              </w:rPr>
              <w:t>• Το ποσό της χρηματοδότησης·</w:t>
            </w:r>
          </w:p>
          <w:p w14:paraId="55104ED1" w14:textId="77777777" w:rsidR="00154AD2" w:rsidRDefault="007F6BF3">
            <w:pPr>
              <w:pStyle w:val="P68B1DB1-Bodytext1013"/>
              <w:spacing w:after="0" w:line="256" w:lineRule="auto"/>
              <w:rPr>
                <w:rFonts w:cstheme="minorHAnsi"/>
                <w:noProof/>
              </w:rPr>
            </w:pPr>
            <w:r>
              <w:rPr>
                <w:noProof/>
              </w:rPr>
              <w:t>• Τους στόχους από τους οποίους δεσμεύεται ο δικαιούχος·</w:t>
            </w:r>
          </w:p>
          <w:p w14:paraId="6DAC83A3" w14:textId="77777777" w:rsidR="00154AD2" w:rsidRDefault="007F6BF3">
            <w:pPr>
              <w:pStyle w:val="P68B1DB1-Bodytext1013"/>
              <w:spacing w:after="0" w:line="256" w:lineRule="auto"/>
              <w:rPr>
                <w:rFonts w:cstheme="minorHAnsi"/>
                <w:noProof/>
              </w:rPr>
            </w:pPr>
            <w:r>
              <w:rPr>
                <w:noProof/>
              </w:rPr>
              <w:t xml:space="preserve">• Τη μορφή της παρακολούθησης. </w:t>
            </w:r>
          </w:p>
          <w:p w14:paraId="5CFD5ACF" w14:textId="7A86A58C" w:rsidR="00154AD2" w:rsidRDefault="00154AD2">
            <w:pPr>
              <w:pStyle w:val="Bodytext10"/>
              <w:spacing w:after="0" w:line="256" w:lineRule="auto"/>
              <w:rPr>
                <w:rFonts w:asciiTheme="minorHAnsi" w:hAnsiTheme="minorHAnsi" w:cstheme="minorHAnsi"/>
                <w:noProof/>
                <w:sz w:val="16"/>
              </w:rPr>
            </w:pPr>
          </w:p>
          <w:p w14:paraId="0E42EAA5" w14:textId="7A444261" w:rsidR="00154AD2" w:rsidRDefault="007F6BF3">
            <w:pPr>
              <w:pStyle w:val="P68B1DB1-Bodytext1013"/>
              <w:spacing w:after="0" w:line="256" w:lineRule="auto"/>
              <w:rPr>
                <w:rFonts w:cstheme="minorHAnsi"/>
                <w:noProof/>
              </w:rPr>
            </w:pPr>
            <w:r>
              <w:rPr>
                <w:noProof/>
              </w:rPr>
              <w:t>Οι συμβάσεις υποστηρίζουν συνολικά τουλάχιστον 168 προϊόντα, διαδικασίες ή υπηρεσίες. Οι όροι αναφοράς περιλαμβάνουν κριτήρια επιλεξιμότητας που διασφαλίζουν ότι τα επιλεγμένα έργα συμμορφώνονται με την τεχνική καθοδήγηση για την εφαρμογή της αρχής της «μη πρόκλησης σημαντικής βλάβης» (2021/C58/01), μέσω της χρήσης καταλόγου αποκλεισμού και της απαίτησης συμμόρφωσης με τη σχετική ενωσιακή και εθνική περιβαλλοντική νομοθεσία.</w:t>
            </w:r>
          </w:p>
          <w:p w14:paraId="2CB8717F" w14:textId="38307B1B" w:rsidR="00154AD2" w:rsidRDefault="007F6BF3">
            <w:pPr>
              <w:pStyle w:val="P68B1DB1-Normal12"/>
              <w:spacing w:after="0" w:line="240" w:lineRule="auto"/>
              <w:jc w:val="both"/>
              <w:rPr>
                <w:rFonts w:cstheme="minorHAnsi"/>
                <w:noProof/>
              </w:rPr>
            </w:pPr>
            <w:r>
              <w:rPr>
                <w:noProof/>
              </w:rPr>
              <w:t>Οι συμβάσεις προστίθενται στις συμβάσεις που εκτελούνται στο πλαίσιο της RE-C05-i01.01.</w:t>
            </w:r>
          </w:p>
        </w:tc>
      </w:tr>
      <w:tr w:rsidR="00154AD2" w14:paraId="79996882" w14:textId="77777777">
        <w:trPr>
          <w:trHeight w:val="67"/>
        </w:trPr>
        <w:tc>
          <w:tcPr>
            <w:tcW w:w="1134" w:type="dxa"/>
            <w:shd w:val="clear" w:color="auto" w:fill="C4EFCE"/>
            <w:vAlign w:val="center"/>
          </w:tcPr>
          <w:p w14:paraId="1F809E62" w14:textId="68C8C255" w:rsidR="00154AD2" w:rsidRDefault="007F6BF3">
            <w:pPr>
              <w:pStyle w:val="P68B1DB1-Normal11"/>
              <w:spacing w:after="0" w:line="240" w:lineRule="auto"/>
              <w:jc w:val="center"/>
              <w:rPr>
                <w:rFonts w:cstheme="minorHAnsi"/>
                <w:noProof/>
              </w:rPr>
            </w:pPr>
            <w:r>
              <w:rPr>
                <w:noProof/>
              </w:rPr>
              <w:t>5.40</w:t>
            </w:r>
          </w:p>
        </w:tc>
        <w:tc>
          <w:tcPr>
            <w:tcW w:w="1165" w:type="dxa"/>
            <w:shd w:val="clear" w:color="auto" w:fill="C4EFCE"/>
            <w:vAlign w:val="center"/>
          </w:tcPr>
          <w:p w14:paraId="2448D13F" w14:textId="7FECC704" w:rsidR="00154AD2" w:rsidRDefault="007F6BF3">
            <w:pPr>
              <w:pStyle w:val="P68B1DB1-Normal12"/>
              <w:spacing w:after="0" w:line="240" w:lineRule="auto"/>
              <w:jc w:val="center"/>
              <w:rPr>
                <w:rFonts w:cstheme="minorHAnsi"/>
                <w:noProof/>
              </w:rPr>
            </w:pPr>
            <w:r>
              <w:rPr>
                <w:noProof/>
              </w:rPr>
              <w:t>RE-C05-i09</w:t>
            </w:r>
          </w:p>
        </w:tc>
        <w:tc>
          <w:tcPr>
            <w:tcW w:w="976" w:type="dxa"/>
            <w:shd w:val="clear" w:color="auto" w:fill="C4EFCE"/>
            <w:vAlign w:val="center"/>
          </w:tcPr>
          <w:p w14:paraId="189027D8" w14:textId="2A50F1CB" w:rsidR="00154AD2" w:rsidRDefault="007F6BF3">
            <w:pPr>
              <w:pStyle w:val="P68B1DB1-Normal12"/>
              <w:spacing w:after="0" w:line="240" w:lineRule="auto"/>
              <w:jc w:val="center"/>
              <w:rPr>
                <w:rFonts w:cstheme="minorHAnsi"/>
                <w:noProof/>
              </w:rPr>
            </w:pPr>
            <w:r>
              <w:rPr>
                <w:noProof/>
              </w:rPr>
              <w:t>T</w:t>
            </w:r>
          </w:p>
        </w:tc>
        <w:tc>
          <w:tcPr>
            <w:tcW w:w="1668" w:type="dxa"/>
            <w:shd w:val="clear" w:color="auto" w:fill="C4EFCE"/>
            <w:vAlign w:val="center"/>
          </w:tcPr>
          <w:p w14:paraId="6D5547A8" w14:textId="2F88C75C" w:rsidR="00154AD2" w:rsidRDefault="007F6BF3">
            <w:pPr>
              <w:pStyle w:val="P68B1DB1-Normal12"/>
              <w:spacing w:after="0" w:line="240" w:lineRule="auto"/>
              <w:jc w:val="center"/>
              <w:rPr>
                <w:rFonts w:cstheme="minorHAnsi"/>
                <w:noProof/>
              </w:rPr>
            </w:pPr>
            <w:r>
              <w:rPr>
                <w:noProof/>
              </w:rPr>
              <w:t xml:space="preserve">Ολοκλήρωση 168 προϊόντων, διεργασιών ή υπηρεσιών.  </w:t>
            </w:r>
          </w:p>
        </w:tc>
        <w:tc>
          <w:tcPr>
            <w:tcW w:w="2029" w:type="dxa"/>
            <w:shd w:val="clear" w:color="auto" w:fill="C4EFCE"/>
            <w:vAlign w:val="center"/>
          </w:tcPr>
          <w:p w14:paraId="7BAAEF17" w14:textId="54FC47FA" w:rsidR="00154AD2" w:rsidRDefault="007F6BF3">
            <w:pPr>
              <w:pStyle w:val="P68B1DB1-Normal12"/>
              <w:spacing w:after="0" w:line="240" w:lineRule="auto"/>
              <w:jc w:val="center"/>
              <w:rPr>
                <w:rFonts w:cstheme="minorHAnsi"/>
                <w:noProof/>
              </w:rPr>
            </w:pPr>
            <w:r>
              <w:rPr>
                <w:noProof/>
              </w:rPr>
              <w:t> </w:t>
            </w:r>
          </w:p>
        </w:tc>
        <w:tc>
          <w:tcPr>
            <w:tcW w:w="982" w:type="dxa"/>
            <w:shd w:val="clear" w:color="auto" w:fill="C4EFCE"/>
            <w:vAlign w:val="center"/>
          </w:tcPr>
          <w:p w14:paraId="67A33752" w14:textId="6D621BE2" w:rsidR="00154AD2" w:rsidRDefault="007F6BF3">
            <w:pPr>
              <w:pStyle w:val="P68B1DB1-Normal12"/>
              <w:spacing w:after="0" w:line="240" w:lineRule="auto"/>
              <w:jc w:val="center"/>
              <w:rPr>
                <w:rFonts w:cstheme="minorHAnsi"/>
                <w:noProof/>
              </w:rPr>
            </w:pPr>
            <w:r>
              <w:rPr>
                <w:noProof/>
              </w:rPr>
              <w:t>Αριθμός</w:t>
            </w:r>
          </w:p>
        </w:tc>
        <w:tc>
          <w:tcPr>
            <w:tcW w:w="982" w:type="dxa"/>
            <w:shd w:val="clear" w:color="auto" w:fill="C4EFCE"/>
            <w:vAlign w:val="center"/>
          </w:tcPr>
          <w:p w14:paraId="7B8E2944" w14:textId="7F3E3842" w:rsidR="00154AD2" w:rsidRDefault="007F6BF3">
            <w:pPr>
              <w:pStyle w:val="P68B1DB1-Normal12"/>
              <w:spacing w:after="0" w:line="240" w:lineRule="auto"/>
              <w:jc w:val="center"/>
              <w:rPr>
                <w:rFonts w:cstheme="minorHAnsi"/>
                <w:noProof/>
              </w:rPr>
            </w:pPr>
            <w:r>
              <w:rPr>
                <w:noProof/>
              </w:rPr>
              <w:t>60</w:t>
            </w:r>
          </w:p>
        </w:tc>
        <w:tc>
          <w:tcPr>
            <w:tcW w:w="626" w:type="dxa"/>
            <w:shd w:val="clear" w:color="auto" w:fill="C4EFCE"/>
            <w:vAlign w:val="center"/>
          </w:tcPr>
          <w:p w14:paraId="17D205CC" w14:textId="6F573DC8" w:rsidR="00154AD2" w:rsidRDefault="007F6BF3">
            <w:pPr>
              <w:pStyle w:val="P68B1DB1-Normal12"/>
              <w:spacing w:after="0" w:line="240" w:lineRule="auto"/>
              <w:jc w:val="center"/>
              <w:rPr>
                <w:rFonts w:cstheme="minorHAnsi"/>
                <w:noProof/>
              </w:rPr>
            </w:pPr>
            <w:r>
              <w:rPr>
                <w:noProof/>
              </w:rPr>
              <w:t xml:space="preserve"> 228</w:t>
            </w:r>
          </w:p>
        </w:tc>
        <w:tc>
          <w:tcPr>
            <w:tcW w:w="514" w:type="dxa"/>
            <w:shd w:val="clear" w:color="auto" w:fill="C4EFCE"/>
            <w:vAlign w:val="center"/>
          </w:tcPr>
          <w:p w14:paraId="6F3532C1" w14:textId="289AE2F2" w:rsidR="00154AD2" w:rsidRDefault="007F6BF3">
            <w:pPr>
              <w:pStyle w:val="P68B1DB1-Normal12"/>
              <w:spacing w:after="0" w:line="240" w:lineRule="auto"/>
              <w:jc w:val="center"/>
              <w:rPr>
                <w:rFonts w:cstheme="minorHAnsi"/>
                <w:noProof/>
              </w:rPr>
            </w:pPr>
            <w:r>
              <w:rPr>
                <w:noProof/>
              </w:rPr>
              <w:t>ΤΡΊΜΗΝΟ 4</w:t>
            </w:r>
          </w:p>
        </w:tc>
        <w:tc>
          <w:tcPr>
            <w:tcW w:w="747" w:type="dxa"/>
            <w:shd w:val="clear" w:color="auto" w:fill="C4EFCE"/>
            <w:vAlign w:val="center"/>
          </w:tcPr>
          <w:p w14:paraId="66E91989" w14:textId="59013342" w:rsidR="00154AD2" w:rsidRDefault="007F6BF3">
            <w:pPr>
              <w:pStyle w:val="P68B1DB1-Normal12"/>
              <w:spacing w:after="0" w:line="240" w:lineRule="auto"/>
              <w:jc w:val="center"/>
              <w:rPr>
                <w:rFonts w:cstheme="minorHAnsi"/>
                <w:noProof/>
              </w:rPr>
            </w:pPr>
            <w:r>
              <w:rPr>
                <w:noProof/>
              </w:rPr>
              <w:t>2025</w:t>
            </w:r>
          </w:p>
        </w:tc>
        <w:tc>
          <w:tcPr>
            <w:tcW w:w="3919" w:type="dxa"/>
            <w:shd w:val="clear" w:color="auto" w:fill="C4EFCE"/>
            <w:vAlign w:val="center"/>
          </w:tcPr>
          <w:p w14:paraId="5634C65C" w14:textId="1CC82B3E" w:rsidR="00154AD2" w:rsidRDefault="007F6BF3">
            <w:pPr>
              <w:pStyle w:val="P68B1DB1-Normal12"/>
              <w:spacing w:after="0" w:line="240" w:lineRule="auto"/>
              <w:jc w:val="both"/>
              <w:rPr>
                <w:rFonts w:cstheme="minorHAnsi"/>
                <w:noProof/>
              </w:rPr>
            </w:pPr>
            <w:r>
              <w:rPr>
                <w:noProof/>
              </w:rPr>
              <w:t xml:space="preserve">Ολοκλήρωση 168 προϊόντων, διαδικασιών ή υπηρεσιών σε σχετικούς στρατηγικούς τομείς, που προκύπτουν από την εφαρμογή των συμβάσεων (σύμφωνα καινοτομίας ή σχέδια κινητοποίησης) που έχουν συναφθεί με κοινοπραξίες. </w:t>
            </w:r>
          </w:p>
          <w:p w14:paraId="17858DB0" w14:textId="3D72F028" w:rsidR="00154AD2" w:rsidRDefault="007F6BF3">
            <w:pPr>
              <w:pStyle w:val="P68B1DB1-Normal12"/>
              <w:spacing w:after="0" w:line="240" w:lineRule="auto"/>
              <w:jc w:val="both"/>
              <w:rPr>
                <w:rFonts w:cstheme="minorHAnsi"/>
                <w:noProof/>
              </w:rPr>
            </w:pPr>
            <w:r>
              <w:rPr>
                <w:noProof/>
              </w:rPr>
              <w:t>Η PPS προστίθεται στις PPS που εφαρμόζονται στο RE-C05-i01.01.</w:t>
            </w:r>
          </w:p>
        </w:tc>
      </w:tr>
      <w:tr w:rsidR="00154AD2" w14:paraId="54F09D51" w14:textId="77777777">
        <w:trPr>
          <w:trHeight w:val="67"/>
        </w:trPr>
        <w:tc>
          <w:tcPr>
            <w:tcW w:w="1134" w:type="dxa"/>
            <w:shd w:val="clear" w:color="auto" w:fill="C4EFCE"/>
            <w:vAlign w:val="center"/>
          </w:tcPr>
          <w:p w14:paraId="4437149E" w14:textId="3BA835D1" w:rsidR="00154AD2" w:rsidRDefault="007F6BF3">
            <w:pPr>
              <w:pStyle w:val="P68B1DB1-Normal11"/>
              <w:spacing w:after="0" w:line="240" w:lineRule="auto"/>
              <w:jc w:val="center"/>
              <w:rPr>
                <w:rFonts w:cstheme="minorHAnsi"/>
                <w:noProof/>
              </w:rPr>
            </w:pPr>
            <w:r>
              <w:rPr>
                <w:noProof/>
              </w:rPr>
              <w:t>5.41</w:t>
            </w:r>
          </w:p>
        </w:tc>
        <w:tc>
          <w:tcPr>
            <w:tcW w:w="1165" w:type="dxa"/>
            <w:shd w:val="clear" w:color="auto" w:fill="C4EFCE"/>
            <w:vAlign w:val="center"/>
          </w:tcPr>
          <w:p w14:paraId="101EC2D9" w14:textId="6518B9EE" w:rsidR="00154AD2" w:rsidRDefault="007F6BF3">
            <w:pPr>
              <w:pStyle w:val="P68B1DB1-Normal12"/>
              <w:spacing w:after="0" w:line="240" w:lineRule="auto"/>
              <w:jc w:val="center"/>
              <w:rPr>
                <w:rFonts w:cstheme="minorHAnsi"/>
                <w:noProof/>
              </w:rPr>
            </w:pPr>
            <w:r>
              <w:rPr>
                <w:noProof/>
              </w:rPr>
              <w:t>RE-C05-i10</w:t>
            </w:r>
          </w:p>
        </w:tc>
        <w:tc>
          <w:tcPr>
            <w:tcW w:w="976" w:type="dxa"/>
            <w:shd w:val="clear" w:color="auto" w:fill="C4EFCE"/>
            <w:vAlign w:val="center"/>
          </w:tcPr>
          <w:p w14:paraId="0725C352" w14:textId="063CCE63" w:rsidR="00154AD2" w:rsidRDefault="007F6BF3">
            <w:pPr>
              <w:pStyle w:val="P68B1DB1-Normal12"/>
              <w:spacing w:after="0" w:line="240" w:lineRule="auto"/>
              <w:jc w:val="center"/>
              <w:rPr>
                <w:rFonts w:cstheme="minorHAnsi"/>
                <w:noProof/>
              </w:rPr>
            </w:pPr>
            <w:r>
              <w:rPr>
                <w:noProof/>
              </w:rPr>
              <w:t>T</w:t>
            </w:r>
          </w:p>
        </w:tc>
        <w:tc>
          <w:tcPr>
            <w:tcW w:w="1668" w:type="dxa"/>
            <w:shd w:val="clear" w:color="auto" w:fill="C4EFCE"/>
            <w:vAlign w:val="center"/>
          </w:tcPr>
          <w:p w14:paraId="4EC2D503" w14:textId="59A7F5B4" w:rsidR="00154AD2" w:rsidRDefault="007F6BF3">
            <w:pPr>
              <w:pStyle w:val="P68B1DB1-Normal12"/>
              <w:spacing w:after="0" w:line="240" w:lineRule="auto"/>
              <w:jc w:val="center"/>
              <w:rPr>
                <w:rFonts w:cstheme="minorHAnsi"/>
                <w:noProof/>
              </w:rPr>
            </w:pPr>
            <w:r>
              <w:rPr>
                <w:noProof/>
              </w:rPr>
              <w:t>Σύναψη συμβάσεων για την ανάπτυξη νέων προϊόντων, διαδικασιών ή υπηρεσιών σε στρατηγικούς τομείς που σχετίζονται με την οικονομία χαμηλών εκπομπών διοξειδίου του άνθρακα, την ανθεκτικότητα και την προσαρμογή στην κλιματική αλλαγή.</w:t>
            </w:r>
          </w:p>
        </w:tc>
        <w:tc>
          <w:tcPr>
            <w:tcW w:w="2029" w:type="dxa"/>
            <w:shd w:val="clear" w:color="auto" w:fill="C4EFCE"/>
            <w:vAlign w:val="center"/>
          </w:tcPr>
          <w:p w14:paraId="2372C515" w14:textId="07E910F9" w:rsidR="00154AD2" w:rsidRDefault="007F6BF3">
            <w:pPr>
              <w:pStyle w:val="P68B1DB1-Normal12"/>
              <w:spacing w:after="0" w:line="240" w:lineRule="auto"/>
              <w:jc w:val="center"/>
              <w:rPr>
                <w:rFonts w:cstheme="minorHAnsi"/>
                <w:noProof/>
              </w:rPr>
            </w:pPr>
            <w:r>
              <w:rPr>
                <w:noProof/>
              </w:rPr>
              <w:t> </w:t>
            </w:r>
          </w:p>
        </w:tc>
        <w:tc>
          <w:tcPr>
            <w:tcW w:w="982" w:type="dxa"/>
            <w:shd w:val="clear" w:color="auto" w:fill="C4EFCE"/>
            <w:vAlign w:val="center"/>
          </w:tcPr>
          <w:p w14:paraId="04FF8D2D" w14:textId="133CE3BF" w:rsidR="00154AD2" w:rsidRDefault="007F6BF3">
            <w:pPr>
              <w:pStyle w:val="P68B1DB1-Normal12"/>
              <w:spacing w:after="0" w:line="240" w:lineRule="auto"/>
              <w:jc w:val="center"/>
              <w:rPr>
                <w:rFonts w:cstheme="minorHAnsi"/>
                <w:noProof/>
              </w:rPr>
            </w:pPr>
            <w:r>
              <w:rPr>
                <w:noProof/>
              </w:rPr>
              <w:t>Αριθμός</w:t>
            </w:r>
          </w:p>
        </w:tc>
        <w:tc>
          <w:tcPr>
            <w:tcW w:w="982" w:type="dxa"/>
            <w:shd w:val="clear" w:color="auto" w:fill="C4EFCE"/>
            <w:vAlign w:val="center"/>
          </w:tcPr>
          <w:p w14:paraId="5AD7A2F4" w14:textId="21F9CE36" w:rsidR="00154AD2" w:rsidRDefault="007F6BF3">
            <w:pPr>
              <w:pStyle w:val="P68B1DB1-Normal12"/>
              <w:spacing w:after="0" w:line="240" w:lineRule="auto"/>
              <w:jc w:val="center"/>
              <w:rPr>
                <w:rFonts w:cstheme="minorHAnsi"/>
                <w:noProof/>
              </w:rPr>
            </w:pPr>
            <w:r>
              <w:rPr>
                <w:noProof/>
              </w:rPr>
              <w:t>4</w:t>
            </w:r>
          </w:p>
        </w:tc>
        <w:tc>
          <w:tcPr>
            <w:tcW w:w="626" w:type="dxa"/>
            <w:shd w:val="clear" w:color="auto" w:fill="C4EFCE"/>
            <w:vAlign w:val="center"/>
          </w:tcPr>
          <w:p w14:paraId="1D935FE8" w14:textId="05F0796F" w:rsidR="00154AD2" w:rsidRDefault="007F6BF3">
            <w:pPr>
              <w:pStyle w:val="P68B1DB1-Normal12"/>
              <w:spacing w:after="0" w:line="240" w:lineRule="auto"/>
              <w:jc w:val="center"/>
              <w:rPr>
                <w:rFonts w:cstheme="minorHAnsi"/>
                <w:noProof/>
              </w:rPr>
            </w:pPr>
            <w:r>
              <w:rPr>
                <w:noProof/>
              </w:rPr>
              <w:t>10</w:t>
            </w:r>
          </w:p>
        </w:tc>
        <w:tc>
          <w:tcPr>
            <w:tcW w:w="514" w:type="dxa"/>
            <w:shd w:val="clear" w:color="auto" w:fill="C4EFCE"/>
            <w:vAlign w:val="center"/>
          </w:tcPr>
          <w:p w14:paraId="39D30506" w14:textId="0975D809" w:rsidR="00154AD2" w:rsidRDefault="007F6BF3">
            <w:pPr>
              <w:pStyle w:val="P68B1DB1-Normal12"/>
              <w:spacing w:after="0" w:line="240" w:lineRule="auto"/>
              <w:jc w:val="center"/>
              <w:rPr>
                <w:noProof/>
              </w:rPr>
            </w:pPr>
            <w:r>
              <w:rPr>
                <w:noProof/>
              </w:rPr>
              <w:t>ΤΡΊΜΗΝΟ 2</w:t>
            </w:r>
          </w:p>
        </w:tc>
        <w:tc>
          <w:tcPr>
            <w:tcW w:w="747" w:type="dxa"/>
            <w:shd w:val="clear" w:color="auto" w:fill="C4EFCE"/>
            <w:vAlign w:val="center"/>
          </w:tcPr>
          <w:p w14:paraId="6F74846E" w14:textId="4FBFD7C9" w:rsidR="00154AD2" w:rsidRDefault="007F6BF3">
            <w:pPr>
              <w:pStyle w:val="P68B1DB1-Normal12"/>
              <w:spacing w:after="0" w:line="240" w:lineRule="auto"/>
              <w:jc w:val="center"/>
              <w:rPr>
                <w:rFonts w:cstheme="minorHAnsi"/>
                <w:noProof/>
              </w:rPr>
            </w:pPr>
            <w:r>
              <w:rPr>
                <w:noProof/>
              </w:rPr>
              <w:t>2023</w:t>
            </w:r>
          </w:p>
        </w:tc>
        <w:tc>
          <w:tcPr>
            <w:tcW w:w="3919" w:type="dxa"/>
            <w:shd w:val="clear" w:color="auto" w:fill="C4EFCE"/>
            <w:vAlign w:val="center"/>
          </w:tcPr>
          <w:p w14:paraId="0DC61D27" w14:textId="2F8F2DAB" w:rsidR="00154AD2" w:rsidRDefault="007F6BF3">
            <w:pPr>
              <w:pStyle w:val="P68B1DB1-Bodytext1013"/>
              <w:spacing w:after="0" w:line="256" w:lineRule="auto"/>
              <w:rPr>
                <w:rFonts w:eastAsiaTheme="minorEastAsia" w:cstheme="minorBidi"/>
                <w:noProof/>
              </w:rPr>
            </w:pPr>
            <w:r>
              <w:rPr>
                <w:noProof/>
              </w:rPr>
              <w:t xml:space="preserve"> Σύναψη έξι πρόσθετων συμβάσεων (σύμφωνα καινοτομίας ή κινητοποίηση έργων) με κοινοπραξίες, οι οποίες περιλαμβάνουν:</w:t>
            </w:r>
          </w:p>
          <w:p w14:paraId="04592090" w14:textId="77777777" w:rsidR="00154AD2" w:rsidRDefault="007F6BF3">
            <w:pPr>
              <w:pStyle w:val="P68B1DB1-Bodytext1013"/>
              <w:spacing w:after="0" w:line="256" w:lineRule="auto"/>
              <w:rPr>
                <w:rFonts w:cstheme="minorHAnsi"/>
                <w:noProof/>
              </w:rPr>
            </w:pPr>
            <w:r>
              <w:rPr>
                <w:noProof/>
              </w:rPr>
              <w:t>• Προσδιορισμός των συνιστωσών οντοτήτων της κοινοπραξίας·</w:t>
            </w:r>
          </w:p>
          <w:p w14:paraId="6A42DB0C" w14:textId="77777777" w:rsidR="00154AD2" w:rsidRDefault="007F6BF3">
            <w:pPr>
              <w:pStyle w:val="P68B1DB1-Bodytext1013"/>
              <w:spacing w:after="0" w:line="256" w:lineRule="auto"/>
              <w:rPr>
                <w:rFonts w:cstheme="minorHAnsi"/>
                <w:noProof/>
              </w:rPr>
            </w:pPr>
            <w:r>
              <w:rPr>
                <w:noProof/>
              </w:rPr>
              <w:t>• Το επιχειρηματικό σχέδιο/επένδυση·</w:t>
            </w:r>
          </w:p>
          <w:p w14:paraId="21DA580B" w14:textId="77777777" w:rsidR="00154AD2" w:rsidRDefault="007F6BF3">
            <w:pPr>
              <w:pStyle w:val="P68B1DB1-Bodytext1013"/>
              <w:spacing w:after="0" w:line="256" w:lineRule="auto"/>
              <w:rPr>
                <w:rFonts w:cstheme="minorHAnsi"/>
                <w:noProof/>
              </w:rPr>
            </w:pPr>
            <w:r>
              <w:rPr>
                <w:noProof/>
              </w:rPr>
              <w:t>• Το ποσό της χρηματοδότησης·</w:t>
            </w:r>
          </w:p>
          <w:p w14:paraId="50705B10" w14:textId="77777777" w:rsidR="00154AD2" w:rsidRDefault="007F6BF3">
            <w:pPr>
              <w:pStyle w:val="P68B1DB1-Bodytext1013"/>
              <w:spacing w:after="0" w:line="256" w:lineRule="auto"/>
              <w:rPr>
                <w:rFonts w:cstheme="minorHAnsi"/>
                <w:noProof/>
              </w:rPr>
            </w:pPr>
            <w:r>
              <w:rPr>
                <w:noProof/>
              </w:rPr>
              <w:t>• Τους στόχους από τους οποίους δεσμεύεται ο δικαιούχος·</w:t>
            </w:r>
          </w:p>
          <w:p w14:paraId="01625014" w14:textId="77777777" w:rsidR="00154AD2" w:rsidRDefault="007F6BF3">
            <w:pPr>
              <w:pStyle w:val="P68B1DB1-Bodytext1013"/>
              <w:spacing w:after="0" w:line="256" w:lineRule="auto"/>
              <w:rPr>
                <w:rFonts w:cstheme="minorHAnsi"/>
                <w:noProof/>
              </w:rPr>
            </w:pPr>
            <w:r>
              <w:rPr>
                <w:noProof/>
              </w:rPr>
              <w:t xml:space="preserve">• Τη μορφή της παρακολούθησης. </w:t>
            </w:r>
          </w:p>
          <w:p w14:paraId="4B9F41BD" w14:textId="09DF7CAF" w:rsidR="00154AD2" w:rsidRDefault="00154AD2">
            <w:pPr>
              <w:pStyle w:val="Bodytext10"/>
              <w:spacing w:after="0" w:line="256" w:lineRule="auto"/>
              <w:rPr>
                <w:rFonts w:asciiTheme="minorHAnsi" w:hAnsiTheme="minorHAnsi" w:cstheme="minorBidi"/>
                <w:noProof/>
                <w:sz w:val="16"/>
              </w:rPr>
            </w:pPr>
          </w:p>
          <w:p w14:paraId="20E874EC" w14:textId="6019E06D" w:rsidR="00154AD2" w:rsidRDefault="007F6BF3">
            <w:pPr>
              <w:pStyle w:val="P68B1DB1-Bodytext1013"/>
              <w:spacing w:after="0" w:line="256" w:lineRule="auto"/>
              <w:rPr>
                <w:rFonts w:cstheme="minorHAnsi"/>
                <w:noProof/>
              </w:rPr>
            </w:pPr>
            <w:r>
              <w:rPr>
                <w:noProof/>
              </w:rPr>
              <w:t>Οι συμβάσεις στηρίζουν συνολικά τουλάχιστον 98 προϊόντα, διαδικασίες ή υπηρεσίες και ευθυγραμμίζονται με τον τομέα παρέμβασης 022 (Διαδικασίες έρευνας και καινοτομίας, μεταφορά τεχνολογίας και συνεργασία μεταξύ εταιρειών με έμφαση στην οικονομία χαμηλών εκπομπών διοξειδίου του άνθρακα και στην ανθεκτικότητα και την προσαρμογή στην κλιματική αλλαγή). Οι όροι αναφοράς περιλαμβάνουν κριτήρια επιλεξιμότητας που διασφαλίζουν ότι τα επιλεγμένα έργα συμμορφώνονται με την τεχνική καθοδήγηση σχετικά με την εφαρμογή της αρχής της «μη πρόκλησης σημαντικής βλάβης» (2021/C58/01) μέσω της χρήσης καταλόγου αποκλεισμού και της απαίτησης συμμόρφωσης με τη σχετική ενωσιακή και εθνική περιβαλλοντική νομοθεσία.</w:t>
            </w:r>
          </w:p>
          <w:p w14:paraId="64095437" w14:textId="10DA3C38" w:rsidR="00154AD2" w:rsidRDefault="007F6BF3">
            <w:pPr>
              <w:pStyle w:val="P68B1DB1-Normal12"/>
              <w:spacing w:after="0" w:line="240" w:lineRule="auto"/>
              <w:jc w:val="both"/>
              <w:rPr>
                <w:rFonts w:cstheme="minorHAnsi"/>
                <w:noProof/>
              </w:rPr>
            </w:pPr>
            <w:r>
              <w:rPr>
                <w:noProof/>
              </w:rPr>
              <w:t>Οι συμβάσεις προστίθενται στις συμβάσεις που εκτελούνται στο πλαίσιο της RE-C05-i01.02.</w:t>
            </w:r>
          </w:p>
        </w:tc>
      </w:tr>
      <w:tr w:rsidR="00154AD2" w14:paraId="2CFB1DE4" w14:textId="77777777">
        <w:trPr>
          <w:trHeight w:val="67"/>
        </w:trPr>
        <w:tc>
          <w:tcPr>
            <w:tcW w:w="1134" w:type="dxa"/>
            <w:shd w:val="clear" w:color="auto" w:fill="C4EFCE"/>
            <w:vAlign w:val="center"/>
          </w:tcPr>
          <w:p w14:paraId="0F626A07" w14:textId="1AAA4C66" w:rsidR="00154AD2" w:rsidRDefault="007F6BF3">
            <w:pPr>
              <w:pStyle w:val="P68B1DB1-Normal11"/>
              <w:spacing w:after="0" w:line="240" w:lineRule="auto"/>
              <w:jc w:val="center"/>
              <w:rPr>
                <w:rFonts w:cstheme="minorHAnsi"/>
                <w:noProof/>
              </w:rPr>
            </w:pPr>
            <w:r>
              <w:rPr>
                <w:noProof/>
              </w:rPr>
              <w:t>5.42</w:t>
            </w:r>
          </w:p>
        </w:tc>
        <w:tc>
          <w:tcPr>
            <w:tcW w:w="1165" w:type="dxa"/>
            <w:shd w:val="clear" w:color="auto" w:fill="C4EFCE"/>
            <w:vAlign w:val="center"/>
          </w:tcPr>
          <w:p w14:paraId="4D8A4205" w14:textId="197B1A16" w:rsidR="00154AD2" w:rsidRDefault="007F6BF3">
            <w:pPr>
              <w:pStyle w:val="P68B1DB1-Normal12"/>
              <w:spacing w:after="0" w:line="240" w:lineRule="auto"/>
              <w:jc w:val="center"/>
              <w:rPr>
                <w:rFonts w:cstheme="minorHAnsi"/>
                <w:noProof/>
              </w:rPr>
            </w:pPr>
            <w:r>
              <w:rPr>
                <w:noProof/>
              </w:rPr>
              <w:t>RE-C05-i10</w:t>
            </w:r>
          </w:p>
        </w:tc>
        <w:tc>
          <w:tcPr>
            <w:tcW w:w="976" w:type="dxa"/>
            <w:shd w:val="clear" w:color="auto" w:fill="C4EFCE"/>
            <w:vAlign w:val="center"/>
          </w:tcPr>
          <w:p w14:paraId="4C138B7D" w14:textId="446CCEF5" w:rsidR="00154AD2" w:rsidRDefault="007F6BF3">
            <w:pPr>
              <w:pStyle w:val="P68B1DB1-Normal12"/>
              <w:spacing w:after="0" w:line="240" w:lineRule="auto"/>
              <w:jc w:val="center"/>
              <w:rPr>
                <w:rFonts w:cstheme="minorHAnsi"/>
                <w:noProof/>
              </w:rPr>
            </w:pPr>
            <w:r>
              <w:rPr>
                <w:noProof/>
              </w:rPr>
              <w:t>T</w:t>
            </w:r>
          </w:p>
        </w:tc>
        <w:tc>
          <w:tcPr>
            <w:tcW w:w="1668" w:type="dxa"/>
            <w:shd w:val="clear" w:color="auto" w:fill="C4EFCE"/>
            <w:vAlign w:val="center"/>
          </w:tcPr>
          <w:p w14:paraId="24DB13CD" w14:textId="5E486B06" w:rsidR="00154AD2" w:rsidRDefault="007F6BF3">
            <w:pPr>
              <w:pStyle w:val="P68B1DB1-Normal12"/>
              <w:spacing w:after="0" w:line="240" w:lineRule="auto"/>
              <w:jc w:val="center"/>
              <w:rPr>
                <w:rFonts w:cstheme="minorHAnsi"/>
                <w:noProof/>
              </w:rPr>
            </w:pPr>
            <w:r>
              <w:rPr>
                <w:noProof/>
              </w:rPr>
              <w:t>Ολοκλήρωση προϊόντων, διαδικασιών ή υπηρεσιών (ΜΑΔ) που σχετίζονται με την οικονομία χαμηλών εκπομπών διοξειδίου του άνθρακα, την ανθεκτικότητα και την προσαρμογή στην κλιματική αλλαγή.</w:t>
            </w:r>
          </w:p>
        </w:tc>
        <w:tc>
          <w:tcPr>
            <w:tcW w:w="2029" w:type="dxa"/>
            <w:shd w:val="clear" w:color="auto" w:fill="C4EFCE"/>
            <w:vAlign w:val="center"/>
          </w:tcPr>
          <w:p w14:paraId="03936DB4" w14:textId="5D309DC9" w:rsidR="00154AD2" w:rsidRDefault="007F6BF3">
            <w:pPr>
              <w:pStyle w:val="P68B1DB1-Normal12"/>
              <w:spacing w:after="0" w:line="240" w:lineRule="auto"/>
              <w:jc w:val="center"/>
              <w:rPr>
                <w:rFonts w:cstheme="minorHAnsi"/>
                <w:noProof/>
              </w:rPr>
            </w:pPr>
            <w:r>
              <w:rPr>
                <w:noProof/>
              </w:rPr>
              <w:t> </w:t>
            </w:r>
          </w:p>
        </w:tc>
        <w:tc>
          <w:tcPr>
            <w:tcW w:w="982" w:type="dxa"/>
            <w:shd w:val="clear" w:color="auto" w:fill="C4EFCE"/>
            <w:vAlign w:val="center"/>
          </w:tcPr>
          <w:p w14:paraId="49E437C8" w14:textId="2D221C76" w:rsidR="00154AD2" w:rsidRDefault="007F6BF3">
            <w:pPr>
              <w:pStyle w:val="P68B1DB1-Normal12"/>
              <w:spacing w:after="0" w:line="240" w:lineRule="auto"/>
              <w:jc w:val="center"/>
              <w:rPr>
                <w:rFonts w:cstheme="minorHAnsi"/>
                <w:noProof/>
              </w:rPr>
            </w:pPr>
            <w:r>
              <w:rPr>
                <w:noProof/>
              </w:rPr>
              <w:t>Αριθμός</w:t>
            </w:r>
          </w:p>
        </w:tc>
        <w:tc>
          <w:tcPr>
            <w:tcW w:w="982" w:type="dxa"/>
            <w:shd w:val="clear" w:color="auto" w:fill="C4EFCE"/>
            <w:vAlign w:val="center"/>
          </w:tcPr>
          <w:p w14:paraId="533CBFA2" w14:textId="10AA98B0" w:rsidR="00154AD2" w:rsidRDefault="007F6BF3">
            <w:pPr>
              <w:pStyle w:val="P68B1DB1-Normal12"/>
              <w:spacing w:after="0" w:line="240" w:lineRule="auto"/>
              <w:jc w:val="center"/>
              <w:rPr>
                <w:rFonts w:cstheme="minorHAnsi"/>
                <w:noProof/>
              </w:rPr>
            </w:pPr>
            <w:r>
              <w:rPr>
                <w:noProof/>
              </w:rPr>
              <w:t>40</w:t>
            </w:r>
          </w:p>
        </w:tc>
        <w:tc>
          <w:tcPr>
            <w:tcW w:w="626" w:type="dxa"/>
            <w:shd w:val="clear" w:color="auto" w:fill="C4EFCE"/>
            <w:vAlign w:val="center"/>
          </w:tcPr>
          <w:p w14:paraId="5C908ABC" w14:textId="0CD01BA3" w:rsidR="00154AD2" w:rsidRDefault="007F6BF3">
            <w:pPr>
              <w:pStyle w:val="P68B1DB1-Normal12"/>
              <w:spacing w:after="0" w:line="240" w:lineRule="auto"/>
              <w:jc w:val="center"/>
              <w:rPr>
                <w:rFonts w:cstheme="minorHAnsi"/>
                <w:noProof/>
              </w:rPr>
            </w:pPr>
            <w:r>
              <w:rPr>
                <w:noProof/>
              </w:rPr>
              <w:t>138</w:t>
            </w:r>
          </w:p>
        </w:tc>
        <w:tc>
          <w:tcPr>
            <w:tcW w:w="514" w:type="dxa"/>
            <w:shd w:val="clear" w:color="auto" w:fill="C4EFCE"/>
            <w:vAlign w:val="center"/>
          </w:tcPr>
          <w:p w14:paraId="302722D1" w14:textId="34725CE1" w:rsidR="00154AD2" w:rsidRDefault="007F6BF3">
            <w:pPr>
              <w:pStyle w:val="P68B1DB1-Normal12"/>
              <w:spacing w:after="0" w:line="240" w:lineRule="auto"/>
              <w:jc w:val="center"/>
              <w:rPr>
                <w:rFonts w:cstheme="minorHAnsi"/>
                <w:noProof/>
              </w:rPr>
            </w:pPr>
            <w:r>
              <w:rPr>
                <w:noProof/>
              </w:rPr>
              <w:t>ΤΡΊΜΗΝΟ 4</w:t>
            </w:r>
          </w:p>
        </w:tc>
        <w:tc>
          <w:tcPr>
            <w:tcW w:w="747" w:type="dxa"/>
            <w:shd w:val="clear" w:color="auto" w:fill="C4EFCE"/>
            <w:vAlign w:val="center"/>
          </w:tcPr>
          <w:p w14:paraId="686F8191" w14:textId="1900D775" w:rsidR="00154AD2" w:rsidRDefault="007F6BF3">
            <w:pPr>
              <w:pStyle w:val="P68B1DB1-Normal12"/>
              <w:spacing w:after="0" w:line="240" w:lineRule="auto"/>
              <w:jc w:val="center"/>
              <w:rPr>
                <w:rFonts w:cstheme="minorHAnsi"/>
                <w:noProof/>
              </w:rPr>
            </w:pPr>
            <w:r>
              <w:rPr>
                <w:noProof/>
              </w:rPr>
              <w:t>2025</w:t>
            </w:r>
          </w:p>
        </w:tc>
        <w:tc>
          <w:tcPr>
            <w:tcW w:w="3919" w:type="dxa"/>
            <w:shd w:val="clear" w:color="auto" w:fill="C4EFCE"/>
            <w:vAlign w:val="center"/>
          </w:tcPr>
          <w:p w14:paraId="3637E13E" w14:textId="77777777" w:rsidR="00154AD2" w:rsidRDefault="007F6BF3">
            <w:pPr>
              <w:pStyle w:val="P68B1DB1-Normal12"/>
              <w:spacing w:after="0" w:line="240" w:lineRule="auto"/>
              <w:jc w:val="both"/>
              <w:rPr>
                <w:rFonts w:cstheme="minorHAnsi"/>
                <w:noProof/>
              </w:rPr>
            </w:pPr>
            <w:r>
              <w:rPr>
                <w:noProof/>
              </w:rPr>
              <w:t>Ολοκλήρωση 98 προϊόντων, διαδικασιών ή υπηρεσιών (ΜΑΔ) που προκύπτουν από την εφαρμογή των συμβάσεων (σύμφωνα καινοτομίας ή κινητοποίηση έργων) που έχουν συναφθεί με κοινοπραξίες, οι οποίες ευθυγραμμίζονται με τον τομέα παρέμβασης 022 (διαδικασίες έρευνας και καινοτομίας, μεταφορά τεχνολογίας και συνεργασία μεταξύ εταιρειών με έμφαση στην οικονομία χαμηλών εκπομπών διοξειδίου του άνθρακα και στην ανθεκτικότητα και την προσαρμογή στην κλιματική αλλαγή).</w:t>
            </w:r>
          </w:p>
          <w:p w14:paraId="18CA891F" w14:textId="60AEF0E8" w:rsidR="00154AD2" w:rsidRDefault="007F6BF3">
            <w:pPr>
              <w:pStyle w:val="P68B1DB1-Normal12"/>
              <w:spacing w:after="0" w:line="240" w:lineRule="auto"/>
              <w:jc w:val="both"/>
              <w:rPr>
                <w:rFonts w:cstheme="minorHAnsi"/>
                <w:noProof/>
              </w:rPr>
            </w:pPr>
            <w:r>
              <w:rPr>
                <w:noProof/>
              </w:rPr>
              <w:t>Η PPS είναι συμπληρωματική των PPS που εφαρμόζονται στο RE-C05-i01.02.</w:t>
            </w:r>
          </w:p>
        </w:tc>
      </w:tr>
    </w:tbl>
    <w:p w14:paraId="1934ED30" w14:textId="77777777" w:rsidR="00154AD2" w:rsidRDefault="00154AD2">
      <w:pPr>
        <w:spacing w:before="40" w:after="0" w:line="259" w:lineRule="auto"/>
        <w:ind w:left="130" w:firstLine="720"/>
        <w:jc w:val="both"/>
        <w:outlineLvl w:val="2"/>
        <w:rPr>
          <w:rFonts w:ascii="Times New Roman" w:eastAsiaTheme="minorEastAsia" w:hAnsi="Times New Roman" w:cs="Times New Roman"/>
          <w:b/>
          <w:noProof/>
          <w:sz w:val="24"/>
          <w:u w:val="single"/>
        </w:rPr>
        <w:sectPr w:rsidR="00154AD2" w:rsidSect="00E00EDD">
          <w:headerReference w:type="even" r:id="rId102"/>
          <w:headerReference w:type="default" r:id="rId103"/>
          <w:footerReference w:type="even" r:id="rId104"/>
          <w:footerReference w:type="default" r:id="rId105"/>
          <w:headerReference w:type="first" r:id="rId106"/>
          <w:footerReference w:type="first" r:id="rId107"/>
          <w:pgSz w:w="16839" w:h="11907" w:orient="landscape"/>
          <w:pgMar w:top="1134" w:right="1134" w:bottom="1134" w:left="1134" w:header="567" w:footer="567" w:gutter="0"/>
          <w:cols w:space="720"/>
          <w:docGrid w:linePitch="360"/>
        </w:sectPr>
      </w:pPr>
    </w:p>
    <w:p w14:paraId="1E7C10B9" w14:textId="20E4EE7B" w:rsidR="00154AD2" w:rsidRDefault="007F6BF3">
      <w:pPr>
        <w:pStyle w:val="P68B1DB1-Normal3"/>
        <w:spacing w:before="40" w:after="0" w:line="259" w:lineRule="auto"/>
        <w:ind w:left="130" w:firstLine="720"/>
        <w:jc w:val="both"/>
        <w:outlineLvl w:val="2"/>
        <w:rPr>
          <w:rFonts w:eastAsiaTheme="minorEastAsia" w:cs="Times New Roman"/>
          <w:noProof/>
        </w:rPr>
      </w:pPr>
      <w:r>
        <w:rPr>
          <w:noProof/>
        </w:rPr>
        <w:t xml:space="preserve">Ε.3. Περιγραφή των μεταρρυθμίσεων και των επενδύσεων που συνδέονται με τη λήψη δανείου </w:t>
      </w:r>
    </w:p>
    <w:p w14:paraId="189A4B39" w14:textId="77777777" w:rsidR="00154AD2" w:rsidRDefault="007F6BF3">
      <w:pPr>
        <w:pStyle w:val="P68B1DB1-Normal5"/>
        <w:spacing w:before="240" w:after="0" w:line="259" w:lineRule="auto"/>
        <w:ind w:left="851"/>
        <w:jc w:val="both"/>
        <w:outlineLvl w:val="3"/>
        <w:rPr>
          <w:rFonts w:eastAsiaTheme="minorEastAsia" w:cs="Times New Roman"/>
          <w:noProof/>
        </w:rPr>
      </w:pPr>
      <w:r>
        <w:rPr>
          <w:noProof/>
        </w:rPr>
        <w:t>Μεταρρύθμιση RE-r10: Δημιουργία και ανάπτυξη της Banco Português de Fomento.</w:t>
      </w:r>
    </w:p>
    <w:p w14:paraId="72447E27" w14:textId="77777777" w:rsidR="00154AD2" w:rsidRDefault="007F6BF3">
      <w:pPr>
        <w:pStyle w:val="P68B1DB1-Normal4"/>
        <w:spacing w:before="40" w:after="0" w:line="259" w:lineRule="auto"/>
        <w:jc w:val="both"/>
        <w:rPr>
          <w:rFonts w:eastAsiaTheme="minorEastAsia" w:cs="Times New Roman"/>
          <w:noProof/>
        </w:rPr>
      </w:pPr>
      <w:r>
        <w:rPr>
          <w:noProof/>
        </w:rPr>
        <w:t xml:space="preserve">Οι στόχοι του μέτρου είναι να διευκολυνθεί η πρόσβαση των πορτογαλικών επιχειρήσεων σε χρηματοδότηση με τη μείωση της πολυπλοκότητας των προϊόντων εταιρικής χρηματοδότησης που λαμβάνουν δημόσια στήριξη και με τη διευκόλυνση έργων εθνικού στρατηγικού ενδιαφέροντος. Για τον σκοπό αυτό, η </w:t>
      </w:r>
      <w:r>
        <w:rPr>
          <w:i/>
          <w:noProof/>
        </w:rPr>
        <w:t>Banco Português de Fomento</w:t>
      </w:r>
      <w:r>
        <w:rPr>
          <w:noProof/>
        </w:rPr>
        <w:t xml:space="preserve"> ιδρύθηκε στις 7 Σεπτεμβρίου 2020 και άρχισε να λειτουργεί τον Νοέμβριο του 2020 ως κρατική εθνική αναπτυξιακή τράπεζα. Εκτός από τη βασική και διαρκή αποστολή της, η τράπεζα αποτελεί βασική οντότητα στη διαδικασία επανέναρξης της οικονομικής δραστηριότητας μετά την πανδημία COVID-19, ιδίως επιτρέποντας στις πορτογαλικές επιχειρήσεις να επωφεληθούν από τις εθνικές και ευρωπαϊκές στρατηγικές δράσεις ανάκαμψης. </w:t>
      </w:r>
    </w:p>
    <w:p w14:paraId="48A8A411" w14:textId="77777777" w:rsidR="00154AD2" w:rsidRDefault="007F6BF3">
      <w:pPr>
        <w:pStyle w:val="P68B1DB1-Normal4"/>
        <w:spacing w:before="40" w:after="0" w:line="259" w:lineRule="auto"/>
        <w:jc w:val="both"/>
        <w:rPr>
          <w:rFonts w:eastAsiaTheme="minorEastAsia" w:cs="Times New Roman"/>
          <w:noProof/>
        </w:rPr>
      </w:pPr>
      <w:r>
        <w:rPr>
          <w:noProof/>
        </w:rPr>
        <w:t xml:space="preserve">Η μεταρρύθμιση συνίσταται στη νομική ίδρυση της </w:t>
      </w:r>
      <w:r>
        <w:rPr>
          <w:i/>
          <w:noProof/>
        </w:rPr>
        <w:t>Banco Português de Fomento</w:t>
      </w:r>
      <w:r>
        <w:rPr>
          <w:noProof/>
        </w:rPr>
        <w:t xml:space="preserve">. </w:t>
      </w:r>
    </w:p>
    <w:p w14:paraId="08AAEA6F" w14:textId="77777777" w:rsidR="00154AD2" w:rsidRDefault="007F6BF3">
      <w:pPr>
        <w:pStyle w:val="P68B1DB1-Normal4"/>
        <w:spacing w:before="40" w:after="0" w:line="259" w:lineRule="auto"/>
        <w:jc w:val="both"/>
        <w:rPr>
          <w:rFonts w:eastAsiaTheme="minorEastAsia" w:cs="Times New Roman"/>
          <w:noProof/>
        </w:rPr>
      </w:pPr>
      <w:r>
        <w:rPr>
          <w:noProof/>
        </w:rPr>
        <w:t>Η εφαρμογή της μεταρρύθμισης ολοκληρώθηκε έως τις 31 Δεκεμβρίου 2020.</w:t>
      </w:r>
    </w:p>
    <w:p w14:paraId="1FF05807" w14:textId="77777777" w:rsidR="00154AD2" w:rsidRDefault="007F6BF3">
      <w:pPr>
        <w:pStyle w:val="P68B1DB1-Normal5"/>
        <w:spacing w:before="240" w:after="0" w:line="259" w:lineRule="auto"/>
        <w:ind w:left="851"/>
        <w:jc w:val="both"/>
        <w:outlineLvl w:val="3"/>
        <w:rPr>
          <w:rFonts w:eastAsiaTheme="minorEastAsia" w:cs="Times New Roman"/>
          <w:noProof/>
        </w:rPr>
      </w:pPr>
      <w:r>
        <w:rPr>
          <w:noProof/>
        </w:rPr>
        <w:t xml:space="preserve">Μεταρρύθμιση RE-r13: Ανάπτυξη της κεφαλαιαγοράς και προώθηση της κεφαλαιοποίησης μη χρηματοπιστωτικών εταιρειών </w:t>
      </w:r>
    </w:p>
    <w:p w14:paraId="626DC4C1" w14:textId="77777777" w:rsidR="00154AD2" w:rsidRDefault="007F6BF3">
      <w:pPr>
        <w:pStyle w:val="P68B1DB1-Normal4"/>
        <w:spacing w:before="40" w:after="0" w:line="259" w:lineRule="auto"/>
        <w:jc w:val="both"/>
        <w:rPr>
          <w:rFonts w:eastAsiaTheme="minorEastAsia" w:cs="Times New Roman"/>
          <w:noProof/>
        </w:rPr>
      </w:pPr>
      <w:r>
        <w:rPr>
          <w:noProof/>
        </w:rPr>
        <w:t xml:space="preserve">Στόχος του μέτρου είναι η τόνωση της πορτογαλικής κεφαλαιαγοράς και η προώθηση της κεφαλαιοποίησης των εταιρειών, με ιδιαίτερη έμφαση στις εταιρείες επενδύσεων σε κινητές αξίες για την ανάπτυξη της οικονομίας (SIMFE), στους οργανισμούς συλλογικών επενδύσεων και στην αναθεώρηση του κώδικα κινητών αξιών. </w:t>
      </w:r>
    </w:p>
    <w:p w14:paraId="28221381" w14:textId="77777777" w:rsidR="00154AD2" w:rsidRDefault="007F6BF3">
      <w:pPr>
        <w:pStyle w:val="P68B1DB1-Normal4"/>
        <w:spacing w:before="40" w:after="0" w:line="259" w:lineRule="auto"/>
        <w:jc w:val="both"/>
        <w:rPr>
          <w:rFonts w:eastAsiaTheme="minorEastAsia" w:cs="Times New Roman"/>
          <w:noProof/>
        </w:rPr>
      </w:pPr>
      <w:r>
        <w:rPr>
          <w:noProof/>
        </w:rPr>
        <w:t xml:space="preserve">Η μεταρρύθμιση αυτή συνίσταται στην αναθεώρηση του υφιστάμενου νομικού πλαισίου και στη θέσπιση νέων νόμων που θα αποτελέσουν μέρος της ολιστικής προσέγγισης της κυβέρνησης για τη δημιουργία ευνοϊκότερου επιχειρηματικού περιβάλλοντος και την παροχή πραγματικών κινήτρων για επενδύσεις, κεφαλαιοποίηση επιχειρήσεων και τομεακή ενοποίηση. Η εφαρμογή της μεταρρύθμισης αυτής συνίσταται στα ακόλουθα μέτρα: </w:t>
      </w:r>
    </w:p>
    <w:p w14:paraId="3E530B36" w14:textId="77777777" w:rsidR="00154AD2" w:rsidRDefault="007F6BF3">
      <w:pPr>
        <w:pStyle w:val="P68B1DB1-Normal4"/>
        <w:keepNext/>
        <w:numPr>
          <w:ilvl w:val="0"/>
          <w:numId w:val="41"/>
        </w:numPr>
        <w:spacing w:before="40" w:after="160" w:line="259" w:lineRule="auto"/>
        <w:contextualSpacing/>
        <w:jc w:val="both"/>
        <w:rPr>
          <w:rFonts w:eastAsiaTheme="minorEastAsia" w:cs="Times New Roman"/>
          <w:noProof/>
        </w:rPr>
      </w:pPr>
      <w:r>
        <w:rPr>
          <w:noProof/>
        </w:rPr>
        <w:t xml:space="preserve">ανάπτυξη της κεφαλαιαγοράς· </w:t>
      </w:r>
    </w:p>
    <w:p w14:paraId="12E1FE2C" w14:textId="77777777" w:rsidR="00154AD2" w:rsidRDefault="007F6BF3">
      <w:pPr>
        <w:pStyle w:val="P68B1DB1-Normal4"/>
        <w:keepNext/>
        <w:numPr>
          <w:ilvl w:val="0"/>
          <w:numId w:val="41"/>
        </w:numPr>
        <w:spacing w:before="40" w:after="160" w:line="259" w:lineRule="auto"/>
        <w:contextualSpacing/>
        <w:jc w:val="both"/>
        <w:rPr>
          <w:rFonts w:eastAsiaTheme="minorEastAsia" w:cs="Times New Roman"/>
          <w:noProof/>
        </w:rPr>
      </w:pPr>
      <w:r>
        <w:rPr>
          <w:noProof/>
        </w:rPr>
        <w:t xml:space="preserve">ενίσχυση των εταιρειών επενδύσεων σε κινητές αξίες για την ανάπτυξη της οικονομίας (SIMFE)· </w:t>
      </w:r>
    </w:p>
    <w:p w14:paraId="02E09283" w14:textId="77777777" w:rsidR="00154AD2" w:rsidRDefault="007F6BF3">
      <w:pPr>
        <w:pStyle w:val="P68B1DB1-Normal4"/>
        <w:keepNext/>
        <w:numPr>
          <w:ilvl w:val="0"/>
          <w:numId w:val="41"/>
        </w:numPr>
        <w:spacing w:before="40" w:after="160" w:line="259" w:lineRule="auto"/>
        <w:contextualSpacing/>
        <w:jc w:val="both"/>
        <w:rPr>
          <w:rFonts w:eastAsiaTheme="minorEastAsia" w:cs="Times New Roman"/>
          <w:noProof/>
        </w:rPr>
      </w:pPr>
      <w:r>
        <w:rPr>
          <w:noProof/>
        </w:rPr>
        <w:t>κανονιστική και διοικητική απλούστευση·</w:t>
      </w:r>
    </w:p>
    <w:p w14:paraId="7C616BBA" w14:textId="77777777" w:rsidR="00154AD2" w:rsidRDefault="007F6BF3">
      <w:pPr>
        <w:pStyle w:val="P68B1DB1-Normal4"/>
        <w:keepNext/>
        <w:numPr>
          <w:ilvl w:val="0"/>
          <w:numId w:val="41"/>
        </w:numPr>
        <w:spacing w:before="40" w:after="160" w:line="259" w:lineRule="auto"/>
        <w:contextualSpacing/>
        <w:jc w:val="both"/>
        <w:rPr>
          <w:rFonts w:eastAsiaTheme="minorEastAsia" w:cs="Times New Roman"/>
          <w:noProof/>
        </w:rPr>
      </w:pPr>
      <w:r>
        <w:rPr>
          <w:noProof/>
        </w:rPr>
        <w:t xml:space="preserve">επανεξέταση του νομικού πλαισίου για τους οργανισμούς συλλογικών επενδύσεων· και </w:t>
      </w:r>
    </w:p>
    <w:p w14:paraId="406EAAFF" w14:textId="77777777" w:rsidR="00154AD2" w:rsidRDefault="007F6BF3">
      <w:pPr>
        <w:pStyle w:val="P68B1DB1-Normal4"/>
        <w:keepNext/>
        <w:numPr>
          <w:ilvl w:val="0"/>
          <w:numId w:val="41"/>
        </w:numPr>
        <w:spacing w:before="40" w:after="160" w:line="259" w:lineRule="auto"/>
        <w:contextualSpacing/>
        <w:jc w:val="both"/>
        <w:rPr>
          <w:rFonts w:eastAsiaTheme="minorEastAsia" w:cs="Times New Roman"/>
          <w:noProof/>
        </w:rPr>
      </w:pPr>
      <w:r>
        <w:rPr>
          <w:noProof/>
        </w:rPr>
        <w:t xml:space="preserve">κίνητρα κεφαλαιοποίησης (έκπτωση για παρακρατηθέντα και επανεπενδυόμενα κέρδη). </w:t>
      </w:r>
    </w:p>
    <w:p w14:paraId="70A2BCBE" w14:textId="77777777" w:rsidR="00154AD2" w:rsidRDefault="007F6BF3">
      <w:pPr>
        <w:pStyle w:val="P68B1DB1-Normal4"/>
        <w:spacing w:before="40" w:after="0" w:line="259" w:lineRule="auto"/>
        <w:jc w:val="both"/>
        <w:rPr>
          <w:rFonts w:eastAsiaTheme="minorEastAsia"/>
          <w:noProof/>
        </w:rPr>
      </w:pPr>
      <w:r>
        <w:rPr>
          <w:noProof/>
        </w:rPr>
        <w:t xml:space="preserve">Η εφαρμογή της μεταρρύθμισης ολοκληρώνεται έως τις 31 Δεκεμβρίου 2023. </w:t>
      </w:r>
    </w:p>
    <w:p w14:paraId="2E2FC980" w14:textId="77777777" w:rsidR="00154AD2" w:rsidRDefault="007F6BF3">
      <w:pPr>
        <w:pStyle w:val="P68B1DB1-Normal5"/>
        <w:spacing w:before="240" w:after="0" w:line="259" w:lineRule="auto"/>
        <w:ind w:left="851"/>
        <w:jc w:val="both"/>
        <w:outlineLvl w:val="3"/>
        <w:rPr>
          <w:rFonts w:eastAsiaTheme="minorEastAsia" w:cs="Times New Roman"/>
          <w:noProof/>
        </w:rPr>
      </w:pPr>
      <w:r>
        <w:rPr>
          <w:noProof/>
        </w:rPr>
        <w:t xml:space="preserve">Επένδυση RE-C05-i06: Κεφαλαιοποίηση εταιρειών και χρηματοπιστωτική ανθεκτικότητα/Banco Português de Fomento </w:t>
      </w:r>
    </w:p>
    <w:p w14:paraId="7A51EC5E" w14:textId="23C16BB1" w:rsidR="00154AD2" w:rsidRDefault="007F6BF3">
      <w:pPr>
        <w:pStyle w:val="P68B1DB1-Normal4"/>
        <w:spacing w:before="40" w:after="0" w:line="259" w:lineRule="auto"/>
        <w:jc w:val="both"/>
        <w:rPr>
          <w:rFonts w:eastAsiaTheme="minorEastAsia" w:cs="Times New Roman"/>
          <w:noProof/>
        </w:rPr>
      </w:pPr>
      <w:r>
        <w:rPr>
          <w:noProof/>
        </w:rPr>
        <w:t xml:space="preserve">Στόχος του μέτρου είναι η αντιμετώπιση του διαρθρωτικού προβλήματος της υποκεφαλαιοποίησης των επιχειρήσεων. Η επένδυση παρέχει στην </w:t>
      </w:r>
      <w:r>
        <w:rPr>
          <w:i/>
          <w:noProof/>
        </w:rPr>
        <w:t>Banco Português de Fomento</w:t>
      </w:r>
      <w:r>
        <w:rPr>
          <w:noProof/>
        </w:rPr>
        <w:t xml:space="preserve">, η οποία έχει ως στόχο να καταστεί εταίρος υλοποίησης του InvestEU, κεφαλαιακό απόθεμα ασφαλείας ύψους 250 000 000 EUR. Επιπλέον, θα δημιουργηθεί ένας φορέας ειδικού σκοπού, ο οποίος στη συνέχεια θα επενδύσει 1 300 000 000 EUR σε βιώσιμες πορτογαλικές επιχειρήσεις με τη μορφή ιδίων κεφαλαίων και οιονεί ιδίων κεφαλαίων. </w:t>
      </w:r>
    </w:p>
    <w:p w14:paraId="33E5CD2F" w14:textId="77777777" w:rsidR="00154AD2" w:rsidRDefault="007F6BF3">
      <w:pPr>
        <w:pStyle w:val="P68B1DB1-Normal4"/>
        <w:spacing w:before="40" w:after="0" w:line="259" w:lineRule="auto"/>
        <w:jc w:val="both"/>
        <w:rPr>
          <w:rFonts w:eastAsiaTheme="minorEastAsia" w:cs="Times New Roman"/>
          <w:noProof/>
        </w:rPr>
      </w:pPr>
      <w:r>
        <w:rPr>
          <w:noProof/>
        </w:rPr>
        <w:t xml:space="preserve">Η Πορτογαλία έχει δεσμευτεί ότι το έγγραφο επενδυτικής πολιτικής που αφορά το μέσο των 1 300 000 000 EUR, το οποίο θα εγκριθεί από την </w:t>
      </w:r>
      <w:r>
        <w:rPr>
          <w:i/>
          <w:noProof/>
        </w:rPr>
        <w:t>Banco Português de</w:t>
      </w:r>
      <w:r>
        <w:rPr>
          <w:noProof/>
        </w:rPr>
        <w:t xml:space="preserve"> Fomento ως διαχειριστικός φορέας του φορέα ειδικού σκοπού, περιγράφει λεπτομερώς τα κριτήρια επιλογής/επιλεξιμότητας για τις υποστηριζόμενες εταιρείες, διασφαλίζοντας την τήρηση των κλιματικών και περιβαλλοντικών απαιτήσεων του μηχανισμού ανάκαμψης και ανθεκτικότητας, συμπεριλαμβανομένης της συμμόρφωσης με τις τεχνικές κατευθυντήριες γραμμές σχετικά με την αρχή της μη πρόκλησης σημαντικής βλάβης (2021/C58/01) των υποστηριζόμενων περιουσιακών στοιχείων/δραστηριοτήτων και/ή εταιρειών και προσδιορίζοντας επενδυτικούς στόχους και στοχευμένες αποδόσεις. Για τη συμμόρφωση με την τεχνική καθοδήγηση «μη πρόκλησης σημαντικής βλάβης» (2021/C58/01) των υποστηριζόμενων εταιρειών, η επενδυτική πολιτική απαιτεί: </w:t>
      </w:r>
    </w:p>
    <w:p w14:paraId="11FD4172" w14:textId="77777777" w:rsidR="00154AD2" w:rsidRDefault="007F6BF3">
      <w:pPr>
        <w:pStyle w:val="P68B1DB1-Normal4"/>
        <w:keepNext/>
        <w:numPr>
          <w:ilvl w:val="0"/>
          <w:numId w:val="58"/>
        </w:numPr>
        <w:spacing w:before="40" w:after="160" w:line="259" w:lineRule="auto"/>
        <w:contextualSpacing/>
        <w:jc w:val="both"/>
        <w:rPr>
          <w:rFonts w:eastAsiaTheme="minorEastAsia" w:cs="Times New Roman"/>
          <w:noProof/>
        </w:rPr>
      </w:pPr>
      <w:r>
        <w:rPr>
          <w:noProof/>
        </w:rPr>
        <w:t xml:space="preserve">τη χρήση ελέγχου βιωσιμότητας, </w:t>
      </w:r>
    </w:p>
    <w:p w14:paraId="3BC45CD3" w14:textId="77777777" w:rsidR="00154AD2" w:rsidRDefault="007F6BF3">
      <w:pPr>
        <w:pStyle w:val="P68B1DB1-Normal4"/>
        <w:keepNext/>
        <w:numPr>
          <w:ilvl w:val="0"/>
          <w:numId w:val="58"/>
        </w:numPr>
        <w:spacing w:before="40" w:after="160" w:line="259" w:lineRule="auto"/>
        <w:contextualSpacing/>
        <w:jc w:val="both"/>
        <w:rPr>
          <w:rFonts w:eastAsiaTheme="minorEastAsia" w:cs="Times New Roman"/>
          <w:noProof/>
        </w:rPr>
      </w:pPr>
      <w:r>
        <w:rPr>
          <w:noProof/>
        </w:rPr>
        <w:t>κατάλογο εξαιρέσεων που περιλαμβάνει τα ακόλουθα στοιχεία:</w:t>
      </w:r>
    </w:p>
    <w:p w14:paraId="7729DD25" w14:textId="77777777" w:rsidR="00154AD2" w:rsidRDefault="007F6BF3">
      <w:pPr>
        <w:pStyle w:val="P68B1DB1-Normal4"/>
        <w:keepNext/>
        <w:numPr>
          <w:ilvl w:val="0"/>
          <w:numId w:val="65"/>
        </w:numPr>
        <w:spacing w:before="40" w:after="160" w:line="259" w:lineRule="auto"/>
        <w:contextualSpacing/>
        <w:jc w:val="both"/>
        <w:rPr>
          <w:rFonts w:eastAsiaTheme="minorEastAsia" w:cs="Times New Roman"/>
          <w:noProof/>
        </w:rPr>
      </w:pPr>
      <w:r>
        <w:rPr>
          <w:noProof/>
        </w:rPr>
        <w:t>Δραστηριότητες που σχετίζονται με τα ορυκτά καύσιμα, συμπεριλαμβανομένης της μεταγενέστερης χρήσης</w:t>
      </w:r>
      <w:r>
        <w:rPr>
          <w:noProof/>
        </w:rPr>
        <w:footnoteReference w:id="35"/>
      </w:r>
      <w:r>
        <w:rPr>
          <w:noProof/>
        </w:rPr>
        <w:t xml:space="preserve">· </w:t>
      </w:r>
    </w:p>
    <w:p w14:paraId="0C777086" w14:textId="77777777" w:rsidR="00154AD2" w:rsidRDefault="007F6BF3">
      <w:pPr>
        <w:pStyle w:val="P68B1DB1-Normal4"/>
        <w:keepNext/>
        <w:numPr>
          <w:ilvl w:val="0"/>
          <w:numId w:val="65"/>
        </w:numPr>
        <w:spacing w:before="40" w:after="160" w:line="259" w:lineRule="auto"/>
        <w:contextualSpacing/>
        <w:jc w:val="both"/>
        <w:rPr>
          <w:rFonts w:eastAsiaTheme="minorEastAsia" w:cs="Times New Roman"/>
          <w:noProof/>
        </w:rPr>
      </w:pPr>
      <w:r>
        <w:rPr>
          <w:noProof/>
        </w:rPr>
        <w:t>Δραστηριότητες στο πλαίσιο του συστήματος εμπορίας δικαιωμάτων εκπομπών της ΕΕ (ΣΕΔΕ) για την επίτευξη των προβλεπόμενων εκπομπών αερίων θερμοκηπίου που δεν είναι χαμηλότερες από τους σχετικούς δείκτες αναφοράς</w:t>
      </w:r>
      <w:r>
        <w:rPr>
          <w:noProof/>
        </w:rPr>
        <w:footnoteReference w:id="36"/>
      </w:r>
      <w:r>
        <w:rPr>
          <w:noProof/>
        </w:rPr>
        <w:t xml:space="preserve">· </w:t>
      </w:r>
    </w:p>
    <w:p w14:paraId="59A41967" w14:textId="77777777" w:rsidR="00154AD2" w:rsidRDefault="007F6BF3">
      <w:pPr>
        <w:pStyle w:val="P68B1DB1-Normal4"/>
        <w:keepNext/>
        <w:numPr>
          <w:ilvl w:val="0"/>
          <w:numId w:val="65"/>
        </w:numPr>
        <w:spacing w:before="40" w:after="160" w:line="259" w:lineRule="auto"/>
        <w:contextualSpacing/>
        <w:jc w:val="both"/>
        <w:rPr>
          <w:rFonts w:eastAsiaTheme="minorEastAsia" w:cs="Times New Roman"/>
          <w:noProof/>
        </w:rPr>
      </w:pPr>
      <w:r>
        <w:rPr>
          <w:noProof/>
        </w:rPr>
        <w:t>Δραστηριότητες που σχετίζονται με χώρους ιατροφαρμακευτικής ταφής αποβλήτων, αποτεφρωτήρες</w:t>
      </w:r>
      <w:r>
        <w:rPr>
          <w:noProof/>
        </w:rPr>
        <w:footnoteReference w:id="37"/>
      </w:r>
      <w:r>
        <w:rPr>
          <w:noProof/>
        </w:rPr>
        <w:t xml:space="preserve"> και μονάδες μηχανικής βιολογικής επεξεργασίας</w:t>
      </w:r>
      <w:r>
        <w:rPr>
          <w:noProof/>
        </w:rPr>
        <w:footnoteReference w:id="38"/>
      </w:r>
      <w:r>
        <w:rPr>
          <w:noProof/>
        </w:rPr>
        <w:t xml:space="preserve">· </w:t>
      </w:r>
    </w:p>
    <w:p w14:paraId="3EE29B47" w14:textId="77777777" w:rsidR="00154AD2" w:rsidRDefault="007F6BF3">
      <w:pPr>
        <w:pStyle w:val="P68B1DB1-Normal4"/>
        <w:keepNext/>
        <w:numPr>
          <w:ilvl w:val="0"/>
          <w:numId w:val="65"/>
        </w:numPr>
        <w:spacing w:before="40" w:after="160" w:line="259" w:lineRule="auto"/>
        <w:contextualSpacing/>
        <w:jc w:val="both"/>
        <w:rPr>
          <w:rFonts w:eastAsiaTheme="minorEastAsia" w:cs="Times New Roman"/>
          <w:noProof/>
        </w:rPr>
      </w:pPr>
      <w:r>
        <w:rPr>
          <w:noProof/>
        </w:rPr>
        <w:t xml:space="preserve">Δραστηριότητες στις οποίες η μακροπρόθεσμη διάθεση αποβλήτων μπορεί να προκαλέσει μακροπρόθεσμη βλάβη στο περιβάλλον, όπως τα πυρηνικά απόβλητα· και </w:t>
      </w:r>
    </w:p>
    <w:p w14:paraId="166BCF7B" w14:textId="77777777" w:rsidR="00154AD2" w:rsidRDefault="007F6BF3">
      <w:pPr>
        <w:pStyle w:val="P68B1DB1-Normal4"/>
        <w:keepNext/>
        <w:numPr>
          <w:ilvl w:val="0"/>
          <w:numId w:val="65"/>
        </w:numPr>
        <w:spacing w:before="40" w:after="160" w:line="259" w:lineRule="auto"/>
        <w:contextualSpacing/>
        <w:jc w:val="both"/>
        <w:rPr>
          <w:rFonts w:eastAsiaTheme="minorEastAsia" w:cs="Times New Roman"/>
          <w:noProof/>
        </w:rPr>
      </w:pPr>
      <w:r>
        <w:rPr>
          <w:noProof/>
        </w:rPr>
        <w:t xml:space="preserve">Ε &amp; D &amp; I αφιερωμένη στα ανωτέρω περιουσιακά στοιχεία και δραστηριότητες. </w:t>
      </w:r>
    </w:p>
    <w:p w14:paraId="41036F9C" w14:textId="77777777" w:rsidR="00154AD2" w:rsidRDefault="007F6BF3">
      <w:pPr>
        <w:pStyle w:val="P68B1DB1-Normal4"/>
        <w:keepNext/>
        <w:numPr>
          <w:ilvl w:val="0"/>
          <w:numId w:val="58"/>
        </w:numPr>
        <w:spacing w:before="40" w:after="160" w:line="259" w:lineRule="auto"/>
        <w:contextualSpacing/>
        <w:jc w:val="both"/>
        <w:rPr>
          <w:rFonts w:eastAsiaTheme="minorEastAsia" w:cs="Times New Roman"/>
          <w:noProof/>
        </w:rPr>
      </w:pPr>
      <w:r>
        <w:rPr>
          <w:noProof/>
        </w:rPr>
        <w:t xml:space="preserve">υποχρεωτικούς ελέγχους συμμόρφωσης προς τις νομοθετικές διατάξεις μέσω της </w:t>
      </w:r>
      <w:r>
        <w:rPr>
          <w:i/>
          <w:noProof/>
        </w:rPr>
        <w:t>Banco Português de Fomento</w:t>
      </w:r>
      <w:r>
        <w:rPr>
          <w:noProof/>
        </w:rPr>
        <w:t xml:space="preserve"> και/ή των επιλεγμένων ενδιάμεσων χρηματοπιστωτικών οργανισμών για συναλλαγές που εξαιρούνται από τον έλεγχο βιωσιμότητας· και </w:t>
      </w:r>
    </w:p>
    <w:p w14:paraId="3BDD89EA" w14:textId="77777777" w:rsidR="00154AD2" w:rsidRDefault="007F6BF3">
      <w:pPr>
        <w:pStyle w:val="P68B1DB1-Normal4"/>
        <w:keepNext/>
        <w:numPr>
          <w:ilvl w:val="0"/>
          <w:numId w:val="58"/>
        </w:numPr>
        <w:spacing w:before="40" w:after="160" w:line="259" w:lineRule="auto"/>
        <w:contextualSpacing/>
        <w:jc w:val="both"/>
        <w:rPr>
          <w:rFonts w:eastAsiaTheme="minorEastAsia" w:cs="Times New Roman"/>
          <w:noProof/>
        </w:rPr>
      </w:pPr>
      <w:r>
        <w:rPr>
          <w:noProof/>
        </w:rPr>
        <w:t>οι δικαιούχοι στήριξης μετοχικού κεφαλαίου που αντλούν τουλάχιστον το 50 % των εσόδων τους από δραστηριότητες που απαριθμούνται στον κατάλογο αποκλεισμού για την έγκριση και τη δημοσίευση σχεδίων πράσινης μετάβασης.</w:t>
      </w:r>
    </w:p>
    <w:p w14:paraId="3D00B278" w14:textId="77777777" w:rsidR="00154AD2" w:rsidRDefault="007F6BF3">
      <w:pPr>
        <w:pStyle w:val="P68B1DB1-Normal4"/>
        <w:spacing w:before="40" w:after="0" w:line="259" w:lineRule="auto"/>
        <w:jc w:val="both"/>
        <w:rPr>
          <w:rFonts w:eastAsiaTheme="minorEastAsia" w:cs="Times New Roman"/>
          <w:noProof/>
        </w:rPr>
      </w:pPr>
      <w:r>
        <w:rPr>
          <w:noProof/>
        </w:rPr>
        <w:t xml:space="preserve">Η υλοποίηση της επένδυσης θα ολοκληρωθεί έως τις 31 Δεκεμβρίου 2025. </w:t>
      </w:r>
    </w:p>
    <w:p w14:paraId="29F83CA1" w14:textId="5D9194AF" w:rsidR="00154AD2" w:rsidRDefault="007F6BF3">
      <w:pPr>
        <w:pStyle w:val="P68B1DB1-Normal5"/>
        <w:spacing w:before="240" w:after="0" w:line="259" w:lineRule="auto"/>
        <w:ind w:left="851"/>
        <w:jc w:val="both"/>
        <w:outlineLvl w:val="3"/>
        <w:rPr>
          <w:rFonts w:eastAsiaTheme="minorEastAsia" w:cs="Times New Roman"/>
          <w:noProof/>
        </w:rPr>
      </w:pPr>
      <w:bookmarkStart w:id="14" w:name="_Toc137472450"/>
      <w:r>
        <w:rPr>
          <w:noProof/>
        </w:rPr>
        <w:t>Επένδυση RE-C05-i11 — Αύξηση: Κινητοποίηση θεματολογίων/συμμαχιών για την επιχειρηματική καινοτομία</w:t>
      </w:r>
      <w:bookmarkEnd w:id="14"/>
      <w:r>
        <w:rPr>
          <w:noProof/>
        </w:rPr>
        <w:t xml:space="preserve"> (δάνεια)</w:t>
      </w:r>
    </w:p>
    <w:p w14:paraId="1A18BEC2" w14:textId="77777777" w:rsidR="00154AD2" w:rsidRDefault="007F6BF3">
      <w:pPr>
        <w:pStyle w:val="P68B1DB1-Normal4"/>
        <w:spacing w:after="0"/>
        <w:jc w:val="both"/>
        <w:rPr>
          <w:rFonts w:cs="Times New Roman"/>
          <w:noProof/>
        </w:rPr>
      </w:pPr>
      <w:r>
        <w:rPr>
          <w:noProof/>
        </w:rPr>
        <w:t xml:space="preserve">Στόχος αυτής της επένδυσης είναι η κλιμάκωση της επένδυσης RE-C05-i01.01 στο πλαίσιο της συνιστώσας 5. Το κλιμακούμενο μέρος του μέτρου θα αυξήσει τον αριθμό των προϊόντων, των διαδικασιών ή των υπηρεσιών από τα θεματολόγια κινητοποίησης/συμμαχίες για την επιχειρηματική καινοτομία. </w:t>
      </w:r>
    </w:p>
    <w:p w14:paraId="6E30F4B5" w14:textId="68C2F408" w:rsidR="00154AD2" w:rsidRDefault="007F6BF3">
      <w:pPr>
        <w:pStyle w:val="P68B1DB1-Normal4"/>
        <w:spacing w:after="0"/>
        <w:jc w:val="both"/>
        <w:rPr>
          <w:rFonts w:cs="Times New Roman"/>
          <w:noProof/>
        </w:rPr>
      </w:pPr>
      <w:r>
        <w:rPr>
          <w:noProof/>
        </w:rPr>
        <w:t>Τουλάχιστον 366 από τα προϊόντα, τις διαδικασίες ή τις υπηρεσίες που υλοποιούνται στο πλαίσιο αυτής της επένδυσης ευθυγραμμίζονται με το πεδίο παρέμβασης 021 του παραρτήματος του κανονισμού για τον μηχανισμό ανάκαμψης και ανθεκτικότητας.</w:t>
      </w:r>
    </w:p>
    <w:p w14:paraId="6728AAA1" w14:textId="77777777" w:rsidR="00154AD2" w:rsidRDefault="007F6BF3">
      <w:pPr>
        <w:pStyle w:val="P68B1DB1-Normal4"/>
        <w:spacing w:after="0"/>
        <w:jc w:val="both"/>
        <w:rPr>
          <w:rFonts w:eastAsiaTheme="minorEastAsia" w:cs="Times New Roman"/>
          <w:noProof/>
        </w:rPr>
      </w:pPr>
      <w:r>
        <w:rPr>
          <w:noProof/>
        </w:rPr>
        <w:t>Η υλοποίηση της επένδυσης θα ολοκληρωθεί έως τις 31 Δεκεμβρίου 2025.</w:t>
      </w:r>
    </w:p>
    <w:p w14:paraId="6840A33A" w14:textId="77777777" w:rsidR="00154AD2" w:rsidRDefault="00154AD2">
      <w:pPr>
        <w:spacing w:after="0"/>
        <w:jc w:val="both"/>
        <w:rPr>
          <w:rFonts w:ascii="Times New Roman" w:eastAsiaTheme="minorEastAsia" w:hAnsi="Times New Roman" w:cs="Times New Roman"/>
          <w:noProof/>
          <w:sz w:val="24"/>
        </w:rPr>
      </w:pPr>
    </w:p>
    <w:p w14:paraId="1E26CB77" w14:textId="3501F04A" w:rsidR="00154AD2" w:rsidRDefault="007F6BF3">
      <w:pPr>
        <w:pStyle w:val="P68B1DB1-Heading214"/>
        <w:rPr>
          <w:noProof/>
        </w:rPr>
      </w:pPr>
      <w:bookmarkStart w:id="15" w:name="_Toc137472486"/>
      <w:r>
        <w:rPr>
          <w:noProof/>
        </w:rPr>
        <w:t>Επενδύσεις RP-C05-i12 — - Αύξηση: Πράσινα θεματολόγια/Συμμαχίες για την επιχειρηματική καινοτομία (Δάνεια</w:t>
      </w:r>
      <w:bookmarkEnd w:id="15"/>
      <w:r>
        <w:rPr>
          <w:noProof/>
        </w:rPr>
        <w:t>)</w:t>
      </w:r>
    </w:p>
    <w:p w14:paraId="51585A10" w14:textId="788869BD" w:rsidR="00154AD2" w:rsidRDefault="007F6BF3">
      <w:pPr>
        <w:pStyle w:val="P68B1DB1-Normal4"/>
        <w:spacing w:after="0"/>
        <w:jc w:val="both"/>
        <w:rPr>
          <w:rFonts w:cs="Times New Roman"/>
          <w:noProof/>
        </w:rPr>
      </w:pPr>
      <w:r>
        <w:rPr>
          <w:noProof/>
        </w:rPr>
        <w:t>Στόχος αυτής της επένδυσης είναι η κλιμάκωση της επένδυσης RE-C05-i01.02, στο πλαίσιο της συνιστώσας 5. Η κλιμάκωση του μέτρου αυξάνει τον αριθμό των προϊόντων, των διαδικασιών ή των υπηρεσιών από τα πράσινα θεματολόγια.</w:t>
      </w:r>
    </w:p>
    <w:p w14:paraId="5ECB84FA" w14:textId="2CE97D40" w:rsidR="00154AD2" w:rsidRDefault="007F6BF3">
      <w:pPr>
        <w:pStyle w:val="P68B1DB1-Normal4"/>
        <w:spacing w:after="0"/>
        <w:jc w:val="both"/>
        <w:rPr>
          <w:rFonts w:eastAsiaTheme="minorEastAsia" w:cs="Times New Roman"/>
          <w:noProof/>
        </w:rPr>
      </w:pPr>
      <w:r>
        <w:rPr>
          <w:noProof/>
        </w:rPr>
        <w:t xml:space="preserve">Η υλοποίηση της επένδυσης θα ολοκληρωθεί έως τις 31 Δεκεμβρίου 2025. </w:t>
      </w:r>
    </w:p>
    <w:p w14:paraId="4B8C6875" w14:textId="77777777" w:rsidR="00154AD2" w:rsidRDefault="00154AD2">
      <w:pPr>
        <w:keepNext/>
        <w:spacing w:before="40" w:after="0" w:line="259" w:lineRule="auto"/>
        <w:ind w:left="130" w:firstLine="720"/>
        <w:jc w:val="both"/>
        <w:outlineLvl w:val="2"/>
        <w:rPr>
          <w:rFonts w:ascii="Times New Roman" w:eastAsiaTheme="minorEastAsia" w:hAnsi="Times New Roman" w:cs="Times New Roman"/>
          <w:b/>
          <w:noProof/>
          <w:sz w:val="24"/>
          <w:u w:val="single"/>
        </w:rPr>
        <w:sectPr w:rsidR="00154AD2" w:rsidSect="00E00EDD">
          <w:headerReference w:type="even" r:id="rId108"/>
          <w:headerReference w:type="default" r:id="rId109"/>
          <w:footerReference w:type="even" r:id="rId110"/>
          <w:footerReference w:type="default" r:id="rId111"/>
          <w:headerReference w:type="first" r:id="rId112"/>
          <w:footerReference w:type="first" r:id="rId113"/>
          <w:pgSz w:w="11907" w:h="16839"/>
          <w:pgMar w:top="1134" w:right="1134" w:bottom="1134" w:left="1134" w:header="567" w:footer="567" w:gutter="0"/>
          <w:cols w:space="720"/>
          <w:docGrid w:linePitch="360"/>
        </w:sectPr>
      </w:pPr>
    </w:p>
    <w:p w14:paraId="6490240C" w14:textId="77777777" w:rsidR="00154AD2" w:rsidRDefault="007F6BF3">
      <w:pPr>
        <w:keepNext/>
        <w:spacing w:before="40" w:after="0" w:line="259" w:lineRule="auto"/>
        <w:ind w:left="130" w:firstLine="720"/>
        <w:jc w:val="both"/>
        <w:outlineLvl w:val="2"/>
        <w:rPr>
          <w:rFonts w:ascii="Times New Roman" w:eastAsiaTheme="minorEastAsia" w:hAnsi="Times New Roman" w:cs="Times New Roman"/>
          <w:b/>
          <w:noProof/>
          <w:sz w:val="24"/>
          <w:u w:val="single"/>
        </w:rPr>
      </w:pPr>
      <w:r>
        <w:rPr>
          <w:rFonts w:ascii="Times New Roman" w:hAnsi="Times New Roman"/>
          <w:b/>
          <w:noProof/>
          <w:sz w:val="24"/>
          <w:u w:val="single"/>
        </w:rPr>
        <w:t xml:space="preserve">Ε.4. </w:t>
      </w:r>
      <w:r>
        <w:rPr>
          <w:noProof/>
        </w:rPr>
        <w:tab/>
      </w:r>
      <w:r>
        <w:rPr>
          <w:rFonts w:ascii="Times New Roman" w:hAnsi="Times New Roman"/>
          <w:b/>
          <w:noProof/>
          <w:sz w:val="24"/>
          <w:u w:val="single"/>
        </w:rPr>
        <w:t>Ορόσημα, στόχοι, δείκτες και χρονοδιάγραμμα για την παρακολούθηση και την υλοποίηση του δανείου</w:t>
      </w:r>
    </w:p>
    <w:p w14:paraId="08C3CE82" w14:textId="77777777" w:rsidR="00154AD2" w:rsidRDefault="00154AD2">
      <w:pPr>
        <w:keepNext/>
        <w:spacing w:before="40" w:after="0" w:line="259" w:lineRule="auto"/>
        <w:jc w:val="both"/>
        <w:rPr>
          <w:rFonts w:ascii="Times New Roman" w:hAnsi="Times New Roman" w:cs="Times New Roman"/>
          <w:noProof/>
          <w:sz w:val="24"/>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1246"/>
        <w:gridCol w:w="1108"/>
        <w:gridCol w:w="1659"/>
        <w:gridCol w:w="1245"/>
        <w:gridCol w:w="972"/>
        <w:gridCol w:w="971"/>
        <w:gridCol w:w="695"/>
        <w:gridCol w:w="557"/>
        <w:gridCol w:w="694"/>
        <w:gridCol w:w="4908"/>
      </w:tblGrid>
      <w:tr w:rsidR="00154AD2" w14:paraId="235CFC6B" w14:textId="77777777">
        <w:trPr>
          <w:trHeight w:val="300"/>
          <w:tblHeader/>
        </w:trPr>
        <w:tc>
          <w:tcPr>
            <w:tcW w:w="1113" w:type="dxa"/>
            <w:vMerge w:val="restart"/>
            <w:shd w:val="clear" w:color="auto" w:fill="BDD6EE"/>
            <w:vAlign w:val="center"/>
            <w:hideMark/>
          </w:tcPr>
          <w:p w14:paraId="5AD60527" w14:textId="77777777" w:rsidR="00154AD2" w:rsidRDefault="007F6BF3">
            <w:pPr>
              <w:pStyle w:val="P68B1DB1-Normal6"/>
              <w:spacing w:after="0" w:line="240" w:lineRule="auto"/>
              <w:jc w:val="center"/>
              <w:rPr>
                <w:rFonts w:eastAsia="Times New Roman" w:cs="Times New Roman"/>
                <w:noProof/>
              </w:rPr>
            </w:pPr>
            <w:r>
              <w:rPr>
                <w:noProof/>
              </w:rPr>
              <w:t>Αύξων αριθμός</w:t>
            </w:r>
          </w:p>
        </w:tc>
        <w:tc>
          <w:tcPr>
            <w:tcW w:w="1246" w:type="dxa"/>
            <w:vMerge w:val="restart"/>
            <w:shd w:val="clear" w:color="auto" w:fill="BDD6EE"/>
            <w:noWrap/>
            <w:vAlign w:val="center"/>
            <w:hideMark/>
          </w:tcPr>
          <w:p w14:paraId="5F907E49" w14:textId="77777777" w:rsidR="00154AD2" w:rsidRDefault="007F6BF3">
            <w:pPr>
              <w:pStyle w:val="P68B1DB1-Normal6"/>
              <w:spacing w:after="0" w:line="240" w:lineRule="auto"/>
              <w:jc w:val="center"/>
              <w:rPr>
                <w:rFonts w:eastAsia="Times New Roman" w:cs="Times New Roman"/>
                <w:noProof/>
              </w:rPr>
            </w:pPr>
            <w:r>
              <w:rPr>
                <w:noProof/>
              </w:rPr>
              <w:t>Μέτρο (Μεταρρύθμιση ή Επενδύσεις)</w:t>
            </w:r>
          </w:p>
        </w:tc>
        <w:tc>
          <w:tcPr>
            <w:tcW w:w="1108" w:type="dxa"/>
            <w:vMerge w:val="restart"/>
            <w:shd w:val="clear" w:color="auto" w:fill="BDD6EE"/>
            <w:noWrap/>
            <w:vAlign w:val="center"/>
            <w:hideMark/>
          </w:tcPr>
          <w:p w14:paraId="0F0CD791" w14:textId="77777777" w:rsidR="00154AD2" w:rsidRDefault="007F6BF3">
            <w:pPr>
              <w:pStyle w:val="P68B1DB1-Normal6"/>
              <w:spacing w:after="0" w:line="240" w:lineRule="auto"/>
              <w:jc w:val="center"/>
              <w:rPr>
                <w:rFonts w:eastAsia="Times New Roman" w:cs="Times New Roman"/>
                <w:noProof/>
              </w:rPr>
            </w:pPr>
            <w:r>
              <w:rPr>
                <w:noProof/>
              </w:rPr>
              <w:t>Ορόσημο/Στόχος</w:t>
            </w:r>
          </w:p>
          <w:p w14:paraId="45499D8C" w14:textId="7AB69549" w:rsidR="00154AD2" w:rsidRDefault="007F6BF3">
            <w:pPr>
              <w:pStyle w:val="P68B1DB1-Normal9"/>
              <w:spacing w:after="0" w:line="240" w:lineRule="auto"/>
              <w:rPr>
                <w:rFonts w:ascii="Times New Roman" w:eastAsia="Times New Roman" w:hAnsi="Times New Roman" w:cs="Times New Roman"/>
                <w:b/>
                <w:noProof/>
                <w:sz w:val="18"/>
              </w:rPr>
            </w:pPr>
            <w:r>
              <w:rPr>
                <w:noProof/>
              </w:rPr>
              <w:t> </w:t>
            </w:r>
          </w:p>
        </w:tc>
        <w:tc>
          <w:tcPr>
            <w:tcW w:w="1659" w:type="dxa"/>
            <w:vMerge w:val="restart"/>
            <w:shd w:val="clear" w:color="auto" w:fill="BDD6EE"/>
            <w:noWrap/>
            <w:vAlign w:val="center"/>
            <w:hideMark/>
          </w:tcPr>
          <w:p w14:paraId="342DD455" w14:textId="77777777" w:rsidR="00154AD2" w:rsidRDefault="007F6BF3">
            <w:pPr>
              <w:pStyle w:val="P68B1DB1-Normal6"/>
              <w:spacing w:after="0" w:line="240" w:lineRule="auto"/>
              <w:jc w:val="center"/>
              <w:rPr>
                <w:rFonts w:eastAsia="Times New Roman" w:cs="Times New Roman"/>
                <w:noProof/>
              </w:rPr>
            </w:pPr>
            <w:r>
              <w:rPr>
                <w:noProof/>
              </w:rPr>
              <w:t>Όνομα</w:t>
            </w:r>
          </w:p>
        </w:tc>
        <w:tc>
          <w:tcPr>
            <w:tcW w:w="1245" w:type="dxa"/>
            <w:vMerge w:val="restart"/>
            <w:shd w:val="clear" w:color="auto" w:fill="BDD6EE"/>
            <w:noWrap/>
            <w:vAlign w:val="center"/>
            <w:hideMark/>
          </w:tcPr>
          <w:p w14:paraId="5D379DDD" w14:textId="77777777" w:rsidR="00154AD2" w:rsidRDefault="007F6BF3">
            <w:pPr>
              <w:pStyle w:val="P68B1DB1-Normal6"/>
              <w:spacing w:after="0" w:line="240" w:lineRule="auto"/>
              <w:jc w:val="center"/>
              <w:rPr>
                <w:rFonts w:eastAsia="Times New Roman" w:cs="Times New Roman"/>
                <w:noProof/>
              </w:rPr>
            </w:pPr>
            <w:r>
              <w:rPr>
                <w:noProof/>
              </w:rPr>
              <w:t>Ποιοτικοί δείκτες (για τα ορόσημα)</w:t>
            </w:r>
          </w:p>
        </w:tc>
        <w:tc>
          <w:tcPr>
            <w:tcW w:w="2638" w:type="dxa"/>
            <w:gridSpan w:val="3"/>
            <w:shd w:val="clear" w:color="auto" w:fill="BDD6EE"/>
            <w:noWrap/>
            <w:vAlign w:val="center"/>
            <w:hideMark/>
          </w:tcPr>
          <w:p w14:paraId="39B01116" w14:textId="77777777" w:rsidR="00154AD2" w:rsidRDefault="007F6BF3">
            <w:pPr>
              <w:pStyle w:val="P68B1DB1-Normal6"/>
              <w:spacing w:after="0" w:line="240" w:lineRule="auto"/>
              <w:jc w:val="center"/>
              <w:rPr>
                <w:rFonts w:eastAsia="Times New Roman" w:cs="Times New Roman"/>
                <w:noProof/>
              </w:rPr>
            </w:pPr>
            <w:r>
              <w:rPr>
                <w:noProof/>
              </w:rPr>
              <w:t>Ποσοτικοί δείκτες (για τους στόχους)</w:t>
            </w:r>
          </w:p>
        </w:tc>
        <w:tc>
          <w:tcPr>
            <w:tcW w:w="1251" w:type="dxa"/>
            <w:gridSpan w:val="2"/>
            <w:shd w:val="clear" w:color="auto" w:fill="BDD6EE"/>
            <w:noWrap/>
            <w:vAlign w:val="center"/>
            <w:hideMark/>
          </w:tcPr>
          <w:p w14:paraId="328C3EC0" w14:textId="77777777" w:rsidR="00154AD2" w:rsidRDefault="007F6BF3">
            <w:pPr>
              <w:pStyle w:val="P68B1DB1-Normal6"/>
              <w:spacing w:after="0" w:line="240" w:lineRule="auto"/>
              <w:jc w:val="center"/>
              <w:rPr>
                <w:rFonts w:eastAsia="Times New Roman" w:cs="Times New Roman"/>
                <w:noProof/>
              </w:rPr>
            </w:pPr>
            <w:r>
              <w:rPr>
                <w:noProof/>
              </w:rPr>
              <w:t>Ενδεικτικό χρονοδιάγραμμα ολοκλήρωσης</w:t>
            </w:r>
          </w:p>
        </w:tc>
        <w:tc>
          <w:tcPr>
            <w:tcW w:w="4908" w:type="dxa"/>
            <w:vMerge w:val="restart"/>
            <w:shd w:val="clear" w:color="auto" w:fill="BDD6EE"/>
            <w:noWrap/>
            <w:vAlign w:val="center"/>
            <w:hideMark/>
          </w:tcPr>
          <w:p w14:paraId="495029B6" w14:textId="77777777" w:rsidR="00154AD2" w:rsidRDefault="007F6BF3">
            <w:pPr>
              <w:pStyle w:val="P68B1DB1-Normal6"/>
              <w:spacing w:after="0" w:line="240" w:lineRule="auto"/>
              <w:jc w:val="center"/>
              <w:rPr>
                <w:rFonts w:eastAsia="Times New Roman" w:cs="Times New Roman"/>
                <w:noProof/>
              </w:rPr>
            </w:pPr>
            <w:r>
              <w:rPr>
                <w:noProof/>
              </w:rPr>
              <w:t>Περιγραφή και σαφής ορισμός κάθε ορόσημου και στόχου</w:t>
            </w:r>
          </w:p>
        </w:tc>
      </w:tr>
      <w:tr w:rsidR="00154AD2" w14:paraId="77B89938" w14:textId="77777777">
        <w:trPr>
          <w:trHeight w:val="600"/>
          <w:tblHeader/>
        </w:trPr>
        <w:tc>
          <w:tcPr>
            <w:tcW w:w="1113" w:type="dxa"/>
            <w:vMerge/>
            <w:vAlign w:val="center"/>
            <w:hideMark/>
          </w:tcPr>
          <w:p w14:paraId="414C4B6B" w14:textId="77777777" w:rsidR="00154AD2" w:rsidRDefault="00154AD2">
            <w:pPr>
              <w:spacing w:after="0" w:line="240" w:lineRule="auto"/>
              <w:rPr>
                <w:rFonts w:ascii="Times New Roman" w:eastAsia="Times New Roman" w:hAnsi="Times New Roman" w:cs="Times New Roman"/>
                <w:b/>
                <w:noProof/>
                <w:sz w:val="18"/>
              </w:rPr>
            </w:pPr>
          </w:p>
        </w:tc>
        <w:tc>
          <w:tcPr>
            <w:tcW w:w="1246" w:type="dxa"/>
            <w:vMerge/>
            <w:vAlign w:val="center"/>
            <w:hideMark/>
          </w:tcPr>
          <w:p w14:paraId="26F62AB4" w14:textId="77777777" w:rsidR="00154AD2" w:rsidRDefault="00154AD2">
            <w:pPr>
              <w:spacing w:after="0" w:line="240" w:lineRule="auto"/>
              <w:rPr>
                <w:rFonts w:ascii="Times New Roman" w:eastAsia="Times New Roman" w:hAnsi="Times New Roman" w:cs="Times New Roman"/>
                <w:b/>
                <w:noProof/>
                <w:sz w:val="18"/>
              </w:rPr>
            </w:pPr>
          </w:p>
        </w:tc>
        <w:tc>
          <w:tcPr>
            <w:tcW w:w="1108" w:type="dxa"/>
            <w:vMerge/>
            <w:noWrap/>
            <w:vAlign w:val="center"/>
            <w:hideMark/>
          </w:tcPr>
          <w:p w14:paraId="4CD10545" w14:textId="36059408" w:rsidR="00154AD2" w:rsidRDefault="00154AD2">
            <w:pPr>
              <w:spacing w:after="0" w:line="240" w:lineRule="auto"/>
              <w:rPr>
                <w:rFonts w:ascii="Times New Roman" w:eastAsia="Times New Roman" w:hAnsi="Times New Roman" w:cs="Times New Roman"/>
                <w:b/>
                <w:noProof/>
                <w:sz w:val="18"/>
              </w:rPr>
            </w:pPr>
          </w:p>
        </w:tc>
        <w:tc>
          <w:tcPr>
            <w:tcW w:w="1659" w:type="dxa"/>
            <w:vMerge/>
            <w:vAlign w:val="center"/>
            <w:hideMark/>
          </w:tcPr>
          <w:p w14:paraId="09C405A8" w14:textId="77777777" w:rsidR="00154AD2" w:rsidRDefault="00154AD2">
            <w:pPr>
              <w:spacing w:after="0" w:line="240" w:lineRule="auto"/>
              <w:rPr>
                <w:rFonts w:ascii="Times New Roman" w:eastAsia="Times New Roman" w:hAnsi="Times New Roman" w:cs="Times New Roman"/>
                <w:b/>
                <w:noProof/>
                <w:sz w:val="18"/>
              </w:rPr>
            </w:pPr>
          </w:p>
        </w:tc>
        <w:tc>
          <w:tcPr>
            <w:tcW w:w="1245" w:type="dxa"/>
            <w:vMerge/>
            <w:vAlign w:val="center"/>
            <w:hideMark/>
          </w:tcPr>
          <w:p w14:paraId="4019AC7D" w14:textId="77777777" w:rsidR="00154AD2" w:rsidRDefault="00154AD2">
            <w:pPr>
              <w:spacing w:after="0" w:line="240" w:lineRule="auto"/>
              <w:rPr>
                <w:rFonts w:ascii="Times New Roman" w:eastAsia="Times New Roman" w:hAnsi="Times New Roman" w:cs="Times New Roman"/>
                <w:b/>
                <w:noProof/>
                <w:sz w:val="18"/>
              </w:rPr>
            </w:pPr>
          </w:p>
        </w:tc>
        <w:tc>
          <w:tcPr>
            <w:tcW w:w="972" w:type="dxa"/>
            <w:tcBorders>
              <w:bottom w:val="single" w:sz="4" w:space="0" w:color="auto"/>
            </w:tcBorders>
            <w:shd w:val="clear" w:color="auto" w:fill="BDD6EE"/>
            <w:noWrap/>
            <w:vAlign w:val="center"/>
            <w:hideMark/>
          </w:tcPr>
          <w:p w14:paraId="33FB0290" w14:textId="77777777" w:rsidR="00154AD2" w:rsidRDefault="007F6BF3">
            <w:pPr>
              <w:pStyle w:val="P68B1DB1-Normal6"/>
              <w:spacing w:after="0" w:line="240" w:lineRule="auto"/>
              <w:jc w:val="center"/>
              <w:rPr>
                <w:rFonts w:eastAsia="Times New Roman" w:cs="Times New Roman"/>
                <w:noProof/>
              </w:rPr>
            </w:pPr>
            <w:r>
              <w:rPr>
                <w:noProof/>
              </w:rPr>
              <w:t>Μονάδα μέτρησης</w:t>
            </w:r>
          </w:p>
        </w:tc>
        <w:tc>
          <w:tcPr>
            <w:tcW w:w="971" w:type="dxa"/>
            <w:tcBorders>
              <w:bottom w:val="single" w:sz="4" w:space="0" w:color="auto"/>
            </w:tcBorders>
            <w:shd w:val="clear" w:color="auto" w:fill="BDD6EE"/>
            <w:noWrap/>
            <w:vAlign w:val="center"/>
            <w:hideMark/>
          </w:tcPr>
          <w:p w14:paraId="3F9E2F45" w14:textId="77777777" w:rsidR="00154AD2" w:rsidRDefault="007F6BF3">
            <w:pPr>
              <w:pStyle w:val="P68B1DB1-Normal6"/>
              <w:spacing w:after="0" w:line="240" w:lineRule="auto"/>
              <w:jc w:val="center"/>
              <w:rPr>
                <w:rFonts w:eastAsia="Times New Roman" w:cs="Times New Roman"/>
                <w:noProof/>
              </w:rPr>
            </w:pPr>
            <w:r>
              <w:rPr>
                <w:noProof/>
              </w:rPr>
              <w:t>Γραμμή βάσης</w:t>
            </w:r>
          </w:p>
        </w:tc>
        <w:tc>
          <w:tcPr>
            <w:tcW w:w="695" w:type="dxa"/>
            <w:tcBorders>
              <w:bottom w:val="single" w:sz="4" w:space="0" w:color="auto"/>
            </w:tcBorders>
            <w:shd w:val="clear" w:color="auto" w:fill="BDD6EE"/>
            <w:noWrap/>
            <w:vAlign w:val="center"/>
            <w:hideMark/>
          </w:tcPr>
          <w:p w14:paraId="3288458E" w14:textId="77777777" w:rsidR="00154AD2" w:rsidRDefault="007F6BF3">
            <w:pPr>
              <w:pStyle w:val="P68B1DB1-Normal6"/>
              <w:spacing w:after="0" w:line="240" w:lineRule="auto"/>
              <w:jc w:val="center"/>
              <w:rPr>
                <w:rFonts w:eastAsia="Times New Roman" w:cs="Times New Roman"/>
                <w:noProof/>
              </w:rPr>
            </w:pPr>
            <w:r>
              <w:rPr>
                <w:noProof/>
              </w:rPr>
              <w:t>Στόχοι</w:t>
            </w:r>
          </w:p>
        </w:tc>
        <w:tc>
          <w:tcPr>
            <w:tcW w:w="557" w:type="dxa"/>
            <w:tcBorders>
              <w:bottom w:val="single" w:sz="4" w:space="0" w:color="auto"/>
            </w:tcBorders>
            <w:shd w:val="clear" w:color="auto" w:fill="BDD6EE"/>
            <w:noWrap/>
            <w:vAlign w:val="center"/>
            <w:hideMark/>
          </w:tcPr>
          <w:p w14:paraId="30E12A1C" w14:textId="77777777" w:rsidR="00154AD2" w:rsidRDefault="007F6BF3">
            <w:pPr>
              <w:pStyle w:val="P68B1DB1-Normal6"/>
              <w:spacing w:after="0" w:line="240" w:lineRule="auto"/>
              <w:jc w:val="center"/>
              <w:rPr>
                <w:rFonts w:eastAsia="Times New Roman" w:cs="Times New Roman"/>
                <w:noProof/>
              </w:rPr>
            </w:pPr>
            <w:r>
              <w:rPr>
                <w:noProof/>
              </w:rPr>
              <w:t>Ε</w:t>
            </w:r>
          </w:p>
        </w:tc>
        <w:tc>
          <w:tcPr>
            <w:tcW w:w="694" w:type="dxa"/>
            <w:tcBorders>
              <w:bottom w:val="single" w:sz="4" w:space="0" w:color="auto"/>
            </w:tcBorders>
            <w:shd w:val="clear" w:color="auto" w:fill="BDD6EE"/>
            <w:noWrap/>
            <w:vAlign w:val="center"/>
            <w:hideMark/>
          </w:tcPr>
          <w:p w14:paraId="49193FA0" w14:textId="77777777" w:rsidR="00154AD2" w:rsidRDefault="007F6BF3">
            <w:pPr>
              <w:pStyle w:val="P68B1DB1-Normal6"/>
              <w:spacing w:after="0" w:line="240" w:lineRule="auto"/>
              <w:jc w:val="center"/>
              <w:rPr>
                <w:rFonts w:eastAsia="Times New Roman" w:cs="Times New Roman"/>
                <w:noProof/>
              </w:rPr>
            </w:pPr>
            <w:r>
              <w:rPr>
                <w:noProof/>
              </w:rPr>
              <w:t>Έτος</w:t>
            </w:r>
          </w:p>
        </w:tc>
        <w:tc>
          <w:tcPr>
            <w:tcW w:w="4908" w:type="dxa"/>
            <w:vMerge/>
            <w:vAlign w:val="center"/>
            <w:hideMark/>
          </w:tcPr>
          <w:p w14:paraId="68AAB397" w14:textId="77777777" w:rsidR="00154AD2" w:rsidRDefault="00154AD2">
            <w:pPr>
              <w:spacing w:after="0" w:line="240" w:lineRule="auto"/>
              <w:rPr>
                <w:rFonts w:ascii="Times New Roman" w:eastAsia="Times New Roman" w:hAnsi="Times New Roman" w:cs="Times New Roman"/>
                <w:b/>
                <w:noProof/>
                <w:sz w:val="18"/>
              </w:rPr>
            </w:pPr>
          </w:p>
        </w:tc>
      </w:tr>
      <w:tr w:rsidR="00154AD2" w14:paraId="62E78A68" w14:textId="77777777">
        <w:trPr>
          <w:trHeight w:val="509"/>
        </w:trPr>
        <w:tc>
          <w:tcPr>
            <w:tcW w:w="1113" w:type="dxa"/>
            <w:shd w:val="clear" w:color="auto" w:fill="C4EFCE"/>
            <w:vAlign w:val="center"/>
            <w:hideMark/>
          </w:tcPr>
          <w:p w14:paraId="1CD6A056" w14:textId="77777777" w:rsidR="00154AD2" w:rsidRDefault="007F6BF3">
            <w:pPr>
              <w:pStyle w:val="P68B1DB1-Normal7"/>
              <w:spacing w:after="0" w:line="240" w:lineRule="auto"/>
              <w:jc w:val="center"/>
              <w:rPr>
                <w:rFonts w:eastAsia="Times New Roman" w:cs="Calibri"/>
                <w:noProof/>
              </w:rPr>
            </w:pPr>
            <w:r>
              <w:rPr>
                <w:noProof/>
              </w:rPr>
              <w:t>5.23</w:t>
            </w:r>
          </w:p>
        </w:tc>
        <w:tc>
          <w:tcPr>
            <w:tcW w:w="1246" w:type="dxa"/>
            <w:shd w:val="clear" w:color="auto" w:fill="C4EFCE"/>
            <w:vAlign w:val="center"/>
            <w:hideMark/>
          </w:tcPr>
          <w:p w14:paraId="70D1D549" w14:textId="77777777" w:rsidR="00154AD2" w:rsidRDefault="007F6BF3">
            <w:pPr>
              <w:pStyle w:val="P68B1DB1-Normal8"/>
              <w:spacing w:after="0" w:line="240" w:lineRule="auto"/>
              <w:jc w:val="center"/>
              <w:rPr>
                <w:rFonts w:eastAsia="Times New Roman" w:cs="Calibri"/>
                <w:noProof/>
              </w:rPr>
            </w:pPr>
            <w:r>
              <w:rPr>
                <w:noProof/>
              </w:rPr>
              <w:t>RE-C05-r10</w:t>
            </w:r>
          </w:p>
        </w:tc>
        <w:tc>
          <w:tcPr>
            <w:tcW w:w="1108" w:type="dxa"/>
            <w:shd w:val="clear" w:color="auto" w:fill="C4EFCE"/>
            <w:vAlign w:val="center"/>
            <w:hideMark/>
          </w:tcPr>
          <w:p w14:paraId="3CF04DC0" w14:textId="77777777" w:rsidR="00154AD2" w:rsidRDefault="007F6BF3">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69E39EE1" w14:textId="77777777" w:rsidR="00154AD2" w:rsidRDefault="007F6BF3">
            <w:pPr>
              <w:pStyle w:val="P68B1DB1-Normal8"/>
              <w:spacing w:after="0" w:line="240" w:lineRule="auto"/>
              <w:jc w:val="center"/>
              <w:rPr>
                <w:rFonts w:eastAsia="Times New Roman" w:cs="Calibri"/>
                <w:noProof/>
              </w:rPr>
            </w:pPr>
            <w:r>
              <w:rPr>
                <w:noProof/>
              </w:rPr>
              <w:t xml:space="preserve">Έναρξη ισχύος του κανονισμού περί των δραστηριοτήτων και του καταστατικού της </w:t>
            </w:r>
            <w:r>
              <w:rPr>
                <w:i/>
                <w:noProof/>
              </w:rPr>
              <w:t>Banco Português de Fomento</w:t>
            </w:r>
            <w:r>
              <w:rPr>
                <w:noProof/>
              </w:rPr>
              <w:t xml:space="preserve"> (BPF)</w:t>
            </w:r>
          </w:p>
        </w:tc>
        <w:tc>
          <w:tcPr>
            <w:tcW w:w="1245" w:type="dxa"/>
            <w:shd w:val="clear" w:color="auto" w:fill="C4EFCE"/>
            <w:vAlign w:val="center"/>
            <w:hideMark/>
          </w:tcPr>
          <w:p w14:paraId="5C531FAA" w14:textId="77777777" w:rsidR="00154AD2" w:rsidRDefault="007F6BF3">
            <w:pPr>
              <w:pStyle w:val="P68B1DB1-Normal8"/>
              <w:spacing w:after="0" w:line="240" w:lineRule="auto"/>
              <w:jc w:val="center"/>
              <w:rPr>
                <w:rFonts w:eastAsia="Times New Roman" w:cs="Calibri"/>
                <w:noProof/>
              </w:rPr>
            </w:pPr>
            <w:r>
              <w:rPr>
                <w:noProof/>
              </w:rPr>
              <w:t>Έναρξη ισχύος του νομοθετικού διατάγματος 63/2020 για τον καθορισμό των δραστηριοτήτων και του καταστατικού της BPF</w:t>
            </w:r>
          </w:p>
        </w:tc>
        <w:tc>
          <w:tcPr>
            <w:tcW w:w="972" w:type="dxa"/>
            <w:shd w:val="clear" w:color="auto" w:fill="C4EFCE"/>
            <w:vAlign w:val="center"/>
            <w:hideMark/>
          </w:tcPr>
          <w:p w14:paraId="7BF2953F" w14:textId="77777777" w:rsidR="00154AD2" w:rsidRDefault="007F6BF3">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24547F95" w14:textId="77777777" w:rsidR="00154AD2" w:rsidRDefault="007F6BF3">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58AF4DF8" w14:textId="77777777" w:rsidR="00154AD2" w:rsidRDefault="007F6BF3">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584F10F0"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94" w:type="dxa"/>
            <w:shd w:val="clear" w:color="auto" w:fill="C4EFCE"/>
            <w:vAlign w:val="center"/>
            <w:hideMark/>
          </w:tcPr>
          <w:p w14:paraId="6C49ABF7" w14:textId="77777777" w:rsidR="00154AD2" w:rsidRDefault="007F6BF3">
            <w:pPr>
              <w:pStyle w:val="P68B1DB1-Normal8"/>
              <w:spacing w:after="0" w:line="240" w:lineRule="auto"/>
              <w:jc w:val="center"/>
              <w:rPr>
                <w:rFonts w:eastAsia="Times New Roman" w:cs="Calibri"/>
                <w:noProof/>
              </w:rPr>
            </w:pPr>
            <w:r>
              <w:rPr>
                <w:noProof/>
              </w:rPr>
              <w:t>2020</w:t>
            </w:r>
          </w:p>
        </w:tc>
        <w:tc>
          <w:tcPr>
            <w:tcW w:w="4908" w:type="dxa"/>
            <w:shd w:val="clear" w:color="auto" w:fill="C4EFCE"/>
            <w:vAlign w:val="center"/>
            <w:hideMark/>
          </w:tcPr>
          <w:p w14:paraId="61570855" w14:textId="77777777" w:rsidR="00154AD2" w:rsidRDefault="007F6BF3">
            <w:pPr>
              <w:pStyle w:val="P68B1DB1-Normal8"/>
              <w:spacing w:after="0" w:line="240" w:lineRule="auto"/>
              <w:jc w:val="both"/>
              <w:rPr>
                <w:rFonts w:eastAsia="Times New Roman" w:cs="Calibri"/>
                <w:noProof/>
              </w:rPr>
            </w:pPr>
            <w:r>
              <w:rPr>
                <w:noProof/>
              </w:rPr>
              <w:t>Δημοσίευση από την κυβέρνηση της Πορτογαλικής Δημοκρατίας και έναρξη ισχύος του νομοθετικού διατάγματος 63/2020, το οποίο ρυθμίζει τη δραστηριότητα και τη λειτουργία της BPF και εγκρίνει το καταστατικό της.</w:t>
            </w:r>
          </w:p>
        </w:tc>
      </w:tr>
      <w:tr w:rsidR="00154AD2" w14:paraId="661774E0" w14:textId="77777777">
        <w:trPr>
          <w:trHeight w:val="1220"/>
        </w:trPr>
        <w:tc>
          <w:tcPr>
            <w:tcW w:w="1113" w:type="dxa"/>
            <w:shd w:val="clear" w:color="auto" w:fill="C4EFCE"/>
            <w:vAlign w:val="center"/>
            <w:hideMark/>
          </w:tcPr>
          <w:p w14:paraId="66190338" w14:textId="77777777" w:rsidR="00154AD2" w:rsidRDefault="007F6BF3">
            <w:pPr>
              <w:pStyle w:val="P68B1DB1-Normal7"/>
              <w:spacing w:after="0" w:line="240" w:lineRule="auto"/>
              <w:jc w:val="center"/>
              <w:rPr>
                <w:rFonts w:eastAsia="Times New Roman" w:cs="Calibri"/>
                <w:noProof/>
              </w:rPr>
            </w:pPr>
            <w:r>
              <w:rPr>
                <w:noProof/>
              </w:rPr>
              <w:t>5.24</w:t>
            </w:r>
          </w:p>
        </w:tc>
        <w:tc>
          <w:tcPr>
            <w:tcW w:w="1246" w:type="dxa"/>
            <w:shd w:val="clear" w:color="auto" w:fill="C4EFCE"/>
            <w:vAlign w:val="center"/>
            <w:hideMark/>
          </w:tcPr>
          <w:p w14:paraId="689D69C9" w14:textId="77777777" w:rsidR="00154AD2" w:rsidRDefault="007F6BF3">
            <w:pPr>
              <w:pStyle w:val="P68B1DB1-Normal8"/>
              <w:spacing w:after="0" w:line="240" w:lineRule="auto"/>
              <w:jc w:val="center"/>
              <w:rPr>
                <w:rFonts w:eastAsia="Times New Roman" w:cs="Calibri"/>
                <w:noProof/>
              </w:rPr>
            </w:pPr>
            <w:r>
              <w:rPr>
                <w:noProof/>
              </w:rPr>
              <w:t>RE-C05-r13</w:t>
            </w:r>
          </w:p>
        </w:tc>
        <w:tc>
          <w:tcPr>
            <w:tcW w:w="1108" w:type="dxa"/>
            <w:shd w:val="clear" w:color="auto" w:fill="C4EFCE"/>
            <w:vAlign w:val="center"/>
            <w:hideMark/>
          </w:tcPr>
          <w:p w14:paraId="79F03A2E" w14:textId="77777777" w:rsidR="00154AD2" w:rsidRDefault="007F6BF3">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0FF4E1B6" w14:textId="77777777" w:rsidR="00154AD2" w:rsidRDefault="007F6BF3">
            <w:pPr>
              <w:pStyle w:val="P68B1DB1-Normal8"/>
              <w:spacing w:after="0" w:line="240" w:lineRule="auto"/>
              <w:jc w:val="center"/>
              <w:rPr>
                <w:rFonts w:eastAsia="Times New Roman" w:cs="Calibri"/>
                <w:noProof/>
              </w:rPr>
            </w:pPr>
            <w:r>
              <w:rPr>
                <w:noProof/>
              </w:rPr>
              <w:t xml:space="preserve"> Έναρξη ισχύος της αναθεώρησης του νομικού πλαισίου για τους οργανισμούς συλλογικών επενδύσεων </w:t>
            </w:r>
          </w:p>
        </w:tc>
        <w:tc>
          <w:tcPr>
            <w:tcW w:w="1245" w:type="dxa"/>
            <w:shd w:val="clear" w:color="auto" w:fill="C4EFCE"/>
            <w:vAlign w:val="center"/>
            <w:hideMark/>
          </w:tcPr>
          <w:p w14:paraId="4083C547" w14:textId="77777777" w:rsidR="00154AD2" w:rsidRDefault="007F6BF3">
            <w:pPr>
              <w:pStyle w:val="P68B1DB1-Normal8"/>
              <w:spacing w:after="0" w:line="240" w:lineRule="auto"/>
              <w:jc w:val="center"/>
              <w:rPr>
                <w:rFonts w:eastAsia="Times New Roman" w:cs="Calibri"/>
                <w:noProof/>
              </w:rPr>
            </w:pPr>
            <w:r>
              <w:rPr>
                <w:noProof/>
              </w:rPr>
              <w:t xml:space="preserve">Έναρξη ισχύος της αναθεώρησης του νομικού πλαισίου για τους οργανισμούς συλλογικών επενδύσεων </w:t>
            </w:r>
          </w:p>
        </w:tc>
        <w:tc>
          <w:tcPr>
            <w:tcW w:w="972" w:type="dxa"/>
            <w:shd w:val="clear" w:color="auto" w:fill="C4EFCE"/>
            <w:vAlign w:val="center"/>
            <w:hideMark/>
          </w:tcPr>
          <w:p w14:paraId="1A341D8C" w14:textId="77777777" w:rsidR="00154AD2" w:rsidRDefault="007F6BF3">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5C5E34C9" w14:textId="77777777" w:rsidR="00154AD2" w:rsidRDefault="007F6BF3">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251BF450" w14:textId="77777777" w:rsidR="00154AD2" w:rsidRDefault="007F6BF3">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3C786D1E"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694" w:type="dxa"/>
            <w:shd w:val="clear" w:color="auto" w:fill="C4EFCE"/>
            <w:vAlign w:val="center"/>
            <w:hideMark/>
          </w:tcPr>
          <w:p w14:paraId="72FED962" w14:textId="77777777" w:rsidR="00154AD2" w:rsidRDefault="007F6BF3">
            <w:pPr>
              <w:pStyle w:val="P68B1DB1-Normal8"/>
              <w:spacing w:after="0" w:line="240" w:lineRule="auto"/>
              <w:jc w:val="center"/>
              <w:rPr>
                <w:rFonts w:eastAsia="Times New Roman" w:cs="Calibri"/>
                <w:noProof/>
              </w:rPr>
            </w:pPr>
            <w:r>
              <w:rPr>
                <w:noProof/>
              </w:rPr>
              <w:t>2022</w:t>
            </w:r>
          </w:p>
        </w:tc>
        <w:tc>
          <w:tcPr>
            <w:tcW w:w="4908" w:type="dxa"/>
            <w:shd w:val="clear" w:color="auto" w:fill="C4EFCE"/>
            <w:vAlign w:val="center"/>
            <w:hideMark/>
          </w:tcPr>
          <w:p w14:paraId="35E67B5D" w14:textId="77777777" w:rsidR="00154AD2" w:rsidRDefault="007F6BF3">
            <w:pPr>
              <w:pStyle w:val="P68B1DB1-Normal8"/>
              <w:spacing w:after="0" w:line="240" w:lineRule="auto"/>
              <w:jc w:val="both"/>
              <w:rPr>
                <w:rFonts w:eastAsia="Times New Roman" w:cs="Calibri"/>
                <w:noProof/>
              </w:rPr>
            </w:pPr>
            <w:r>
              <w:rPr>
                <w:noProof/>
              </w:rPr>
              <w:t>Έναρξη ισχύος του Νόμου, μετά την ψήφιση του Νόμου από τη Συνέλευση της Δημοκρατίας. Επανεξετάζει το νομικό πλαίσιο για τους οργανισμούς συλλογικών επενδύσεων με σκοπό τη ρυθμιστική και διοικητική απλούστευση.</w:t>
            </w:r>
          </w:p>
        </w:tc>
      </w:tr>
      <w:tr w:rsidR="00154AD2" w14:paraId="7FAB8FF7" w14:textId="77777777">
        <w:trPr>
          <w:trHeight w:val="1060"/>
        </w:trPr>
        <w:tc>
          <w:tcPr>
            <w:tcW w:w="1113" w:type="dxa"/>
            <w:shd w:val="clear" w:color="auto" w:fill="C4EFCE"/>
            <w:vAlign w:val="center"/>
            <w:hideMark/>
          </w:tcPr>
          <w:p w14:paraId="2CEBAA44" w14:textId="77777777" w:rsidR="00154AD2" w:rsidRDefault="007F6BF3">
            <w:pPr>
              <w:pStyle w:val="P68B1DB1-Normal7"/>
              <w:spacing w:after="0" w:line="240" w:lineRule="auto"/>
              <w:jc w:val="center"/>
              <w:rPr>
                <w:rFonts w:eastAsia="Times New Roman" w:cs="Calibri"/>
                <w:noProof/>
              </w:rPr>
            </w:pPr>
            <w:r>
              <w:rPr>
                <w:noProof/>
              </w:rPr>
              <w:t>5.25</w:t>
            </w:r>
          </w:p>
        </w:tc>
        <w:tc>
          <w:tcPr>
            <w:tcW w:w="1246" w:type="dxa"/>
            <w:shd w:val="clear" w:color="auto" w:fill="C4EFCE"/>
            <w:vAlign w:val="center"/>
            <w:hideMark/>
          </w:tcPr>
          <w:p w14:paraId="67EFB3F7" w14:textId="77777777" w:rsidR="00154AD2" w:rsidRDefault="007F6BF3">
            <w:pPr>
              <w:pStyle w:val="P68B1DB1-Normal8"/>
              <w:spacing w:after="0" w:line="240" w:lineRule="auto"/>
              <w:jc w:val="center"/>
              <w:rPr>
                <w:rFonts w:eastAsia="Times New Roman" w:cs="Calibri"/>
                <w:noProof/>
              </w:rPr>
            </w:pPr>
            <w:r>
              <w:rPr>
                <w:noProof/>
              </w:rPr>
              <w:t>RE-C05-r13</w:t>
            </w:r>
          </w:p>
        </w:tc>
        <w:tc>
          <w:tcPr>
            <w:tcW w:w="1108" w:type="dxa"/>
            <w:shd w:val="clear" w:color="auto" w:fill="C4EFCE"/>
            <w:vAlign w:val="center"/>
            <w:hideMark/>
          </w:tcPr>
          <w:p w14:paraId="71D7EC96" w14:textId="77777777" w:rsidR="00154AD2" w:rsidRDefault="007F6BF3">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039C18E1" w14:textId="77777777" w:rsidR="00154AD2" w:rsidRDefault="007F6BF3">
            <w:pPr>
              <w:pStyle w:val="P68B1DB1-Normal8"/>
              <w:spacing w:after="0" w:line="240" w:lineRule="auto"/>
              <w:jc w:val="center"/>
              <w:rPr>
                <w:rFonts w:eastAsia="Times New Roman" w:cs="Calibri"/>
                <w:noProof/>
              </w:rPr>
            </w:pPr>
            <w:r>
              <w:rPr>
                <w:noProof/>
              </w:rPr>
              <w:t>Έναρξη ισχύος του περί του Κώδικα Κινητών Αξιών Νόμου</w:t>
            </w:r>
          </w:p>
        </w:tc>
        <w:tc>
          <w:tcPr>
            <w:tcW w:w="1245" w:type="dxa"/>
            <w:shd w:val="clear" w:color="auto" w:fill="C4EFCE"/>
            <w:vAlign w:val="center"/>
            <w:hideMark/>
          </w:tcPr>
          <w:p w14:paraId="16730FE3" w14:textId="77777777" w:rsidR="00154AD2" w:rsidRDefault="007F6BF3">
            <w:pPr>
              <w:pStyle w:val="P68B1DB1-Normal8"/>
              <w:spacing w:after="0" w:line="240" w:lineRule="auto"/>
              <w:jc w:val="center"/>
              <w:rPr>
                <w:rFonts w:eastAsia="Times New Roman" w:cs="Calibri"/>
                <w:noProof/>
              </w:rPr>
            </w:pPr>
            <w:r>
              <w:rPr>
                <w:noProof/>
              </w:rPr>
              <w:t xml:space="preserve">Έναρξη ισχύος του περί του Κώδικα Κινητών Αξιών Νόμου </w:t>
            </w:r>
          </w:p>
        </w:tc>
        <w:tc>
          <w:tcPr>
            <w:tcW w:w="972" w:type="dxa"/>
            <w:shd w:val="clear" w:color="auto" w:fill="C4EFCE"/>
            <w:vAlign w:val="center"/>
            <w:hideMark/>
          </w:tcPr>
          <w:p w14:paraId="57352804" w14:textId="77777777" w:rsidR="00154AD2" w:rsidRDefault="007F6BF3">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2D4D1645" w14:textId="77777777" w:rsidR="00154AD2" w:rsidRDefault="007F6BF3">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015C0F5D" w14:textId="77777777" w:rsidR="00154AD2" w:rsidRDefault="007F6BF3">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43C62266"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694" w:type="dxa"/>
            <w:shd w:val="clear" w:color="auto" w:fill="C4EFCE"/>
            <w:vAlign w:val="center"/>
            <w:hideMark/>
          </w:tcPr>
          <w:p w14:paraId="23228510" w14:textId="77777777" w:rsidR="00154AD2" w:rsidRDefault="007F6BF3">
            <w:pPr>
              <w:pStyle w:val="P68B1DB1-Normal8"/>
              <w:spacing w:after="0" w:line="240" w:lineRule="auto"/>
              <w:jc w:val="center"/>
              <w:rPr>
                <w:rFonts w:eastAsia="Times New Roman" w:cs="Calibri"/>
                <w:noProof/>
              </w:rPr>
            </w:pPr>
            <w:r>
              <w:rPr>
                <w:noProof/>
              </w:rPr>
              <w:t>2022</w:t>
            </w:r>
          </w:p>
        </w:tc>
        <w:tc>
          <w:tcPr>
            <w:tcW w:w="4908" w:type="dxa"/>
            <w:shd w:val="clear" w:color="auto" w:fill="C4EFCE"/>
            <w:vAlign w:val="center"/>
            <w:hideMark/>
          </w:tcPr>
          <w:p w14:paraId="7E578C3A" w14:textId="77777777" w:rsidR="00154AD2" w:rsidRDefault="007F6BF3">
            <w:pPr>
              <w:pStyle w:val="P68B1DB1-Normal8"/>
              <w:spacing w:after="0" w:line="240" w:lineRule="auto"/>
              <w:jc w:val="both"/>
              <w:rPr>
                <w:rFonts w:eastAsia="Times New Roman" w:cs="Calibri"/>
                <w:noProof/>
              </w:rPr>
            </w:pPr>
            <w:r>
              <w:rPr>
                <w:noProof/>
              </w:rPr>
              <w:t>Έναρξη ισχύος του Νόμου, μετά την ψήφιση του Νόμου από τη Συνέλευση της Δημοκρατίας. Η αναθεώρηση του κώδικα κινητών αξιών αποσκοπεί στην κανονιστική και διοικητική απλούστευση προκειμένου να ευθυγραμμιστεί το εθνικό πλαίσιο με το δίκαιο της Ένωσης όσον αφορά τον στόχο της αύξησης της ανταγωνιστικότητας της πορτογαλικής κεφαλαιαγοράς.</w:t>
            </w:r>
          </w:p>
        </w:tc>
      </w:tr>
      <w:tr w:rsidR="00154AD2" w14:paraId="71EC5849" w14:textId="77777777">
        <w:trPr>
          <w:trHeight w:val="67"/>
        </w:trPr>
        <w:tc>
          <w:tcPr>
            <w:tcW w:w="1113" w:type="dxa"/>
            <w:shd w:val="clear" w:color="auto" w:fill="C4EFCE"/>
            <w:vAlign w:val="center"/>
            <w:hideMark/>
          </w:tcPr>
          <w:p w14:paraId="73BF0385" w14:textId="77777777" w:rsidR="00154AD2" w:rsidRDefault="007F6BF3">
            <w:pPr>
              <w:pStyle w:val="P68B1DB1-Normal7"/>
              <w:spacing w:after="0" w:line="240" w:lineRule="auto"/>
              <w:jc w:val="center"/>
              <w:rPr>
                <w:rFonts w:eastAsia="Times New Roman" w:cs="Calibri"/>
                <w:noProof/>
              </w:rPr>
            </w:pPr>
            <w:r>
              <w:rPr>
                <w:noProof/>
              </w:rPr>
              <w:t>5.26</w:t>
            </w:r>
          </w:p>
        </w:tc>
        <w:tc>
          <w:tcPr>
            <w:tcW w:w="1246" w:type="dxa"/>
            <w:shd w:val="clear" w:color="auto" w:fill="C4EFCE"/>
            <w:vAlign w:val="center"/>
            <w:hideMark/>
          </w:tcPr>
          <w:p w14:paraId="01F6EAD9" w14:textId="77777777" w:rsidR="00154AD2" w:rsidRDefault="007F6BF3">
            <w:pPr>
              <w:pStyle w:val="P68B1DB1-Normal8"/>
              <w:spacing w:after="0" w:line="240" w:lineRule="auto"/>
              <w:jc w:val="center"/>
              <w:rPr>
                <w:rFonts w:eastAsia="Times New Roman" w:cs="Calibri"/>
                <w:noProof/>
              </w:rPr>
            </w:pPr>
            <w:r>
              <w:rPr>
                <w:noProof/>
              </w:rPr>
              <w:t>RE-C05-r13</w:t>
            </w:r>
          </w:p>
        </w:tc>
        <w:tc>
          <w:tcPr>
            <w:tcW w:w="1108" w:type="dxa"/>
            <w:shd w:val="clear" w:color="auto" w:fill="C4EFCE"/>
            <w:vAlign w:val="center"/>
            <w:hideMark/>
          </w:tcPr>
          <w:p w14:paraId="789C3F1A" w14:textId="77777777" w:rsidR="00154AD2" w:rsidRDefault="007F6BF3">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1D2DB219" w14:textId="77777777" w:rsidR="00154AD2" w:rsidRDefault="007F6BF3">
            <w:pPr>
              <w:pStyle w:val="P68B1DB1-Normal8"/>
              <w:spacing w:after="0" w:line="240" w:lineRule="auto"/>
              <w:jc w:val="center"/>
              <w:rPr>
                <w:rFonts w:eastAsia="Times New Roman" w:cs="Calibri"/>
                <w:noProof/>
              </w:rPr>
            </w:pPr>
            <w:r>
              <w:rPr>
                <w:noProof/>
              </w:rPr>
              <w:t xml:space="preserve">Ανάπτυξη κεφαλαιαγορών — έναρξη ισχύος της νομοθεσίας </w:t>
            </w:r>
          </w:p>
        </w:tc>
        <w:tc>
          <w:tcPr>
            <w:tcW w:w="1245" w:type="dxa"/>
            <w:shd w:val="clear" w:color="auto" w:fill="C4EFCE"/>
            <w:vAlign w:val="center"/>
            <w:hideMark/>
          </w:tcPr>
          <w:p w14:paraId="7D1637FA" w14:textId="77777777" w:rsidR="00154AD2" w:rsidRDefault="007F6BF3">
            <w:pPr>
              <w:pStyle w:val="P68B1DB1-Normal8"/>
              <w:spacing w:after="0" w:line="240" w:lineRule="auto"/>
              <w:jc w:val="center"/>
              <w:rPr>
                <w:rFonts w:eastAsia="Times New Roman" w:cs="Calibri"/>
                <w:noProof/>
              </w:rPr>
            </w:pPr>
            <w:r>
              <w:rPr>
                <w:noProof/>
              </w:rPr>
              <w:t>Έναρξη ισχύος της νομοθεσίας για την ανάπτυξη της κεφαλαιαγοράς</w:t>
            </w:r>
          </w:p>
        </w:tc>
        <w:tc>
          <w:tcPr>
            <w:tcW w:w="972" w:type="dxa"/>
            <w:shd w:val="clear" w:color="auto" w:fill="C4EFCE"/>
            <w:vAlign w:val="center"/>
            <w:hideMark/>
          </w:tcPr>
          <w:p w14:paraId="586E7C49" w14:textId="77777777" w:rsidR="00154AD2" w:rsidRDefault="007F6BF3">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21A2F023" w14:textId="77777777" w:rsidR="00154AD2" w:rsidRDefault="007F6BF3">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02E32C9C" w14:textId="77777777" w:rsidR="00154AD2" w:rsidRDefault="007F6BF3">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6033117F"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94" w:type="dxa"/>
            <w:shd w:val="clear" w:color="auto" w:fill="C4EFCE"/>
            <w:vAlign w:val="center"/>
            <w:hideMark/>
          </w:tcPr>
          <w:p w14:paraId="22331127" w14:textId="77777777" w:rsidR="00154AD2" w:rsidRDefault="007F6BF3">
            <w:pPr>
              <w:pStyle w:val="P68B1DB1-Normal8"/>
              <w:spacing w:after="0" w:line="240" w:lineRule="auto"/>
              <w:jc w:val="center"/>
              <w:rPr>
                <w:rFonts w:eastAsia="Times New Roman" w:cs="Calibri"/>
                <w:noProof/>
              </w:rPr>
            </w:pPr>
            <w:r>
              <w:rPr>
                <w:noProof/>
              </w:rPr>
              <w:t>2023</w:t>
            </w:r>
          </w:p>
        </w:tc>
        <w:tc>
          <w:tcPr>
            <w:tcW w:w="4908" w:type="dxa"/>
            <w:shd w:val="clear" w:color="auto" w:fill="C4EFCE"/>
            <w:vAlign w:val="center"/>
            <w:hideMark/>
          </w:tcPr>
          <w:p w14:paraId="1C25D1BF" w14:textId="77777777" w:rsidR="00154AD2" w:rsidRDefault="007F6BF3">
            <w:pPr>
              <w:pStyle w:val="P68B1DB1-Normal8"/>
              <w:spacing w:after="0" w:line="240" w:lineRule="auto"/>
              <w:jc w:val="both"/>
              <w:rPr>
                <w:rFonts w:eastAsia="Times New Roman" w:cs="Calibri"/>
                <w:noProof/>
              </w:rPr>
            </w:pPr>
            <w:r>
              <w:rPr>
                <w:noProof/>
              </w:rPr>
              <w:t>Μετά τις συνεισφορές των παραγόντων της αγοράς, έναρξη ισχύος της νομοθεσίας για την ανάπτυξη της κεφαλαιαγοράς. Παράλληλα με τη διατήρηση της ελευθερίας εργασίας της ειδικής ομάδας για την ενίσχυση της κεφαλαιαγοράς (που συστάθηκε από το Υπουργείο Οικονομίας και Ψηφιακής Μετάβασης και τον Υπουργό Οικονομικών), προβλέπεται ότι η νομοθεσία θα επικεντρωθεί στη δημιουργία κινήτρων, μεταξύ άλλων, για i) την πρόσβαση σε ίδια κεφάλαια μέσω της κεφαλαιαγοράς, ii) τη δημιουργία περιβάλλοντος ευνοϊκού για την ανάπτυξη των επιχειρήσεων, iii) τη χρηματοδότηση με δανειακά κεφάλαια στην αγορά, iv) τη συμμετοχή των επενδυτών.</w:t>
            </w:r>
          </w:p>
        </w:tc>
      </w:tr>
      <w:tr w:rsidR="00154AD2" w14:paraId="2E453268" w14:textId="77777777">
        <w:trPr>
          <w:trHeight w:val="1984"/>
        </w:trPr>
        <w:tc>
          <w:tcPr>
            <w:tcW w:w="1113" w:type="dxa"/>
            <w:shd w:val="clear" w:color="auto" w:fill="C4EFCE"/>
            <w:vAlign w:val="center"/>
            <w:hideMark/>
          </w:tcPr>
          <w:p w14:paraId="1303E8CD" w14:textId="77777777" w:rsidR="00154AD2" w:rsidRDefault="007F6BF3">
            <w:pPr>
              <w:pStyle w:val="P68B1DB1-Normal7"/>
              <w:spacing w:after="0" w:line="240" w:lineRule="auto"/>
              <w:jc w:val="center"/>
              <w:rPr>
                <w:rFonts w:eastAsia="Times New Roman" w:cs="Calibri"/>
                <w:noProof/>
              </w:rPr>
            </w:pPr>
            <w:r>
              <w:rPr>
                <w:noProof/>
              </w:rPr>
              <w:t>5.27</w:t>
            </w:r>
          </w:p>
        </w:tc>
        <w:tc>
          <w:tcPr>
            <w:tcW w:w="1246" w:type="dxa"/>
            <w:shd w:val="clear" w:color="auto" w:fill="C4EFCE"/>
            <w:vAlign w:val="center"/>
            <w:hideMark/>
          </w:tcPr>
          <w:p w14:paraId="1806B2C1" w14:textId="77777777" w:rsidR="00154AD2" w:rsidRDefault="007F6BF3">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hideMark/>
          </w:tcPr>
          <w:p w14:paraId="54044504" w14:textId="77777777" w:rsidR="00154AD2" w:rsidRDefault="007F6BF3">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42D89F6B" w14:textId="77777777" w:rsidR="00154AD2" w:rsidRDefault="007F6BF3">
            <w:pPr>
              <w:pStyle w:val="P68B1DB1-Normal8"/>
              <w:spacing w:after="0" w:line="240" w:lineRule="auto"/>
              <w:jc w:val="center"/>
              <w:rPr>
                <w:rFonts w:eastAsia="Times New Roman" w:cs="Calibri"/>
                <w:noProof/>
              </w:rPr>
            </w:pPr>
            <w:r>
              <w:rPr>
                <w:noProof/>
              </w:rPr>
              <w:t xml:space="preserve">Έναρξη ισχύος νομοθετικού διατάγματος που ρυθμίζει το μέτρο κεφαλαιοποίησης της BPF </w:t>
            </w:r>
          </w:p>
        </w:tc>
        <w:tc>
          <w:tcPr>
            <w:tcW w:w="1245" w:type="dxa"/>
            <w:shd w:val="clear" w:color="auto" w:fill="C4EFCE"/>
            <w:vAlign w:val="center"/>
            <w:hideMark/>
          </w:tcPr>
          <w:p w14:paraId="0B68941B" w14:textId="77777777" w:rsidR="00154AD2" w:rsidRDefault="007F6BF3">
            <w:pPr>
              <w:pStyle w:val="P68B1DB1-Normal8"/>
              <w:spacing w:after="0" w:line="240" w:lineRule="auto"/>
              <w:jc w:val="center"/>
              <w:rPr>
                <w:rFonts w:eastAsia="Times New Roman" w:cs="Calibri"/>
                <w:noProof/>
              </w:rPr>
            </w:pPr>
            <w:r>
              <w:rPr>
                <w:noProof/>
              </w:rPr>
              <w:t>Έναρξη ισχύος νομοθετικού διατάγματος που ρυθμίζει το μέτρο κεφαλαιοποίησης της BPF</w:t>
            </w:r>
          </w:p>
        </w:tc>
        <w:tc>
          <w:tcPr>
            <w:tcW w:w="972" w:type="dxa"/>
            <w:shd w:val="clear" w:color="auto" w:fill="C4EFCE"/>
            <w:vAlign w:val="center"/>
            <w:hideMark/>
          </w:tcPr>
          <w:p w14:paraId="4606872E" w14:textId="77777777" w:rsidR="00154AD2" w:rsidRDefault="007F6BF3">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241F8011" w14:textId="77777777" w:rsidR="00154AD2" w:rsidRDefault="007F6BF3">
            <w:pPr>
              <w:pStyle w:val="P68B1DB1-Normal8"/>
              <w:spacing w:after="0" w:line="240" w:lineRule="auto"/>
              <w:jc w:val="center"/>
              <w:rPr>
                <w:rFonts w:eastAsia="Times New Roman" w:cs="Calibri"/>
                <w:noProof/>
              </w:rPr>
            </w:pPr>
            <w:r>
              <w:rPr>
                <w:noProof/>
              </w:rPr>
              <w:t> </w:t>
            </w:r>
          </w:p>
          <w:p w14:paraId="568C3E8E" w14:textId="77777777" w:rsidR="00154AD2" w:rsidRDefault="00154AD2">
            <w:pPr>
              <w:rPr>
                <w:rFonts w:ascii="Calibri" w:eastAsia="Times New Roman" w:hAnsi="Calibri" w:cs="Calibri"/>
                <w:noProof/>
                <w:sz w:val="16"/>
              </w:rPr>
            </w:pPr>
          </w:p>
          <w:p w14:paraId="4A2BB129" w14:textId="77777777" w:rsidR="00154AD2" w:rsidRDefault="00154AD2">
            <w:pPr>
              <w:rPr>
                <w:rFonts w:ascii="Calibri" w:eastAsia="Times New Roman" w:hAnsi="Calibri" w:cs="Calibri"/>
                <w:noProof/>
                <w:sz w:val="16"/>
              </w:rPr>
            </w:pPr>
          </w:p>
          <w:p w14:paraId="528CDCA3" w14:textId="77777777" w:rsidR="00154AD2" w:rsidRDefault="00154AD2">
            <w:pPr>
              <w:rPr>
                <w:rFonts w:ascii="Calibri" w:eastAsia="Times New Roman" w:hAnsi="Calibri" w:cs="Calibri"/>
                <w:noProof/>
                <w:sz w:val="16"/>
              </w:rPr>
            </w:pPr>
          </w:p>
          <w:p w14:paraId="73EBE8F6" w14:textId="77777777" w:rsidR="00154AD2" w:rsidRDefault="00154AD2">
            <w:pPr>
              <w:rPr>
                <w:rFonts w:ascii="Calibri" w:eastAsia="Times New Roman" w:hAnsi="Calibri" w:cs="Calibri"/>
                <w:noProof/>
                <w:sz w:val="16"/>
              </w:rPr>
            </w:pPr>
          </w:p>
          <w:p w14:paraId="037CD278" w14:textId="00F93827" w:rsidR="00154AD2" w:rsidRDefault="00154AD2">
            <w:pPr>
              <w:rPr>
                <w:rFonts w:ascii="Calibri" w:eastAsia="Times New Roman" w:hAnsi="Calibri" w:cs="Calibri"/>
                <w:noProof/>
                <w:sz w:val="16"/>
              </w:rPr>
            </w:pPr>
          </w:p>
        </w:tc>
        <w:tc>
          <w:tcPr>
            <w:tcW w:w="695" w:type="dxa"/>
            <w:shd w:val="clear" w:color="auto" w:fill="C4EFCE"/>
            <w:vAlign w:val="center"/>
            <w:hideMark/>
          </w:tcPr>
          <w:p w14:paraId="66A30881" w14:textId="77777777" w:rsidR="00154AD2" w:rsidRDefault="007F6BF3">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178A1E93"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694" w:type="dxa"/>
            <w:shd w:val="clear" w:color="auto" w:fill="C4EFCE"/>
            <w:vAlign w:val="center"/>
            <w:hideMark/>
          </w:tcPr>
          <w:p w14:paraId="28C39B7C" w14:textId="77777777" w:rsidR="00154AD2" w:rsidRDefault="007F6BF3">
            <w:pPr>
              <w:pStyle w:val="P68B1DB1-Normal8"/>
              <w:spacing w:after="0" w:line="240" w:lineRule="auto"/>
              <w:jc w:val="center"/>
              <w:rPr>
                <w:rFonts w:eastAsia="Times New Roman" w:cs="Calibri"/>
                <w:noProof/>
              </w:rPr>
            </w:pPr>
            <w:r>
              <w:rPr>
                <w:noProof/>
              </w:rPr>
              <w:t>2021</w:t>
            </w:r>
          </w:p>
        </w:tc>
        <w:tc>
          <w:tcPr>
            <w:tcW w:w="4908" w:type="dxa"/>
            <w:shd w:val="clear" w:color="auto" w:fill="C4EFCE"/>
            <w:vAlign w:val="center"/>
            <w:hideMark/>
          </w:tcPr>
          <w:p w14:paraId="7330B2B8" w14:textId="77777777" w:rsidR="00154AD2" w:rsidRDefault="007F6BF3">
            <w:pPr>
              <w:pStyle w:val="P68B1DB1-Normal8"/>
              <w:spacing w:after="0" w:line="240" w:lineRule="auto"/>
              <w:jc w:val="both"/>
              <w:rPr>
                <w:rFonts w:eastAsia="Times New Roman" w:cs="Calibri"/>
                <w:noProof/>
              </w:rPr>
            </w:pPr>
            <w:r>
              <w:rPr>
                <w:noProof/>
              </w:rPr>
              <w:t xml:space="preserve">Έναρξη ισχύος νομοθετικού διατάγματος που ρυθμίζει το μέτρο κεφαλαιοποίησης και θεσπίζει την ανάγκη θέσπισης επενδυτικής πολιτικής που καθορίζει, μεταξύ άλλων, τα κριτήρια επιλεξιμότητας και επιλογής των δικαιούχων επιχειρήσεων  </w:t>
            </w:r>
          </w:p>
        </w:tc>
      </w:tr>
      <w:tr w:rsidR="00154AD2" w14:paraId="13FEB03E" w14:textId="77777777">
        <w:trPr>
          <w:trHeight w:val="1470"/>
        </w:trPr>
        <w:tc>
          <w:tcPr>
            <w:tcW w:w="1113" w:type="dxa"/>
            <w:shd w:val="clear" w:color="auto" w:fill="C4EFCE"/>
            <w:vAlign w:val="center"/>
            <w:hideMark/>
          </w:tcPr>
          <w:p w14:paraId="2FAB9979" w14:textId="77777777" w:rsidR="00154AD2" w:rsidRDefault="007F6BF3">
            <w:pPr>
              <w:pStyle w:val="P68B1DB1-Normal7"/>
              <w:spacing w:after="0" w:line="240" w:lineRule="auto"/>
              <w:jc w:val="center"/>
              <w:rPr>
                <w:rFonts w:eastAsia="Times New Roman" w:cs="Calibri"/>
                <w:noProof/>
              </w:rPr>
            </w:pPr>
            <w:r>
              <w:rPr>
                <w:noProof/>
              </w:rPr>
              <w:t>5.28</w:t>
            </w:r>
          </w:p>
        </w:tc>
        <w:tc>
          <w:tcPr>
            <w:tcW w:w="1246" w:type="dxa"/>
            <w:shd w:val="clear" w:color="auto" w:fill="C4EFCE"/>
            <w:vAlign w:val="center"/>
            <w:hideMark/>
          </w:tcPr>
          <w:p w14:paraId="652B7AB1" w14:textId="77777777" w:rsidR="00154AD2" w:rsidRDefault="007F6BF3">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hideMark/>
          </w:tcPr>
          <w:p w14:paraId="500EB9EF" w14:textId="77777777" w:rsidR="00154AD2" w:rsidRDefault="007F6BF3">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5FFFD34C" w14:textId="77777777" w:rsidR="00154AD2" w:rsidRDefault="007F6BF3">
            <w:pPr>
              <w:pStyle w:val="P68B1DB1-Normal8"/>
              <w:spacing w:after="0" w:line="240" w:lineRule="auto"/>
              <w:jc w:val="center"/>
              <w:rPr>
                <w:rFonts w:eastAsia="Times New Roman" w:cs="Calibri"/>
                <w:noProof/>
              </w:rPr>
            </w:pPr>
            <w:r>
              <w:rPr>
                <w:noProof/>
              </w:rPr>
              <w:t> </w:t>
            </w:r>
          </w:p>
          <w:p w14:paraId="745A03C4" w14:textId="77777777" w:rsidR="00154AD2" w:rsidRDefault="007F6BF3">
            <w:pPr>
              <w:pStyle w:val="P68B1DB1-Normal8"/>
              <w:spacing w:after="0" w:line="240" w:lineRule="auto"/>
              <w:jc w:val="center"/>
              <w:rPr>
                <w:rFonts w:eastAsia="Times New Roman" w:cs="Calibri"/>
                <w:noProof/>
              </w:rPr>
            </w:pPr>
            <w:r>
              <w:rPr>
                <w:noProof/>
              </w:rPr>
              <w:t>Ανάπτυξη της επενδυτικής πολιτικής (κεφαλαιοποίηση) και υιοθέτηση από τον διαχειριστή του οχήματος</w:t>
            </w:r>
          </w:p>
        </w:tc>
        <w:tc>
          <w:tcPr>
            <w:tcW w:w="1245" w:type="dxa"/>
            <w:shd w:val="clear" w:color="auto" w:fill="C4EFCE"/>
            <w:vAlign w:val="center"/>
            <w:hideMark/>
          </w:tcPr>
          <w:p w14:paraId="3C4F6B64" w14:textId="77777777" w:rsidR="00154AD2" w:rsidRDefault="007F6BF3">
            <w:pPr>
              <w:pStyle w:val="P68B1DB1-Normal8"/>
              <w:spacing w:after="0" w:line="240" w:lineRule="auto"/>
              <w:jc w:val="center"/>
              <w:rPr>
                <w:rFonts w:eastAsia="Times New Roman" w:cs="Calibri"/>
                <w:noProof/>
              </w:rPr>
            </w:pPr>
            <w:r>
              <w:rPr>
                <w:noProof/>
              </w:rPr>
              <w:t>Επενδυτική πολιτική (κεφαλαιοποίηση), που αναπτύχθηκε από την BPF και υιοθετήθηκε από τον φορέα που συστάθηκε για τη διαχείριση των συμμετοχών που προκύπτουν από τα εφαρμοζόμενα χρηματοδοτικά μέσα</w:t>
            </w:r>
          </w:p>
        </w:tc>
        <w:tc>
          <w:tcPr>
            <w:tcW w:w="972" w:type="dxa"/>
            <w:shd w:val="clear" w:color="auto" w:fill="C4EFCE"/>
            <w:vAlign w:val="center"/>
            <w:hideMark/>
          </w:tcPr>
          <w:p w14:paraId="4DD7B877" w14:textId="77777777" w:rsidR="00154AD2" w:rsidRDefault="007F6BF3">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67CC7E9A" w14:textId="77777777" w:rsidR="00154AD2" w:rsidRDefault="007F6BF3">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2B21BDD4" w14:textId="77777777" w:rsidR="00154AD2" w:rsidRDefault="007F6BF3">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487C265D"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694" w:type="dxa"/>
            <w:shd w:val="clear" w:color="auto" w:fill="C4EFCE"/>
            <w:vAlign w:val="center"/>
            <w:hideMark/>
          </w:tcPr>
          <w:p w14:paraId="5DD8880A" w14:textId="77777777" w:rsidR="00154AD2" w:rsidRDefault="007F6BF3">
            <w:pPr>
              <w:pStyle w:val="P68B1DB1-Normal8"/>
              <w:spacing w:after="0" w:line="240" w:lineRule="auto"/>
              <w:jc w:val="center"/>
              <w:rPr>
                <w:rFonts w:eastAsia="Times New Roman" w:cs="Calibri"/>
                <w:noProof/>
              </w:rPr>
            </w:pPr>
            <w:r>
              <w:rPr>
                <w:noProof/>
              </w:rPr>
              <w:t>2021</w:t>
            </w:r>
          </w:p>
        </w:tc>
        <w:tc>
          <w:tcPr>
            <w:tcW w:w="4908" w:type="dxa"/>
            <w:shd w:val="clear" w:color="auto" w:fill="C4EFCE"/>
            <w:vAlign w:val="center"/>
            <w:hideMark/>
          </w:tcPr>
          <w:p w14:paraId="41B0778D" w14:textId="77777777" w:rsidR="00154AD2" w:rsidRDefault="007F6BF3">
            <w:pPr>
              <w:pStyle w:val="P68B1DB1-Normal8"/>
              <w:spacing w:after="0" w:line="240" w:lineRule="auto"/>
              <w:jc w:val="both"/>
              <w:rPr>
                <w:rFonts w:eastAsia="Times New Roman" w:cs="Calibri"/>
                <w:noProof/>
              </w:rPr>
            </w:pPr>
            <w:r>
              <w:rPr>
                <w:noProof/>
              </w:rPr>
              <w:t xml:space="preserve">Ανάπτυξη της επενδυτικής πολιτικής (κεφαλαιοποίηση) και υιοθέτηση από τον διαχειριστή του οχήματος. Η επενδυτική πολιτική αναπτύσσεται και εγκρίνεται από την BPF ως τον διαχειριστικό φορέα του φορέα που έχει συσταθεί για τη διαχείριση των συμμετοχών που προκύπτουν από τα χρηματοδοτικά μέσα που εφαρμόζονται για τη στήριξη των εταιρειών που επιλέγονται ως δικαιούχοι και περιγράφει λεπτομερώς τα κριτήρια επιλογής/επιλεξιμότητας για τις υποστηριζόμενες εταιρείες, διασφαλίζοντας την τήρηση των κλιματικών και περιβαλλοντικών απαιτήσεων του ΜΑΑ, συμπεριλαμβανομένης της συμμόρφωσης με την τεχνική καθοδήγηση σχετικά με την αρχή της μη πρόκλησης σημαντικής βλάβης (2021/C58/01) των υποστηριζόμενων περιουσιακών στοιχείων/δραστηριοτήτων και/ή εταιρειών και προσδιορίζοντας επενδυτικούς στόχους και στοχευμένες αποδόσεις. </w:t>
            </w:r>
          </w:p>
          <w:p w14:paraId="361DDA87" w14:textId="77777777" w:rsidR="00154AD2" w:rsidRDefault="007F6BF3">
            <w:pPr>
              <w:pStyle w:val="P68B1DB1-Normal8"/>
              <w:spacing w:after="0" w:line="240" w:lineRule="auto"/>
              <w:jc w:val="both"/>
              <w:rPr>
                <w:rFonts w:eastAsia="Times New Roman" w:cs="Calibri"/>
                <w:noProof/>
              </w:rPr>
            </w:pPr>
            <w:r>
              <w:rPr>
                <w:noProof/>
              </w:rPr>
              <w:t xml:space="preserve">Για τη συμμόρφωση με την τεχνική καθοδήγηση «μη πρόκλησης σημαντικής βλάβης» (2021/C58/01) των υποστηριζόμενων εταιρειών, η επενδυτική πολιτική απαιτεί: </w:t>
            </w:r>
          </w:p>
          <w:p w14:paraId="576E7270" w14:textId="77777777" w:rsidR="00154AD2" w:rsidRDefault="007F6BF3">
            <w:pPr>
              <w:pStyle w:val="P68B1DB1-Normal8"/>
              <w:spacing w:after="0" w:line="240" w:lineRule="auto"/>
              <w:jc w:val="both"/>
              <w:rPr>
                <w:rFonts w:eastAsia="Times New Roman" w:cs="Calibri"/>
                <w:noProof/>
              </w:rPr>
            </w:pPr>
            <w:r>
              <w:rPr>
                <w:noProof/>
              </w:rPr>
              <w:t>— η χρήση ελέγχου βιωσιμότητας</w:t>
            </w:r>
          </w:p>
          <w:p w14:paraId="35D2078D" w14:textId="77777777" w:rsidR="00154AD2" w:rsidRDefault="007F6BF3">
            <w:pPr>
              <w:pStyle w:val="P68B1DB1-Normal8"/>
              <w:spacing w:after="0" w:line="240" w:lineRule="auto"/>
              <w:jc w:val="both"/>
              <w:rPr>
                <w:rFonts w:eastAsia="Times New Roman" w:cs="Calibri"/>
                <w:noProof/>
              </w:rPr>
            </w:pPr>
            <w:r>
              <w:rPr>
                <w:noProof/>
              </w:rPr>
              <w:t xml:space="preserve">— κατάλογος εξαιρέσεων που περιλαμβάνει τα ακόλουθα στοιχεία: </w:t>
            </w:r>
          </w:p>
          <w:p w14:paraId="4A97B8D7" w14:textId="77777777" w:rsidR="00154AD2" w:rsidRDefault="007F6BF3">
            <w:pPr>
              <w:pStyle w:val="P68B1DB1-Normal8"/>
              <w:spacing w:after="0" w:line="240" w:lineRule="auto"/>
              <w:jc w:val="both"/>
              <w:rPr>
                <w:rFonts w:eastAsia="Times New Roman" w:cs="Calibri"/>
                <w:noProof/>
              </w:rPr>
            </w:pPr>
            <w:r>
              <w:rPr>
                <w:noProof/>
              </w:rPr>
              <w:t>Επενδύσεις που σχετίζονται με ορυκτά καύσιμα (συμπεριλαμβανομένης της κατάντη χρήσης), εκτός από τη θερμότητα/ηλεκτρική ενέργεια που βασίζεται στο φυσικό αέριο και πληρούν τους όρους που καθορίζονται στο παράρτημα III των κατευθυντήριων γραμμών σχετικά με τη μη πρόκληση σημαντικής βλάβης</w:t>
            </w:r>
          </w:p>
          <w:p w14:paraId="10F5B1AB" w14:textId="77777777" w:rsidR="00154AD2" w:rsidRDefault="007F6BF3">
            <w:pPr>
              <w:pStyle w:val="P68B1DB1-Normal8"/>
              <w:spacing w:after="0" w:line="240" w:lineRule="auto"/>
              <w:jc w:val="both"/>
              <w:rPr>
                <w:rFonts w:eastAsia="Times New Roman" w:cs="Calibri"/>
                <w:noProof/>
              </w:rPr>
            </w:pPr>
            <w:r>
              <w:rPr>
                <w:noProof/>
              </w:rPr>
              <w:t>Δραστηριότητες στο πλαίσιο του ΣΕΔΕ με προβλεπόμενες εκπομπές ισοδυνάμου CO2 που δεν είναι χαμηλότερες από τους σχετικούς δείκτες αναφοράς που έχουν καθοριστεί για τη δωρεάν κατανομή.</w:t>
            </w:r>
          </w:p>
          <w:p w14:paraId="540A7716" w14:textId="3DF3C20F" w:rsidR="00154AD2" w:rsidRDefault="007F6BF3">
            <w:pPr>
              <w:pStyle w:val="P68B1DB1-Normal8"/>
              <w:spacing w:after="0" w:line="240" w:lineRule="auto"/>
              <w:jc w:val="both"/>
              <w:rPr>
                <w:rFonts w:eastAsia="Times New Roman" w:cs="Calibri"/>
                <w:noProof/>
              </w:rPr>
            </w:pPr>
            <w:r>
              <w:rPr>
                <w:noProof/>
              </w:rPr>
              <w:t>Επενδύσεις σε εγκαταστάσεις διάθεσης αποβλήτων σε χώρους υγειονομικής ταφής, σε μονάδες μηχανικής βιολογικής επεξεργασίας (ΜΒΕ) και σε αποτεφρωτήρες για την επεξεργασία αποβλήτων. Ο κατάλογος εξαιρέσεων δεν εφαρμόζεται σε μονάδες που προορίζονται αποκλειστικά για την επεξεργασία μη ανακυκλώσιμων επικίνδυνων αποβλήτων· σε υφιστάμενες εγκαταστάσεις, όταν η επένδυση αποσκοπεί στην αύξηση της ενεργειακής απόδοσης, στη δέσμευση καυσαερίων για αποθήκευση ή χρήση ή στην ανάκτηση υλικών από την τέφρα αποτέφρωσης, υπό την προϋπόθεση ότι οι επενδύσεις αυτές δεν οδηγούν σε αύξηση της ικανότητας επεξεργασίας αποβλήτων της μονάδας ή σε παράταση της διάρκειας ζωής της μονάδας.</w:t>
            </w:r>
          </w:p>
          <w:p w14:paraId="2D69FDF2" w14:textId="77777777" w:rsidR="00154AD2" w:rsidRDefault="007F6BF3">
            <w:pPr>
              <w:pStyle w:val="P68B1DB1-Normal8"/>
              <w:spacing w:after="0" w:line="240" w:lineRule="auto"/>
              <w:jc w:val="both"/>
              <w:rPr>
                <w:rFonts w:eastAsia="Times New Roman" w:cs="Calibri"/>
                <w:noProof/>
              </w:rPr>
            </w:pPr>
            <w:r>
              <w:rPr>
                <w:noProof/>
              </w:rPr>
              <w:t>Δραστηριότητες στις οποίες η μακροπρόθεσμη διάθεση αποβλήτων μπορεί να προκαλέσει μακροπρόθεσμη βλάβη στο περιβάλλον (π.χ. πυρηνικά απόβλητα).</w:t>
            </w:r>
          </w:p>
          <w:p w14:paraId="23225360" w14:textId="77777777" w:rsidR="00154AD2" w:rsidRDefault="007F6BF3">
            <w:pPr>
              <w:pStyle w:val="P68B1DB1-Normal8"/>
              <w:spacing w:after="0" w:line="240" w:lineRule="auto"/>
              <w:jc w:val="both"/>
              <w:rPr>
                <w:rFonts w:eastAsia="Times New Roman" w:cs="Calibri"/>
                <w:noProof/>
              </w:rPr>
            </w:pPr>
            <w:r>
              <w:rPr>
                <w:noProof/>
              </w:rPr>
              <w:t>Ε &amp; D &amp; I αφιερωμένη στα ανωτέρω περιουσιακά στοιχεία και δραστηριότητες.</w:t>
            </w:r>
          </w:p>
          <w:p w14:paraId="7D9E0256" w14:textId="77777777" w:rsidR="00154AD2" w:rsidRDefault="007F6BF3">
            <w:pPr>
              <w:pStyle w:val="P68B1DB1-Normal8"/>
              <w:spacing w:after="0" w:line="240" w:lineRule="auto"/>
              <w:jc w:val="both"/>
              <w:rPr>
                <w:rFonts w:eastAsia="Times New Roman" w:cs="Calibri"/>
                <w:noProof/>
              </w:rPr>
            </w:pPr>
            <w:r>
              <w:rPr>
                <w:noProof/>
              </w:rPr>
              <w:t>υποχρεωτικοί έλεγχοι συμμόρφωσης προς τις νομοθετικές διατάξεις μέσω της BPF και/ή των επιλεγμένων ενδιάμεσων χρηματοπιστωτικών οργανισμών για συναλλαγές που εξαιρούνται από τον έλεγχο βιωσιμότητας</w:t>
            </w:r>
          </w:p>
          <w:p w14:paraId="56E7C1B2" w14:textId="3ECBA876" w:rsidR="00154AD2" w:rsidRDefault="007F6BF3">
            <w:pPr>
              <w:pStyle w:val="P68B1DB1-Normal8"/>
              <w:spacing w:after="0" w:line="240" w:lineRule="auto"/>
              <w:jc w:val="both"/>
              <w:rPr>
                <w:rFonts w:eastAsia="Times New Roman" w:cs="Calibri"/>
                <w:noProof/>
              </w:rPr>
            </w:pPr>
            <w:r>
              <w:rPr>
                <w:noProof/>
              </w:rPr>
              <w:t>— δικαιούχοι στήριξης μετοχικού κεφαλαίου που αντλούν τουλάχιστον το 50 % των εσόδων τους από δραστηριότητες που απαριθμούνται στον κατάλογο αποκλεισμού για την έγκριση και τη δημοσίευση σχεδίων πράσινης μετάβασης</w:t>
            </w:r>
          </w:p>
        </w:tc>
      </w:tr>
      <w:tr w:rsidR="00154AD2" w14:paraId="58DAC7D8" w14:textId="77777777">
        <w:trPr>
          <w:trHeight w:val="1470"/>
        </w:trPr>
        <w:tc>
          <w:tcPr>
            <w:tcW w:w="1113" w:type="dxa"/>
            <w:shd w:val="clear" w:color="auto" w:fill="C4EFCE"/>
            <w:vAlign w:val="center"/>
          </w:tcPr>
          <w:p w14:paraId="7AAF1C31" w14:textId="2324AB83" w:rsidR="00154AD2" w:rsidRDefault="007F6BF3">
            <w:pPr>
              <w:pStyle w:val="P68B1DB1-Normal7"/>
              <w:spacing w:after="0" w:line="240" w:lineRule="auto"/>
              <w:jc w:val="center"/>
              <w:rPr>
                <w:rFonts w:eastAsia="Times New Roman" w:cs="Calibri"/>
                <w:noProof/>
              </w:rPr>
            </w:pPr>
            <w:r>
              <w:rPr>
                <w:noProof/>
              </w:rPr>
              <w:t>5.43</w:t>
            </w:r>
          </w:p>
        </w:tc>
        <w:tc>
          <w:tcPr>
            <w:tcW w:w="1246" w:type="dxa"/>
            <w:shd w:val="clear" w:color="auto" w:fill="C4EFCE"/>
            <w:vAlign w:val="center"/>
          </w:tcPr>
          <w:p w14:paraId="2AD97864" w14:textId="565E1FAF" w:rsidR="00154AD2" w:rsidRDefault="007F6BF3">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tcPr>
          <w:p w14:paraId="73EC6014" w14:textId="73F26BD7" w:rsidR="00154AD2" w:rsidRDefault="007F6BF3">
            <w:pPr>
              <w:pStyle w:val="P68B1DB1-Normal8"/>
              <w:spacing w:after="0" w:line="240" w:lineRule="auto"/>
              <w:jc w:val="center"/>
              <w:rPr>
                <w:rFonts w:eastAsia="Times New Roman" w:cs="Calibri"/>
                <w:noProof/>
              </w:rPr>
            </w:pPr>
            <w:r>
              <w:rPr>
                <w:noProof/>
              </w:rPr>
              <w:t>T</w:t>
            </w:r>
          </w:p>
        </w:tc>
        <w:tc>
          <w:tcPr>
            <w:tcW w:w="1659" w:type="dxa"/>
            <w:shd w:val="clear" w:color="auto" w:fill="C4EFCE"/>
            <w:vAlign w:val="center"/>
          </w:tcPr>
          <w:p w14:paraId="4E2ED19B" w14:textId="06E68B56" w:rsidR="00154AD2" w:rsidRDefault="007F6BF3">
            <w:pPr>
              <w:pStyle w:val="P68B1DB1-Normal9"/>
              <w:spacing w:after="0" w:line="240" w:lineRule="auto"/>
              <w:jc w:val="center"/>
              <w:rPr>
                <w:rFonts w:eastAsia="Times New Roman" w:cs="Calibri"/>
                <w:noProof/>
                <w:sz w:val="16"/>
              </w:rPr>
            </w:pPr>
            <w:r>
              <w:rPr>
                <w:noProof/>
                <w:sz w:val="18"/>
              </w:rPr>
              <w:t>Δ Πιστεύεται από το μέσο κεφαλαιοποίησης συνολικού ύψους 650 000 000 EUR προς τις πορτογαλικές μη χρηματοπιστωτικές εταιρείες ως στήριξη ιδίων κεφαλαίων και οιονεί ιδίων κεφαλαίων, σύμφωνα με την επενδυτική πολιτική της</w:t>
            </w:r>
          </w:p>
        </w:tc>
        <w:tc>
          <w:tcPr>
            <w:tcW w:w="1245" w:type="dxa"/>
            <w:shd w:val="clear" w:color="auto" w:fill="C4EFCE"/>
            <w:vAlign w:val="center"/>
          </w:tcPr>
          <w:p w14:paraId="752C0856" w14:textId="06A6F4D5" w:rsidR="00154AD2" w:rsidRDefault="007F6BF3">
            <w:pPr>
              <w:pStyle w:val="P68B1DB1-Normal8"/>
              <w:spacing w:after="0" w:line="240" w:lineRule="auto"/>
              <w:jc w:val="center"/>
              <w:rPr>
                <w:rFonts w:eastAsia="Times New Roman" w:cs="Calibri"/>
                <w:noProof/>
              </w:rPr>
            </w:pPr>
            <w:r>
              <w:rPr>
                <w:noProof/>
              </w:rPr>
              <w:t> </w:t>
            </w:r>
          </w:p>
        </w:tc>
        <w:tc>
          <w:tcPr>
            <w:tcW w:w="972" w:type="dxa"/>
            <w:shd w:val="clear" w:color="auto" w:fill="C4EFCE"/>
            <w:vAlign w:val="center"/>
          </w:tcPr>
          <w:p w14:paraId="3548D410" w14:textId="4E0B55A9" w:rsidR="00154AD2" w:rsidRDefault="007F6BF3">
            <w:pPr>
              <w:pStyle w:val="P68B1DB1-Normal8"/>
              <w:spacing w:after="0" w:line="240" w:lineRule="auto"/>
              <w:jc w:val="center"/>
              <w:rPr>
                <w:rFonts w:eastAsia="Times New Roman" w:cs="Calibri"/>
                <w:noProof/>
              </w:rPr>
            </w:pPr>
            <w:r>
              <w:rPr>
                <w:noProof/>
              </w:rPr>
              <w:t xml:space="preserve">ΕΥΡΏ </w:t>
            </w:r>
          </w:p>
        </w:tc>
        <w:tc>
          <w:tcPr>
            <w:tcW w:w="971" w:type="dxa"/>
            <w:shd w:val="clear" w:color="auto" w:fill="C4EFCE"/>
            <w:vAlign w:val="center"/>
          </w:tcPr>
          <w:p w14:paraId="45FC375D" w14:textId="23E21CC6" w:rsidR="00154AD2" w:rsidRDefault="007F6BF3">
            <w:pPr>
              <w:pStyle w:val="P68B1DB1-Normal8"/>
              <w:spacing w:after="0" w:line="240" w:lineRule="auto"/>
              <w:jc w:val="center"/>
              <w:rPr>
                <w:rFonts w:eastAsia="Times New Roman" w:cs="Calibri"/>
                <w:noProof/>
              </w:rPr>
            </w:pPr>
            <w:r>
              <w:rPr>
                <w:noProof/>
              </w:rPr>
              <w:t>0</w:t>
            </w:r>
          </w:p>
        </w:tc>
        <w:tc>
          <w:tcPr>
            <w:tcW w:w="695" w:type="dxa"/>
            <w:shd w:val="clear" w:color="auto" w:fill="C4EFCE"/>
            <w:vAlign w:val="center"/>
          </w:tcPr>
          <w:p w14:paraId="77E4C48C" w14:textId="34768C61" w:rsidR="00154AD2" w:rsidRDefault="007F6BF3">
            <w:pPr>
              <w:pStyle w:val="P68B1DB1-Normal8"/>
              <w:spacing w:after="0" w:line="240" w:lineRule="auto"/>
              <w:jc w:val="center"/>
              <w:rPr>
                <w:rFonts w:eastAsia="Times New Roman" w:cs="Calibri"/>
                <w:noProof/>
              </w:rPr>
            </w:pPr>
            <w:r>
              <w:rPr>
                <w:noProof/>
              </w:rPr>
              <w:t>650 000 000</w:t>
            </w:r>
          </w:p>
        </w:tc>
        <w:tc>
          <w:tcPr>
            <w:tcW w:w="557" w:type="dxa"/>
            <w:shd w:val="clear" w:color="auto" w:fill="C4EFCE"/>
            <w:vAlign w:val="center"/>
          </w:tcPr>
          <w:p w14:paraId="1E551FEE" w14:textId="42F444C6" w:rsidR="00154AD2" w:rsidRDefault="007F6BF3">
            <w:pPr>
              <w:pStyle w:val="P68B1DB1-Normal8"/>
              <w:spacing w:after="0" w:line="240" w:lineRule="auto"/>
              <w:jc w:val="center"/>
              <w:rPr>
                <w:rFonts w:eastAsia="Times New Roman" w:cs="Calibri"/>
                <w:noProof/>
              </w:rPr>
            </w:pPr>
            <w:r>
              <w:rPr>
                <w:noProof/>
              </w:rPr>
              <w:t>ΤΡΊΜΗΝΟ 4</w:t>
            </w:r>
          </w:p>
        </w:tc>
        <w:tc>
          <w:tcPr>
            <w:tcW w:w="694" w:type="dxa"/>
            <w:shd w:val="clear" w:color="auto" w:fill="C4EFCE"/>
            <w:vAlign w:val="center"/>
          </w:tcPr>
          <w:p w14:paraId="42B6A4AF" w14:textId="2FFF2A1C" w:rsidR="00154AD2" w:rsidRDefault="007F6BF3">
            <w:pPr>
              <w:pStyle w:val="P68B1DB1-Normal8"/>
              <w:spacing w:after="0" w:line="240" w:lineRule="auto"/>
              <w:jc w:val="center"/>
              <w:rPr>
                <w:rFonts w:eastAsia="Times New Roman" w:cs="Calibri"/>
                <w:noProof/>
              </w:rPr>
            </w:pPr>
            <w:r>
              <w:rPr>
                <w:noProof/>
              </w:rPr>
              <w:t>2023</w:t>
            </w:r>
          </w:p>
        </w:tc>
        <w:tc>
          <w:tcPr>
            <w:tcW w:w="4908" w:type="dxa"/>
            <w:shd w:val="clear" w:color="auto" w:fill="C4EFCE"/>
            <w:vAlign w:val="center"/>
          </w:tcPr>
          <w:p w14:paraId="73D8A264" w14:textId="5E5DE666" w:rsidR="00154AD2" w:rsidRDefault="007F6BF3">
            <w:pPr>
              <w:pStyle w:val="P68B1DB1-Normal8"/>
              <w:spacing w:after="0" w:line="240" w:lineRule="auto"/>
              <w:jc w:val="both"/>
              <w:rPr>
                <w:rFonts w:eastAsia="Times New Roman" w:cs="Calibri"/>
                <w:noProof/>
              </w:rPr>
            </w:pPr>
            <w:r>
              <w:rPr>
                <w:noProof/>
              </w:rPr>
              <w:t xml:space="preserve">Παράδοση συνολικού ποσού 650 000 000 EUR σε πορτογαλικές μη χρηματοπιστωτικές εταιρείες ως στήριξη ιδίων κεφαλαίων και οιονεί ιδίων κεφαλαίων, σύμφωνα με την προηγουμένως καθορισμένη επενδυτική πολιτική που ανέπτυξε η BPF, συμπεριλαμβανομένων των ποσών που εκταμιεύθηκαν σε μη χρηματοπιστωτικές εταιρείες ως άμεσες επενδύσεις και εκείνων που διατέθηκαν σε ενδιάμεσους χρηματοπιστωτικούς οργανισμούς ως έμμεσες επενδύσεις. </w:t>
            </w:r>
          </w:p>
        </w:tc>
      </w:tr>
      <w:tr w:rsidR="00154AD2" w14:paraId="5D9E6171" w14:textId="77777777">
        <w:trPr>
          <w:trHeight w:val="1960"/>
        </w:trPr>
        <w:tc>
          <w:tcPr>
            <w:tcW w:w="1113" w:type="dxa"/>
            <w:shd w:val="clear" w:color="auto" w:fill="C4EFCE"/>
            <w:vAlign w:val="center"/>
            <w:hideMark/>
          </w:tcPr>
          <w:p w14:paraId="4495AE84" w14:textId="77777777" w:rsidR="00154AD2" w:rsidRDefault="007F6BF3">
            <w:pPr>
              <w:pStyle w:val="P68B1DB1-Normal7"/>
              <w:spacing w:after="0" w:line="240" w:lineRule="auto"/>
              <w:jc w:val="center"/>
              <w:rPr>
                <w:rFonts w:eastAsia="Times New Roman" w:cs="Calibri"/>
                <w:noProof/>
              </w:rPr>
            </w:pPr>
            <w:r>
              <w:rPr>
                <w:noProof/>
              </w:rPr>
              <w:t>5.29</w:t>
            </w:r>
          </w:p>
        </w:tc>
        <w:tc>
          <w:tcPr>
            <w:tcW w:w="1246" w:type="dxa"/>
            <w:shd w:val="clear" w:color="auto" w:fill="C4EFCE"/>
            <w:vAlign w:val="center"/>
            <w:hideMark/>
          </w:tcPr>
          <w:p w14:paraId="3D54CD9A" w14:textId="77777777" w:rsidR="00154AD2" w:rsidRDefault="007F6BF3">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hideMark/>
          </w:tcPr>
          <w:p w14:paraId="79606A01" w14:textId="77777777" w:rsidR="00154AD2" w:rsidRDefault="007F6BF3">
            <w:pPr>
              <w:pStyle w:val="P68B1DB1-Normal8"/>
              <w:spacing w:after="0" w:line="240" w:lineRule="auto"/>
              <w:jc w:val="center"/>
              <w:rPr>
                <w:rFonts w:eastAsia="Times New Roman" w:cs="Calibri"/>
                <w:noProof/>
              </w:rPr>
            </w:pPr>
            <w:r>
              <w:rPr>
                <w:noProof/>
              </w:rPr>
              <w:t>T</w:t>
            </w:r>
          </w:p>
        </w:tc>
        <w:tc>
          <w:tcPr>
            <w:tcW w:w="1659" w:type="dxa"/>
            <w:shd w:val="clear" w:color="auto" w:fill="C4EFCE"/>
            <w:vAlign w:val="center"/>
            <w:hideMark/>
          </w:tcPr>
          <w:p w14:paraId="02CF9922" w14:textId="4B68928A" w:rsidR="00154AD2" w:rsidRDefault="007F6BF3">
            <w:pPr>
              <w:pStyle w:val="P68B1DB1-Normal9"/>
              <w:spacing w:after="0" w:line="240" w:lineRule="auto"/>
              <w:jc w:val="center"/>
              <w:rPr>
                <w:rFonts w:eastAsia="Times New Roman" w:cs="Calibri"/>
                <w:noProof/>
                <w:sz w:val="18"/>
              </w:rPr>
            </w:pPr>
            <w:r>
              <w:rPr>
                <w:noProof/>
                <w:sz w:val="18"/>
              </w:rPr>
              <w:t>Δ Πιστεύεται από το μέσο κεφαλαιοποίησης συνολικού ύψους 1 300 000 000 EUR προς τις πορτογαλικές μη χρηματοπιστωτικές εταιρείες ως στήριξη ιδίων κεφαλαίων και οιονεί ιδίων κεφαλαίων, σύμφωνα με την επενδυτική πολιτική της</w:t>
            </w:r>
          </w:p>
        </w:tc>
        <w:tc>
          <w:tcPr>
            <w:tcW w:w="1245" w:type="dxa"/>
            <w:shd w:val="clear" w:color="auto" w:fill="C4EFCE"/>
            <w:vAlign w:val="center"/>
            <w:hideMark/>
          </w:tcPr>
          <w:p w14:paraId="71326F10" w14:textId="77777777" w:rsidR="00154AD2" w:rsidRDefault="007F6BF3">
            <w:pPr>
              <w:pStyle w:val="P68B1DB1-Normal8"/>
              <w:spacing w:after="0" w:line="240" w:lineRule="auto"/>
              <w:jc w:val="center"/>
              <w:rPr>
                <w:rFonts w:eastAsia="Times New Roman" w:cs="Calibri"/>
                <w:noProof/>
              </w:rPr>
            </w:pPr>
            <w:r>
              <w:rPr>
                <w:noProof/>
              </w:rPr>
              <w:t> </w:t>
            </w:r>
          </w:p>
        </w:tc>
        <w:tc>
          <w:tcPr>
            <w:tcW w:w="972" w:type="dxa"/>
            <w:shd w:val="clear" w:color="auto" w:fill="C4EFCE"/>
            <w:vAlign w:val="center"/>
            <w:hideMark/>
          </w:tcPr>
          <w:p w14:paraId="36DB9E1E" w14:textId="77777777" w:rsidR="00154AD2" w:rsidRDefault="007F6BF3">
            <w:pPr>
              <w:pStyle w:val="P68B1DB1-Normal8"/>
              <w:spacing w:after="0" w:line="240" w:lineRule="auto"/>
              <w:jc w:val="center"/>
              <w:rPr>
                <w:rFonts w:eastAsia="Times New Roman" w:cs="Calibri"/>
                <w:noProof/>
              </w:rPr>
            </w:pPr>
            <w:r>
              <w:rPr>
                <w:noProof/>
              </w:rPr>
              <w:t xml:space="preserve">ΕΥΡΏ </w:t>
            </w:r>
          </w:p>
        </w:tc>
        <w:tc>
          <w:tcPr>
            <w:tcW w:w="971" w:type="dxa"/>
            <w:shd w:val="clear" w:color="auto" w:fill="C4EFCE"/>
            <w:vAlign w:val="center"/>
            <w:hideMark/>
          </w:tcPr>
          <w:p w14:paraId="224DC5A2" w14:textId="05CA90DA" w:rsidR="00154AD2" w:rsidRDefault="007F6BF3">
            <w:pPr>
              <w:pStyle w:val="P68B1DB1-Normal8"/>
              <w:spacing w:after="0" w:line="240" w:lineRule="auto"/>
              <w:jc w:val="center"/>
              <w:rPr>
                <w:rFonts w:eastAsia="Times New Roman" w:cs="Calibri"/>
                <w:noProof/>
              </w:rPr>
            </w:pPr>
            <w:r>
              <w:rPr>
                <w:noProof/>
              </w:rPr>
              <w:t>650 000 000</w:t>
            </w:r>
          </w:p>
        </w:tc>
        <w:tc>
          <w:tcPr>
            <w:tcW w:w="695" w:type="dxa"/>
            <w:shd w:val="clear" w:color="auto" w:fill="C4EFCE"/>
            <w:vAlign w:val="center"/>
            <w:hideMark/>
          </w:tcPr>
          <w:p w14:paraId="1CA39E70" w14:textId="25FFDE82" w:rsidR="00154AD2" w:rsidRDefault="007F6BF3">
            <w:pPr>
              <w:pStyle w:val="P68B1DB1-Normal8"/>
              <w:spacing w:after="0" w:line="240" w:lineRule="auto"/>
              <w:jc w:val="center"/>
              <w:rPr>
                <w:rFonts w:eastAsia="Times New Roman" w:cs="Calibri"/>
                <w:noProof/>
              </w:rPr>
            </w:pPr>
            <w:r>
              <w:rPr>
                <w:noProof/>
              </w:rPr>
              <w:t>1 300 000 000</w:t>
            </w:r>
          </w:p>
        </w:tc>
        <w:tc>
          <w:tcPr>
            <w:tcW w:w="557" w:type="dxa"/>
            <w:shd w:val="clear" w:color="auto" w:fill="C4EFCE"/>
            <w:vAlign w:val="center"/>
            <w:hideMark/>
          </w:tcPr>
          <w:p w14:paraId="4C01E635"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94" w:type="dxa"/>
            <w:shd w:val="clear" w:color="auto" w:fill="C4EFCE"/>
            <w:vAlign w:val="center"/>
            <w:hideMark/>
          </w:tcPr>
          <w:p w14:paraId="7FE96FF1" w14:textId="4723B112" w:rsidR="00154AD2" w:rsidRDefault="007F6BF3">
            <w:pPr>
              <w:pStyle w:val="P68B1DB1-Normal8"/>
              <w:spacing w:after="0" w:line="240" w:lineRule="auto"/>
              <w:jc w:val="center"/>
              <w:rPr>
                <w:rFonts w:eastAsia="Times New Roman" w:cs="Calibri"/>
                <w:noProof/>
              </w:rPr>
            </w:pPr>
            <w:r>
              <w:rPr>
                <w:noProof/>
              </w:rPr>
              <w:t>2025</w:t>
            </w:r>
          </w:p>
        </w:tc>
        <w:tc>
          <w:tcPr>
            <w:tcW w:w="4908" w:type="dxa"/>
            <w:shd w:val="clear" w:color="auto" w:fill="C4EFCE"/>
            <w:vAlign w:val="center"/>
            <w:hideMark/>
          </w:tcPr>
          <w:p w14:paraId="397877F2" w14:textId="3F4CCA05" w:rsidR="00154AD2" w:rsidRDefault="007F6BF3">
            <w:pPr>
              <w:pStyle w:val="P68B1DB1-Normal8"/>
              <w:spacing w:after="0" w:line="240" w:lineRule="auto"/>
              <w:jc w:val="both"/>
              <w:rPr>
                <w:rFonts w:eastAsia="Times New Roman" w:cs="Calibri"/>
                <w:noProof/>
              </w:rPr>
            </w:pPr>
            <w:r>
              <w:rPr>
                <w:noProof/>
              </w:rPr>
              <w:t>Παράδοση συνολικού ποσού 1 300 000 000 EUR (συμπεριλαμβανομένων των 650 000 000 EUR του στόχου 5.43) σε πορτογαλικές μη χρηματοπιστωτικές εταιρείες υπό μορφή στήριξης ιδίων κεφαλαίων και οιονεί ιδίων κεφαλαίων, σύμφωνα με την προηγουμένως καθορισμένη επενδυτική πολιτική που αναπτύχθηκε από την BPF και υιοθετήθηκε από τον φορέα που συστάθηκε για τη διαχείριση των συμμετοχών που προκύπτουν από τα χρηματοδοτικά μέσα που εφαρμόστηκαν. Ενδεικτικά, εκτιμάται ότι 1300 επιχειρήσεις αναμένεται να υποστηριχθούν από την ολοκλήρωση του σχεδίου.</w:t>
            </w:r>
          </w:p>
        </w:tc>
      </w:tr>
      <w:tr w:rsidR="00154AD2" w14:paraId="549D7570" w14:textId="77777777">
        <w:trPr>
          <w:trHeight w:val="1817"/>
        </w:trPr>
        <w:tc>
          <w:tcPr>
            <w:tcW w:w="1113" w:type="dxa"/>
            <w:shd w:val="clear" w:color="auto" w:fill="C4EFCE"/>
            <w:vAlign w:val="center"/>
            <w:hideMark/>
          </w:tcPr>
          <w:p w14:paraId="200D26C9" w14:textId="77777777" w:rsidR="00154AD2" w:rsidRDefault="007F6BF3">
            <w:pPr>
              <w:pStyle w:val="P68B1DB1-Normal7"/>
              <w:spacing w:after="0" w:line="240" w:lineRule="auto"/>
              <w:jc w:val="center"/>
              <w:rPr>
                <w:rFonts w:eastAsia="Times New Roman" w:cs="Calibri"/>
                <w:noProof/>
              </w:rPr>
            </w:pPr>
            <w:r>
              <w:rPr>
                <w:noProof/>
              </w:rPr>
              <w:t>5.30</w:t>
            </w:r>
          </w:p>
        </w:tc>
        <w:tc>
          <w:tcPr>
            <w:tcW w:w="1246" w:type="dxa"/>
            <w:shd w:val="clear" w:color="auto" w:fill="C4EFCE"/>
            <w:vAlign w:val="center"/>
            <w:hideMark/>
          </w:tcPr>
          <w:p w14:paraId="3395B4BA" w14:textId="77777777" w:rsidR="00154AD2" w:rsidRDefault="007F6BF3">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hideMark/>
          </w:tcPr>
          <w:p w14:paraId="114316E5" w14:textId="77777777" w:rsidR="00154AD2" w:rsidRDefault="007F6BF3">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74A62CD3" w14:textId="77777777" w:rsidR="00154AD2" w:rsidRDefault="007F6BF3">
            <w:pPr>
              <w:pStyle w:val="P68B1DB1-Normal8"/>
              <w:spacing w:after="0" w:line="240" w:lineRule="auto"/>
              <w:jc w:val="center"/>
              <w:rPr>
                <w:rFonts w:eastAsia="Times New Roman" w:cs="Calibri"/>
                <w:noProof/>
              </w:rPr>
            </w:pPr>
            <w:r>
              <w:rPr>
                <w:noProof/>
              </w:rPr>
              <w:t>Κοινοποίηση στην Ευρωπαϊκή Επιτροπή της επιτυχούς επιτυχίας της αξιολόγησης κατά πυλώνες για την BPF</w:t>
            </w:r>
          </w:p>
        </w:tc>
        <w:tc>
          <w:tcPr>
            <w:tcW w:w="1245" w:type="dxa"/>
            <w:shd w:val="clear" w:color="auto" w:fill="C4EFCE"/>
            <w:vAlign w:val="center"/>
            <w:hideMark/>
          </w:tcPr>
          <w:p w14:paraId="31EB5F65" w14:textId="77777777" w:rsidR="00154AD2" w:rsidRDefault="007F6BF3">
            <w:pPr>
              <w:pStyle w:val="P68B1DB1-Normal8"/>
              <w:spacing w:after="0" w:line="240" w:lineRule="auto"/>
              <w:jc w:val="center"/>
              <w:rPr>
                <w:rFonts w:eastAsia="Times New Roman" w:cs="Calibri"/>
                <w:noProof/>
              </w:rPr>
            </w:pPr>
            <w:r>
              <w:rPr>
                <w:noProof/>
              </w:rPr>
              <w:t>Κοινοποίηση στην Ευρωπαϊκή Επιτροπή της επιτυχούς επιτυχίας της αξιολόγησης κατά πυλώνες για την BPF</w:t>
            </w:r>
          </w:p>
        </w:tc>
        <w:tc>
          <w:tcPr>
            <w:tcW w:w="972" w:type="dxa"/>
            <w:shd w:val="clear" w:color="auto" w:fill="C4EFCE"/>
            <w:vAlign w:val="center"/>
            <w:hideMark/>
          </w:tcPr>
          <w:p w14:paraId="2DB76E39" w14:textId="77777777" w:rsidR="00154AD2" w:rsidRDefault="007F6BF3">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710C53F3" w14:textId="77777777" w:rsidR="00154AD2" w:rsidRDefault="007F6BF3">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00FD89EB" w14:textId="77777777" w:rsidR="00154AD2" w:rsidRDefault="007F6BF3">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19A09A92"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694" w:type="dxa"/>
            <w:shd w:val="clear" w:color="auto" w:fill="C4EFCE"/>
            <w:vAlign w:val="center"/>
            <w:hideMark/>
          </w:tcPr>
          <w:p w14:paraId="41568E3C" w14:textId="77777777" w:rsidR="00154AD2" w:rsidRDefault="007F6BF3">
            <w:pPr>
              <w:pStyle w:val="P68B1DB1-Normal8"/>
              <w:spacing w:after="0" w:line="240" w:lineRule="auto"/>
              <w:jc w:val="center"/>
              <w:rPr>
                <w:rFonts w:eastAsia="Times New Roman" w:cs="Calibri"/>
                <w:noProof/>
              </w:rPr>
            </w:pPr>
            <w:r>
              <w:rPr>
                <w:noProof/>
              </w:rPr>
              <w:t>2022</w:t>
            </w:r>
          </w:p>
        </w:tc>
        <w:tc>
          <w:tcPr>
            <w:tcW w:w="4908" w:type="dxa"/>
            <w:shd w:val="clear" w:color="auto" w:fill="C4EFCE"/>
            <w:vAlign w:val="center"/>
            <w:hideMark/>
          </w:tcPr>
          <w:p w14:paraId="309B65CF" w14:textId="1D35D77D" w:rsidR="00154AD2" w:rsidRDefault="007F6BF3">
            <w:pPr>
              <w:pStyle w:val="P68B1DB1-Normal8"/>
              <w:spacing w:after="0" w:line="240" w:lineRule="auto"/>
              <w:jc w:val="both"/>
              <w:rPr>
                <w:rFonts w:eastAsia="Times New Roman" w:cs="Calibri"/>
                <w:noProof/>
              </w:rPr>
            </w:pPr>
            <w:r>
              <w:rPr>
                <w:noProof/>
              </w:rPr>
              <w:t>Κοινοποίηση στην Ευρωπαϊκή Επιτροπή της επιτυχούς επιτυχίας της αξιολόγησης κατά πυλώνες για την BPF</w:t>
            </w:r>
          </w:p>
        </w:tc>
      </w:tr>
      <w:tr w:rsidR="00154AD2" w14:paraId="56A32DB7" w14:textId="77777777">
        <w:trPr>
          <w:trHeight w:val="290"/>
        </w:trPr>
        <w:tc>
          <w:tcPr>
            <w:tcW w:w="1113" w:type="dxa"/>
            <w:shd w:val="clear" w:color="auto" w:fill="C4EFCE"/>
            <w:vAlign w:val="center"/>
            <w:hideMark/>
          </w:tcPr>
          <w:p w14:paraId="70D94B9B" w14:textId="77777777" w:rsidR="00154AD2" w:rsidRDefault="007F6BF3">
            <w:pPr>
              <w:pStyle w:val="P68B1DB1-Normal7"/>
              <w:spacing w:after="0" w:line="240" w:lineRule="auto"/>
              <w:jc w:val="center"/>
              <w:rPr>
                <w:rFonts w:eastAsia="Times New Roman" w:cs="Calibri"/>
                <w:noProof/>
              </w:rPr>
            </w:pPr>
            <w:r>
              <w:rPr>
                <w:noProof/>
              </w:rPr>
              <w:t>5.31</w:t>
            </w:r>
          </w:p>
        </w:tc>
        <w:tc>
          <w:tcPr>
            <w:tcW w:w="1246" w:type="dxa"/>
            <w:shd w:val="clear" w:color="auto" w:fill="C4EFCE"/>
            <w:vAlign w:val="center"/>
            <w:hideMark/>
          </w:tcPr>
          <w:p w14:paraId="5B366953" w14:textId="77777777" w:rsidR="00154AD2" w:rsidRDefault="007F6BF3">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hideMark/>
          </w:tcPr>
          <w:p w14:paraId="51738445" w14:textId="77777777" w:rsidR="00154AD2" w:rsidRDefault="007F6BF3">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57A63337" w14:textId="4B6CFB1F" w:rsidR="00154AD2" w:rsidRDefault="007F6BF3">
            <w:pPr>
              <w:pStyle w:val="P68B1DB1-Normal8"/>
              <w:spacing w:after="0" w:line="240" w:lineRule="auto"/>
              <w:jc w:val="center"/>
              <w:rPr>
                <w:rFonts w:eastAsia="Times New Roman" w:cs="Calibri"/>
                <w:noProof/>
              </w:rPr>
            </w:pPr>
            <w:r>
              <w:rPr>
                <w:noProof/>
              </w:rPr>
              <w:t> Μεταβίβαση κεφαλαίου ύψους 250 000 000 EUR από την πορτογαλική κυβέρνηση στην BPF και υιοθέτηση της επενδυτικής πολιτικής για την BPF</w:t>
            </w:r>
          </w:p>
        </w:tc>
        <w:tc>
          <w:tcPr>
            <w:tcW w:w="1245" w:type="dxa"/>
            <w:shd w:val="clear" w:color="auto" w:fill="C4EFCE"/>
            <w:vAlign w:val="center"/>
            <w:hideMark/>
          </w:tcPr>
          <w:p w14:paraId="1E07B141" w14:textId="77777777" w:rsidR="00154AD2" w:rsidRDefault="007F6BF3">
            <w:pPr>
              <w:pStyle w:val="P68B1DB1-Normal8"/>
              <w:spacing w:after="0" w:line="240" w:lineRule="auto"/>
              <w:jc w:val="center"/>
              <w:rPr>
                <w:rFonts w:eastAsia="Times New Roman" w:cs="Calibri"/>
                <w:noProof/>
              </w:rPr>
            </w:pPr>
            <w:r>
              <w:rPr>
                <w:noProof/>
              </w:rPr>
              <w:t>Αύξηση κεφαλαίου και ανάπτυξη επενδυτικής πολιτικής για την υλοποίηση του InvestEU από το ταμείο BPF, με τη θέσπιση ενός συνόλου κριτηρίων επιλεξιμότητας για τη διασφάλιση της επίτευξης των στόχων του ΜΑΑ</w:t>
            </w:r>
          </w:p>
        </w:tc>
        <w:tc>
          <w:tcPr>
            <w:tcW w:w="972" w:type="dxa"/>
            <w:shd w:val="clear" w:color="auto" w:fill="C4EFCE"/>
            <w:vAlign w:val="center"/>
            <w:hideMark/>
          </w:tcPr>
          <w:p w14:paraId="2827D026" w14:textId="77777777" w:rsidR="00154AD2" w:rsidRDefault="007F6BF3">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1A690ADD" w14:textId="77777777" w:rsidR="00154AD2" w:rsidRDefault="007F6BF3">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4AD27795" w14:textId="77777777" w:rsidR="00154AD2" w:rsidRDefault="007F6BF3">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07426AEB"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694" w:type="dxa"/>
            <w:shd w:val="clear" w:color="auto" w:fill="C4EFCE"/>
            <w:vAlign w:val="center"/>
            <w:hideMark/>
          </w:tcPr>
          <w:p w14:paraId="1A0C8068" w14:textId="77777777" w:rsidR="00154AD2" w:rsidRDefault="007F6BF3">
            <w:pPr>
              <w:pStyle w:val="P68B1DB1-Normal8"/>
              <w:spacing w:after="0" w:line="240" w:lineRule="auto"/>
              <w:jc w:val="center"/>
              <w:rPr>
                <w:rFonts w:eastAsia="Times New Roman" w:cs="Calibri"/>
                <w:noProof/>
              </w:rPr>
            </w:pPr>
            <w:r>
              <w:rPr>
                <w:noProof/>
              </w:rPr>
              <w:t>2022</w:t>
            </w:r>
          </w:p>
        </w:tc>
        <w:tc>
          <w:tcPr>
            <w:tcW w:w="4908" w:type="dxa"/>
            <w:shd w:val="clear" w:color="auto" w:fill="C4EFCE"/>
            <w:vAlign w:val="center"/>
            <w:hideMark/>
          </w:tcPr>
          <w:p w14:paraId="6CA6D0BF" w14:textId="7FA936EF" w:rsidR="00154AD2" w:rsidRDefault="007F6BF3">
            <w:pPr>
              <w:pStyle w:val="P68B1DB1-Normal8"/>
              <w:spacing w:after="0" w:line="240" w:lineRule="auto"/>
              <w:jc w:val="both"/>
              <w:rPr>
                <w:rFonts w:eastAsia="Times New Roman" w:cs="Calibri"/>
                <w:noProof/>
              </w:rPr>
            </w:pPr>
            <w:r>
              <w:rPr>
                <w:noProof/>
              </w:rPr>
              <w:t>Μεταφορά κεφαλαίου ύψους 250 000 000 EUR από την πορτογαλική κυβέρνηση στην BPF και έγκριση της επενδυτικής πολιτικής για την BPF για την υλοποίηση του InvestEU, με τη θέσπιση ενός συνόλου κριτηρίων επιλεξιμότητας σύμφωνα με τους στόχους του ΜΑΑ, συμπεριλαμβανομένης της αρχής της μη πρόκλησης σημαντικής βλάβης, στο πλαίσιο της υπογραφής «συμφωνίας εγγύησης InvestEU».</w:t>
            </w:r>
          </w:p>
        </w:tc>
      </w:tr>
      <w:tr w:rsidR="00154AD2" w14:paraId="79CBF608" w14:textId="77777777">
        <w:trPr>
          <w:trHeight w:val="687"/>
        </w:trPr>
        <w:tc>
          <w:tcPr>
            <w:tcW w:w="1113" w:type="dxa"/>
            <w:shd w:val="clear" w:color="auto" w:fill="C4EFCE"/>
            <w:vAlign w:val="center"/>
            <w:hideMark/>
          </w:tcPr>
          <w:p w14:paraId="62505207" w14:textId="4798763F" w:rsidR="00154AD2" w:rsidRDefault="007F6BF3">
            <w:pPr>
              <w:pStyle w:val="P68B1DB1-Normal7"/>
              <w:spacing w:after="0" w:line="240" w:lineRule="auto"/>
              <w:jc w:val="center"/>
              <w:rPr>
                <w:rFonts w:eastAsia="Times New Roman" w:cs="Calibri"/>
                <w:noProof/>
              </w:rPr>
            </w:pPr>
            <w:r>
              <w:rPr>
                <w:noProof/>
              </w:rPr>
              <w:t>5.32</w:t>
            </w:r>
          </w:p>
        </w:tc>
        <w:tc>
          <w:tcPr>
            <w:tcW w:w="1246" w:type="dxa"/>
            <w:shd w:val="clear" w:color="auto" w:fill="C4EFCE"/>
            <w:vAlign w:val="center"/>
            <w:hideMark/>
          </w:tcPr>
          <w:p w14:paraId="3E67B2B5" w14:textId="77777777" w:rsidR="00154AD2" w:rsidRDefault="007F6BF3">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hideMark/>
          </w:tcPr>
          <w:p w14:paraId="2B3F8D44" w14:textId="77777777" w:rsidR="00154AD2" w:rsidRDefault="007F6BF3">
            <w:pPr>
              <w:pStyle w:val="P68B1DB1-Normal8"/>
              <w:spacing w:after="0" w:line="240" w:lineRule="auto"/>
              <w:jc w:val="center"/>
              <w:rPr>
                <w:rFonts w:eastAsia="Times New Roman" w:cs="Calibri"/>
                <w:noProof/>
              </w:rPr>
            </w:pPr>
            <w:r>
              <w:rPr>
                <w:noProof/>
              </w:rPr>
              <w:t>T</w:t>
            </w:r>
          </w:p>
        </w:tc>
        <w:tc>
          <w:tcPr>
            <w:tcW w:w="1659" w:type="dxa"/>
            <w:shd w:val="clear" w:color="auto" w:fill="C4EFCE"/>
            <w:vAlign w:val="center"/>
            <w:hideMark/>
          </w:tcPr>
          <w:p w14:paraId="401B366E" w14:textId="77777777" w:rsidR="00154AD2" w:rsidRDefault="007F6BF3">
            <w:pPr>
              <w:pStyle w:val="P68B1DB1-Normal8"/>
              <w:spacing w:after="0" w:line="240" w:lineRule="auto"/>
              <w:jc w:val="center"/>
              <w:rPr>
                <w:rFonts w:eastAsia="Times New Roman" w:cs="Calibri"/>
                <w:noProof/>
              </w:rPr>
            </w:pPr>
            <w:r>
              <w:rPr>
                <w:noProof/>
              </w:rPr>
              <w:t>Το 100 % των εγγυήσεων που διατέθηκαν με την αύξηση κεφαλαίου έχουν υπογραφεί. </w:t>
            </w:r>
          </w:p>
        </w:tc>
        <w:tc>
          <w:tcPr>
            <w:tcW w:w="1245" w:type="dxa"/>
            <w:shd w:val="clear" w:color="auto" w:fill="C4EFCE"/>
            <w:vAlign w:val="center"/>
            <w:hideMark/>
          </w:tcPr>
          <w:p w14:paraId="6F03F3CC" w14:textId="77777777" w:rsidR="00154AD2" w:rsidRDefault="007F6BF3">
            <w:pPr>
              <w:pStyle w:val="P68B1DB1-Normal8"/>
              <w:spacing w:after="0" w:line="240" w:lineRule="auto"/>
              <w:jc w:val="center"/>
              <w:rPr>
                <w:rFonts w:eastAsia="Times New Roman" w:cs="Calibri"/>
                <w:noProof/>
              </w:rPr>
            </w:pPr>
            <w:r>
              <w:rPr>
                <w:noProof/>
              </w:rPr>
              <w:t> </w:t>
            </w:r>
          </w:p>
        </w:tc>
        <w:tc>
          <w:tcPr>
            <w:tcW w:w="972" w:type="dxa"/>
            <w:shd w:val="clear" w:color="auto" w:fill="C4EFCE"/>
            <w:vAlign w:val="center"/>
            <w:hideMark/>
          </w:tcPr>
          <w:p w14:paraId="05ACD126" w14:textId="77777777" w:rsidR="00154AD2" w:rsidRDefault="007F6BF3">
            <w:pPr>
              <w:pStyle w:val="P68B1DB1-Normal8"/>
              <w:spacing w:after="0" w:line="240" w:lineRule="auto"/>
              <w:jc w:val="center"/>
              <w:rPr>
                <w:rFonts w:eastAsia="Times New Roman" w:cs="Calibri"/>
                <w:noProof/>
              </w:rPr>
            </w:pPr>
            <w:r>
              <w:rPr>
                <w:noProof/>
              </w:rPr>
              <w:t>%</w:t>
            </w:r>
          </w:p>
        </w:tc>
        <w:tc>
          <w:tcPr>
            <w:tcW w:w="971" w:type="dxa"/>
            <w:shd w:val="clear" w:color="auto" w:fill="C4EFCE"/>
            <w:vAlign w:val="center"/>
            <w:hideMark/>
          </w:tcPr>
          <w:p w14:paraId="51E051FB" w14:textId="77777777" w:rsidR="00154AD2" w:rsidRDefault="007F6BF3">
            <w:pPr>
              <w:pStyle w:val="P68B1DB1-Normal8"/>
              <w:spacing w:after="0" w:line="240" w:lineRule="auto"/>
              <w:jc w:val="center"/>
              <w:rPr>
                <w:rFonts w:eastAsia="Times New Roman" w:cs="Calibri"/>
                <w:noProof/>
              </w:rPr>
            </w:pPr>
            <w:r>
              <w:rPr>
                <w:noProof/>
              </w:rPr>
              <w:t>0</w:t>
            </w:r>
          </w:p>
        </w:tc>
        <w:tc>
          <w:tcPr>
            <w:tcW w:w="695" w:type="dxa"/>
            <w:shd w:val="clear" w:color="auto" w:fill="C4EFCE"/>
            <w:vAlign w:val="center"/>
            <w:hideMark/>
          </w:tcPr>
          <w:p w14:paraId="25B5E659" w14:textId="77777777" w:rsidR="00154AD2" w:rsidRDefault="007F6BF3">
            <w:pPr>
              <w:pStyle w:val="P68B1DB1-Normal8"/>
              <w:spacing w:after="0" w:line="240" w:lineRule="auto"/>
              <w:jc w:val="center"/>
              <w:rPr>
                <w:rFonts w:eastAsia="Times New Roman" w:cs="Calibri"/>
                <w:noProof/>
              </w:rPr>
            </w:pPr>
            <w:r>
              <w:rPr>
                <w:noProof/>
              </w:rPr>
              <w:t>100</w:t>
            </w:r>
          </w:p>
        </w:tc>
        <w:tc>
          <w:tcPr>
            <w:tcW w:w="557" w:type="dxa"/>
            <w:shd w:val="clear" w:color="auto" w:fill="C4EFCE"/>
            <w:vAlign w:val="center"/>
            <w:hideMark/>
          </w:tcPr>
          <w:p w14:paraId="4E52A7D8"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94" w:type="dxa"/>
            <w:shd w:val="clear" w:color="auto" w:fill="C4EFCE"/>
            <w:vAlign w:val="center"/>
            <w:hideMark/>
          </w:tcPr>
          <w:p w14:paraId="53FDD632" w14:textId="77777777" w:rsidR="00154AD2" w:rsidRDefault="007F6BF3">
            <w:pPr>
              <w:pStyle w:val="P68B1DB1-Normal8"/>
              <w:spacing w:after="0" w:line="240" w:lineRule="auto"/>
              <w:jc w:val="center"/>
              <w:rPr>
                <w:rFonts w:eastAsia="Times New Roman" w:cs="Calibri"/>
                <w:noProof/>
              </w:rPr>
            </w:pPr>
            <w:r>
              <w:rPr>
                <w:noProof/>
              </w:rPr>
              <w:t>2025</w:t>
            </w:r>
          </w:p>
        </w:tc>
        <w:tc>
          <w:tcPr>
            <w:tcW w:w="4908" w:type="dxa"/>
            <w:shd w:val="clear" w:color="auto" w:fill="C4EFCE"/>
            <w:vAlign w:val="center"/>
            <w:hideMark/>
          </w:tcPr>
          <w:p w14:paraId="4C0F1601" w14:textId="21F43E55" w:rsidR="00154AD2" w:rsidRDefault="007F6BF3">
            <w:pPr>
              <w:pStyle w:val="P68B1DB1-Normal8"/>
              <w:spacing w:after="0" w:line="240" w:lineRule="auto"/>
              <w:jc w:val="both"/>
              <w:rPr>
                <w:rFonts w:eastAsia="Times New Roman" w:cs="Calibri"/>
                <w:noProof/>
              </w:rPr>
            </w:pPr>
            <w:r>
              <w:rPr>
                <w:noProof/>
              </w:rPr>
              <w:t>Το 100 % των εγγυήσεων που διατέθηκαν με την αύξηση κεφαλαίου έχουν υπογραφεί.</w:t>
            </w:r>
          </w:p>
        </w:tc>
      </w:tr>
      <w:tr w:rsidR="00154AD2" w14:paraId="05356182" w14:textId="77777777">
        <w:trPr>
          <w:trHeight w:val="687"/>
        </w:trPr>
        <w:tc>
          <w:tcPr>
            <w:tcW w:w="1113" w:type="dxa"/>
            <w:shd w:val="clear" w:color="auto" w:fill="C4EFCE"/>
            <w:vAlign w:val="center"/>
          </w:tcPr>
          <w:p w14:paraId="3090E32F" w14:textId="6FE74260" w:rsidR="00154AD2" w:rsidRDefault="007F6BF3">
            <w:pPr>
              <w:pStyle w:val="P68B1DB1-Normal11"/>
              <w:spacing w:after="0" w:line="240" w:lineRule="auto"/>
              <w:jc w:val="center"/>
              <w:rPr>
                <w:rFonts w:eastAsia="Times New Roman" w:cstheme="minorHAnsi"/>
                <w:noProof/>
              </w:rPr>
            </w:pPr>
            <w:r>
              <w:rPr>
                <w:noProof/>
              </w:rPr>
              <w:t>5.44</w:t>
            </w:r>
          </w:p>
        </w:tc>
        <w:tc>
          <w:tcPr>
            <w:tcW w:w="1246" w:type="dxa"/>
            <w:shd w:val="clear" w:color="auto" w:fill="C4EFCE"/>
            <w:vAlign w:val="center"/>
          </w:tcPr>
          <w:p w14:paraId="41683FBE" w14:textId="030829FE" w:rsidR="00154AD2" w:rsidRDefault="007F6BF3">
            <w:pPr>
              <w:pStyle w:val="P68B1DB1-Normal12"/>
              <w:spacing w:after="0" w:line="240" w:lineRule="auto"/>
              <w:jc w:val="center"/>
              <w:rPr>
                <w:rFonts w:eastAsia="Times New Roman" w:cstheme="minorHAnsi"/>
                <w:noProof/>
              </w:rPr>
            </w:pPr>
            <w:r>
              <w:rPr>
                <w:noProof/>
              </w:rPr>
              <w:t>RE-C05-i11</w:t>
            </w:r>
          </w:p>
        </w:tc>
        <w:tc>
          <w:tcPr>
            <w:tcW w:w="1108" w:type="dxa"/>
            <w:shd w:val="clear" w:color="auto" w:fill="C4EFCE"/>
            <w:vAlign w:val="center"/>
          </w:tcPr>
          <w:p w14:paraId="5762224E" w14:textId="108F9BEC" w:rsidR="00154AD2" w:rsidRDefault="007F6BF3">
            <w:pPr>
              <w:pStyle w:val="P68B1DB1-Normal12"/>
              <w:spacing w:after="0" w:line="240" w:lineRule="auto"/>
              <w:jc w:val="center"/>
              <w:rPr>
                <w:rFonts w:eastAsia="Times New Roman" w:cstheme="minorHAnsi"/>
                <w:noProof/>
              </w:rPr>
            </w:pPr>
            <w:r>
              <w:rPr>
                <w:noProof/>
              </w:rPr>
              <w:t>T</w:t>
            </w:r>
          </w:p>
        </w:tc>
        <w:tc>
          <w:tcPr>
            <w:tcW w:w="1659" w:type="dxa"/>
            <w:shd w:val="clear" w:color="auto" w:fill="C4EFCE"/>
            <w:vAlign w:val="center"/>
          </w:tcPr>
          <w:p w14:paraId="6ACAF2B5" w14:textId="51C13B47" w:rsidR="00154AD2" w:rsidRDefault="007F6BF3">
            <w:pPr>
              <w:pStyle w:val="P68B1DB1-Normal12"/>
              <w:spacing w:after="0" w:line="240" w:lineRule="auto"/>
              <w:jc w:val="center"/>
              <w:rPr>
                <w:rFonts w:eastAsia="Times New Roman" w:cstheme="minorHAnsi"/>
                <w:noProof/>
              </w:rPr>
            </w:pPr>
            <w:r>
              <w:rPr>
                <w:noProof/>
              </w:rPr>
              <w:t xml:space="preserve"> Σύναψη συμβάσεων για την ανάπτυξη νέων προϊόντων, διαδικασιών ή υπηρεσιών σε σχετικούς στρατηγικούς τομείς (θεματολόγια καινοτομίας).</w:t>
            </w:r>
          </w:p>
        </w:tc>
        <w:tc>
          <w:tcPr>
            <w:tcW w:w="1245" w:type="dxa"/>
            <w:shd w:val="clear" w:color="auto" w:fill="C4EFCE"/>
            <w:vAlign w:val="center"/>
          </w:tcPr>
          <w:p w14:paraId="06CE0AEF" w14:textId="1878EFC3" w:rsidR="00154AD2" w:rsidRDefault="00154AD2">
            <w:pPr>
              <w:spacing w:after="0" w:line="240" w:lineRule="auto"/>
              <w:jc w:val="center"/>
              <w:rPr>
                <w:rFonts w:eastAsia="Times New Roman" w:cstheme="minorHAnsi"/>
                <w:noProof/>
                <w:sz w:val="16"/>
              </w:rPr>
            </w:pPr>
          </w:p>
        </w:tc>
        <w:tc>
          <w:tcPr>
            <w:tcW w:w="972" w:type="dxa"/>
            <w:shd w:val="clear" w:color="auto" w:fill="C4EFCE"/>
            <w:vAlign w:val="center"/>
          </w:tcPr>
          <w:p w14:paraId="29862BFF" w14:textId="4B1AB547" w:rsidR="00154AD2" w:rsidRDefault="007F6BF3">
            <w:pPr>
              <w:pStyle w:val="P68B1DB1-Normal12"/>
              <w:spacing w:after="0" w:line="240" w:lineRule="auto"/>
              <w:jc w:val="center"/>
              <w:rPr>
                <w:rFonts w:eastAsia="Times New Roman" w:cstheme="minorHAnsi"/>
                <w:noProof/>
              </w:rPr>
            </w:pPr>
            <w:r>
              <w:rPr>
                <w:noProof/>
              </w:rPr>
              <w:t>Αριθμός</w:t>
            </w:r>
          </w:p>
        </w:tc>
        <w:tc>
          <w:tcPr>
            <w:tcW w:w="971" w:type="dxa"/>
            <w:shd w:val="clear" w:color="auto" w:fill="C4EFCE"/>
            <w:vAlign w:val="center"/>
          </w:tcPr>
          <w:p w14:paraId="1B529FD1" w14:textId="362CE58C" w:rsidR="00154AD2" w:rsidRDefault="007F6BF3">
            <w:pPr>
              <w:pStyle w:val="P68B1DB1-Normal12"/>
              <w:spacing w:after="0" w:line="240" w:lineRule="auto"/>
              <w:jc w:val="center"/>
              <w:rPr>
                <w:rFonts w:eastAsia="Times New Roman" w:cstheme="minorHAnsi"/>
                <w:noProof/>
              </w:rPr>
            </w:pPr>
            <w:r>
              <w:rPr>
                <w:noProof/>
              </w:rPr>
              <w:t>12</w:t>
            </w:r>
          </w:p>
        </w:tc>
        <w:tc>
          <w:tcPr>
            <w:tcW w:w="695" w:type="dxa"/>
            <w:shd w:val="clear" w:color="auto" w:fill="C4EFCE"/>
            <w:vAlign w:val="center"/>
          </w:tcPr>
          <w:p w14:paraId="4BC9E805" w14:textId="18636895" w:rsidR="00154AD2" w:rsidRDefault="007F6BF3">
            <w:pPr>
              <w:pStyle w:val="P68B1DB1-Normal12"/>
              <w:spacing w:after="0" w:line="240" w:lineRule="auto"/>
              <w:jc w:val="center"/>
              <w:rPr>
                <w:rFonts w:eastAsia="Times New Roman" w:cstheme="minorHAnsi"/>
                <w:noProof/>
              </w:rPr>
            </w:pPr>
            <w:r>
              <w:rPr>
                <w:noProof/>
              </w:rPr>
              <w:t>28</w:t>
            </w:r>
          </w:p>
        </w:tc>
        <w:tc>
          <w:tcPr>
            <w:tcW w:w="557" w:type="dxa"/>
            <w:shd w:val="clear" w:color="auto" w:fill="C4EFCE"/>
            <w:vAlign w:val="center"/>
          </w:tcPr>
          <w:p w14:paraId="1BD6F284" w14:textId="712C7DF4" w:rsidR="00154AD2" w:rsidRDefault="007F6BF3">
            <w:pPr>
              <w:pStyle w:val="P68B1DB1-Normal12"/>
              <w:spacing w:after="0" w:line="240" w:lineRule="auto"/>
              <w:jc w:val="center"/>
              <w:rPr>
                <w:rFonts w:eastAsia="Times New Roman"/>
                <w:noProof/>
              </w:rPr>
            </w:pPr>
            <w:r>
              <w:rPr>
                <w:noProof/>
              </w:rPr>
              <w:t>ΤΡΊΜΗΝΟ 2</w:t>
            </w:r>
          </w:p>
        </w:tc>
        <w:tc>
          <w:tcPr>
            <w:tcW w:w="694" w:type="dxa"/>
            <w:shd w:val="clear" w:color="auto" w:fill="C4EFCE"/>
            <w:vAlign w:val="center"/>
          </w:tcPr>
          <w:p w14:paraId="20227E9B" w14:textId="71A93C0E" w:rsidR="00154AD2" w:rsidRDefault="007F6BF3">
            <w:pPr>
              <w:pStyle w:val="P68B1DB1-Normal12"/>
              <w:spacing w:after="0" w:line="240" w:lineRule="auto"/>
              <w:jc w:val="center"/>
              <w:rPr>
                <w:rFonts w:eastAsia="Times New Roman" w:cstheme="minorHAnsi"/>
                <w:noProof/>
              </w:rPr>
            </w:pPr>
            <w:r>
              <w:rPr>
                <w:noProof/>
              </w:rPr>
              <w:t>2023</w:t>
            </w:r>
          </w:p>
        </w:tc>
        <w:tc>
          <w:tcPr>
            <w:tcW w:w="4908" w:type="dxa"/>
            <w:shd w:val="clear" w:color="auto" w:fill="C4EFCE"/>
            <w:vAlign w:val="center"/>
          </w:tcPr>
          <w:p w14:paraId="0471D376" w14:textId="7728B231" w:rsidR="00154AD2" w:rsidRDefault="007F6BF3">
            <w:pPr>
              <w:pStyle w:val="P68B1DB1-Bodytext1013"/>
              <w:spacing w:after="0"/>
              <w:jc w:val="both"/>
              <w:rPr>
                <w:rFonts w:cstheme="minorHAnsi"/>
                <w:noProof/>
              </w:rPr>
            </w:pPr>
            <w:r>
              <w:rPr>
                <w:noProof/>
              </w:rPr>
              <w:t>Σύναψη 16 πρόσθετων συμβάσεων (σύμφωνα καινοτομίας ή κινητοποίηση έργων) με κοινοπραξίες, οι οποίες περιλαμβάνουν:</w:t>
            </w:r>
          </w:p>
          <w:p w14:paraId="1DC9F869" w14:textId="77777777" w:rsidR="00154AD2" w:rsidRDefault="007F6BF3">
            <w:pPr>
              <w:pStyle w:val="P68B1DB1-Bodytext1013"/>
              <w:spacing w:after="0"/>
              <w:jc w:val="both"/>
              <w:rPr>
                <w:rFonts w:cstheme="minorHAnsi"/>
                <w:noProof/>
              </w:rPr>
            </w:pPr>
            <w:r>
              <w:rPr>
                <w:noProof/>
              </w:rPr>
              <w:t>• Προσδιορισμός των συνιστωσών οντοτήτων της κοινοπραξίας·</w:t>
            </w:r>
          </w:p>
          <w:p w14:paraId="684BA3DE" w14:textId="77777777" w:rsidR="00154AD2" w:rsidRDefault="007F6BF3">
            <w:pPr>
              <w:pStyle w:val="P68B1DB1-Bodytext1013"/>
              <w:spacing w:after="0"/>
              <w:jc w:val="both"/>
              <w:rPr>
                <w:rFonts w:cstheme="minorHAnsi"/>
                <w:noProof/>
              </w:rPr>
            </w:pPr>
            <w:r>
              <w:rPr>
                <w:noProof/>
              </w:rPr>
              <w:t>• Το επιχειρηματικό σχέδιο/επένδυση·</w:t>
            </w:r>
          </w:p>
          <w:p w14:paraId="38DA5FAE" w14:textId="77777777" w:rsidR="00154AD2" w:rsidRDefault="007F6BF3">
            <w:pPr>
              <w:pStyle w:val="P68B1DB1-Bodytext1013"/>
              <w:spacing w:after="0"/>
              <w:jc w:val="both"/>
              <w:rPr>
                <w:rFonts w:cstheme="minorHAnsi"/>
                <w:noProof/>
              </w:rPr>
            </w:pPr>
            <w:r>
              <w:rPr>
                <w:noProof/>
              </w:rPr>
              <w:t>• το ποσό της χρηματοδότησης·</w:t>
            </w:r>
          </w:p>
          <w:p w14:paraId="2C955C7F" w14:textId="77777777" w:rsidR="00154AD2" w:rsidRDefault="007F6BF3">
            <w:pPr>
              <w:pStyle w:val="P68B1DB1-Bodytext1013"/>
              <w:spacing w:after="0"/>
              <w:jc w:val="both"/>
              <w:rPr>
                <w:rFonts w:cstheme="minorHAnsi"/>
                <w:noProof/>
              </w:rPr>
            </w:pPr>
            <w:r>
              <w:rPr>
                <w:noProof/>
              </w:rPr>
              <w:t>• Τους στόχους από τους οποίους δεσμεύεται ο δικαιούχος·</w:t>
            </w:r>
          </w:p>
          <w:p w14:paraId="790A3625" w14:textId="77777777" w:rsidR="00154AD2" w:rsidRDefault="007F6BF3">
            <w:pPr>
              <w:pStyle w:val="P68B1DB1-Bodytext1013"/>
              <w:spacing w:after="0"/>
              <w:jc w:val="both"/>
              <w:rPr>
                <w:rFonts w:cstheme="minorHAnsi"/>
                <w:noProof/>
              </w:rPr>
            </w:pPr>
            <w:r>
              <w:rPr>
                <w:noProof/>
              </w:rPr>
              <w:t xml:space="preserve">• Τη μορφή της παρακολούθησης. </w:t>
            </w:r>
          </w:p>
          <w:p w14:paraId="17CC2A9F" w14:textId="76A7D5F0" w:rsidR="00154AD2" w:rsidRDefault="007F6BF3">
            <w:pPr>
              <w:pStyle w:val="P68B1DB1-Bodytext1013"/>
              <w:spacing w:after="0"/>
              <w:jc w:val="both"/>
              <w:rPr>
                <w:rFonts w:cstheme="minorHAnsi"/>
                <w:noProof/>
              </w:rPr>
            </w:pPr>
            <w:r>
              <w:rPr>
                <w:noProof/>
              </w:rPr>
              <w:t>Οι συμβάσεις υποστηρίζουν συνολικά τουλάχιστον 446 προϊόντα, διαδικασίες ή υπηρεσίες (ΜΑΔ). Οι όροι αναφοράς περιλαμβάνουν κριτήρια επιλεξιμότητας που διασφαλίζουν ότι τα επιλεγμένα έργα συμμορφώνονται με την τεχνική καθοδήγηση σχετικά με την εφαρμογή της αρχής της «μη πρόκλησης σημαντικής βλάβης» (2021/C58/01) μέσω της χρήσης καταλόγου αποκλεισμού και της απαίτησης συμμόρφωσης με τη σχετική ενωσιακή και εθνική περιβαλλοντική νομοθεσία.</w:t>
            </w:r>
          </w:p>
          <w:p w14:paraId="0E8BCEEF" w14:textId="6D75360C" w:rsidR="00154AD2" w:rsidRDefault="007F6BF3">
            <w:pPr>
              <w:pStyle w:val="P68B1DB1-Bodytext1013"/>
              <w:spacing w:after="0"/>
              <w:jc w:val="both"/>
              <w:rPr>
                <w:rFonts w:cstheme="minorHAnsi"/>
                <w:noProof/>
              </w:rPr>
            </w:pPr>
            <w:r>
              <w:rPr>
                <w:noProof/>
              </w:rPr>
              <w:t>Οι συμβάσεις προστίθενται στις συμβάσεις που εκτελούνται στις RE-C05-i01.01 και RE-C05-i09.</w:t>
            </w:r>
          </w:p>
          <w:p w14:paraId="665FD32D" w14:textId="15DAACE9" w:rsidR="00154AD2" w:rsidRDefault="007F6BF3">
            <w:pPr>
              <w:pStyle w:val="P68B1DB1-Normal12"/>
              <w:spacing w:after="0" w:line="240" w:lineRule="auto"/>
              <w:jc w:val="both"/>
              <w:rPr>
                <w:rFonts w:eastAsia="Times New Roman" w:cstheme="minorHAnsi"/>
                <w:noProof/>
              </w:rPr>
            </w:pPr>
            <w:r>
              <w:rPr>
                <w:noProof/>
              </w:rPr>
              <w:t>Τουλάχιστον 366 από τις ΕΜΠ ευθυγραμμίζονται με το πεδίο παρέμβασης 021 (Μεταφορά τεχνολογίας και συνεργασία μεταξύ επιχειρήσεων, ερευνητικών κέντρων και εκπαιδευτικού τομέα).</w:t>
            </w:r>
          </w:p>
        </w:tc>
      </w:tr>
      <w:tr w:rsidR="00154AD2" w14:paraId="400ED1E3" w14:textId="77777777">
        <w:trPr>
          <w:trHeight w:val="687"/>
        </w:trPr>
        <w:tc>
          <w:tcPr>
            <w:tcW w:w="1113" w:type="dxa"/>
            <w:shd w:val="clear" w:color="auto" w:fill="C4EFCE"/>
            <w:vAlign w:val="center"/>
          </w:tcPr>
          <w:p w14:paraId="44700B14" w14:textId="1C6F6D95" w:rsidR="00154AD2" w:rsidRDefault="007F6BF3">
            <w:pPr>
              <w:pStyle w:val="P68B1DB1-Normal11"/>
              <w:spacing w:after="0" w:line="240" w:lineRule="auto"/>
              <w:jc w:val="center"/>
              <w:rPr>
                <w:rFonts w:eastAsia="Times New Roman" w:cstheme="minorHAnsi"/>
                <w:noProof/>
              </w:rPr>
            </w:pPr>
            <w:r>
              <w:rPr>
                <w:noProof/>
              </w:rPr>
              <w:t>5.45</w:t>
            </w:r>
          </w:p>
        </w:tc>
        <w:tc>
          <w:tcPr>
            <w:tcW w:w="1246" w:type="dxa"/>
            <w:shd w:val="clear" w:color="auto" w:fill="C4EFCE"/>
            <w:vAlign w:val="center"/>
          </w:tcPr>
          <w:p w14:paraId="1965DF86" w14:textId="22F6F593" w:rsidR="00154AD2" w:rsidRDefault="007F6BF3">
            <w:pPr>
              <w:pStyle w:val="P68B1DB1-Normal12"/>
              <w:spacing w:after="0" w:line="240" w:lineRule="auto"/>
              <w:jc w:val="center"/>
              <w:rPr>
                <w:rFonts w:eastAsia="Times New Roman" w:cstheme="minorHAnsi"/>
                <w:noProof/>
              </w:rPr>
            </w:pPr>
            <w:r>
              <w:rPr>
                <w:noProof/>
              </w:rPr>
              <w:t>RE-C05-i11</w:t>
            </w:r>
          </w:p>
        </w:tc>
        <w:tc>
          <w:tcPr>
            <w:tcW w:w="1108" w:type="dxa"/>
            <w:shd w:val="clear" w:color="auto" w:fill="C4EFCE"/>
            <w:vAlign w:val="center"/>
          </w:tcPr>
          <w:p w14:paraId="743CE8AD" w14:textId="093BC448" w:rsidR="00154AD2" w:rsidRDefault="007F6BF3">
            <w:pPr>
              <w:pStyle w:val="P68B1DB1-Normal12"/>
              <w:spacing w:after="0" w:line="240" w:lineRule="auto"/>
              <w:jc w:val="center"/>
              <w:rPr>
                <w:rFonts w:eastAsia="Times New Roman" w:cstheme="minorHAnsi"/>
                <w:noProof/>
              </w:rPr>
            </w:pPr>
            <w:r>
              <w:rPr>
                <w:noProof/>
              </w:rPr>
              <w:t>T</w:t>
            </w:r>
          </w:p>
        </w:tc>
        <w:tc>
          <w:tcPr>
            <w:tcW w:w="1659" w:type="dxa"/>
            <w:shd w:val="clear" w:color="auto" w:fill="C4EFCE"/>
            <w:vAlign w:val="center"/>
          </w:tcPr>
          <w:p w14:paraId="5FB71C3F" w14:textId="67C84415" w:rsidR="00154AD2" w:rsidRDefault="007F6BF3">
            <w:pPr>
              <w:pStyle w:val="P68B1DB1-Normal12"/>
              <w:spacing w:after="0" w:line="240" w:lineRule="auto"/>
              <w:jc w:val="center"/>
              <w:rPr>
                <w:rFonts w:eastAsia="Times New Roman" w:cstheme="minorHAnsi"/>
                <w:noProof/>
              </w:rPr>
            </w:pPr>
            <w:r>
              <w:rPr>
                <w:noProof/>
              </w:rPr>
              <w:t xml:space="preserve">Ολοκλήρωση 446 προϊόντων, διεργασιών ή υπηρεσιών.  </w:t>
            </w:r>
          </w:p>
        </w:tc>
        <w:tc>
          <w:tcPr>
            <w:tcW w:w="1245" w:type="dxa"/>
            <w:shd w:val="clear" w:color="auto" w:fill="C4EFCE"/>
            <w:vAlign w:val="center"/>
          </w:tcPr>
          <w:p w14:paraId="0EC39034" w14:textId="02271F16" w:rsidR="00154AD2" w:rsidRDefault="00154AD2">
            <w:pPr>
              <w:spacing w:after="0" w:line="240" w:lineRule="auto"/>
              <w:jc w:val="center"/>
              <w:rPr>
                <w:rFonts w:eastAsia="Times New Roman" w:cstheme="minorHAnsi"/>
                <w:noProof/>
                <w:sz w:val="16"/>
              </w:rPr>
            </w:pPr>
          </w:p>
        </w:tc>
        <w:tc>
          <w:tcPr>
            <w:tcW w:w="972" w:type="dxa"/>
            <w:shd w:val="clear" w:color="auto" w:fill="C4EFCE"/>
            <w:vAlign w:val="center"/>
          </w:tcPr>
          <w:p w14:paraId="7F7FE345" w14:textId="61337074" w:rsidR="00154AD2" w:rsidRDefault="007F6BF3">
            <w:pPr>
              <w:pStyle w:val="P68B1DB1-Normal12"/>
              <w:spacing w:after="0" w:line="240" w:lineRule="auto"/>
              <w:jc w:val="center"/>
              <w:rPr>
                <w:rFonts w:eastAsia="Times New Roman" w:cstheme="minorHAnsi"/>
                <w:noProof/>
              </w:rPr>
            </w:pPr>
            <w:r>
              <w:rPr>
                <w:noProof/>
              </w:rPr>
              <w:t>Αριθμός</w:t>
            </w:r>
          </w:p>
        </w:tc>
        <w:tc>
          <w:tcPr>
            <w:tcW w:w="971" w:type="dxa"/>
            <w:shd w:val="clear" w:color="auto" w:fill="C4EFCE"/>
            <w:vAlign w:val="center"/>
          </w:tcPr>
          <w:p w14:paraId="683EB9BC" w14:textId="43DAD693" w:rsidR="00154AD2" w:rsidRDefault="007F6BF3">
            <w:pPr>
              <w:pStyle w:val="P68B1DB1-Normal12"/>
              <w:spacing w:after="0" w:line="240" w:lineRule="auto"/>
              <w:jc w:val="center"/>
              <w:rPr>
                <w:rFonts w:eastAsia="Times New Roman" w:cstheme="minorHAnsi"/>
                <w:noProof/>
              </w:rPr>
            </w:pPr>
            <w:r>
              <w:rPr>
                <w:noProof/>
              </w:rPr>
              <w:t>228</w:t>
            </w:r>
          </w:p>
        </w:tc>
        <w:tc>
          <w:tcPr>
            <w:tcW w:w="695" w:type="dxa"/>
            <w:shd w:val="clear" w:color="auto" w:fill="C4EFCE"/>
            <w:vAlign w:val="center"/>
          </w:tcPr>
          <w:p w14:paraId="49686240" w14:textId="4EF220DE" w:rsidR="00154AD2" w:rsidRDefault="007F6BF3">
            <w:pPr>
              <w:pStyle w:val="P68B1DB1-Normal12"/>
              <w:spacing w:after="0" w:line="240" w:lineRule="auto"/>
              <w:jc w:val="center"/>
              <w:rPr>
                <w:rFonts w:eastAsia="Times New Roman" w:cstheme="minorHAnsi"/>
                <w:noProof/>
              </w:rPr>
            </w:pPr>
            <w:r>
              <w:rPr>
                <w:noProof/>
              </w:rPr>
              <w:t>674</w:t>
            </w:r>
          </w:p>
        </w:tc>
        <w:tc>
          <w:tcPr>
            <w:tcW w:w="557" w:type="dxa"/>
            <w:shd w:val="clear" w:color="auto" w:fill="C4EFCE"/>
            <w:vAlign w:val="center"/>
          </w:tcPr>
          <w:p w14:paraId="448DFBE1" w14:textId="16712C51" w:rsidR="00154AD2" w:rsidRDefault="007F6BF3">
            <w:pPr>
              <w:pStyle w:val="P68B1DB1-Normal12"/>
              <w:spacing w:after="0" w:line="240" w:lineRule="auto"/>
              <w:jc w:val="center"/>
              <w:rPr>
                <w:rFonts w:eastAsia="Times New Roman" w:cstheme="minorHAnsi"/>
                <w:noProof/>
              </w:rPr>
            </w:pPr>
            <w:r>
              <w:rPr>
                <w:noProof/>
              </w:rPr>
              <w:t>ΤΡΊΜΗΝΟ 4</w:t>
            </w:r>
          </w:p>
        </w:tc>
        <w:tc>
          <w:tcPr>
            <w:tcW w:w="694" w:type="dxa"/>
            <w:shd w:val="clear" w:color="auto" w:fill="C4EFCE"/>
            <w:vAlign w:val="center"/>
          </w:tcPr>
          <w:p w14:paraId="1604BD49" w14:textId="0EBDE02B" w:rsidR="00154AD2" w:rsidRDefault="007F6BF3">
            <w:pPr>
              <w:pStyle w:val="P68B1DB1-Normal12"/>
              <w:spacing w:after="0" w:line="240" w:lineRule="auto"/>
              <w:jc w:val="center"/>
              <w:rPr>
                <w:rFonts w:eastAsia="Times New Roman" w:cstheme="minorHAnsi"/>
                <w:noProof/>
              </w:rPr>
            </w:pPr>
            <w:r>
              <w:rPr>
                <w:noProof/>
              </w:rPr>
              <w:t>2025</w:t>
            </w:r>
          </w:p>
        </w:tc>
        <w:tc>
          <w:tcPr>
            <w:tcW w:w="4908" w:type="dxa"/>
            <w:shd w:val="clear" w:color="auto" w:fill="C4EFCE"/>
            <w:vAlign w:val="center"/>
          </w:tcPr>
          <w:p w14:paraId="5A087616" w14:textId="5F4C7337" w:rsidR="00154AD2" w:rsidRDefault="007F6BF3">
            <w:pPr>
              <w:pStyle w:val="P68B1DB1-Normal12"/>
              <w:spacing w:after="0" w:line="240" w:lineRule="auto"/>
              <w:jc w:val="both"/>
              <w:rPr>
                <w:noProof/>
              </w:rPr>
            </w:pPr>
            <w:r>
              <w:rPr>
                <w:noProof/>
              </w:rPr>
              <w:t xml:space="preserve">Ολοκλήρωση 446 προϊόντων, διαδικασιών ή υπηρεσιών (ΜΑΔ) σε σχετικούς στρατηγικούς τομείς, που προκύπτουν από την εφαρμογή των συμβάσεων (σύμφωνα καινοτομίας ή κινητοποίηση έργων) που έχουν συναφθεί με κοινοπραξίες. </w:t>
            </w:r>
          </w:p>
          <w:p w14:paraId="5870609D" w14:textId="5F4C7337" w:rsidR="00154AD2" w:rsidRDefault="007F6BF3">
            <w:pPr>
              <w:pStyle w:val="P68B1DB1-Bodytext1013"/>
              <w:spacing w:after="0"/>
              <w:jc w:val="both"/>
              <w:rPr>
                <w:rFonts w:cstheme="minorBidi"/>
                <w:noProof/>
              </w:rPr>
            </w:pPr>
            <w:r>
              <w:rPr>
                <w:noProof/>
              </w:rPr>
              <w:t>Το PPS είναι επιπρόσθετο των PPS που εφαρμόζονται στις RE-C05-i01.01 και RE-C05-i09.</w:t>
            </w:r>
          </w:p>
          <w:p w14:paraId="4EDE4521" w14:textId="4E974DF6" w:rsidR="00154AD2" w:rsidRDefault="007F6BF3">
            <w:pPr>
              <w:pStyle w:val="P68B1DB1-Bodytext1013"/>
              <w:spacing w:after="0"/>
              <w:jc w:val="both"/>
              <w:rPr>
                <w:rFonts w:cstheme="minorBidi"/>
                <w:noProof/>
              </w:rPr>
            </w:pPr>
            <w:r>
              <w:rPr>
                <w:noProof/>
              </w:rPr>
              <w:t>Τουλάχιστον 366 από το ΕΜΠ ευθυγραμμίζονται με το πεδίο παρέμβασης 021.</w:t>
            </w:r>
          </w:p>
        </w:tc>
      </w:tr>
      <w:tr w:rsidR="00154AD2" w14:paraId="1381D009" w14:textId="77777777">
        <w:trPr>
          <w:trHeight w:val="687"/>
        </w:trPr>
        <w:tc>
          <w:tcPr>
            <w:tcW w:w="1113" w:type="dxa"/>
            <w:shd w:val="clear" w:color="auto" w:fill="C4EFCE"/>
            <w:vAlign w:val="center"/>
          </w:tcPr>
          <w:p w14:paraId="0CB16054" w14:textId="510C0E6F" w:rsidR="00154AD2" w:rsidRDefault="007F6BF3">
            <w:pPr>
              <w:pStyle w:val="P68B1DB1-Normal11"/>
              <w:spacing w:after="0" w:line="240" w:lineRule="auto"/>
              <w:jc w:val="center"/>
              <w:rPr>
                <w:rFonts w:cstheme="minorHAnsi"/>
                <w:noProof/>
              </w:rPr>
            </w:pPr>
            <w:r>
              <w:rPr>
                <w:noProof/>
              </w:rPr>
              <w:t>5.46</w:t>
            </w:r>
          </w:p>
        </w:tc>
        <w:tc>
          <w:tcPr>
            <w:tcW w:w="1246" w:type="dxa"/>
            <w:shd w:val="clear" w:color="auto" w:fill="C4EFCE"/>
            <w:vAlign w:val="center"/>
          </w:tcPr>
          <w:p w14:paraId="0BC93575" w14:textId="3FBAAA80" w:rsidR="00154AD2" w:rsidRDefault="007F6BF3">
            <w:pPr>
              <w:pStyle w:val="P68B1DB1-Normal12"/>
              <w:spacing w:after="0" w:line="240" w:lineRule="auto"/>
              <w:jc w:val="center"/>
              <w:rPr>
                <w:rFonts w:cstheme="minorHAnsi"/>
                <w:noProof/>
              </w:rPr>
            </w:pPr>
            <w:r>
              <w:rPr>
                <w:noProof/>
              </w:rPr>
              <w:t>RE-C05-i12</w:t>
            </w:r>
          </w:p>
        </w:tc>
        <w:tc>
          <w:tcPr>
            <w:tcW w:w="1108" w:type="dxa"/>
            <w:shd w:val="clear" w:color="auto" w:fill="C4EFCE"/>
            <w:vAlign w:val="center"/>
          </w:tcPr>
          <w:p w14:paraId="41149329" w14:textId="1C872CA1" w:rsidR="00154AD2" w:rsidRDefault="007F6BF3">
            <w:pPr>
              <w:pStyle w:val="P68B1DB1-Normal12"/>
              <w:spacing w:after="0" w:line="240" w:lineRule="auto"/>
              <w:jc w:val="center"/>
              <w:rPr>
                <w:rFonts w:cstheme="minorHAnsi"/>
                <w:noProof/>
              </w:rPr>
            </w:pPr>
            <w:r>
              <w:rPr>
                <w:noProof/>
              </w:rPr>
              <w:t>T</w:t>
            </w:r>
          </w:p>
        </w:tc>
        <w:tc>
          <w:tcPr>
            <w:tcW w:w="1659" w:type="dxa"/>
            <w:shd w:val="clear" w:color="auto" w:fill="C4EFCE"/>
            <w:vAlign w:val="center"/>
          </w:tcPr>
          <w:p w14:paraId="4D5E5493" w14:textId="40D04039" w:rsidR="00154AD2" w:rsidRDefault="007F6BF3">
            <w:pPr>
              <w:pStyle w:val="P68B1DB1-Normal12"/>
              <w:spacing w:after="0" w:line="240" w:lineRule="auto"/>
              <w:jc w:val="center"/>
              <w:rPr>
                <w:rFonts w:cstheme="minorHAnsi"/>
                <w:noProof/>
              </w:rPr>
            </w:pPr>
            <w:r>
              <w:rPr>
                <w:noProof/>
              </w:rPr>
              <w:t>Σύναψη συμβάσεων για την ανάπτυξη νέων προϊόντων, διαδικασιών ή υπηρεσιών σε στρατηγικούς τομείς που σχετίζονται με την οικονομία χαμηλών εκπομπών διοξειδίου του άνθρακα, την ανθεκτικότητα και την προσαρμογή στην κλιματική αλλαγή.</w:t>
            </w:r>
          </w:p>
        </w:tc>
        <w:tc>
          <w:tcPr>
            <w:tcW w:w="1245" w:type="dxa"/>
            <w:shd w:val="clear" w:color="auto" w:fill="C4EFCE"/>
            <w:vAlign w:val="center"/>
          </w:tcPr>
          <w:p w14:paraId="36DF6C96" w14:textId="790B5427" w:rsidR="00154AD2" w:rsidRDefault="007F6BF3">
            <w:pPr>
              <w:pStyle w:val="P68B1DB1-Normal12"/>
              <w:spacing w:after="0" w:line="240" w:lineRule="auto"/>
              <w:jc w:val="center"/>
              <w:rPr>
                <w:rFonts w:eastAsia="Times New Roman" w:cstheme="minorHAnsi"/>
                <w:noProof/>
              </w:rPr>
            </w:pPr>
            <w:r>
              <w:rPr>
                <w:noProof/>
              </w:rPr>
              <w:t> </w:t>
            </w:r>
          </w:p>
        </w:tc>
        <w:tc>
          <w:tcPr>
            <w:tcW w:w="972" w:type="dxa"/>
            <w:shd w:val="clear" w:color="auto" w:fill="C4EFCE"/>
            <w:vAlign w:val="center"/>
          </w:tcPr>
          <w:p w14:paraId="34558086" w14:textId="42A84CA3" w:rsidR="00154AD2" w:rsidRDefault="007F6BF3">
            <w:pPr>
              <w:pStyle w:val="P68B1DB1-Normal12"/>
              <w:spacing w:after="0" w:line="240" w:lineRule="auto"/>
              <w:jc w:val="center"/>
              <w:rPr>
                <w:rFonts w:cstheme="minorHAnsi"/>
                <w:noProof/>
              </w:rPr>
            </w:pPr>
            <w:r>
              <w:rPr>
                <w:noProof/>
              </w:rPr>
              <w:t>Αριθμός</w:t>
            </w:r>
          </w:p>
        </w:tc>
        <w:tc>
          <w:tcPr>
            <w:tcW w:w="971" w:type="dxa"/>
            <w:shd w:val="clear" w:color="auto" w:fill="C4EFCE"/>
            <w:vAlign w:val="center"/>
          </w:tcPr>
          <w:p w14:paraId="4F3059D7" w14:textId="4D90D56B" w:rsidR="00154AD2" w:rsidRDefault="007F6BF3">
            <w:pPr>
              <w:pStyle w:val="P68B1DB1-Normal12"/>
              <w:spacing w:after="0" w:line="240" w:lineRule="auto"/>
              <w:jc w:val="center"/>
              <w:rPr>
                <w:rFonts w:cstheme="minorHAnsi"/>
                <w:noProof/>
              </w:rPr>
            </w:pPr>
            <w:r>
              <w:rPr>
                <w:noProof/>
              </w:rPr>
              <w:t>10</w:t>
            </w:r>
          </w:p>
        </w:tc>
        <w:tc>
          <w:tcPr>
            <w:tcW w:w="695" w:type="dxa"/>
            <w:shd w:val="clear" w:color="auto" w:fill="C4EFCE"/>
            <w:vAlign w:val="center"/>
          </w:tcPr>
          <w:p w14:paraId="0CF359B0" w14:textId="59145B12" w:rsidR="00154AD2" w:rsidRDefault="007F6BF3">
            <w:pPr>
              <w:pStyle w:val="P68B1DB1-Normal12"/>
              <w:spacing w:after="0" w:line="240" w:lineRule="auto"/>
              <w:jc w:val="center"/>
              <w:rPr>
                <w:rFonts w:cstheme="minorHAnsi"/>
                <w:noProof/>
              </w:rPr>
            </w:pPr>
            <w:r>
              <w:rPr>
                <w:noProof/>
              </w:rPr>
              <w:t>20</w:t>
            </w:r>
          </w:p>
        </w:tc>
        <w:tc>
          <w:tcPr>
            <w:tcW w:w="557" w:type="dxa"/>
            <w:shd w:val="clear" w:color="auto" w:fill="C4EFCE"/>
            <w:vAlign w:val="center"/>
          </w:tcPr>
          <w:p w14:paraId="6EC45A79" w14:textId="7FEEEA6B" w:rsidR="00154AD2" w:rsidRDefault="007F6BF3">
            <w:pPr>
              <w:pStyle w:val="P68B1DB1-Normal12"/>
              <w:spacing w:after="0" w:line="240" w:lineRule="auto"/>
              <w:jc w:val="center"/>
              <w:rPr>
                <w:noProof/>
              </w:rPr>
            </w:pPr>
            <w:r>
              <w:rPr>
                <w:noProof/>
              </w:rPr>
              <w:t>ΤΡΊΜΗΝΟ 3</w:t>
            </w:r>
          </w:p>
        </w:tc>
        <w:tc>
          <w:tcPr>
            <w:tcW w:w="694" w:type="dxa"/>
            <w:shd w:val="clear" w:color="auto" w:fill="C4EFCE"/>
            <w:vAlign w:val="center"/>
          </w:tcPr>
          <w:p w14:paraId="7DCFD43B" w14:textId="7189AC27" w:rsidR="00154AD2" w:rsidRDefault="007F6BF3">
            <w:pPr>
              <w:pStyle w:val="P68B1DB1-Normal12"/>
              <w:spacing w:after="0" w:line="240" w:lineRule="auto"/>
              <w:jc w:val="center"/>
              <w:rPr>
                <w:rFonts w:cstheme="minorHAnsi"/>
                <w:noProof/>
              </w:rPr>
            </w:pPr>
            <w:r>
              <w:rPr>
                <w:noProof/>
              </w:rPr>
              <w:t>2023</w:t>
            </w:r>
          </w:p>
        </w:tc>
        <w:tc>
          <w:tcPr>
            <w:tcW w:w="4908" w:type="dxa"/>
            <w:shd w:val="clear" w:color="auto" w:fill="C4EFCE"/>
            <w:vAlign w:val="center"/>
          </w:tcPr>
          <w:p w14:paraId="499E39FF" w14:textId="08A34CB6" w:rsidR="00154AD2" w:rsidRDefault="007F6BF3">
            <w:pPr>
              <w:pStyle w:val="P68B1DB1-Bodytext1013"/>
              <w:spacing w:after="0"/>
              <w:rPr>
                <w:rFonts w:cstheme="minorHAnsi"/>
                <w:noProof/>
              </w:rPr>
            </w:pPr>
            <w:r>
              <w:rPr>
                <w:noProof/>
              </w:rPr>
              <w:t>Σύναψη δέκα πρόσθετων συμβάσεων (σύμφωνα καινοτομίας ή κινητοποίηση έργων) με κοινοπραξίες, οι οποίες περιλαμβάνουν:</w:t>
            </w:r>
          </w:p>
          <w:p w14:paraId="5623BFC8" w14:textId="77777777" w:rsidR="00154AD2" w:rsidRDefault="007F6BF3">
            <w:pPr>
              <w:pStyle w:val="P68B1DB1-Bodytext1013"/>
              <w:spacing w:after="0"/>
              <w:rPr>
                <w:rFonts w:cstheme="minorHAnsi"/>
                <w:noProof/>
              </w:rPr>
            </w:pPr>
            <w:r>
              <w:rPr>
                <w:noProof/>
              </w:rPr>
              <w:t>• Προσδιορισμός των συνιστωσών οντοτήτων της κοινοπραξίας·</w:t>
            </w:r>
          </w:p>
          <w:p w14:paraId="348134D2" w14:textId="77777777" w:rsidR="00154AD2" w:rsidRDefault="007F6BF3">
            <w:pPr>
              <w:pStyle w:val="P68B1DB1-Bodytext1013"/>
              <w:spacing w:after="0"/>
              <w:rPr>
                <w:rFonts w:cstheme="minorHAnsi"/>
                <w:noProof/>
              </w:rPr>
            </w:pPr>
            <w:r>
              <w:rPr>
                <w:noProof/>
              </w:rPr>
              <w:t>• Το επιχειρηματικό σχέδιο/επένδυση·</w:t>
            </w:r>
          </w:p>
          <w:p w14:paraId="5BD43BF9" w14:textId="77777777" w:rsidR="00154AD2" w:rsidRDefault="007F6BF3">
            <w:pPr>
              <w:pStyle w:val="P68B1DB1-Bodytext1013"/>
              <w:spacing w:after="0"/>
              <w:rPr>
                <w:rFonts w:cstheme="minorHAnsi"/>
                <w:noProof/>
              </w:rPr>
            </w:pPr>
            <w:r>
              <w:rPr>
                <w:noProof/>
              </w:rPr>
              <w:t>• Το ποσό της χρηματοδότησης·</w:t>
            </w:r>
          </w:p>
          <w:p w14:paraId="780D9792" w14:textId="77777777" w:rsidR="00154AD2" w:rsidRDefault="007F6BF3">
            <w:pPr>
              <w:pStyle w:val="P68B1DB1-Bodytext1013"/>
              <w:spacing w:after="0"/>
              <w:rPr>
                <w:rFonts w:cstheme="minorHAnsi"/>
                <w:noProof/>
              </w:rPr>
            </w:pPr>
            <w:r>
              <w:rPr>
                <w:noProof/>
              </w:rPr>
              <w:t>• Τους στόχους από τους οποίους δεσμεύεται ο δικαιούχος·</w:t>
            </w:r>
          </w:p>
          <w:p w14:paraId="3C7CAD42" w14:textId="77777777" w:rsidR="00154AD2" w:rsidRDefault="007F6BF3">
            <w:pPr>
              <w:pStyle w:val="P68B1DB1-Bodytext1013"/>
              <w:spacing w:after="0"/>
              <w:rPr>
                <w:rFonts w:cstheme="minorHAnsi"/>
                <w:noProof/>
              </w:rPr>
            </w:pPr>
            <w:r>
              <w:rPr>
                <w:noProof/>
              </w:rPr>
              <w:t xml:space="preserve">• Τη μορφή της παρακολούθησης. </w:t>
            </w:r>
          </w:p>
          <w:p w14:paraId="160F8223" w14:textId="6794DDB5" w:rsidR="00154AD2" w:rsidRDefault="007F6BF3">
            <w:pPr>
              <w:pStyle w:val="P68B1DB1-Bodytext1013"/>
              <w:spacing w:after="0"/>
              <w:rPr>
                <w:rFonts w:cstheme="minorHAnsi"/>
                <w:noProof/>
              </w:rPr>
            </w:pPr>
            <w:r>
              <w:rPr>
                <w:noProof/>
              </w:rPr>
              <w:t xml:space="preserve">Οι συμβάσεις στηρίζουν συνολικά τουλάχιστον 147 προϊόντα, διαδικασίες ή υπηρεσίες και ευθυγραμμίζονται με τον τομέα παρέμβασης 022 (Διαδικασίες έρευνας και καινοτομίας, μεταφορά τεχνολογίας και συνεργασία μεταξύ εταιρειών με έμφαση στην οικονομία χαμηλών εκπομπών διοξειδίου του άνθρακα και στην ανθεκτικότητα και την προσαρμογή στην κλιματική αλλαγή). </w:t>
            </w:r>
          </w:p>
          <w:p w14:paraId="6C00454A" w14:textId="77777777" w:rsidR="00154AD2" w:rsidRDefault="007F6BF3">
            <w:pPr>
              <w:pStyle w:val="P68B1DB1-Bodytext1013"/>
              <w:spacing w:after="0"/>
              <w:rPr>
                <w:rFonts w:cstheme="minorHAnsi"/>
                <w:noProof/>
              </w:rPr>
            </w:pPr>
            <w:r>
              <w:rPr>
                <w:noProof/>
              </w:rPr>
              <w:t>Οι όροι αναφοράς περιλαμβάνουν κριτήρια επιλεξιμότητας που διασφαλίζουν ότι τα επιλεγμένα έργα συμμορφώνονται με την τεχνική καθοδήγηση σχετικά με την εφαρμογή της αρχής της «μη πρόκλησης σημαντικής βλάβης» (2021/C58/01) μέσω της χρήσης καταλόγου αποκλεισμού και της απαίτησης συμμόρφωσης με τη σχετική ενωσιακή και εθνική περιβαλλοντική νομοθεσία.</w:t>
            </w:r>
          </w:p>
          <w:p w14:paraId="290DDA70" w14:textId="5F629E0E" w:rsidR="00154AD2" w:rsidRDefault="007F6BF3">
            <w:pPr>
              <w:pStyle w:val="P68B1DB1-Normal12"/>
              <w:spacing w:after="0" w:line="240" w:lineRule="auto"/>
              <w:jc w:val="both"/>
              <w:rPr>
                <w:rFonts w:cstheme="minorHAnsi"/>
                <w:noProof/>
              </w:rPr>
            </w:pPr>
            <w:r>
              <w:rPr>
                <w:noProof/>
              </w:rPr>
              <w:t>Οι συμβάσεις προστίθενται στις συμβάσεις που εκτελούνται στις RE-C05-i01.02 και RE-C05-i10.</w:t>
            </w:r>
          </w:p>
        </w:tc>
      </w:tr>
      <w:tr w:rsidR="00154AD2" w14:paraId="7431C32C" w14:textId="77777777">
        <w:trPr>
          <w:trHeight w:val="274"/>
        </w:trPr>
        <w:tc>
          <w:tcPr>
            <w:tcW w:w="1113" w:type="dxa"/>
            <w:shd w:val="clear" w:color="auto" w:fill="C4EFCE"/>
            <w:vAlign w:val="center"/>
          </w:tcPr>
          <w:p w14:paraId="32CF2A49" w14:textId="78E07266" w:rsidR="00154AD2" w:rsidRDefault="007F6BF3">
            <w:pPr>
              <w:pStyle w:val="P68B1DB1-Normal11"/>
              <w:spacing w:after="0" w:line="240" w:lineRule="auto"/>
              <w:jc w:val="center"/>
              <w:rPr>
                <w:rFonts w:cstheme="minorHAnsi"/>
                <w:noProof/>
              </w:rPr>
            </w:pPr>
            <w:r>
              <w:rPr>
                <w:noProof/>
              </w:rPr>
              <w:t>5.47</w:t>
            </w:r>
          </w:p>
        </w:tc>
        <w:tc>
          <w:tcPr>
            <w:tcW w:w="1246" w:type="dxa"/>
            <w:shd w:val="clear" w:color="auto" w:fill="C4EFCE"/>
            <w:vAlign w:val="center"/>
          </w:tcPr>
          <w:p w14:paraId="509613B3" w14:textId="1F733358" w:rsidR="00154AD2" w:rsidRDefault="007F6BF3">
            <w:pPr>
              <w:pStyle w:val="P68B1DB1-Normal12"/>
              <w:spacing w:after="0" w:line="240" w:lineRule="auto"/>
              <w:jc w:val="center"/>
              <w:rPr>
                <w:rFonts w:cstheme="minorHAnsi"/>
                <w:noProof/>
              </w:rPr>
            </w:pPr>
            <w:r>
              <w:rPr>
                <w:noProof/>
              </w:rPr>
              <w:t>RE-C05-i12</w:t>
            </w:r>
          </w:p>
        </w:tc>
        <w:tc>
          <w:tcPr>
            <w:tcW w:w="1108" w:type="dxa"/>
            <w:shd w:val="clear" w:color="auto" w:fill="C4EFCE"/>
            <w:vAlign w:val="center"/>
          </w:tcPr>
          <w:p w14:paraId="287EAA6C" w14:textId="37007893" w:rsidR="00154AD2" w:rsidRDefault="007F6BF3">
            <w:pPr>
              <w:pStyle w:val="P68B1DB1-Normal12"/>
              <w:spacing w:after="0" w:line="240" w:lineRule="auto"/>
              <w:jc w:val="center"/>
              <w:rPr>
                <w:rFonts w:cstheme="minorHAnsi"/>
                <w:noProof/>
              </w:rPr>
            </w:pPr>
            <w:r>
              <w:rPr>
                <w:noProof/>
              </w:rPr>
              <w:t>T</w:t>
            </w:r>
          </w:p>
        </w:tc>
        <w:tc>
          <w:tcPr>
            <w:tcW w:w="1659" w:type="dxa"/>
            <w:shd w:val="clear" w:color="auto" w:fill="C4EFCE"/>
            <w:vAlign w:val="center"/>
          </w:tcPr>
          <w:p w14:paraId="1E5CB665" w14:textId="105B9A4D" w:rsidR="00154AD2" w:rsidRDefault="007F6BF3">
            <w:pPr>
              <w:pStyle w:val="P68B1DB1-Normal12"/>
              <w:spacing w:after="0" w:line="240" w:lineRule="auto"/>
              <w:jc w:val="center"/>
              <w:rPr>
                <w:rFonts w:cstheme="minorHAnsi"/>
                <w:noProof/>
              </w:rPr>
            </w:pPr>
            <w:r>
              <w:rPr>
                <w:noProof/>
              </w:rPr>
              <w:t>Προϊόντα, διαδικασίες ή υπηρεσίες που έχουν ολοκληρωθεί και σχετίζονται με την οικονομία χαμηλών εκπομπών διοξειδίου του άνθρακα, την ανθεκτικότητα και την προσαρμογή στην κλιματική αλλαγή.</w:t>
            </w:r>
          </w:p>
        </w:tc>
        <w:tc>
          <w:tcPr>
            <w:tcW w:w="1245" w:type="dxa"/>
            <w:shd w:val="clear" w:color="auto" w:fill="C4EFCE"/>
            <w:vAlign w:val="center"/>
          </w:tcPr>
          <w:p w14:paraId="65CE0D44" w14:textId="2FFC40CA" w:rsidR="00154AD2" w:rsidRDefault="007F6BF3">
            <w:pPr>
              <w:pStyle w:val="P68B1DB1-Normal12"/>
              <w:spacing w:after="0" w:line="240" w:lineRule="auto"/>
              <w:jc w:val="center"/>
              <w:rPr>
                <w:rFonts w:eastAsia="Times New Roman" w:cstheme="minorHAnsi"/>
                <w:noProof/>
              </w:rPr>
            </w:pPr>
            <w:r>
              <w:rPr>
                <w:noProof/>
              </w:rPr>
              <w:t> </w:t>
            </w:r>
          </w:p>
        </w:tc>
        <w:tc>
          <w:tcPr>
            <w:tcW w:w="972" w:type="dxa"/>
            <w:shd w:val="clear" w:color="auto" w:fill="C4EFCE"/>
            <w:vAlign w:val="center"/>
          </w:tcPr>
          <w:p w14:paraId="2CDFDBF8" w14:textId="7B4E4CC9" w:rsidR="00154AD2" w:rsidRDefault="007F6BF3">
            <w:pPr>
              <w:pStyle w:val="P68B1DB1-Normal12"/>
              <w:spacing w:after="0" w:line="240" w:lineRule="auto"/>
              <w:jc w:val="center"/>
              <w:rPr>
                <w:rFonts w:cstheme="minorHAnsi"/>
                <w:noProof/>
              </w:rPr>
            </w:pPr>
            <w:r>
              <w:rPr>
                <w:noProof/>
              </w:rPr>
              <w:t>Αριθμός</w:t>
            </w:r>
          </w:p>
        </w:tc>
        <w:tc>
          <w:tcPr>
            <w:tcW w:w="971" w:type="dxa"/>
            <w:shd w:val="clear" w:color="auto" w:fill="C4EFCE"/>
            <w:vAlign w:val="center"/>
          </w:tcPr>
          <w:p w14:paraId="23069303" w14:textId="0D9C234C" w:rsidR="00154AD2" w:rsidRDefault="007F6BF3">
            <w:pPr>
              <w:pStyle w:val="P68B1DB1-Normal12"/>
              <w:spacing w:after="0" w:line="240" w:lineRule="auto"/>
              <w:jc w:val="center"/>
              <w:rPr>
                <w:rFonts w:cstheme="minorHAnsi"/>
                <w:noProof/>
              </w:rPr>
            </w:pPr>
            <w:r>
              <w:rPr>
                <w:noProof/>
              </w:rPr>
              <w:t>138</w:t>
            </w:r>
          </w:p>
        </w:tc>
        <w:tc>
          <w:tcPr>
            <w:tcW w:w="695" w:type="dxa"/>
            <w:shd w:val="clear" w:color="auto" w:fill="C4EFCE"/>
            <w:vAlign w:val="center"/>
          </w:tcPr>
          <w:p w14:paraId="4E428C5E" w14:textId="639B2AE1" w:rsidR="00154AD2" w:rsidRDefault="007F6BF3">
            <w:pPr>
              <w:pStyle w:val="P68B1DB1-Normal12"/>
              <w:spacing w:after="0" w:line="240" w:lineRule="auto"/>
              <w:jc w:val="center"/>
              <w:rPr>
                <w:rFonts w:cstheme="minorHAnsi"/>
                <w:noProof/>
              </w:rPr>
            </w:pPr>
            <w:r>
              <w:rPr>
                <w:noProof/>
              </w:rPr>
              <w:t>285</w:t>
            </w:r>
          </w:p>
        </w:tc>
        <w:tc>
          <w:tcPr>
            <w:tcW w:w="557" w:type="dxa"/>
            <w:shd w:val="clear" w:color="auto" w:fill="C4EFCE"/>
            <w:vAlign w:val="center"/>
          </w:tcPr>
          <w:p w14:paraId="6A0FC76A" w14:textId="3251ADDE" w:rsidR="00154AD2" w:rsidRDefault="007F6BF3">
            <w:pPr>
              <w:pStyle w:val="P68B1DB1-Normal12"/>
              <w:spacing w:after="0" w:line="240" w:lineRule="auto"/>
              <w:jc w:val="center"/>
              <w:rPr>
                <w:rFonts w:cstheme="minorHAnsi"/>
                <w:noProof/>
              </w:rPr>
            </w:pPr>
            <w:r>
              <w:rPr>
                <w:noProof/>
              </w:rPr>
              <w:t>ΤΡΊΜΗΝΟ 4</w:t>
            </w:r>
          </w:p>
        </w:tc>
        <w:tc>
          <w:tcPr>
            <w:tcW w:w="694" w:type="dxa"/>
            <w:shd w:val="clear" w:color="auto" w:fill="C4EFCE"/>
            <w:vAlign w:val="center"/>
          </w:tcPr>
          <w:p w14:paraId="7A622278" w14:textId="0287DEB1" w:rsidR="00154AD2" w:rsidRDefault="007F6BF3">
            <w:pPr>
              <w:pStyle w:val="P68B1DB1-Normal12"/>
              <w:spacing w:after="0" w:line="240" w:lineRule="auto"/>
              <w:jc w:val="center"/>
              <w:rPr>
                <w:rFonts w:cstheme="minorHAnsi"/>
                <w:noProof/>
              </w:rPr>
            </w:pPr>
            <w:r>
              <w:rPr>
                <w:noProof/>
              </w:rPr>
              <w:t>2025</w:t>
            </w:r>
          </w:p>
        </w:tc>
        <w:tc>
          <w:tcPr>
            <w:tcW w:w="4908" w:type="dxa"/>
            <w:shd w:val="clear" w:color="auto" w:fill="C4EFCE"/>
            <w:vAlign w:val="center"/>
          </w:tcPr>
          <w:p w14:paraId="1F263104" w14:textId="3DB158C4" w:rsidR="00154AD2" w:rsidRDefault="007F6BF3">
            <w:pPr>
              <w:pStyle w:val="P68B1DB1-Normal12"/>
              <w:spacing w:after="0" w:line="240" w:lineRule="auto"/>
              <w:jc w:val="both"/>
              <w:rPr>
                <w:noProof/>
              </w:rPr>
            </w:pPr>
            <w:r>
              <w:rPr>
                <w:noProof/>
              </w:rPr>
              <w:t>Ολοκλήρωση 147 προϊόντων, διαδικασιών ή υπηρεσιών (ΜΑΔ) που προκύπτουν από την εφαρμογή των συμβάσεων (σύμφωνα καινοτομίας ή κινητοποίηση έργων) που έχουν συναφθεί με κοινοπραξίες, ευθυγραμμίζονται με τον τομέα παρέμβασης 022 (διαδικασίες έρευνας και καινοτομίας, μεταφορά τεχνολογίας και συνεργασία μεταξύ εταιρειών με έμφαση στην οικονομία χαμηλών εκπομπών διοξειδίου του άνθρακα και στην ανθεκτικότητα και την προσαρμογή στην κλιματική αλλαγή).</w:t>
            </w:r>
          </w:p>
          <w:p w14:paraId="21D14431" w14:textId="0F5CE763" w:rsidR="00154AD2" w:rsidRDefault="007F6BF3">
            <w:pPr>
              <w:pStyle w:val="P68B1DB1-Normal12"/>
              <w:spacing w:after="0" w:line="240" w:lineRule="auto"/>
              <w:jc w:val="both"/>
              <w:rPr>
                <w:noProof/>
              </w:rPr>
            </w:pPr>
            <w:r>
              <w:rPr>
                <w:noProof/>
              </w:rPr>
              <w:t>Το PPS είναι επιπρόσθετο των PPS που εφαρμόζονται στις RE-C05-i01.02 και RE-C05-i10.</w:t>
            </w:r>
          </w:p>
        </w:tc>
      </w:tr>
    </w:tbl>
    <w:p w14:paraId="58F116A2" w14:textId="5535E252" w:rsidR="00154AD2" w:rsidRDefault="00154AD2">
      <w:pPr>
        <w:keepNext/>
        <w:spacing w:before="40" w:after="0" w:line="259" w:lineRule="auto"/>
        <w:ind w:left="130" w:firstLine="720"/>
        <w:jc w:val="both"/>
        <w:outlineLvl w:val="2"/>
        <w:rPr>
          <w:rFonts w:ascii="Times New Roman" w:eastAsiaTheme="minorEastAsia" w:hAnsi="Times New Roman" w:cs="Times New Roman"/>
          <w:b/>
          <w:noProof/>
          <w:sz w:val="24"/>
          <w:u w:val="single"/>
        </w:rPr>
        <w:sectPr w:rsidR="00154AD2" w:rsidSect="00E00EDD">
          <w:headerReference w:type="even" r:id="rId114"/>
          <w:headerReference w:type="default" r:id="rId115"/>
          <w:footerReference w:type="even" r:id="rId116"/>
          <w:footerReference w:type="default" r:id="rId117"/>
          <w:headerReference w:type="first" r:id="rId118"/>
          <w:footerReference w:type="first" r:id="rId119"/>
          <w:pgSz w:w="16839" w:h="11907" w:orient="landscape"/>
          <w:pgMar w:top="1134" w:right="1134" w:bottom="1134" w:left="1134" w:header="567" w:footer="567" w:gutter="0"/>
          <w:cols w:space="720"/>
          <w:docGrid w:linePitch="360"/>
        </w:sectPr>
      </w:pPr>
    </w:p>
    <w:p w14:paraId="33FE1FD1" w14:textId="77777777" w:rsidR="00154AD2" w:rsidRDefault="007F6BF3">
      <w:pPr>
        <w:pStyle w:val="P68B1DB1-Normal3"/>
        <w:keepNext/>
        <w:spacing w:before="40" w:after="0" w:line="259" w:lineRule="auto"/>
        <w:ind w:left="130" w:firstLine="720"/>
        <w:jc w:val="both"/>
        <w:outlineLvl w:val="1"/>
        <w:rPr>
          <w:rFonts w:eastAsiaTheme="minorEastAsia" w:cs="Times New Roman"/>
          <w:noProof/>
        </w:rPr>
      </w:pPr>
      <w:r>
        <w:rPr>
          <w:noProof/>
        </w:rPr>
        <w:t>ΣΤ. ΣΥΝΙΣΤΏΣΑ 6: Επαγγελματικά προσόντα και δεξιότητες</w:t>
      </w:r>
    </w:p>
    <w:p w14:paraId="37175C09"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Στην Πορτογαλία, το 44,5 % του πληθυσμού ηλικίας 25-64 ετών είχε χαμηλό μορφωτικό επίπεδο το 2020, πολύ πάνω από τον μέσο όρο της ΕΕ (25,0 %). Επιπλέον, το ποσοστό του πληθυσμού που διαθέτει βασικές ψηφιακές δεξιότητες ή δεν έχει χρησιμοποιήσει ποτέ το διαδίκτυο είναι πολύ υψηλό. Ομοίως, ο κατακερματισμός της αγοράς εργασίας και οι ανισορροπίες μεταξύ των φύλων όσον αφορά τις αμοιβές και τις ευκαιρίες σταδιοδρομίας παραμένουν σε υψηλά επίπεδα με βάση τα πρότυπα της ΕΕ. </w:t>
      </w:r>
    </w:p>
    <w:p w14:paraId="16328736"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συνιστώσα αυτή αντιμετωπίζει πολλαπλές προκλήσεις που σχετίζονται με τα σχετικά χαμηλά επίπεδα εκπαίδευσης και προσόντων, τη συμμετοχή στη διά βίου μάθηση, τον κατακερματισμό της αγοράς εργασίας, την άρση των διοικητικών φραγμών στον τομέα των επαγγελμάτων με υψηλό βαθμό νομοθετικής κατοχύρωσης, την προετοιμασία για τις προκλήσεις που συνδέονται με το μέλλον της εργασίας και την ισότητα των φύλων και τις ίσες ευκαιρίες. </w:t>
      </w:r>
    </w:p>
    <w:p w14:paraId="2B79D01A"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Οι στόχοι της συνιστώσας είναι ευρείς και περιλαμβάνουν δεξιότητες και αναβάθμιση δεξιοτήτων, ορισμένα σημεία συμφόρησης στο επιχειρηματικό περιβάλλον, κατακερματισμό της αγοράς εργασίας, ισόρροπη εκπροσώπηση των φύλων και ίσες ευκαιρίες. Όσον αφορά το παραγωγικό δυναμικό, η συνιστώσα αυτή επικεντρώνεται σε μέτρα για την αύξηση των χαμηλών επιπέδων προσόντων και τη βελτίωση της συμμετοχής στη διά βίου μάθηση μέσω της μεταρρύθμισης των συστημάτων εκπαίδευσης και επαγγελματικής εκπαίδευσης και κατάρτισης (ΕΕΚ), την προώθηση της μεταφοράς γνώσεων μεταξύ πανεπιστημίων/δημόσιων ερευνητικών οργανισμών και επιχειρήσεων και τη μείωση των περιορισμών σε επαγγέλματα με υψηλό βαθμό νομοθετικής κατοχύρωσης, ενισχύοντας παράλληλα την ανταγωνιστικότητα στην παροχή υπηρεσιών προς τις επιχειρήσεις. Η συνιστώσα παρουσιάζει επίσης μέτρα για την αντιμετώπιση διαφόρων αρχών του ευρωπαϊκού πυλώνα κοινωνικών δικαιωμάτων (ΕΠΚΔ), όπως οι εργασιακές σχέσεις και τα δικαιώματα πρόσβασης των εργαζομένων με άτυπες συμβάσεις εργασίας, η χρηματοδοτική στήριξη για την προώθηση της ένταξης των ανέργων με μόνιμες ποιοτικές θέσεις εργασίας και η ανάπτυξη του πορτογαλικού κανόνα για ένα σύστημα διαχείρισης της ίσης αμοιβής. </w:t>
      </w:r>
    </w:p>
    <w:p w14:paraId="7B3132BC"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συνιστώσα αυτή ευθυγραμμίζεται με σημαντικές πρωτοβουλίες πολιτικής της ΕΕ, όπως το ευρωπαϊκό θεματολόγιο δεξιοτήτων, η σύσταση του Συμβουλίου σχετικά με τις «Διαδρομές αναβάθμισης των δεξιοτήτων: Νέες Ευκαιρίες για Ενηλίκους» (σύσταση 2016/C 484/01 του Συμβουλίου), σύσταση του Συμβουλίου σχετικά με την ΕΕΚ για βιώσιμη ανταγωνιστικότητα, κοινωνική δικαιοσύνη και ανθεκτικότητα (σύσταση 2020/C 417/01 του Συμβουλίου) και ενισχυμένες εγγυήσεις για τη νεολαία, και πρωτοβουλίες για τον Ευρωπαϊκό Χώρο Εκπαίδευσης και τον Ευρωπαϊκό Χώρο Έρευνας. </w:t>
      </w:r>
    </w:p>
    <w:p w14:paraId="29744677" w14:textId="77777777" w:rsidR="00154AD2" w:rsidRDefault="007F6BF3">
      <w:pPr>
        <w:pStyle w:val="P68B1DB1-Normal4"/>
        <w:keepNext/>
        <w:spacing w:before="40" w:after="0" w:line="259" w:lineRule="auto"/>
        <w:jc w:val="both"/>
        <w:rPr>
          <w:rFonts w:eastAsiaTheme="minorEastAsia" w:cs="Times New Roman"/>
          <w:noProof/>
        </w:rPr>
      </w:pPr>
      <w:r>
        <w:rPr>
          <w:noProof/>
        </w:rPr>
        <w:t>Η συνιστώσα εξετάζει τις ειδικές ανά χώρα συστάσεις για τη λήψη όλων των αναγκαίων μέτρων για την αποτελεσματική αντιμετώπιση της πανδημίας, την ενίσχυση της οικονομίας και τη στήριξη της επακόλουθης ανάκαμψης (ειδική ανά χώρα σύσταση 1 2020)· να θεσπίσει μέτρα για την αντιμετώπιση του κατακερματισμού της αγοράς εργασίας (ειδική ανά χώρα σύσταση 2 2019)· βελτίωση του επιπέδου δεξιοτήτων του πληθυσμού, ιδίως του ψηφιακού γραμματισμού του, μεταξύ άλλων καθιστώντας την εκπαίδευση ενηλίκων πιο συναφή με τις ανάγκες της αγοράς εργασίας (ειδική ανά χώρα σύσταση 2 2019)· αύξηση του αριθμού των αποφοίτων τριτοβάθμιας εκπαίδευσης, ιδίως στους τομείς των επιστημών και της τεχνολογίας των πληροφοριών (ειδική ανά χώρα σύσταση 2 2019)· στήριξη της χρήσης ψηφιακών τεχνολογιών για τη διασφάλιση ισότιμης πρόσβασης σε ποιοτική εκπαίδευση και κατάρτιση (ειδική ανά χώρα σύσταση 2 2020)· τόνωση της ανταγωνιστικότητας των επιχειρήσεων (ειδική ανά χώρα σύσταση 2 2020)· να επικεντρωθεί στην οικονομική πολιτική για την έρευνα και την καινοτομία που σχετίζεται με τις επενδύσεις (ειδική ανά χώρα σύσταση 3 2019)· και να καταρτίσει χάρτη πορείας για τη μείωση των περιορισμών στα άκρως νομοθετικά κατοχυρωμένα επαγγέλματα (ειδική ανά χώρα σύσταση 4 2019).</w:t>
      </w:r>
    </w:p>
    <w:p w14:paraId="6CC019EC"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Αναμένεται ότι κανένα μέτρο στη συνιστώσα αυτή δεν βλάπτει σημαντικά τους περιβαλλοντικούς στόχους κατά την έννοια του άρθρου 17 του κανονισμού (ΕΕ) 2020/852, λαμβανομένης υπόψη της περιγραφής των μέτρων και των μέτρων μετριασμού που ορίζονται στο σχέδιο σύμφωνα με την τεχνική καθοδήγηση σχετικά με την αρχή της μη πρόκλησης σημαντικής βλάβης (2021/C58/01). </w:t>
      </w:r>
    </w:p>
    <w:p w14:paraId="20AF52A5" w14:textId="17B25CD3" w:rsidR="00154AD2" w:rsidRDefault="00154AD2">
      <w:pPr>
        <w:keepNext/>
        <w:spacing w:before="40" w:after="0" w:line="259" w:lineRule="auto"/>
        <w:jc w:val="both"/>
        <w:rPr>
          <w:rFonts w:ascii="Times New Roman" w:eastAsiaTheme="minorEastAsia" w:hAnsi="Times New Roman" w:cs="Times New Roman"/>
          <w:noProof/>
          <w:sz w:val="24"/>
        </w:rPr>
      </w:pPr>
    </w:p>
    <w:p w14:paraId="309FC685" w14:textId="7C8FBB2C" w:rsidR="00154AD2" w:rsidRDefault="00154AD2">
      <w:pPr>
        <w:keepNext/>
        <w:spacing w:before="40" w:after="0" w:line="259" w:lineRule="auto"/>
        <w:jc w:val="both"/>
        <w:rPr>
          <w:rFonts w:ascii="Times New Roman" w:eastAsiaTheme="minorEastAsia" w:hAnsi="Times New Roman" w:cs="Times New Roman"/>
          <w:noProof/>
          <w:sz w:val="24"/>
        </w:rPr>
      </w:pPr>
    </w:p>
    <w:p w14:paraId="310C858A" w14:textId="486BD107" w:rsidR="00154AD2" w:rsidRDefault="00154AD2">
      <w:pPr>
        <w:keepNext/>
        <w:spacing w:before="40" w:after="0" w:line="259" w:lineRule="auto"/>
        <w:jc w:val="both"/>
        <w:rPr>
          <w:rFonts w:ascii="Times New Roman" w:eastAsiaTheme="minorEastAsia" w:hAnsi="Times New Roman" w:cs="Times New Roman"/>
          <w:noProof/>
          <w:sz w:val="24"/>
        </w:rPr>
      </w:pPr>
    </w:p>
    <w:p w14:paraId="6B3EE7D6"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01024A9A" w14:textId="77777777" w:rsidR="00154AD2" w:rsidRDefault="007F6BF3">
      <w:pPr>
        <w:pStyle w:val="P68B1DB1-Normal3"/>
        <w:spacing w:before="40" w:after="0" w:line="259" w:lineRule="auto"/>
        <w:ind w:left="130" w:firstLine="720"/>
        <w:jc w:val="both"/>
        <w:outlineLvl w:val="2"/>
        <w:rPr>
          <w:rFonts w:eastAsiaTheme="minorEastAsia" w:cs="Times New Roman"/>
          <w:i/>
          <w:noProof/>
        </w:rPr>
      </w:pPr>
      <w:r>
        <w:rPr>
          <w:noProof/>
        </w:rPr>
        <w:t>ΣΤ.1. Περιγραφή των μεταρρυθμίσεων και των επενδύσεων που είναι επιλέξιμες για λήψη μη επιστρεπτέας χρηματοδοτικής στήριξης</w:t>
      </w:r>
    </w:p>
    <w:p w14:paraId="4FF4B46F" w14:textId="77777777" w:rsidR="00154AD2" w:rsidRDefault="007F6BF3">
      <w:pPr>
        <w:pStyle w:val="P68B1DB1-Normal5"/>
        <w:spacing w:before="240" w:after="0" w:line="259" w:lineRule="auto"/>
        <w:ind w:left="851"/>
        <w:jc w:val="both"/>
        <w:outlineLvl w:val="3"/>
        <w:rPr>
          <w:rFonts w:eastAsiaTheme="minorEastAsia" w:cs="Times New Roman"/>
          <w:noProof/>
        </w:rPr>
      </w:pPr>
      <w:r>
        <w:rPr>
          <w:noProof/>
        </w:rPr>
        <w:t>Μεταρρύθμιση RE-r14: Μεταρρύθμιση της επαγγελματικής εκπαίδευσης και κατάρτισης</w:t>
      </w:r>
    </w:p>
    <w:p w14:paraId="79BAF2E5" w14:textId="77777777" w:rsidR="00154AD2" w:rsidRDefault="007F6BF3">
      <w:pPr>
        <w:pStyle w:val="P68B1DB1-Normal4"/>
        <w:spacing w:before="40" w:after="0" w:line="259" w:lineRule="auto"/>
        <w:jc w:val="both"/>
        <w:rPr>
          <w:rFonts w:eastAsiaTheme="minorEastAsia" w:cs="Times New Roman"/>
          <w:noProof/>
        </w:rPr>
      </w:pPr>
      <w:r>
        <w:rPr>
          <w:noProof/>
        </w:rPr>
        <w:t xml:space="preserve">Στόχος αυτής της μεταρρύθμισης είναι ο εκσυγχρονισμός των συστημάτων εκπαίδευσης και ΕΕΚ προκειμένου να βελτιωθούν τα χαμηλά επίπεδα εκπαίδευσης και προσόντων και η υψηλή συχνότητα εμφάνισης εργαζομένων που δεν διαθέτουν βασικές και ψηφιακές δεξιότητες, να προσαρμοστεί η προσφορά δεξιοτήτων στις τρέχουσες και μελλοντικές ανάγκες της αγοράς εργασίας και να διευρυνθούν οι ευκαιρίες εκπαίδευσης, κατάρτισης και διά βίου μάθησης. </w:t>
      </w:r>
    </w:p>
    <w:p w14:paraId="14052811" w14:textId="77777777" w:rsidR="00154AD2" w:rsidRDefault="007F6BF3">
      <w:pPr>
        <w:pStyle w:val="P68B1DB1-Normal4"/>
        <w:spacing w:before="40" w:after="0" w:line="259" w:lineRule="auto"/>
        <w:jc w:val="both"/>
        <w:rPr>
          <w:rFonts w:eastAsiaTheme="minorEastAsia" w:cs="Times New Roman"/>
          <w:noProof/>
        </w:rPr>
      </w:pPr>
      <w:r>
        <w:rPr>
          <w:noProof/>
        </w:rPr>
        <w:t xml:space="preserve">Η μεταρρύθμιση συνίσταται σε δράσεις με σκοπό: </w:t>
      </w:r>
    </w:p>
    <w:p w14:paraId="24DEC4CE" w14:textId="77777777" w:rsidR="00154AD2" w:rsidRDefault="007F6BF3">
      <w:pPr>
        <w:pStyle w:val="P68B1DB1-Normal4"/>
        <w:keepNext/>
        <w:numPr>
          <w:ilvl w:val="0"/>
          <w:numId w:val="43"/>
        </w:numPr>
        <w:spacing w:before="40" w:after="160" w:line="259" w:lineRule="auto"/>
        <w:contextualSpacing/>
        <w:jc w:val="both"/>
        <w:rPr>
          <w:rFonts w:eastAsiaTheme="minorEastAsia" w:cs="Times New Roman"/>
          <w:noProof/>
        </w:rPr>
      </w:pPr>
      <w:r>
        <w:rPr>
          <w:noProof/>
        </w:rPr>
        <w:t>ενίσχυση του συνολικού συντονισμού των πολιτικών για την εκπαίδευση και την ΕΕΚ·</w:t>
      </w:r>
    </w:p>
    <w:p w14:paraId="1130E842" w14:textId="77777777" w:rsidR="00154AD2" w:rsidRDefault="007F6BF3">
      <w:pPr>
        <w:pStyle w:val="P68B1DB1-Normal4"/>
        <w:keepNext/>
        <w:numPr>
          <w:ilvl w:val="0"/>
          <w:numId w:val="43"/>
        </w:numPr>
        <w:spacing w:before="40" w:after="160" w:line="259" w:lineRule="auto"/>
        <w:contextualSpacing/>
        <w:jc w:val="both"/>
        <w:rPr>
          <w:rFonts w:eastAsiaTheme="minorEastAsia" w:cs="Times New Roman"/>
          <w:noProof/>
        </w:rPr>
      </w:pPr>
      <w:r>
        <w:rPr>
          <w:noProof/>
        </w:rPr>
        <w:t>να εκσυγχρονίσει την προσφορά ΕΕΚ που ρυθμίζεται από τον εθνικό κατάλογο επαγγελματικών προσόντων (CNQ) με βάση το σύστημα πρόβλεψης των αναγκών των επαγγελματικών προσόντων, τη μελλοντική διάγνωση για την υποστήριξη της επικαιροποίησης του CNQ και τον εξορθολογισμό των τομεακών συμβουλίων επαγγελματικών προσόντων·</w:t>
      </w:r>
    </w:p>
    <w:p w14:paraId="1C4AE227" w14:textId="77777777" w:rsidR="00154AD2" w:rsidRDefault="007F6BF3">
      <w:pPr>
        <w:pStyle w:val="P68B1DB1-Normal4"/>
        <w:keepNext/>
        <w:numPr>
          <w:ilvl w:val="0"/>
          <w:numId w:val="43"/>
        </w:numPr>
        <w:spacing w:before="40" w:after="160" w:line="259" w:lineRule="auto"/>
        <w:contextualSpacing/>
        <w:jc w:val="both"/>
        <w:rPr>
          <w:rFonts w:eastAsiaTheme="minorEastAsia" w:cs="Times New Roman"/>
          <w:noProof/>
        </w:rPr>
      </w:pPr>
      <w:r>
        <w:rPr>
          <w:noProof/>
        </w:rPr>
        <w:t xml:space="preserve">να ληφθούν υπόψη οι ανάγκες της αγοράς εργασίας και η εμφάνιση νέων δεξιοτήτων/επαγγελμάτων· </w:t>
      </w:r>
    </w:p>
    <w:p w14:paraId="51098704" w14:textId="6BB416EA" w:rsidR="00154AD2" w:rsidRDefault="007F6BF3">
      <w:pPr>
        <w:pStyle w:val="P68B1DB1-Normal4"/>
        <w:keepNext/>
        <w:numPr>
          <w:ilvl w:val="0"/>
          <w:numId w:val="43"/>
        </w:numPr>
        <w:spacing w:before="40" w:after="160" w:line="259" w:lineRule="auto"/>
        <w:contextualSpacing/>
        <w:jc w:val="both"/>
        <w:rPr>
          <w:rFonts w:eastAsiaTheme="minorEastAsia" w:cs="Times New Roman"/>
          <w:noProof/>
        </w:rPr>
      </w:pPr>
      <w:r>
        <w:rPr>
          <w:noProof/>
        </w:rPr>
        <w:t xml:space="preserve">βελτίωση των προοπτικών του πληθυσμού χαμηλής ειδίκευσης μέσω του σχεδιασμού προσφοράς κατάρτισης με επίκεντρο τον αλφαβητισμό των ενηλίκων (προς εφαρμογή στο πλαίσιο των C06-I03: Κίνητρο για ενηλίκους)· </w:t>
      </w:r>
    </w:p>
    <w:p w14:paraId="1EF91E24" w14:textId="77777777" w:rsidR="00154AD2" w:rsidRDefault="007F6BF3">
      <w:pPr>
        <w:pStyle w:val="P68B1DB1-Normal4"/>
        <w:keepNext/>
        <w:numPr>
          <w:ilvl w:val="0"/>
          <w:numId w:val="43"/>
        </w:numPr>
        <w:spacing w:before="40" w:after="160" w:line="259" w:lineRule="auto"/>
        <w:contextualSpacing/>
        <w:jc w:val="both"/>
        <w:rPr>
          <w:rFonts w:eastAsiaTheme="minorEastAsia" w:cs="Times New Roman"/>
          <w:noProof/>
        </w:rPr>
      </w:pPr>
      <w:r>
        <w:rPr>
          <w:noProof/>
        </w:rPr>
        <w:t>προώθηση της τοπικής ανάπτυξης και της εδαφικής συνοχής και μείωση των κοινωνικοοικονομικών ανισοτήτων μέσω της ανακατανομής του δικτύου ΕΕΚ.</w:t>
      </w:r>
    </w:p>
    <w:p w14:paraId="758D803D" w14:textId="77777777" w:rsidR="00154AD2" w:rsidRDefault="007F6BF3">
      <w:pPr>
        <w:pStyle w:val="P68B1DB1-Normal4"/>
        <w:spacing w:before="40" w:after="0" w:line="259" w:lineRule="auto"/>
        <w:jc w:val="both"/>
        <w:rPr>
          <w:rFonts w:eastAsiaTheme="minorEastAsia" w:cs="Times New Roman"/>
          <w:noProof/>
        </w:rPr>
      </w:pPr>
      <w:r>
        <w:rPr>
          <w:noProof/>
        </w:rPr>
        <w:t xml:space="preserve">Η εφαρμογή της μεταρρύθμισης ολοκληρώνεται έως τις 31 Δεκεμβρίου 2025. </w:t>
      </w:r>
    </w:p>
    <w:p w14:paraId="507D918E" w14:textId="77777777" w:rsidR="00154AD2" w:rsidRDefault="007F6BF3">
      <w:pPr>
        <w:pStyle w:val="P68B1DB1-Normal5"/>
        <w:spacing w:before="240" w:after="0" w:line="259" w:lineRule="auto"/>
        <w:ind w:left="851"/>
        <w:jc w:val="both"/>
        <w:outlineLvl w:val="3"/>
        <w:rPr>
          <w:rFonts w:eastAsiaTheme="minorEastAsia" w:cs="Times New Roman"/>
          <w:noProof/>
        </w:rPr>
      </w:pPr>
      <w:r>
        <w:rPr>
          <w:noProof/>
        </w:rPr>
        <w:t>Μεταρρύθμιση RE-r15: Μεταρρύθμιση της συνεργασίας μεταξύ τριτοβάθμιας εκπαίδευσης και δημόσιας διοίκησης και επιχειρήσεων</w:t>
      </w:r>
    </w:p>
    <w:p w14:paraId="7C45D5EA" w14:textId="77777777" w:rsidR="00154AD2" w:rsidRDefault="007F6BF3">
      <w:pPr>
        <w:pStyle w:val="P68B1DB1-Normal4"/>
        <w:spacing w:before="40" w:after="0" w:line="259" w:lineRule="auto"/>
        <w:jc w:val="both"/>
        <w:rPr>
          <w:rFonts w:eastAsiaTheme="minorEastAsia" w:cs="Times New Roman"/>
          <w:noProof/>
        </w:rPr>
      </w:pPr>
      <w:r>
        <w:rPr>
          <w:noProof/>
        </w:rPr>
        <w:t xml:space="preserve">Στόχος της μεταρρύθμισης αυτής είναι να δοθούν κίνητρα για συνεργατικές ρυθμίσεις δημόσιου-ιδιωτικού τομέα σε προγράμματα εκπαίδευσης και κατάρτισης, ώστε να ανταποκρίνονται στις ανάγκες της αγοράς εργασίας και της διττής μετάβασης, συμπεριλαμβανομένης της ανάπτυξης μεταπτυχιακών κύκλων μαθημάτων επαγγελματικής εμβέλειας (επαγγελματικά μεταπτυχιακά πτυχία) αποκλειστικά για φοιτητές με προηγούμενη επαγγελματική πείρα και της προσφοράς τριτοβάθμιων μαθημάτων μικρής διάρκειας στην πολυτεχνία (γνωστά ως ανώτερα επαγγελματικά τεχνικά μαθήματα). </w:t>
      </w:r>
    </w:p>
    <w:p w14:paraId="1E2C7057" w14:textId="77777777" w:rsidR="00154AD2" w:rsidRDefault="007F6BF3">
      <w:pPr>
        <w:pStyle w:val="P68B1DB1-Normal4"/>
        <w:spacing w:before="40" w:after="0" w:line="259" w:lineRule="auto"/>
        <w:jc w:val="both"/>
        <w:rPr>
          <w:rFonts w:eastAsiaTheme="minorEastAsia" w:cs="Times New Roman"/>
          <w:noProof/>
        </w:rPr>
      </w:pPr>
      <w:r>
        <w:rPr>
          <w:noProof/>
        </w:rPr>
        <w:t>Η μεταρρύθμιση συνίσταται σε:</w:t>
      </w:r>
    </w:p>
    <w:p w14:paraId="29DE76AC" w14:textId="77777777" w:rsidR="00154AD2" w:rsidRDefault="007F6BF3">
      <w:pPr>
        <w:pStyle w:val="P68B1DB1-Normal4"/>
        <w:numPr>
          <w:ilvl w:val="0"/>
          <w:numId w:val="44"/>
        </w:numPr>
        <w:spacing w:before="40" w:after="160" w:line="259" w:lineRule="auto"/>
        <w:ind w:left="714" w:hanging="357"/>
        <w:contextualSpacing/>
        <w:jc w:val="both"/>
        <w:rPr>
          <w:rFonts w:eastAsiaTheme="minorEastAsia" w:cs="Times New Roman"/>
          <w:noProof/>
        </w:rPr>
      </w:pPr>
      <w:r>
        <w:rPr>
          <w:noProof/>
        </w:rPr>
        <w:t>νομοθετική πράξη για τη θέσπιση ειδικών διαγωνισμών για την εισαγωγή στην τριτοβάθμια εκπαίδευση για τους κατόχους διττής δευτεροβάθμιας εκπαίδευσης και εξειδικευμένων καλλιτεχνικών μαθημάτων·</w:t>
      </w:r>
    </w:p>
    <w:p w14:paraId="567B7FBF" w14:textId="77777777" w:rsidR="00154AD2" w:rsidRDefault="007F6BF3">
      <w:pPr>
        <w:pStyle w:val="P68B1DB1-Normal4"/>
        <w:numPr>
          <w:ilvl w:val="0"/>
          <w:numId w:val="44"/>
        </w:numPr>
        <w:spacing w:before="40" w:after="160" w:line="259" w:lineRule="auto"/>
        <w:ind w:left="714" w:hanging="357"/>
        <w:contextualSpacing/>
        <w:jc w:val="both"/>
        <w:rPr>
          <w:rFonts w:eastAsiaTheme="minorEastAsia" w:cs="Times New Roman"/>
          <w:noProof/>
        </w:rPr>
      </w:pPr>
      <w:r>
        <w:rPr>
          <w:noProof/>
        </w:rPr>
        <w:t>την επανεξέταση του νομικού και θεσμικού πλαισίου που διέπει τη συνεργασία των ιδρυμάτων τριτοβάθμιας εκπαίδευσης με τη δημόσια διοίκηση και τις επιχειρήσεις, συμπεριλαμβανομένων μέτρων για:</w:t>
      </w:r>
    </w:p>
    <w:p w14:paraId="5AE0A55E" w14:textId="77777777" w:rsidR="00154AD2" w:rsidRDefault="007F6BF3">
      <w:pPr>
        <w:pStyle w:val="P68B1DB1-Normal4"/>
        <w:numPr>
          <w:ilvl w:val="1"/>
          <w:numId w:val="44"/>
        </w:numPr>
        <w:spacing w:before="40" w:after="160" w:line="259" w:lineRule="auto"/>
        <w:contextualSpacing/>
        <w:jc w:val="both"/>
        <w:rPr>
          <w:rFonts w:eastAsiaTheme="minorEastAsia" w:cs="Times New Roman"/>
          <w:noProof/>
        </w:rPr>
      </w:pPr>
      <w:r>
        <w:rPr>
          <w:noProof/>
        </w:rPr>
        <w:t>προώθηση της διοργανικής συνεργασίας μεταξύ ιδρυμάτων τριτοβάθμιας εκπαίδευσης (ΙΤΕ) και επιχειρήσεων, καθώς και προσέλκυση ενήλικων σπουδαστών και διεύρυνση της κάλυψης στις περιοχές της ενδοχώρας·</w:t>
      </w:r>
    </w:p>
    <w:p w14:paraId="7734DEF6" w14:textId="77777777" w:rsidR="00154AD2" w:rsidRDefault="007F6BF3">
      <w:pPr>
        <w:pStyle w:val="P68B1DB1-Normal4"/>
        <w:numPr>
          <w:ilvl w:val="1"/>
          <w:numId w:val="44"/>
        </w:numPr>
        <w:spacing w:before="40" w:after="160" w:line="259" w:lineRule="auto"/>
        <w:contextualSpacing/>
        <w:jc w:val="both"/>
        <w:rPr>
          <w:rFonts w:eastAsiaTheme="minorEastAsia" w:cs="Times New Roman"/>
          <w:noProof/>
        </w:rPr>
      </w:pPr>
      <w:r>
        <w:rPr>
          <w:noProof/>
        </w:rPr>
        <w:t>συμπράξεις συνεργασίας που ενθαρρύνουν την ευρεία προσφορά μαθημάτων τριτοβάθμιας εκπαίδευσης, συμπεριλαμβανομένων σύντομων μαθημάτων κατάρτισης, προπτυχιακών προγραμμάτων, μεταπτυχιακών και διδακτορικών τίτλων·</w:t>
      </w:r>
    </w:p>
    <w:p w14:paraId="425A7F13" w14:textId="77777777" w:rsidR="00154AD2" w:rsidRDefault="007F6BF3">
      <w:pPr>
        <w:pStyle w:val="P68B1DB1-Normal4"/>
        <w:numPr>
          <w:ilvl w:val="1"/>
          <w:numId w:val="44"/>
        </w:numPr>
        <w:spacing w:before="40" w:after="160" w:line="259" w:lineRule="auto"/>
        <w:contextualSpacing/>
        <w:jc w:val="both"/>
        <w:rPr>
          <w:rFonts w:eastAsiaTheme="minorEastAsia" w:cs="Times New Roman"/>
          <w:noProof/>
        </w:rPr>
      </w:pPr>
      <w:r>
        <w:rPr>
          <w:noProof/>
        </w:rPr>
        <w:t>να αυξήσουν την προσφορά βραχυπρόθεσμων επαγγελματικών μαθημάτων υψηλού επιπέδου τα οποία διαχειρίζονται πολυτεχνικά ιδρύματα τριτοβάθμιας εκπαίδευσης, σε στενή συνεργασία με δημόσιους και ιδιωτικούς φορείς·</w:t>
      </w:r>
    </w:p>
    <w:p w14:paraId="24C9D18C" w14:textId="77777777" w:rsidR="00154AD2" w:rsidRDefault="007F6BF3">
      <w:pPr>
        <w:pStyle w:val="P68B1DB1-Normal4"/>
        <w:keepNext/>
        <w:numPr>
          <w:ilvl w:val="1"/>
          <w:numId w:val="44"/>
        </w:numPr>
        <w:spacing w:before="40" w:after="160" w:line="259" w:lineRule="auto"/>
        <w:contextualSpacing/>
        <w:jc w:val="both"/>
        <w:rPr>
          <w:rFonts w:eastAsiaTheme="minorEastAsia" w:cs="Times New Roman"/>
          <w:noProof/>
        </w:rPr>
      </w:pPr>
      <w:r>
        <w:rPr>
          <w:noProof/>
        </w:rPr>
        <w:t>περαιτέρω διεύρυνση της βάσης στήριξης της τριτοβάθμιας εκπαίδευσης με τη διευκόλυνση της πρόσβασης σε ιδρύματα τριτοβάθμιας εκπαίδευσης φοιτητών δευτεροβάθμιας εκπαίδευσης από επαγγελματικούς και καλλιτεχνικούς τομείς·</w:t>
      </w:r>
    </w:p>
    <w:p w14:paraId="6D78B2EF" w14:textId="77777777" w:rsidR="00154AD2" w:rsidRDefault="007F6BF3">
      <w:pPr>
        <w:pStyle w:val="P68B1DB1-Normal4"/>
        <w:keepNext/>
        <w:numPr>
          <w:ilvl w:val="1"/>
          <w:numId w:val="44"/>
        </w:numPr>
        <w:spacing w:before="40" w:after="160" w:line="259" w:lineRule="auto"/>
        <w:contextualSpacing/>
        <w:jc w:val="both"/>
        <w:rPr>
          <w:rFonts w:eastAsiaTheme="minorEastAsia" w:cs="Times New Roman"/>
          <w:noProof/>
        </w:rPr>
      </w:pPr>
      <w:r>
        <w:rPr>
          <w:noProof/>
        </w:rPr>
        <w:t>ενίσχυση των εγγραφών σε μαθήματα τριτοβάθμιας εκπαίδευσης σε ψηφιακούς τομείς, ιδίως μέσω του προγράμματος Portugal Digital INCoDe2030, σε στενή συνεργασία με δημόσιους και ιδιωτικούς φορείς·</w:t>
      </w:r>
    </w:p>
    <w:p w14:paraId="4A757B2D" w14:textId="77777777" w:rsidR="00154AD2" w:rsidRDefault="007F6BF3">
      <w:pPr>
        <w:pStyle w:val="P68B1DB1-Normal4"/>
        <w:keepNext/>
        <w:numPr>
          <w:ilvl w:val="1"/>
          <w:numId w:val="44"/>
        </w:numPr>
        <w:spacing w:before="40" w:after="160" w:line="259" w:lineRule="auto"/>
        <w:contextualSpacing/>
        <w:jc w:val="both"/>
        <w:rPr>
          <w:rFonts w:eastAsiaTheme="minorEastAsia" w:cs="Times New Roman"/>
          <w:noProof/>
        </w:rPr>
      </w:pPr>
      <w:r>
        <w:rPr>
          <w:noProof/>
        </w:rPr>
        <w:t>να τονωθεί η σπονδυλωτή κατάρτιση, η οποία προωθεί τη συνεχή μάθηση και την απόκτηση νέων δεξιοτήτων με «μικροδιαπιστευτήρια/μικροδιπλώματα», σε στενή συνεργασία με δημόσιους και ιδιωτικούς φορείς·</w:t>
      </w:r>
    </w:p>
    <w:p w14:paraId="18034D09" w14:textId="77777777" w:rsidR="00154AD2" w:rsidRDefault="007F6BF3">
      <w:pPr>
        <w:pStyle w:val="P68B1DB1-Normal4"/>
        <w:keepNext/>
        <w:numPr>
          <w:ilvl w:val="1"/>
          <w:numId w:val="44"/>
        </w:numPr>
        <w:spacing w:before="40" w:after="160" w:line="259" w:lineRule="auto"/>
        <w:contextualSpacing/>
        <w:jc w:val="both"/>
        <w:rPr>
          <w:rFonts w:eastAsiaTheme="minorEastAsia" w:cs="Times New Roman"/>
          <w:noProof/>
        </w:rPr>
      </w:pPr>
      <w:r>
        <w:rPr>
          <w:noProof/>
        </w:rPr>
        <w:t>να επεκτείνει τη συνεργασία μεταξύ ιδρυμάτων τριτοβάθμιας εκπαίδευσης και εργαστηρίων και κέντρων τεχνολογικής διεπαφής·</w:t>
      </w:r>
    </w:p>
    <w:p w14:paraId="51AF0405" w14:textId="77777777" w:rsidR="00154AD2" w:rsidRDefault="007F6BF3">
      <w:pPr>
        <w:pStyle w:val="P68B1DB1-Normal4"/>
        <w:keepNext/>
        <w:numPr>
          <w:ilvl w:val="1"/>
          <w:numId w:val="42"/>
        </w:numPr>
        <w:spacing w:before="40" w:after="160" w:line="259" w:lineRule="auto"/>
        <w:contextualSpacing/>
        <w:jc w:val="both"/>
        <w:rPr>
          <w:rFonts w:eastAsiaTheme="minorEastAsia" w:cs="Times New Roman"/>
          <w:noProof/>
        </w:rPr>
      </w:pPr>
      <w:r>
        <w:rPr>
          <w:noProof/>
        </w:rPr>
        <w:t>τροποποίηση του νομικού καθεστώτος προκειμένου να αποσαφηνιστούν οι προϋποθέσεις υπό τις οποίες ένας εξωτερικός ειδικός μπορεί να ασκεί διδακτικά ή διευθυντικά καθήκοντα σε ιδρύματα τριτοβάθμιας εκπαίδευσης, προκειμένου να προωθηθεί η κινητικότητα μεταξύ του ακαδημαϊκού και του επιχειρηματικού κόσμου· και</w:t>
      </w:r>
    </w:p>
    <w:p w14:paraId="423A2509" w14:textId="77777777" w:rsidR="00154AD2" w:rsidRDefault="007F6BF3">
      <w:pPr>
        <w:pStyle w:val="P68B1DB1-Normal4"/>
        <w:keepNext/>
        <w:numPr>
          <w:ilvl w:val="1"/>
          <w:numId w:val="42"/>
        </w:numPr>
        <w:spacing w:before="40" w:after="160" w:line="259" w:lineRule="auto"/>
        <w:contextualSpacing/>
        <w:jc w:val="both"/>
        <w:rPr>
          <w:rFonts w:eastAsiaTheme="minorEastAsia" w:cs="Times New Roman"/>
          <w:noProof/>
        </w:rPr>
      </w:pPr>
      <w:r>
        <w:rPr>
          <w:noProof/>
        </w:rPr>
        <w:t>ενίσχυση του νομικού πλαισίου των κοινοπραξιών με επιμερισμένη διαχείριση μεταξύ ιδρυμάτων τριτοβάθμιας εκπαίδευσης και επιχειρήσεων.</w:t>
      </w:r>
    </w:p>
    <w:p w14:paraId="4BAB8F5A" w14:textId="77777777" w:rsidR="00154AD2" w:rsidRDefault="007F6BF3">
      <w:pPr>
        <w:pStyle w:val="P68B1DB1-Normal4"/>
        <w:keepNext/>
        <w:spacing w:before="40" w:after="0" w:line="259" w:lineRule="auto"/>
        <w:jc w:val="both"/>
        <w:rPr>
          <w:rFonts w:eastAsiaTheme="minorEastAsia" w:cs="Times New Roman"/>
          <w:noProof/>
        </w:rPr>
      </w:pPr>
      <w:r>
        <w:rPr>
          <w:noProof/>
        </w:rPr>
        <w:t>Η εφαρμογή της μεταρρύθμισης ολοκληρώνεται έως τις 30 Ιουνίου 2021.</w:t>
      </w:r>
    </w:p>
    <w:p w14:paraId="0FA75BAC"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Μεταρρύθμιση RE-r16: Μείωση των περιορισμών σε άκρως νομοθετικά κατοχυρωμένα επαγγέλματα</w:t>
      </w:r>
    </w:p>
    <w:p w14:paraId="22747F26" w14:textId="77777777" w:rsidR="00154AD2" w:rsidRDefault="007F6BF3">
      <w:pPr>
        <w:pStyle w:val="P68B1DB1-Normal4"/>
        <w:spacing w:before="40" w:after="0" w:line="259" w:lineRule="auto"/>
        <w:jc w:val="both"/>
        <w:rPr>
          <w:rFonts w:eastAsiaTheme="minorEastAsia" w:cs="Times New Roman"/>
          <w:noProof/>
        </w:rPr>
      </w:pPr>
      <w:r>
        <w:rPr>
          <w:noProof/>
        </w:rPr>
        <w:t xml:space="preserve">Στόχος της μεταρρύθμισης αυτής είναι η μείωση των περιορισμών στα επαγγέλματα με υψηλό βαθμό νομοθετικής κατοχύρωσης, κυρίως για την ενίσχυση του ανταγωνισμού στην παροχή υπηρεσιών προς τις επιχειρήσεις. </w:t>
      </w:r>
    </w:p>
    <w:p w14:paraId="6A3E87FA" w14:textId="77777777" w:rsidR="00154AD2" w:rsidRDefault="007F6BF3">
      <w:pPr>
        <w:pStyle w:val="P68B1DB1-Normal4"/>
        <w:spacing w:before="40" w:after="0" w:line="259" w:lineRule="auto"/>
        <w:jc w:val="both"/>
        <w:rPr>
          <w:rFonts w:eastAsiaTheme="minorEastAsia" w:cs="Times New Roman"/>
          <w:noProof/>
        </w:rPr>
      </w:pPr>
      <w:r>
        <w:rPr>
          <w:noProof/>
        </w:rPr>
        <w:t xml:space="preserve">Το 2018, ο ΟΟΣΑ, σε συνεργασία με την πορτογαλική αρχή ανταγωνισμού (AdC), διενήργησε αξιολόγηση για περιορισμένο αριθμό αυτορρυθμιζόμενων επαγγελμάτων, όπως δικηγόρους, δικηγόρους, μηχανικούς, αρχιτέκτονες, ελεγκτές, λογιστές, οικονομολόγους, φαρμακοποιούς και διατροφολόγους. Από την αξιολόγηση που διενεργήθηκε, καταρτίστηκε κατάλογος συστάσεων. Με τη μεταρρύθμιση αυτή, η Πορτογαλία λαμβάνει υπόψη τις συστάσεις του ΟΟΣΑ και της ΕΠΣ. </w:t>
      </w:r>
    </w:p>
    <w:p w14:paraId="7BF38458" w14:textId="5F5B573E" w:rsidR="00154AD2" w:rsidRDefault="007F6BF3">
      <w:pPr>
        <w:pStyle w:val="P68B1DB1-Normal4"/>
        <w:spacing w:before="40" w:after="0" w:line="259" w:lineRule="auto"/>
        <w:jc w:val="both"/>
        <w:rPr>
          <w:rFonts w:eastAsiaTheme="minorEastAsia" w:cs="Times New Roman"/>
          <w:noProof/>
        </w:rPr>
      </w:pPr>
      <w:r>
        <w:rPr>
          <w:noProof/>
        </w:rPr>
        <w:t xml:space="preserve">Η μεταρρύθμιση πρέπει τουλάχιστον: I) να διαχωρίζουν τα καθήκοντα ρύθμισης και εκπροσώπησης σε επαγγελματικές ενώσεις· II) να μειώσει τον κατάλογο των δραστηριοτήτων περιορισμένης πρόσβασης (η πρόσβαση σε αποκλειστικές δραστηριότητες μπορεί να περιορίζεται μόνο για τη διασφάλιση συνταγματικών συμφερόντων, σύμφωνα με τις αρχές της αναγκαιότητας και της αναλογικότητας)· III) να τερματίσουν τους περιορισμούς στην ιδιοκτησία και τη διαχείριση επιχειρήσεων παροχής επιχειρηματικών υπηρεσιών, υπό την προϋπόθεση ότι τα διευθυντικά στελέχη τηρούν το νομικό καθεστώς για την πρόληψη της «σύγκρουσης συμφερόντων»· και iv) να επιτρέπουν πολυκλαδικές επιχειρήσεις παροχής επιχειρηματικών υπηρεσιών. </w:t>
      </w:r>
    </w:p>
    <w:p w14:paraId="48290DD8" w14:textId="77777777" w:rsidR="00154AD2" w:rsidRDefault="007F6BF3">
      <w:pPr>
        <w:pStyle w:val="P68B1DB1-Normal4"/>
        <w:spacing w:before="40" w:after="0" w:line="259" w:lineRule="auto"/>
        <w:jc w:val="both"/>
        <w:rPr>
          <w:rFonts w:eastAsiaTheme="minorEastAsia" w:cs="Times New Roman"/>
          <w:noProof/>
        </w:rPr>
      </w:pPr>
      <w:r>
        <w:rPr>
          <w:noProof/>
        </w:rPr>
        <w:t xml:space="preserve">Ανατίθεται επίσης στην AdC να υποβάλει έκθεση σχετικά με την αποτελεσματικότητα του νέου νόμου για τα νομοθετικά κατοχυρωμένα επαγγέλματα. </w:t>
      </w:r>
    </w:p>
    <w:p w14:paraId="6A04E445" w14:textId="77777777" w:rsidR="00154AD2" w:rsidRDefault="007F6BF3">
      <w:pPr>
        <w:pStyle w:val="P68B1DB1-Normal4"/>
        <w:spacing w:before="40" w:after="0" w:line="259" w:lineRule="auto"/>
        <w:jc w:val="both"/>
        <w:rPr>
          <w:rFonts w:eastAsiaTheme="minorEastAsia" w:cs="Times New Roman"/>
          <w:noProof/>
        </w:rPr>
      </w:pPr>
      <w:r>
        <w:rPr>
          <w:noProof/>
        </w:rPr>
        <w:t>Η εφαρμογή της μεταρρύθμισης ολοκληρώνεται έως τις 31 Δεκεμβρίου 2022.</w:t>
      </w:r>
    </w:p>
    <w:p w14:paraId="58B60BDF"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Μεταρρύθμιση RE-r17: Ατζέντα για την προώθηση της αξιοπρεπούς εργασίας</w:t>
      </w:r>
    </w:p>
    <w:p w14:paraId="5AF25DED" w14:textId="77777777" w:rsidR="00154AD2" w:rsidRDefault="007F6BF3">
      <w:pPr>
        <w:pStyle w:val="P68B1DB1-Normal4"/>
        <w:spacing w:before="40" w:after="0" w:line="259" w:lineRule="auto"/>
        <w:jc w:val="both"/>
        <w:rPr>
          <w:rFonts w:eastAsiaTheme="minorEastAsia" w:cs="Times New Roman"/>
          <w:noProof/>
        </w:rPr>
      </w:pPr>
      <w:r>
        <w:rPr>
          <w:noProof/>
        </w:rPr>
        <w:t>Στόχος της μεταρρύθμισης αυτής είναι να αξιοποιηθούν τα μέτρα που εγκρίθηκαν τα τελευταία χρόνια (όπως εκείνα που αφορούν την αντιμετώπιση του κατακερματισμού της αγοράς εργασίας και την προώθηση των συλλογικών διαπραγματεύσεων) για την προστασία των εργασιακών δικαιωμάτων.</w:t>
      </w:r>
    </w:p>
    <w:p w14:paraId="1EF0875A" w14:textId="7D73539B" w:rsidR="00154AD2" w:rsidRDefault="007F6BF3">
      <w:pPr>
        <w:pStyle w:val="P68B1DB1-Normal4"/>
        <w:spacing w:before="40" w:after="0" w:line="259" w:lineRule="auto"/>
        <w:jc w:val="both"/>
        <w:rPr>
          <w:rFonts w:eastAsiaTheme="minorEastAsia" w:cs="Times New Roman"/>
          <w:noProof/>
        </w:rPr>
      </w:pPr>
      <w:r>
        <w:rPr>
          <w:noProof/>
        </w:rPr>
        <w:t xml:space="preserve">Μετά την παρουσίαση της Πράσινης Βίβλου για το μέλλον της εργασίας από την κυβέρνηση, η μεταρρύθμιση αυτή θα περιλαμβάνει νομοθετική πράξη για τη ρύθμιση της εργασίας σε πλατφόρμα, προκειμένου να αντιμετωπιστούν οι νέες προκλήσεις που δημιουργούνται από τις άτυπες εργασιακές σχέσεις, σύμφωνα με τις αρχές του ευρωπαϊκού πυλώνα κοινωνικών δικαιωμάτων. Ενισχύει την ποιότητα των εργασιακών σχέσεων και βελτιώνει την πρόσβαση στα δικαιώματα και την κοινωνική προστασία. </w:t>
      </w:r>
    </w:p>
    <w:p w14:paraId="0255E56D" w14:textId="77777777" w:rsidR="00154AD2" w:rsidRDefault="007F6BF3">
      <w:pPr>
        <w:pStyle w:val="P68B1DB1-Normal4"/>
        <w:keepNext/>
        <w:spacing w:before="40" w:after="0" w:line="259" w:lineRule="auto"/>
        <w:jc w:val="both"/>
        <w:rPr>
          <w:rFonts w:eastAsiaTheme="minorEastAsia" w:cs="Times New Roman"/>
          <w:noProof/>
        </w:rPr>
      </w:pPr>
      <w:r>
        <w:rPr>
          <w:noProof/>
        </w:rPr>
        <w:t>Η εφαρμογή της μεταρρύθμισης ολοκληρώνεται έως τις 31 Μαρτίου 2023.</w:t>
      </w:r>
    </w:p>
    <w:p w14:paraId="344F2E16"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Μεταρρύθμιση RE-r18: Καταπολέμηση της ανισότητας μεταξύ γυναικών και ανδρών</w:t>
      </w:r>
    </w:p>
    <w:p w14:paraId="5CA7D144" w14:textId="77777777" w:rsidR="00154AD2" w:rsidRDefault="007F6BF3">
      <w:pPr>
        <w:pStyle w:val="P68B1DB1-Normal4"/>
        <w:spacing w:before="40" w:after="0" w:line="259" w:lineRule="auto"/>
        <w:jc w:val="both"/>
        <w:rPr>
          <w:rFonts w:eastAsiaTheme="minorEastAsia" w:cs="Times New Roman"/>
          <w:noProof/>
        </w:rPr>
      </w:pPr>
      <w:r>
        <w:rPr>
          <w:noProof/>
        </w:rPr>
        <w:t>Στόχος αυτής της μεταρρύθμισης είναι η προώθηση της ισότητας των αμοιβών μεταξύ των φύλων, των ίσων ευκαιριών σταδιοδρομίας και η καταπολέμηση των στερεοτύπων που αφορούν το φύλο και του διαχωρισμού κατά την επιλογή επαγγελματικών σταδιοδρομιών. Βασίζεται εκτενώς στην ισχύουσα νομοθεσία, ιδίως όσον αφορά την ισότητα των αμοιβών (νόμος αριθ. 60/2018), και στην ισόρροπη εκπροσώπηση στα διοικητικά συμβούλια (νόμοι αριθ. 62/2017 και αριθ. 26/2019).</w:t>
      </w:r>
    </w:p>
    <w:p w14:paraId="6089F955" w14:textId="6C5F614E" w:rsidR="00154AD2" w:rsidRDefault="007F6BF3">
      <w:pPr>
        <w:pStyle w:val="P68B1DB1-Normal4"/>
        <w:spacing w:before="40" w:after="0" w:line="259" w:lineRule="auto"/>
        <w:jc w:val="both"/>
        <w:rPr>
          <w:rFonts w:eastAsiaTheme="minorEastAsia" w:cs="Times New Roman"/>
          <w:noProof/>
        </w:rPr>
      </w:pPr>
      <w:r>
        <w:rPr>
          <w:noProof/>
        </w:rPr>
        <w:t xml:space="preserve">Η νομοθεσία για την ίση αμοιβή δημιούργησε μηχανισμούς για την εφαρμογή της αρχής της ίσης αμοιβής για όμοια εργασία ή για εργασία της αυτής αξίας, αναγκάζοντας τις εταιρείες να εφαρμόζουν διαφανείς πολιτικές αποδοχών. Από το 2021 και μετά, μια υπηρεσία του Υπουργείου Απασχόλησης και Κοινωνικής Ασφάλισης συνέταξε έκθεση σχετικά με τις μισθολογικές διαφορές μεταξύ των φύλων για κάθε εταιρεία με περισσότερους από 50 εργαζομένους, η οποία καλύπτει τις μισθολογικές διαφορές μεταξύ των φύλων. </w:t>
      </w:r>
    </w:p>
    <w:p w14:paraId="2D14154A" w14:textId="2BB01CB6" w:rsidR="00154AD2" w:rsidRDefault="007F6BF3">
      <w:pPr>
        <w:pStyle w:val="P68B1DB1-Normal4"/>
        <w:spacing w:before="40" w:after="0" w:line="259" w:lineRule="auto"/>
        <w:jc w:val="both"/>
        <w:rPr>
          <w:rFonts w:eastAsiaTheme="minorEastAsia" w:cs="Times New Roman"/>
          <w:noProof/>
        </w:rPr>
      </w:pPr>
      <w:r>
        <w:rPr>
          <w:noProof/>
        </w:rPr>
        <w:t xml:space="preserve">Από το 2025 και μετά, οι εταιρείες με περισσότερους από 50 εργαζομένους που έχουν σημαντικές διαφορές στα επίπεδα αμοιβής μεταξύ των φύλων για τις ίδιες θέσεις εργασίας υποχρεούνται να υποβάλουν σχέδιο δράσης στη Διεύθυνση Επιθεώρησης Εργασίας για την αντιμετώπιση των διαφορών αυτών μέσω της εφαρμογής του σχεδίου δράσης. </w:t>
      </w:r>
    </w:p>
    <w:p w14:paraId="76818DD3" w14:textId="77777777" w:rsidR="00154AD2" w:rsidRDefault="007F6BF3">
      <w:pPr>
        <w:pStyle w:val="P68B1DB1-Normal4"/>
        <w:spacing w:before="40" w:after="0" w:line="259" w:lineRule="auto"/>
        <w:jc w:val="both"/>
        <w:rPr>
          <w:rFonts w:eastAsiaTheme="minorEastAsia" w:cs="Times New Roman"/>
          <w:noProof/>
        </w:rPr>
      </w:pPr>
      <w:r>
        <w:rPr>
          <w:noProof/>
        </w:rPr>
        <w:t>Η μεταρρύθμιση περιλαμβάνει επίσης ένα εθελοντικό σύστημα που βασίζεται στο πρότυπο ÍST 85 της Ισλανδίας: 2012, η οποία παρέχει δημόσια αναγνώριση σε επιχειρήσεις που έχουν εφαρμόσει αποτελεσματικά πολιτικές για την ισότητα των αμοιβών. Σκοπός του πιστοποιητικού είναι να επιβεβαιώνει ότι, όταν λαμβάνονται αποφάσεις σχετικά με τον μισθό, βασίζονται εξ ολοκλήρου σε συναφείς εκτιμήσεις.</w:t>
      </w:r>
    </w:p>
    <w:p w14:paraId="632ABE9A" w14:textId="77777777" w:rsidR="00154AD2" w:rsidRDefault="007F6BF3">
      <w:pPr>
        <w:pStyle w:val="P68B1DB1-Normal4"/>
        <w:spacing w:before="40" w:after="0" w:line="259" w:lineRule="auto"/>
        <w:jc w:val="both"/>
        <w:rPr>
          <w:rFonts w:eastAsiaTheme="minorEastAsia" w:cs="Times New Roman"/>
          <w:noProof/>
        </w:rPr>
      </w:pPr>
      <w:r>
        <w:rPr>
          <w:noProof/>
        </w:rPr>
        <w:t>Η εφαρμογή της μεταρρύθμισης ολοκληρώνεται έως τις 31 Δεκεμβρίου 2024.</w:t>
      </w:r>
    </w:p>
    <w:p w14:paraId="79DF09F6" w14:textId="3D240655"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Επένδυση RE-C06-i01: Εκσυγχρονισμός των ιδρυμάτων επαγγελματικής εκπαίδευσης και κατάρτισης</w:t>
      </w:r>
    </w:p>
    <w:p w14:paraId="7C8E1168" w14:textId="2C3A9FEC" w:rsidR="00154AD2" w:rsidRDefault="007F6BF3">
      <w:pPr>
        <w:pStyle w:val="P68B1DB1-Normal4"/>
        <w:jc w:val="both"/>
        <w:rPr>
          <w:rFonts w:eastAsiaTheme="minorEastAsia" w:cs="Times New Roman"/>
          <w:noProof/>
        </w:rPr>
      </w:pPr>
      <w:r>
        <w:rPr>
          <w:noProof/>
        </w:rPr>
        <w:t xml:space="preserve">Οι στόχοι της επένδυσης αυτής περιλαμβάνουν την εγκατάσταση και τον εκσυγχρονισμό εξειδικευμένων τεχνολογικών κέντρων στα δημόσια σχολεία δευτεροβάθμιας εκπαίδευσης με επαγγελματικά μαθήματα και επαγγελματικές σχολές, καθώς και σε ιδιωτικά και συνεταιριστικά εκπαιδευτικά ιδρύματα επαγγελματικής εκπαίδευσης. Επιπλέον, οι στόχοι περιλαμβάνουν τη διεύρυνση και τον εκσυγχρονισμό του δικτύου των κέντρων επαγγελματικής κατάρτισης της δημόσιας υπηρεσίας απασχόλησης (IEFP), του δικτύου σχολείων της Εθνικής Αρχής Τουρισμού (Turismo de Portugal) και προκειμένου η κατάρτιση να καταστεί περισσότερο σχετική με την αγορά και να ευθυγραμμιστεί με τον περιβαλλοντικό, ψηφιακό, δημογραφικό και βιομηχανικό μετασχηματισμό. </w:t>
      </w:r>
    </w:p>
    <w:p w14:paraId="713ECA79" w14:textId="77777777" w:rsidR="00154AD2" w:rsidRDefault="007F6BF3">
      <w:pPr>
        <w:pStyle w:val="P68B1DB1-Normal4"/>
        <w:spacing w:before="40" w:after="0" w:line="259" w:lineRule="auto"/>
        <w:jc w:val="both"/>
        <w:rPr>
          <w:rFonts w:eastAsiaTheme="minorEastAsia" w:cs="Times New Roman"/>
          <w:noProof/>
        </w:rPr>
      </w:pPr>
      <w:r>
        <w:rPr>
          <w:noProof/>
        </w:rPr>
        <w:t xml:space="preserve">Η επένδυση αυτή συνίσταται στα εξής: </w:t>
      </w:r>
    </w:p>
    <w:p w14:paraId="65A279D3" w14:textId="59E91174" w:rsidR="00154AD2" w:rsidRDefault="007F6BF3">
      <w:pPr>
        <w:pStyle w:val="P68B1DB1-Normal4"/>
        <w:numPr>
          <w:ilvl w:val="0"/>
          <w:numId w:val="43"/>
        </w:numPr>
        <w:spacing w:before="40" w:after="160" w:line="259" w:lineRule="auto"/>
        <w:ind w:left="714" w:hanging="357"/>
        <w:jc w:val="both"/>
        <w:rPr>
          <w:rFonts w:eastAsiaTheme="minorEastAsia" w:cs="Times New Roman"/>
          <w:noProof/>
        </w:rPr>
      </w:pPr>
      <w:r>
        <w:rPr>
          <w:noProof/>
        </w:rPr>
        <w:t>εγκατάσταση και εκσυγχρονισμός 365 εξειδικευμένων τεχνολογικών κέντρων σε σχολεία δευτεροβάθμιας εκπαίδευσης που προσφέρουν επαγγελματικά μαθήματα και επαγγελματικές σχολές, εκ των οποίων 115 (βιομηχανικά κέντρα), 30 (κέντρα ανανεώσιμων πηγών ενέργειας), 195 (κέντρα πληροφορικής) και 25 (Ψηφιακά και Πολυμέσα). Τη διαχείριση των εξειδικευμένων τεχνολογικών κέντρων αναλαμβάνουν οι διευθυντές των δημόσιων σχολείων δικτύου ή ιδιωτικοί φορείς. Η επένδυση αυτή περιλαμβάνει τον εκσυγχρονισμό και την αποκατάσταση των υφιστάμενων εγκαταστάσεων και υποδομών, καθώς και την απόκτηση τεχνολογικών εκπαιδευτικών πόρων (εξοπλισμού). Διεύρυνση και εκσυγχρονισμός του δικτύου των κέντρων επαγγελματικής κατάρτισης της δημόσιας υπηρεσίας απασχόλησης (IEFP), είτε υπό άμεση διαχείριση είτε μέσω συμβάσεων παραχώρησης, καθώς και του δικτύου σχολείων της Εθνικής Αρχής Τουρισμού (Turismo de Portugal) στην Πορτογαλία. Το σχέδιο εκσυγχρονισμού του εξοπλισμού του δικτύου των κέντρων επαγγελματικής κατάρτισης της IEFP περιλαμβάνει την αγορά των ακόλουθων ειδών εξοπλισμού, ήτοι: I) ενέργεια από ανανεώσιμες πηγές· II) ψηφιοποίηση της βιομηχανίας· την αεροναυτική· IV) ψηφιοποίηση του εμπορίου· και v) προσομοιωτές «ξηράς». Αναμένεται ότι η εν λόγω επιμέρους επένδυση θα επιτρέψει την αναβάθμιση 22 000 θέσεων κατάρτισης.</w:t>
      </w:r>
    </w:p>
    <w:p w14:paraId="5288888F" w14:textId="77777777" w:rsidR="00154AD2" w:rsidRDefault="007F6BF3">
      <w:pPr>
        <w:pStyle w:val="P68B1DB1-Normal4"/>
        <w:spacing w:before="120" w:after="0" w:line="259" w:lineRule="auto"/>
        <w:jc w:val="both"/>
        <w:rPr>
          <w:rFonts w:eastAsiaTheme="minorEastAsia" w:cs="Times New Roman"/>
          <w:noProof/>
        </w:rPr>
      </w:pPr>
      <w:r>
        <w:rPr>
          <w:noProof/>
        </w:rPr>
        <w:t>Η υλοποίηση της επένδυσης θα ολοκληρωθεί έως τις 31 Δεκεμβρίου 2025.</w:t>
      </w:r>
    </w:p>
    <w:p w14:paraId="5AEBBD6D" w14:textId="0B50F649"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Επένδυση RE-C06-i02: Δέσμευση για βιώσιμη απασχόληση</w:t>
      </w:r>
    </w:p>
    <w:p w14:paraId="20CED285" w14:textId="5D4F76FD" w:rsidR="00154AD2" w:rsidRDefault="007F6BF3">
      <w:pPr>
        <w:pStyle w:val="P68B1DB1-Normal4"/>
        <w:spacing w:before="40" w:after="0" w:line="259" w:lineRule="auto"/>
        <w:jc w:val="both"/>
        <w:rPr>
          <w:rFonts w:eastAsiaTheme="minorEastAsia" w:cs="Times New Roman"/>
          <w:noProof/>
        </w:rPr>
      </w:pPr>
      <w:r>
        <w:rPr>
          <w:noProof/>
        </w:rPr>
        <w:t>Οι στόχοι αυτής της επένδυσης είναι η δημιουργία μόνιμων και ποιοτικών συμβάσεων εργασίας στο πλαίσιο του προγράμματος δεσμεύσεων για βιώσιμη απασχόληση και η μείωση του κατακερματισμού της αγοράς εργασίας μεταξύ όλων των ομάδων, συμπεριλαμβανομένων των νέων.</w:t>
      </w:r>
    </w:p>
    <w:p w14:paraId="396EFC94" w14:textId="3882AB7D" w:rsidR="00154AD2" w:rsidRDefault="007F6BF3">
      <w:pPr>
        <w:pStyle w:val="P68B1DB1-Normal4"/>
        <w:spacing w:before="40" w:after="0" w:line="259" w:lineRule="auto"/>
        <w:jc w:val="both"/>
        <w:rPr>
          <w:rFonts w:eastAsiaTheme="minorEastAsia" w:cs="Times New Roman"/>
          <w:noProof/>
        </w:rPr>
      </w:pPr>
      <w:r>
        <w:rPr>
          <w:noProof/>
        </w:rPr>
        <w:t xml:space="preserve">Προκειμένου να επιταχυνθεί η επιστροφή στην απασχόληση, οι εργοδότες λαμβάνουν προσωρινές επιδοτήσεις ως αντάλλαγμα για την προσφορά συμβάσεων αορίστου χρόνου που καταβάλλουν επαρκείς μισθούς. Ο εργοδότης λαμβάνει τουλάχιστον 5 266 EUR (12 φορές τον δείκτη κοινωνικής στήριξης, ο οποίος χρησιμεύει ως σημείο αναφοράς για τον υπολογισμό των διαφόρων παροχών κοινωνικής ασφάλισης) για κάθε δημιουργούμενη θέση απασχόλησης. Το ποσό αυτό μπορεί να αυξηθεί ανάλογα με την εξέλιξη και τις ανάγκες της αγοράς εργασίας, συμπεριλαμβανομένων διαφορετικών ομάδων-στόχων, ιδίως των νέων, όπως ορίζεται στη δέσμευση για βιώσιμη απασχόληση (-κυβερνητικό διάταγμα αριθ. 38/2022, όπως τροποποιήθηκε). Οι αυξήσεις είναι σωρευτικές σύμφωνα με το προαναφερθέν κυβερνητικό διάταγμα. . Επιπλέον, η χρηματοδοτική στήριξη θα μπορούσε να συμπληρωθεί για την πρόσληψη προσώπου από το υποεκπροσωπούμενο φύλο στο εν λόγω επάγγελμα. Τα συμπληρωματικά ποσά είναι σωρευτικά. Επιπλέον, οι εργοδότες λαμβάνουν στήριξη ύψους 50 % των εισφορών κοινωνικής ασφάλισής τους για περίοδο ενός έτους (14 μήνες). Το μέτρο αυτό αναμένεται να στηρίξει τη δημιουργία 30 000 μόνιμων θέσεων εργασίας. Το μέτρο αναμένεται να διαρκέσει ένα έτος, αλλά θα μπορούσε να παραταθεί για δύο επιπλέον έτη. Δεδομένης της ανάγκης να εξασφαλιστεί η συμμετοχή του ιδιωτικού τομέα στο καθεστώς, η εφαρμογή του αρχίζει από τη στιγμή της οικονομικής ανάκαμψης. </w:t>
      </w:r>
    </w:p>
    <w:p w14:paraId="71DC7F72" w14:textId="07F99994" w:rsidR="00154AD2" w:rsidRDefault="007F6BF3">
      <w:pPr>
        <w:pStyle w:val="P68B1DB1-Normal4"/>
        <w:spacing w:before="40" w:after="0" w:line="259" w:lineRule="auto"/>
        <w:jc w:val="both"/>
        <w:rPr>
          <w:rFonts w:eastAsiaTheme="minorEastAsia" w:cs="Times New Roman"/>
          <w:noProof/>
        </w:rPr>
      </w:pPr>
      <w:r>
        <w:rPr>
          <w:noProof/>
        </w:rPr>
        <w:t>Η υλοποίηση της επένδυσης θα ολοκληρωθεί έως τις 31 Δεκεμβρίου 2024.</w:t>
      </w:r>
    </w:p>
    <w:p w14:paraId="331235C5"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Επένδυση RE-C06-i03: Κίνητρο για ενηλίκους</w:t>
      </w:r>
    </w:p>
    <w:p w14:paraId="5CA59C0F" w14:textId="0D857AF7" w:rsidR="00154AD2" w:rsidRDefault="007F6BF3">
      <w:pPr>
        <w:pStyle w:val="P68B1DB1-Normal4"/>
        <w:spacing w:before="40" w:after="0" w:line="259" w:lineRule="auto"/>
        <w:jc w:val="both"/>
        <w:rPr>
          <w:rFonts w:eastAsiaTheme="minorEastAsia" w:cs="Times New Roman"/>
          <w:noProof/>
        </w:rPr>
      </w:pPr>
      <w:r>
        <w:rPr>
          <w:noProof/>
        </w:rPr>
        <w:t xml:space="preserve">Στόχος της επένδυσης αυτής είναι η εφαρμογή μιας πολλαπλής προσέγγισης για την αύξηση των προσόντων του ενήλικου πληθυσμού ηλικίας 18 ετών και άνω, η οποία περιλαμβάνει: I) προώθηση της εκπαίδευσης ενηλίκων μέσω της αναβάθμισης του εθνικού σχεδίου για τον γραμματισμό ενηλίκων με σκοπό τη βελτίωση των βασικών δεξιοτήτων γραμματισμού, αριθμητισμού και ψηφιακών δεξιοτήτων· αύξηση των ποσοστών συμμετοχής και ολοκλήρωσης των ενηλίκων στις διαδικασίες αναγνώρισης, επικύρωσης και πιστοποίησης ικανοτήτων (RVCC)· και iii) να αναπτύξουν προσφορές τριτοβάθμιας εκπαίδευσης για ενηλίκους, όπως μαθήματα σύντομης διάρκειας. </w:t>
      </w:r>
    </w:p>
    <w:p w14:paraId="5860CEF4" w14:textId="3F0B0075" w:rsidR="00154AD2" w:rsidRDefault="007F6BF3">
      <w:pPr>
        <w:pStyle w:val="P68B1DB1-Normal4"/>
        <w:keepNext/>
        <w:spacing w:before="40" w:after="0" w:line="259" w:lineRule="auto"/>
        <w:jc w:val="both"/>
        <w:rPr>
          <w:rFonts w:eastAsiaTheme="minorEastAsia" w:cs="Times New Roman"/>
          <w:noProof/>
        </w:rPr>
      </w:pPr>
      <w:r>
        <w:rPr>
          <w:noProof/>
        </w:rPr>
        <w:t xml:space="preserve">Η επένδυση αυτή αποτελείται από: </w:t>
      </w:r>
    </w:p>
    <w:p w14:paraId="14F048E0" w14:textId="77777777" w:rsidR="00154AD2" w:rsidRDefault="007F6BF3">
      <w:pPr>
        <w:pStyle w:val="P68B1DB1-Normal4"/>
        <w:keepNext/>
        <w:numPr>
          <w:ilvl w:val="0"/>
          <w:numId w:val="45"/>
        </w:numPr>
        <w:spacing w:before="40" w:after="160" w:line="259" w:lineRule="auto"/>
        <w:contextualSpacing/>
        <w:jc w:val="both"/>
        <w:rPr>
          <w:rFonts w:eastAsiaTheme="minorEastAsia" w:cs="Times New Roman"/>
          <w:noProof/>
        </w:rPr>
      </w:pPr>
      <w:r>
        <w:rPr>
          <w:noProof/>
        </w:rPr>
        <w:t xml:space="preserve">στο πλαίσιο του προγράμματος </w:t>
      </w:r>
      <w:r>
        <w:rPr>
          <w:i/>
          <w:noProof/>
        </w:rPr>
        <w:t>Qualifica</w:t>
      </w:r>
      <w:r>
        <w:rPr>
          <w:noProof/>
        </w:rPr>
        <w:t>, την αναβάθμιση του εθνικού σχεδίου για τον αλφαβητισμό των ενηλίκων, με τη διεξαγωγή 225 τοπικών σχεδίων που οδηγούν στα επίπεδα B1/B2/B3. Το μέτρο αυτό τελεί υπό τη διαχείριση της Εθνικής Υπηρεσίας Επαγγελματικών Προσόντων και Επαγγελματικής Εκπαίδευσης και Κατάρτισης (ANQEP). Κάθε έργο έχει τη δυνατότητα να ανοίξει 100 κενές θέσεις εργασίας, με συνολικό αριθμό συμμετεχόντων περίπου 22 500 ατόμων. Εκτός από την αγορά παιδαγωγικού εξοπλισμού και αναλώσιμων και την πληρωμή του προσωπικού κατάρτισης, η εν λόγω επιμέρους επένδυση θα παρέχει, όταν είναι αναγκαίο, ορισμένες επιδοτήσεις στους συμμετέχοντες, στους εργοδότες τους και στους κοινοτικούς διαμεσολαβητές·</w:t>
      </w:r>
    </w:p>
    <w:p w14:paraId="612871DF" w14:textId="0B0AB797" w:rsidR="00154AD2" w:rsidRDefault="007F6BF3">
      <w:pPr>
        <w:pStyle w:val="P68B1DB1-Normal4"/>
        <w:keepNext/>
        <w:numPr>
          <w:ilvl w:val="0"/>
          <w:numId w:val="45"/>
        </w:numPr>
        <w:spacing w:before="40" w:after="160" w:line="259" w:lineRule="auto"/>
        <w:contextualSpacing/>
        <w:jc w:val="both"/>
        <w:rPr>
          <w:rFonts w:eastAsiaTheme="minorEastAsia" w:cs="Times New Roman"/>
          <w:noProof/>
        </w:rPr>
      </w:pPr>
      <w:r>
        <w:rPr>
          <w:noProof/>
        </w:rPr>
        <w:t xml:space="preserve">στο πλαίσιο του προγράμματος </w:t>
      </w:r>
      <w:r>
        <w:rPr>
          <w:i/>
          <w:noProof/>
        </w:rPr>
        <w:t>Qualifica</w:t>
      </w:r>
      <w:r>
        <w:rPr>
          <w:noProof/>
        </w:rPr>
        <w:t xml:space="preserve">, ο «acelerador» </w:t>
      </w:r>
      <w:r>
        <w:rPr>
          <w:i/>
          <w:noProof/>
        </w:rPr>
        <w:t>a είναι</w:t>
      </w:r>
      <w:r>
        <w:rPr>
          <w:noProof/>
        </w:rPr>
        <w:t>ένα νέο μέτρο για την παροχή οικονομικής στήριξης σε ενήλικες κατά τη διάρκεια των διαδικασιών RVCC τους. Το μέτρο αυτό τελεί υπό τη διαχείριση της Εθνικής Υπηρεσίας Επαγγελματικής Εκπαίδευσης και Επαγγελματικής Εκπαίδευσης και Κατάρτισης (ANQEP). Κάθε συμμετέχων ενήλικος λαμβάνει χρηματοδοτική στήριξη έως 1,25 φορές την ΥΕΕ. Ο συνολικός αριθμός των συμμετεχόντων σε διαδικασίες RVCC εκτιμάται σε 100 000 άτομα·</w:t>
      </w:r>
    </w:p>
    <w:p w14:paraId="67A55033" w14:textId="77777777" w:rsidR="00154AD2" w:rsidRDefault="007F6BF3">
      <w:pPr>
        <w:pStyle w:val="P68B1DB1-Normal4"/>
        <w:keepNext/>
        <w:numPr>
          <w:ilvl w:val="0"/>
          <w:numId w:val="45"/>
        </w:numPr>
        <w:spacing w:before="40" w:after="160" w:line="259" w:lineRule="auto"/>
        <w:contextualSpacing/>
        <w:jc w:val="both"/>
        <w:rPr>
          <w:rFonts w:eastAsiaTheme="minorEastAsia" w:cs="Times New Roman"/>
          <w:noProof/>
        </w:rPr>
      </w:pPr>
      <w:r>
        <w:rPr>
          <w:noProof/>
        </w:rPr>
        <w:t>προώθηση συνεργατικών δικτύων μεταξύ ιδρυμάτων τριτοβάθμιας εκπαίδευσης, επιχειρήσεων και άλλων ενδιαφερόμενων μερών μέσω της στήριξης νέων μεταπτυχιακών σχολείων/προγραμμάτων/συμμαχιών, όσον αφορά κοινά συνεργατικά προγράμματα που περιλαμβάνουν δραστηριότητες εκπαίδευσης, έρευνας και καινοτομίας και πρωτοβουλίες για την ανάπτυξη μαθημάτων μικρής διάρκειας στην τριτοβάθμια εκπαίδευση με στόχο την ενίσχυση της διά βίου μάθησης (επανειδίκευση και αναβάθμιση δεξιοτήτων). Η επένδυση συνίσταται σε επιχορηγήσεις για την υλοποίηση ολοκληρωμένων προγραμμάτων με τη συμμετοχή συνολικά 23 000 φοιτητών κατά την περίοδο 2021-2025, συμπεριλαμβανομένων των δαπανών εγκατάστασης και εξοπλισμού, της στήριξης των σπουδαστών και των δαπανών των ιδρυμάτων τριτοβάθμιας εκπαίδευσης που συνδέονται με την παροχή των μαθημάτων. Οι κοινοπραξίες επιλέγονται μέσω ανοικτού διαγωνισμού.</w:t>
      </w:r>
    </w:p>
    <w:p w14:paraId="4C02ACB6" w14:textId="77777777" w:rsidR="00154AD2" w:rsidRDefault="007F6BF3">
      <w:pPr>
        <w:pStyle w:val="P68B1DB1-Normal4"/>
        <w:spacing w:before="40" w:after="0" w:line="259" w:lineRule="auto"/>
        <w:jc w:val="both"/>
        <w:rPr>
          <w:rFonts w:eastAsiaTheme="minorEastAsia" w:cs="Times New Roman"/>
          <w:noProof/>
        </w:rPr>
      </w:pPr>
      <w:r>
        <w:rPr>
          <w:noProof/>
        </w:rPr>
        <w:t>Η υλοποίηση της επένδυσης θα ολοκληρωθεί έως τις 31 Δεκεμβρίου 2025.</w:t>
      </w:r>
    </w:p>
    <w:p w14:paraId="1DA8A972" w14:textId="293B4D84"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Επένδυση RE-C06-i04: Ώθηση των νέων — STEAM</w:t>
      </w:r>
    </w:p>
    <w:p w14:paraId="6A794065" w14:textId="77777777" w:rsidR="00154AD2" w:rsidRDefault="007F6BF3">
      <w:pPr>
        <w:pStyle w:val="P68B1DB1-Normal4"/>
        <w:spacing w:before="40" w:after="0" w:line="259" w:lineRule="auto"/>
        <w:jc w:val="both"/>
        <w:rPr>
          <w:rFonts w:eastAsiaTheme="minorEastAsia" w:cs="Times New Roman"/>
          <w:noProof/>
        </w:rPr>
      </w:pPr>
      <w:r>
        <w:rPr>
          <w:noProof/>
        </w:rPr>
        <w:t xml:space="preserve">Στόχος αυτής της επένδυσης είναι: </w:t>
      </w:r>
    </w:p>
    <w:p w14:paraId="48A8558E" w14:textId="77777777" w:rsidR="00154AD2" w:rsidRDefault="007F6BF3">
      <w:pPr>
        <w:pStyle w:val="P68B1DB1-Normal4"/>
        <w:keepNext/>
        <w:numPr>
          <w:ilvl w:val="0"/>
          <w:numId w:val="46"/>
        </w:numPr>
        <w:spacing w:before="40" w:after="160" w:line="259" w:lineRule="auto"/>
        <w:contextualSpacing/>
        <w:jc w:val="both"/>
        <w:rPr>
          <w:rFonts w:eastAsiaTheme="minorEastAsia" w:cs="Times New Roman"/>
          <w:noProof/>
        </w:rPr>
      </w:pPr>
      <w:r>
        <w:rPr>
          <w:noProof/>
        </w:rPr>
        <w:t>αύξηση των ποσοστών εγγραφής σε μαθήματα θετικών επιστημών, τεχνολογίας, μηχανικής, τεχνών και μαθηματικών (STEAM), μεταξύ άλλων σε μαθήματα τεχνολογίας πληροφοριών· και</w:t>
      </w:r>
    </w:p>
    <w:p w14:paraId="7CE713E1" w14:textId="77777777" w:rsidR="00154AD2" w:rsidRDefault="007F6BF3">
      <w:pPr>
        <w:pStyle w:val="P68B1DB1-Normal4"/>
        <w:keepNext/>
        <w:numPr>
          <w:ilvl w:val="0"/>
          <w:numId w:val="46"/>
        </w:numPr>
        <w:spacing w:before="40" w:after="160" w:line="259" w:lineRule="auto"/>
        <w:contextualSpacing/>
        <w:jc w:val="both"/>
        <w:rPr>
          <w:rFonts w:eastAsiaTheme="minorEastAsia" w:cs="Times New Roman"/>
          <w:noProof/>
        </w:rPr>
      </w:pPr>
      <w:r>
        <w:rPr>
          <w:noProof/>
        </w:rPr>
        <w:t>παροχή κατάλληλων εγκαταστάσεων σε μη τριτοβάθμιες σχολές για την επιστημονική εκπαίδευση, ώστε να αυξηθεί το ενδιαφέρον για θέματα που σχετίζονται με την επιστήμη.</w:t>
      </w:r>
    </w:p>
    <w:p w14:paraId="42904022" w14:textId="6ABF32E6" w:rsidR="00154AD2" w:rsidRDefault="007F6BF3">
      <w:pPr>
        <w:pStyle w:val="P68B1DB1-Normal4"/>
        <w:spacing w:before="40" w:after="0" w:line="259" w:lineRule="auto"/>
        <w:jc w:val="both"/>
        <w:rPr>
          <w:rFonts w:eastAsiaTheme="minorEastAsia" w:cs="Times New Roman"/>
          <w:noProof/>
        </w:rPr>
      </w:pPr>
      <w:r>
        <w:rPr>
          <w:noProof/>
        </w:rPr>
        <w:t>Το μέτρο αυτό απευθύνεται σε ιδρύματα τριτοβάθμιας εκπαίδευσης (τόσο πανεπιστήμια όσο και πολυτεχνεία). Η κατανομή των κονδυλίων προκύπτει από ανοικτό διαγωνισμό. Η επένδυση αυτή συνίσταται στην υλοποίηση προγραμμάτων από ιδρύματα τριτοβάθμιας εκπαίδευσης (ΙΤΕ), σε συνεργασία με εργοδότες του δημόσιου και/ή του ιδιωτικού τομέα και άλλους ενδιαφερόμενους φορείς, συμπεριλαμβανομένων των σχολείων δευτεροβάθμιας εκπαίδευσης. Μπορούν να λάβουν τη μορφή σχολείων/προγραμμάτων/συμμαχιών, όσον αφορά κοινά συνεργατικά προγράμματα που περιλαμβάνουν δραστηριότητες και πρωτοβουλίες εκπαίδευσης, έρευνας και καινοτομίας, με στόχο την ενίσχυση της αρχικής τριτοβάθμιας εκπαίδευσης και την αύξηση του αριθμού των αποφοίτων STEAM, προσφέροντας προπτυχιακούς και άλλους κύκλους μαθημάτων αρχικής τριτοβάθμιας εκπαίδευσης (π.χ. μαθήματα τριτοβάθμιας τεχνικής επαγγελματικής κατάρτισης στην περίπτωση της πολυτεχνικής). Τα προγράμματα περιλαμβάνουν τον εκσυγχρονισμό και τη διεύρυνση των εγκαταστάσεων για την αντιμετώπιση της αύξησης του αριθμού των σπουδαστών, τα κίνητρα για τους σπουδαστές και άλλες δαπάνες των ανώτατων εκπαιδευτικών ιδρυμάτων που συνδέονται με την παροχή των μαθημάτων.</w:t>
      </w:r>
    </w:p>
    <w:p w14:paraId="1D9CCCC0" w14:textId="4B6ACEC1" w:rsidR="00154AD2" w:rsidRDefault="007F6BF3">
      <w:pPr>
        <w:pStyle w:val="P68B1DB1-Normal4"/>
        <w:keepNext/>
        <w:spacing w:before="40" w:after="0" w:line="259" w:lineRule="auto"/>
        <w:jc w:val="both"/>
        <w:rPr>
          <w:rFonts w:eastAsiaTheme="minorEastAsia" w:cs="Times New Roman"/>
          <w:noProof/>
        </w:rPr>
      </w:pPr>
      <w:r>
        <w:rPr>
          <w:noProof/>
        </w:rPr>
        <w:t>Οι επενδύσεις θα βελτιώσουν επίσης τις δεξιότητες στους τομείς STEAM με τη διεύρυνση του δικτύου των συλλόγων «Ciência Viva», λέσχες στα σχολεία (από σχολεία πρωτοβάθμιας έως δευτεροβάθμιας εκπαίδευσης), εστιάζοντας κυρίως σε τομείς STEAM, ψηφιακό περιεχόμενο και υλικό· προώθηση εταιρικών σχέσεων μεταξύ σχολείων και κοινωνίας των πολιτών, πανεπιστημίων και ερευνητικών κέντρων και διοργάνωση σεμιναρίων και εργαστηρίων. Αναμένεται να στηρίξει τουλάχιστον 650 έργα.</w:t>
      </w:r>
    </w:p>
    <w:p w14:paraId="3B7F9040" w14:textId="77777777" w:rsidR="00154AD2" w:rsidRDefault="007F6BF3">
      <w:pPr>
        <w:pStyle w:val="P68B1DB1-Normal4"/>
        <w:keepNext/>
        <w:spacing w:before="40" w:after="0" w:line="259" w:lineRule="auto"/>
        <w:contextualSpacing/>
        <w:jc w:val="both"/>
        <w:rPr>
          <w:rFonts w:eastAsiaTheme="minorEastAsia" w:cs="Times New Roman"/>
          <w:noProof/>
        </w:rPr>
      </w:pPr>
      <w:r>
        <w:rPr>
          <w:noProof/>
        </w:rPr>
        <w:t>Η υλοποίηση της επένδυσης θα ολοκληρωθεί έως τις 31 Δεκεμβρίου 2025.</w:t>
      </w:r>
    </w:p>
    <w:p w14:paraId="27CDA957"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Επένδυση RE-C06-i05-RAA: Προσόντα ενηλίκων και διά βίου μάθηση (ARA)</w:t>
      </w:r>
    </w:p>
    <w:p w14:paraId="17E62A07" w14:textId="604971D4" w:rsidR="00154AD2" w:rsidRDefault="007F6BF3">
      <w:pPr>
        <w:pStyle w:val="P68B1DB1-Normal4"/>
        <w:spacing w:before="40" w:after="0" w:line="259" w:lineRule="auto"/>
        <w:jc w:val="both"/>
        <w:rPr>
          <w:rFonts w:eastAsiaTheme="minorEastAsia" w:cs="Times New Roman"/>
          <w:noProof/>
        </w:rPr>
      </w:pPr>
      <w:r>
        <w:rPr>
          <w:noProof/>
        </w:rPr>
        <w:t>Στόχος της επένδυσης αυτής είναι η αντιμετώπιση του σοβαρού προβλήματος των χαμηλών επιπέδων προσόντων στην αυτόνομη περιφέρεια των Αζορών σε σύγκριση τόσο με την Πορτογαλία στο σύνολό της όσο και με την Ευρωπαϊκή Ένωση. Τα χαμηλά επίπεδα προσόντων αποτελούν σημαντικό εμπόδιο για την εμφάνιση και τη διαφοροποίηση νέων επιχειρήσεων και για τη βιώσιμη ανάπτυξη, καθώς συνδέονται με χαμηλή παραγωγικότητα και μισθούς και έλλειψη ανθεκτικότητας κατά τη διάρκεια της οικονομικής κρίσης. Οι επενδύσεις για την αντιμετώπιση ειδικών αναγκών εκπαίδευσης και κατάρτισης στην αυτόνομη περιφέρεια των Αζορών συμπληρώνουν τις δράσεις στο πλαίσιο του ΕΚΤ + που αντικατοπτρίζονται στο σχετικό επιχειρησιακό πρόγραμμα υπό διαπραγμάτευση για το πολυετές δημοσιονομικό πλαίσιο 2021-2027.</w:t>
      </w:r>
    </w:p>
    <w:p w14:paraId="73E70397" w14:textId="77777777" w:rsidR="00154AD2" w:rsidRDefault="007F6BF3">
      <w:pPr>
        <w:pStyle w:val="P68B1DB1-Normal4"/>
        <w:spacing w:before="40" w:after="0" w:line="259" w:lineRule="auto"/>
        <w:jc w:val="both"/>
        <w:rPr>
          <w:rFonts w:eastAsiaTheme="minorEastAsia" w:cs="Times New Roman"/>
          <w:noProof/>
        </w:rPr>
      </w:pPr>
      <w:r>
        <w:rPr>
          <w:noProof/>
        </w:rPr>
        <w:t xml:space="preserve">Η επένδυση συνίσταται σε: </w:t>
      </w:r>
    </w:p>
    <w:p w14:paraId="0081A8C7" w14:textId="6B92010D" w:rsidR="00154AD2" w:rsidRDefault="007F6BF3">
      <w:pPr>
        <w:pStyle w:val="P68B1DB1-Normal4"/>
        <w:keepNext/>
        <w:numPr>
          <w:ilvl w:val="0"/>
          <w:numId w:val="47"/>
        </w:numPr>
        <w:spacing w:before="40" w:after="160" w:line="259" w:lineRule="auto"/>
        <w:contextualSpacing/>
        <w:jc w:val="both"/>
        <w:rPr>
          <w:rFonts w:eastAsiaTheme="minorEastAsia" w:cs="Times New Roman"/>
          <w:noProof/>
        </w:rPr>
      </w:pPr>
      <w:r>
        <w:rPr>
          <w:noProof/>
        </w:rPr>
        <w:t xml:space="preserve">αύξηση του αριθμού των ενηλίκων που εγγράφονται στη μεταδευτεροβάθμια και τριτοβάθμια εκπαίδευση· και </w:t>
      </w:r>
    </w:p>
    <w:p w14:paraId="09348395" w14:textId="5B3F3D0B" w:rsidR="00154AD2" w:rsidRDefault="007F6BF3">
      <w:pPr>
        <w:pStyle w:val="P68B1DB1-Normal4"/>
        <w:keepNext/>
        <w:numPr>
          <w:ilvl w:val="0"/>
          <w:numId w:val="47"/>
        </w:numPr>
        <w:spacing w:before="40" w:after="160" w:line="259" w:lineRule="auto"/>
        <w:contextualSpacing/>
        <w:jc w:val="both"/>
        <w:rPr>
          <w:rFonts w:eastAsiaTheme="minorEastAsia" w:cs="Times New Roman"/>
          <w:noProof/>
        </w:rPr>
      </w:pPr>
      <w:r>
        <w:rPr>
          <w:noProof/>
        </w:rPr>
        <w:t xml:space="preserve">εκσυγχρονισμός 16 επαγγελματικών σχολείων και ενός δημόσιου εκπαιδευτικού ιδρύματος με </w:t>
      </w:r>
      <w:r>
        <w:rPr>
          <w:noProof/>
          <w:shd w:val="clear" w:color="auto" w:fill="E6E6E6"/>
        </w:rPr>
        <w:t>δομές</w:t>
      </w:r>
      <w:r>
        <w:rPr>
          <w:noProof/>
        </w:rPr>
        <w:t xml:space="preserve">και εξοπλισμό σύμφωνα με την τεχνολογική ανάπτυξη, προκειμένου να ανακαινιστούν εργαστήρια, εργαστήρια και αίθουσες υπολογιστών και, ως εκ τούτου, να καταστεί δυνατή η ευθυγράμμιση με τη ζήτηση της αγοράς εργασίας και η περαιτέρω αύξηση των ασκουμένων. </w:t>
      </w:r>
    </w:p>
    <w:p w14:paraId="3EA8A1D4" w14:textId="77777777" w:rsidR="00154AD2" w:rsidRDefault="007F6BF3">
      <w:pPr>
        <w:pStyle w:val="P68B1DB1-Normal4"/>
        <w:spacing w:before="40" w:after="0" w:line="259" w:lineRule="auto"/>
        <w:jc w:val="both"/>
        <w:rPr>
          <w:rFonts w:eastAsiaTheme="minorEastAsia" w:cs="Times New Roman"/>
          <w:noProof/>
        </w:rPr>
      </w:pPr>
      <w:r>
        <w:rPr>
          <w:noProof/>
        </w:rPr>
        <w:t>Η υλοποίηση της επένδυσης θα ολοκληρωθεί έως τις 31 Δεκεμβρίου 2025.</w:t>
      </w:r>
    </w:p>
    <w:p w14:paraId="73AE8E57" w14:textId="266C243F" w:rsidR="00154AD2" w:rsidRDefault="007F6BF3">
      <w:pPr>
        <w:pStyle w:val="P68B1DB1-Normal5"/>
        <w:keepNext/>
        <w:spacing w:before="240" w:after="0" w:line="259" w:lineRule="auto"/>
        <w:ind w:left="851"/>
        <w:jc w:val="both"/>
        <w:outlineLvl w:val="3"/>
        <w:rPr>
          <w:rFonts w:eastAsiaTheme="minorEastAsia" w:cs="Times New Roman"/>
          <w:noProof/>
        </w:rPr>
      </w:pPr>
      <w:bookmarkStart w:id="16" w:name="_Toc137472452"/>
      <w:r>
        <w:rPr>
          <w:noProof/>
        </w:rPr>
        <w:t>Επένδυση RE-C06-i06: Ικανότητες στην επιστήμη</w:t>
      </w:r>
      <w:bookmarkEnd w:id="16"/>
    </w:p>
    <w:p w14:paraId="37AD389E" w14:textId="3AE8A3DE" w:rsidR="00154AD2" w:rsidRDefault="007F6BF3">
      <w:pPr>
        <w:pStyle w:val="P68B1DB1-Normal4"/>
        <w:spacing w:after="0" w:line="259" w:lineRule="auto"/>
        <w:jc w:val="both"/>
        <w:rPr>
          <w:rFonts w:eastAsia="Symbol" w:cs="Times New Roman"/>
          <w:noProof/>
        </w:rPr>
      </w:pPr>
      <w:r>
        <w:rPr>
          <w:noProof/>
        </w:rPr>
        <w:t>Η επένδυση αυτή αποσκοπεί στην προώθηση της ανάπτυξης του οικοσυστήματος καινοτομίας και επιχειρηματικότητας των ιδρυμάτων τριτοβάθμιας εκπαίδευσης (ΙΤΕ) μέσω της στήριξης της βασικής έρευνας, της προώθησης της μεταφοράς γνώσεων, της διεθνοποίησης, της μείωσης της επισφάλειας των ερευνητών και της ενίσχυσης του δεσμού μεταξύ επιχειρήσεων και κοινωνίας.</w:t>
      </w:r>
    </w:p>
    <w:p w14:paraId="75DA99F1" w14:textId="77777777" w:rsidR="00154AD2" w:rsidRDefault="007F6BF3">
      <w:pPr>
        <w:pStyle w:val="P68B1DB1-Normal4"/>
        <w:spacing w:after="0" w:line="259" w:lineRule="auto"/>
        <w:jc w:val="both"/>
        <w:rPr>
          <w:rFonts w:cs="Times New Roman"/>
          <w:noProof/>
        </w:rPr>
      </w:pPr>
      <w:r>
        <w:rPr>
          <w:noProof/>
        </w:rPr>
        <w:t>Η επένδυση αποτελείται από τα ακόλουθα επιμέρους μέτρα:</w:t>
      </w:r>
    </w:p>
    <w:p w14:paraId="5E50B945" w14:textId="77777777" w:rsidR="00154AD2" w:rsidRDefault="007F6BF3">
      <w:pPr>
        <w:pStyle w:val="ListParagraph"/>
        <w:keepNext w:val="0"/>
        <w:numPr>
          <w:ilvl w:val="0"/>
          <w:numId w:val="74"/>
        </w:numPr>
        <w:spacing w:after="120" w:line="259" w:lineRule="auto"/>
        <w:rPr>
          <w:noProof/>
        </w:rPr>
      </w:pPr>
      <w:r>
        <w:rPr>
          <w:noProof/>
        </w:rPr>
        <w:t xml:space="preserve">Προγράμματα απόκτησης και διατήρησης ταλέντων ERC-Πορτογαλία και FCT-Tenure: </w:t>
      </w:r>
    </w:p>
    <w:p w14:paraId="59E07CAF" w14:textId="08745C36" w:rsidR="00154AD2" w:rsidRDefault="007F6BF3">
      <w:pPr>
        <w:pStyle w:val="ListParagraph"/>
        <w:keepNext w:val="0"/>
        <w:numPr>
          <w:ilvl w:val="1"/>
          <w:numId w:val="74"/>
        </w:numPr>
        <w:spacing w:before="120" w:after="120" w:line="259" w:lineRule="auto"/>
        <w:rPr>
          <w:noProof/>
        </w:rPr>
      </w:pPr>
      <w:r>
        <w:rPr>
          <w:noProof/>
        </w:rPr>
        <w:t xml:space="preserve">FCT-Tenure: το πρόγραμμα αυτό υποστηρίζει την πρόσληψη 230 διδακτορικών ερευνητών σε μόνιμες θέσεις που επιλέγονται μέσω διαγωνισμών. </w:t>
      </w:r>
    </w:p>
    <w:p w14:paraId="141C1FA4" w14:textId="77777777" w:rsidR="00154AD2" w:rsidRDefault="007F6BF3">
      <w:pPr>
        <w:pStyle w:val="ListParagraph"/>
        <w:keepNext w:val="0"/>
        <w:numPr>
          <w:ilvl w:val="1"/>
          <w:numId w:val="74"/>
        </w:numPr>
        <w:spacing w:before="120" w:after="120" w:line="259" w:lineRule="auto"/>
        <w:rPr>
          <w:noProof/>
        </w:rPr>
      </w:pPr>
      <w:r>
        <w:rPr>
          <w:noProof/>
        </w:rPr>
        <w:t xml:space="preserve">ERC-Πορτογαλία: το παρόν πρόγραμμα στηρίζει ερευνητές των οποίων τα έργα συνιστώνται για χρηματοδότηση σε ευρωπαϊκό ή εθνικό επίπεδο. Το πρόγραμμα στηρίζει επίσης ερευνητές των οποίων οι αιτήσεις του ΕΣΕ προτάθηκαν για χρηματοδότηση ή μεταφέρθηκαν στη δεύτερη φάση αξιολόγησης, αλλά τελικά δεν χρηματοδοτήθηκαν. </w:t>
      </w:r>
    </w:p>
    <w:p w14:paraId="15F696CB" w14:textId="77777777" w:rsidR="00154AD2" w:rsidRDefault="007F6BF3">
      <w:pPr>
        <w:pStyle w:val="ListParagraph"/>
        <w:keepNext w:val="0"/>
        <w:numPr>
          <w:ilvl w:val="0"/>
          <w:numId w:val="74"/>
        </w:numPr>
        <w:spacing w:before="120" w:after="120" w:line="259" w:lineRule="auto"/>
        <w:rPr>
          <w:noProof/>
        </w:rPr>
      </w:pPr>
      <w:r>
        <w:rPr>
          <w:noProof/>
        </w:rPr>
        <w:t xml:space="preserve">Αυξημένη χρηματοδότηση για διεθνείς εταιρικές σχέσεις στους τομείς της επιστήμης, της τεχνολογίας και της καινοτομίας: </w:t>
      </w:r>
    </w:p>
    <w:p w14:paraId="19879948" w14:textId="5E0AE6F1" w:rsidR="00154AD2" w:rsidRDefault="007F6BF3">
      <w:pPr>
        <w:pStyle w:val="ListParagraph"/>
        <w:keepNext w:val="0"/>
        <w:numPr>
          <w:ilvl w:val="1"/>
          <w:numId w:val="74"/>
        </w:numPr>
        <w:spacing w:before="120" w:after="120" w:line="259" w:lineRule="auto"/>
        <w:rPr>
          <w:noProof/>
        </w:rPr>
      </w:pPr>
      <w:r>
        <w:rPr>
          <w:noProof/>
        </w:rPr>
        <w:t xml:space="preserve">Προώθηση της συμμετοχής της Πορτογαλίας στο ευρωπαϊκό πρόγραμμα-πλαίσιο για την έρευνα και την καινοτομία με τη στήριξη της χρηματοδότησης έργων με εθνική συμμετοχή που επιλέγονται σε ευρωπαϊκό επίπεδο· </w:t>
      </w:r>
    </w:p>
    <w:p w14:paraId="02102059" w14:textId="7DD9AFD1" w:rsidR="00154AD2" w:rsidRDefault="007F6BF3">
      <w:pPr>
        <w:pStyle w:val="ListParagraph"/>
        <w:keepNext w:val="0"/>
        <w:numPr>
          <w:ilvl w:val="1"/>
          <w:numId w:val="74"/>
        </w:numPr>
        <w:spacing w:before="120" w:after="120" w:line="259" w:lineRule="auto"/>
        <w:rPr>
          <w:noProof/>
        </w:rPr>
      </w:pPr>
      <w:r>
        <w:rPr>
          <w:noProof/>
        </w:rPr>
        <w:t>Διευκόλυνση της διεθνούς κινητικότητας 100 εθνικών ερευνητών.</w:t>
      </w:r>
    </w:p>
    <w:p w14:paraId="3FB5AADB" w14:textId="17C1F357" w:rsidR="00154AD2" w:rsidRDefault="007F6BF3">
      <w:pPr>
        <w:pStyle w:val="P68B1DB1-Normal4"/>
        <w:spacing w:after="0" w:line="259" w:lineRule="auto"/>
        <w:jc w:val="both"/>
        <w:rPr>
          <w:rFonts w:cs="Times New Roman"/>
          <w:noProof/>
        </w:rPr>
      </w:pPr>
      <w:r>
        <w:rPr>
          <w:noProof/>
        </w:rPr>
        <w:t>Οι δραστηριότητες ΕΑΚ που αφορούν ρυπογόνες πτυχές (άνθρακας, λιγνίτης, πετρέλαιο/πετρέλαιο, φυσικό αέριο, υδρογόνο ορυκτής προέλευσης, αποτέφρωση, υγειονομική ταφή, οχήματα/σκάφη με κινητήρες καύσης) δεν υποστηρίζονται εκτός εάν αναπτύξουν (ή το αποτέλεσμά τους εφαρμοστεί) μια εναλλακτική λύση χαμηλού αντικτύπου.</w:t>
      </w:r>
    </w:p>
    <w:p w14:paraId="3E1F94E0" w14:textId="77777777" w:rsidR="00154AD2" w:rsidRDefault="007F6BF3">
      <w:pPr>
        <w:pStyle w:val="P68B1DB1-Normal4"/>
        <w:spacing w:line="259" w:lineRule="auto"/>
        <w:jc w:val="both"/>
        <w:rPr>
          <w:rFonts w:cs="Times New Roman"/>
          <w:noProof/>
        </w:rPr>
      </w:pPr>
      <w:r>
        <w:rPr>
          <w:noProof/>
        </w:rPr>
        <w:t xml:space="preserve">Η υλοποίηση της επένδυσης θα ολοκληρωθεί έως τις 31 Μαρτίου 2026. </w:t>
      </w:r>
    </w:p>
    <w:p w14:paraId="1AD47C87" w14:textId="1DB744CE" w:rsidR="00154AD2" w:rsidRDefault="007F6BF3">
      <w:pPr>
        <w:pStyle w:val="P68B1DB1-Heading214"/>
        <w:rPr>
          <w:noProof/>
        </w:rPr>
      </w:pPr>
      <w:bookmarkStart w:id="17" w:name="_Toc137472453"/>
      <w:r>
        <w:rPr>
          <w:noProof/>
        </w:rPr>
        <w:t>Επένδυση RE-C06-i07: Περισσότερη ψηφιακή ώθηση</w:t>
      </w:r>
      <w:bookmarkEnd w:id="17"/>
    </w:p>
    <w:p w14:paraId="64BA1797" w14:textId="341EDAAE" w:rsidR="00154AD2" w:rsidRDefault="007F6BF3">
      <w:pPr>
        <w:pStyle w:val="P68B1DB1-Normal4"/>
        <w:spacing w:after="0" w:line="259" w:lineRule="auto"/>
        <w:jc w:val="both"/>
        <w:rPr>
          <w:rFonts w:cs="Times New Roman"/>
          <w:noProof/>
        </w:rPr>
      </w:pPr>
      <w:r>
        <w:rPr>
          <w:noProof/>
        </w:rPr>
        <w:t xml:space="preserve">Οι στόχοι του μέτρου είναι να αυξηθεί η ελκυστικότητα των αγροτικών επιστημών για τις μελλοντικές γενιές, να στηριχθούν οι ιατρικές επιστήμες στην ψηφιακή και τεχνολογική πρόοδο και να διευρυνθεί η ικανότητα κατάρτισης στις ψηφιακές δεξιότητες και σε τομείς εκτός STEAM (θετικές επιστήμες, τεχνολογία, μηχανική, τέχνες, μαθηματικά)· προώθηση της παιδαγωγικής καινοτομίας και του εκσυγχρονισμού και, ως εκ τούτου, τόνωση της ακαδημαϊκής επιτυχίας. </w:t>
      </w:r>
    </w:p>
    <w:p w14:paraId="5227DFCF" w14:textId="77777777" w:rsidR="00154AD2" w:rsidRDefault="007F6BF3">
      <w:pPr>
        <w:pStyle w:val="P68B1DB1-Normal4"/>
        <w:spacing w:after="0" w:line="259" w:lineRule="auto"/>
        <w:jc w:val="both"/>
        <w:rPr>
          <w:rFonts w:cs="Times New Roman"/>
          <w:noProof/>
        </w:rPr>
      </w:pPr>
      <w:r>
        <w:rPr>
          <w:noProof/>
        </w:rPr>
        <w:t>Η επένδυση αποτελείται από τα ακόλουθα επιμέρους μέτρα:</w:t>
      </w:r>
    </w:p>
    <w:p w14:paraId="5EC1EDE0" w14:textId="77777777" w:rsidR="00154AD2" w:rsidRDefault="007F6BF3">
      <w:pPr>
        <w:pStyle w:val="ListParagraph"/>
        <w:keepNext w:val="0"/>
        <w:numPr>
          <w:ilvl w:val="0"/>
          <w:numId w:val="74"/>
        </w:numPr>
        <w:spacing w:after="0" w:line="259" w:lineRule="auto"/>
        <w:rPr>
          <w:noProof/>
        </w:rPr>
      </w:pPr>
      <w:r>
        <w:rPr>
          <w:noProof/>
        </w:rPr>
        <w:t xml:space="preserve">Τεχνολογικός και ψηφιακός εκσυγχρονισμός των αγροτικών επιστημών· το επιμέρους μέτρο: </w:t>
      </w:r>
    </w:p>
    <w:p w14:paraId="50CF96DF" w14:textId="65473118" w:rsidR="00154AD2" w:rsidRDefault="007F6BF3">
      <w:pPr>
        <w:pStyle w:val="ListParagraph"/>
        <w:keepNext w:val="0"/>
        <w:numPr>
          <w:ilvl w:val="1"/>
          <w:numId w:val="74"/>
        </w:numPr>
        <w:spacing w:before="120" w:after="0" w:line="259" w:lineRule="auto"/>
        <w:rPr>
          <w:noProof/>
        </w:rPr>
      </w:pPr>
      <w:r>
        <w:rPr>
          <w:noProof/>
        </w:rPr>
        <w:t xml:space="preserve">Μεταρρύθμιση των προγραμμάτων σπουδών 20 πτυχίων (Bachelor, Master ή και τα δύο) στις αγροτικές επιστήμες μέσω της ενίσχυσης της ψηφιακής και τεχνολογικής συνιστώσας, της διεθνοποίησης και της διοργανικής συνεργασίας· </w:t>
      </w:r>
    </w:p>
    <w:p w14:paraId="46DBC373" w14:textId="2152DB4A" w:rsidR="00154AD2" w:rsidRDefault="007F6BF3">
      <w:pPr>
        <w:pStyle w:val="ListParagraph"/>
        <w:keepNext w:val="0"/>
        <w:numPr>
          <w:ilvl w:val="1"/>
          <w:numId w:val="74"/>
        </w:numPr>
        <w:spacing w:before="120" w:after="0" w:line="259" w:lineRule="auto"/>
        <w:rPr>
          <w:noProof/>
        </w:rPr>
      </w:pPr>
      <w:r>
        <w:rPr>
          <w:noProof/>
        </w:rPr>
        <w:t xml:space="preserve">Άνοιγμα γεωργικών σχολών σε υποψήφιους μαθητές δευτεροβάθμιας εκπαίδευσης </w:t>
      </w:r>
    </w:p>
    <w:p w14:paraId="77E5F5D4" w14:textId="7CCB32EC" w:rsidR="00154AD2" w:rsidRDefault="007F6BF3">
      <w:pPr>
        <w:pStyle w:val="ListParagraph"/>
        <w:keepNext w:val="0"/>
        <w:numPr>
          <w:ilvl w:val="1"/>
          <w:numId w:val="74"/>
        </w:numPr>
        <w:spacing w:before="120" w:after="0" w:line="259" w:lineRule="auto"/>
        <w:rPr>
          <w:noProof/>
        </w:rPr>
      </w:pPr>
      <w:r>
        <w:rPr>
          <w:noProof/>
        </w:rPr>
        <w:t xml:space="preserve">Στήριξη της επανειδίκευσης των επαγγελματιών που εργάζονται ήδη στον τομέα μέσω της προώθησης των μικροδιαπιστευτηρίων βραχείας επαγγελματικής κατάρτισης στην τριτοβάθμια εκπαίδευση και των επαγγελματικών μεταπτυχιακών. </w:t>
      </w:r>
    </w:p>
    <w:p w14:paraId="4C14CB2A" w14:textId="77777777" w:rsidR="00154AD2" w:rsidRDefault="007F6BF3">
      <w:pPr>
        <w:pStyle w:val="ListParagraph"/>
        <w:keepNext w:val="0"/>
        <w:numPr>
          <w:ilvl w:val="0"/>
          <w:numId w:val="74"/>
        </w:numPr>
        <w:spacing w:before="120" w:after="0" w:line="259" w:lineRule="auto"/>
        <w:rPr>
          <w:noProof/>
        </w:rPr>
      </w:pPr>
      <w:r>
        <w:rPr>
          <w:noProof/>
        </w:rPr>
        <w:t xml:space="preserve">Εκσυγχρονισμός της ιατρικής: το επιμέρους μέτρο στηρίζει την κατάρτιση σε ψηφιακά περιβάλλοντα και την ιατρική προσομοίωση που απευθύνεται σε σπουδαστές, καθώς και σε επαγγελματίες που εργάζονται στον τομέα. </w:t>
      </w:r>
    </w:p>
    <w:p w14:paraId="54C2DB8E" w14:textId="4E548691" w:rsidR="00154AD2" w:rsidRDefault="007F6BF3">
      <w:pPr>
        <w:pStyle w:val="ListParagraph"/>
        <w:keepNext w:val="0"/>
        <w:numPr>
          <w:ilvl w:val="0"/>
          <w:numId w:val="74"/>
        </w:numPr>
        <w:spacing w:before="120" w:after="0" w:line="259" w:lineRule="auto"/>
        <w:rPr>
          <w:noProof/>
        </w:rPr>
      </w:pPr>
      <w:r>
        <w:rPr>
          <w:noProof/>
        </w:rPr>
        <w:t xml:space="preserve">Ενίσχυση των ψηφιακών δεξιοτήτων: το επιμέρους μέτρο στηρίζει την ενίσχυση των ψηφιακών δεξιοτήτων για νέους και ενήλικες σε τομείς εκτός STEAM. </w:t>
      </w:r>
    </w:p>
    <w:p w14:paraId="526DB37F" w14:textId="29D44143" w:rsidR="00154AD2" w:rsidRDefault="007F6BF3">
      <w:pPr>
        <w:pStyle w:val="ListParagraph"/>
        <w:keepNext w:val="0"/>
        <w:numPr>
          <w:ilvl w:val="0"/>
          <w:numId w:val="74"/>
        </w:numPr>
        <w:spacing w:before="120" w:after="0" w:line="259" w:lineRule="auto"/>
        <w:rPr>
          <w:noProof/>
        </w:rPr>
      </w:pPr>
      <w:r>
        <w:rPr>
          <w:noProof/>
        </w:rPr>
        <w:t>Καινοτομία και παιδαγωγικός εκσυγχρονισμός στην τριτοβάθμια εκπαίδευση, το επιμέρους μέτρο:</w:t>
      </w:r>
    </w:p>
    <w:p w14:paraId="558BF1F7" w14:textId="3E15E716" w:rsidR="00154AD2" w:rsidRDefault="007F6BF3">
      <w:pPr>
        <w:pStyle w:val="ListParagraph"/>
        <w:keepNext w:val="0"/>
        <w:numPr>
          <w:ilvl w:val="1"/>
          <w:numId w:val="74"/>
        </w:numPr>
        <w:spacing w:before="120" w:after="0" w:line="259" w:lineRule="auto"/>
        <w:rPr>
          <w:noProof/>
        </w:rPr>
      </w:pPr>
      <w:r>
        <w:rPr>
          <w:noProof/>
        </w:rPr>
        <w:t xml:space="preserve"> δημιουργία κέντρων αριστείας για </w:t>
      </w:r>
      <w:bookmarkStart w:id="18" w:name="_Hlk143777429"/>
      <w:r>
        <w:rPr>
          <w:noProof/>
        </w:rPr>
        <w:t>την παιδαγωγική καινοτομία με ισχυρή ψηφιακή συνιστώσα, με έμφαση στους μη τεχνολογικούς τομείς (κοινωνικές, ανθρωπιστικές και καλλιτεχνικές επιστήμες)</w:t>
      </w:r>
      <w:bookmarkEnd w:id="18"/>
      <w:r>
        <w:rPr>
          <w:noProof/>
        </w:rPr>
        <w:t>·</w:t>
      </w:r>
    </w:p>
    <w:p w14:paraId="74CE80F8" w14:textId="4912FB98" w:rsidR="00154AD2" w:rsidRDefault="007F6BF3">
      <w:pPr>
        <w:pStyle w:val="ListParagraph"/>
        <w:keepNext w:val="0"/>
        <w:numPr>
          <w:ilvl w:val="1"/>
          <w:numId w:val="74"/>
        </w:numPr>
        <w:spacing w:before="120" w:after="0" w:line="259" w:lineRule="auto"/>
        <w:rPr>
          <w:noProof/>
        </w:rPr>
      </w:pPr>
      <w:bookmarkStart w:id="19" w:name="_Hlk143777454"/>
      <w:r>
        <w:rPr>
          <w:noProof/>
        </w:rPr>
        <w:t>Ενίσχυση των χρηματοδοτικών προγραμμάτων που αποσκοπούν στη μείωση του ποσοστού πρόωρης εγκατάλειψης της τριτοβάθμιας εκπαίδευσης</w:t>
      </w:r>
      <w:bookmarkEnd w:id="19"/>
      <w:r>
        <w:rPr>
          <w:noProof/>
        </w:rPr>
        <w:t>.</w:t>
      </w:r>
    </w:p>
    <w:p w14:paraId="3136AE0B" w14:textId="77777777" w:rsidR="00154AD2" w:rsidRDefault="007F6BF3">
      <w:pPr>
        <w:pStyle w:val="P68B1DB1-Normal4"/>
        <w:spacing w:line="259" w:lineRule="auto"/>
        <w:jc w:val="both"/>
        <w:rPr>
          <w:rFonts w:cs="Times New Roman"/>
          <w:noProof/>
        </w:rPr>
      </w:pPr>
      <w:r>
        <w:rPr>
          <w:noProof/>
        </w:rPr>
        <w:t xml:space="preserve">Η υλοποίηση της επένδυσης θα ολοκληρωθεί έως τις 30 Ιουνίου 2026. </w:t>
      </w:r>
    </w:p>
    <w:p w14:paraId="6E920860" w14:textId="1AD743FE" w:rsidR="00154AD2" w:rsidRDefault="007F6BF3">
      <w:pPr>
        <w:pStyle w:val="P68B1DB1-Heading214"/>
        <w:rPr>
          <w:noProof/>
        </w:rPr>
      </w:pPr>
      <w:bookmarkStart w:id="20" w:name="_Toc137472454"/>
      <w:r>
        <w:rPr>
          <w:noProof/>
        </w:rPr>
        <w:t>Επένδυση RE-C06-i08-RAM: Επέκταση του κτιρίου CITMA</w:t>
      </w:r>
      <w:bookmarkEnd w:id="20"/>
    </w:p>
    <w:p w14:paraId="73584109" w14:textId="1A6D9427" w:rsidR="00154AD2" w:rsidRDefault="007F6BF3">
      <w:pPr>
        <w:pStyle w:val="P68B1DB1-Normal4"/>
        <w:spacing w:after="0" w:line="259" w:lineRule="auto"/>
        <w:jc w:val="both"/>
        <w:rPr>
          <w:rFonts w:cs="Times New Roman"/>
          <w:noProof/>
        </w:rPr>
      </w:pPr>
      <w:r>
        <w:rPr>
          <w:noProof/>
        </w:rPr>
        <w:t>Στόχος του μέτρου είναι να εξασφαλιστεί ότι το κτίριο του Επιστημονικού και Τεχνολογικού Κέντρου της Μαδέρας (CITMA) είναι αρκετά μεγάλο ώστε να ανταποκρίνεται στις τρέχουσες και μελλοντικές ανάγκες του Πανεπιστημίου της Μαδέρας (Uma), να βελτιστοποιήσει τις παιδαγωγικές και ερευνητικές δραστηριότητες της Uma, με έμφαση στην υποδομή για την πολυτεχνική εκπαίδευση. Στόχος είναι να καταστεί δυνατή η σύσφιξη των δεσμών μεταξύ της ακαδημαϊκής κοινότητας και των επιχειρήσεων, καθιστώντας δυνατή την ανταλλαγή εμπειριών και πόρων.</w:t>
      </w:r>
    </w:p>
    <w:p w14:paraId="1BC3E158" w14:textId="54DD82ED" w:rsidR="00154AD2" w:rsidRDefault="007F6BF3">
      <w:pPr>
        <w:pStyle w:val="P68B1DB1-Normal4"/>
        <w:spacing w:after="0" w:line="259" w:lineRule="auto"/>
        <w:jc w:val="both"/>
        <w:rPr>
          <w:rFonts w:cs="Times New Roman"/>
          <w:noProof/>
        </w:rPr>
      </w:pPr>
      <w:r>
        <w:rPr>
          <w:noProof/>
        </w:rPr>
        <w:t>Η επένδυση συνίσταται στην προσθήκη τριών ορόφων στο υφιστάμενο κτίριο και στην επέκταση του ισογείου. Το κτίριο προσαρμόζεται στις ανάγκες των ατόμων με μειωμένη κινητικότητα. Ορισμένοι χώροι του κτιρίου πρέπει να είναι ρυθμιζόμενοι σε μέγεθος.</w:t>
      </w:r>
    </w:p>
    <w:p w14:paraId="44A8B62C" w14:textId="4FCC316F" w:rsidR="00154AD2" w:rsidRDefault="007F6BF3">
      <w:pPr>
        <w:pStyle w:val="P68B1DB1-Normal4"/>
        <w:spacing w:line="259" w:lineRule="auto"/>
        <w:jc w:val="both"/>
        <w:rPr>
          <w:rFonts w:cs="Times New Roman"/>
          <w:noProof/>
        </w:rPr>
      </w:pPr>
      <w:r>
        <w:rPr>
          <w:noProof/>
        </w:rPr>
        <w:t xml:space="preserve">Η υλοποίηση της επένδυσης θα ολοκληρωθεί έως τις 30 Ιουνίου 2026. </w:t>
      </w:r>
    </w:p>
    <w:p w14:paraId="665517EB" w14:textId="77777777" w:rsidR="00154AD2" w:rsidRDefault="00154AD2">
      <w:pPr>
        <w:spacing w:before="40" w:after="0" w:line="259" w:lineRule="auto"/>
        <w:jc w:val="both"/>
        <w:rPr>
          <w:rFonts w:ascii="Times New Roman" w:eastAsiaTheme="minorEastAsia" w:hAnsi="Times New Roman" w:cs="Times New Roman"/>
          <w:noProof/>
          <w:sz w:val="24"/>
        </w:rPr>
      </w:pPr>
    </w:p>
    <w:p w14:paraId="6983890E" w14:textId="77777777" w:rsidR="00154AD2" w:rsidRDefault="00154AD2">
      <w:pPr>
        <w:spacing w:before="40" w:after="0" w:line="259" w:lineRule="auto"/>
        <w:jc w:val="both"/>
        <w:rPr>
          <w:rFonts w:ascii="Times New Roman" w:eastAsiaTheme="minorEastAsia" w:hAnsi="Times New Roman" w:cs="Times New Roman"/>
          <w:noProof/>
          <w:sz w:val="24"/>
        </w:rPr>
      </w:pPr>
    </w:p>
    <w:p w14:paraId="78B6531F" w14:textId="77777777" w:rsidR="00154AD2" w:rsidRDefault="00154AD2">
      <w:pPr>
        <w:keepNext/>
        <w:spacing w:before="40" w:after="0" w:line="259" w:lineRule="auto"/>
        <w:ind w:left="130" w:firstLine="720"/>
        <w:jc w:val="both"/>
        <w:outlineLvl w:val="2"/>
        <w:rPr>
          <w:rFonts w:ascii="Times New Roman" w:eastAsiaTheme="minorEastAsia" w:hAnsi="Times New Roman" w:cs="Times New Roman"/>
          <w:b/>
          <w:noProof/>
          <w:sz w:val="24"/>
          <w:u w:val="single"/>
        </w:rPr>
        <w:sectPr w:rsidR="00154AD2" w:rsidSect="00E00EDD">
          <w:headerReference w:type="even" r:id="rId120"/>
          <w:headerReference w:type="default" r:id="rId121"/>
          <w:footerReference w:type="even" r:id="rId122"/>
          <w:footerReference w:type="default" r:id="rId123"/>
          <w:headerReference w:type="first" r:id="rId124"/>
          <w:footerReference w:type="first" r:id="rId125"/>
          <w:pgSz w:w="11907" w:h="16839"/>
          <w:pgMar w:top="1134" w:right="1134" w:bottom="1134" w:left="1134" w:header="567" w:footer="567" w:gutter="0"/>
          <w:cols w:space="720"/>
          <w:docGrid w:linePitch="360"/>
        </w:sectPr>
      </w:pPr>
    </w:p>
    <w:p w14:paraId="059FBF21" w14:textId="77777777" w:rsidR="00154AD2" w:rsidRDefault="007F6BF3">
      <w:pPr>
        <w:pStyle w:val="P68B1DB1-Normal3"/>
        <w:keepNext/>
        <w:spacing w:before="40" w:after="120" w:line="259" w:lineRule="auto"/>
        <w:ind w:left="130" w:firstLine="720"/>
        <w:jc w:val="both"/>
        <w:outlineLvl w:val="2"/>
        <w:rPr>
          <w:rFonts w:eastAsiaTheme="minorEastAsia" w:cs="Times New Roman"/>
          <w:noProof/>
        </w:rPr>
      </w:pPr>
      <w:r>
        <w:rPr>
          <w:noProof/>
        </w:rPr>
        <w:t>ΣΤ.2. Ορόσημα, στόχοι, δείκτες και χρονοδιάγραμμα για την παρακολούθηση και την υλοποίηση της μη επιστρεπτέας χρηματοδοτικής στήριξης</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850"/>
        <w:gridCol w:w="567"/>
        <w:gridCol w:w="708"/>
        <w:gridCol w:w="4395"/>
      </w:tblGrid>
      <w:tr w:rsidR="00154AD2" w14:paraId="2F27C62F" w14:textId="77777777">
        <w:trPr>
          <w:trHeight w:val="910"/>
          <w:tblHeader/>
        </w:trPr>
        <w:tc>
          <w:tcPr>
            <w:tcW w:w="1135" w:type="dxa"/>
            <w:vMerge w:val="restart"/>
            <w:shd w:val="clear" w:color="auto" w:fill="BDD6EE"/>
            <w:vAlign w:val="center"/>
            <w:hideMark/>
          </w:tcPr>
          <w:p w14:paraId="6D1630A3" w14:textId="77777777" w:rsidR="00154AD2" w:rsidRDefault="007F6BF3">
            <w:pPr>
              <w:pStyle w:val="P68B1DB1-Normal6"/>
              <w:spacing w:after="0" w:line="240" w:lineRule="auto"/>
              <w:jc w:val="center"/>
              <w:rPr>
                <w:rFonts w:eastAsia="Times New Roman" w:cs="Times New Roman"/>
                <w:noProof/>
              </w:rPr>
            </w:pPr>
            <w:r>
              <w:rPr>
                <w:noProof/>
              </w:rPr>
              <w:t>Αύξων αριθμός</w:t>
            </w:r>
          </w:p>
        </w:tc>
        <w:tc>
          <w:tcPr>
            <w:tcW w:w="1276" w:type="dxa"/>
            <w:vMerge w:val="restart"/>
            <w:shd w:val="clear" w:color="auto" w:fill="BDD6EE"/>
            <w:vAlign w:val="center"/>
            <w:hideMark/>
          </w:tcPr>
          <w:p w14:paraId="0754D7BA" w14:textId="77777777" w:rsidR="00154AD2" w:rsidRDefault="007F6BF3">
            <w:pPr>
              <w:pStyle w:val="P68B1DB1-Normal6"/>
              <w:spacing w:after="0" w:line="240" w:lineRule="auto"/>
              <w:jc w:val="center"/>
              <w:rPr>
                <w:rFonts w:eastAsia="Times New Roman" w:cs="Times New Roman"/>
                <w:noProof/>
              </w:rPr>
            </w:pPr>
            <w:r>
              <w:rPr>
                <w:noProof/>
              </w:rPr>
              <w:t>Μέτρο (Μεταρρύθμιση ή Επενδύσεις)</w:t>
            </w:r>
          </w:p>
        </w:tc>
        <w:tc>
          <w:tcPr>
            <w:tcW w:w="1134" w:type="dxa"/>
            <w:vMerge w:val="restart"/>
            <w:shd w:val="clear" w:color="auto" w:fill="BDD6EE"/>
            <w:vAlign w:val="center"/>
            <w:hideMark/>
          </w:tcPr>
          <w:p w14:paraId="5CE4AD72" w14:textId="5C42A0AE" w:rsidR="00154AD2" w:rsidRDefault="007F6BF3">
            <w:pPr>
              <w:pStyle w:val="P68B1DB1-Normal6"/>
              <w:spacing w:after="0" w:line="240" w:lineRule="auto"/>
              <w:jc w:val="center"/>
              <w:rPr>
                <w:rFonts w:eastAsia="Times New Roman" w:cs="Times New Roman"/>
                <w:noProof/>
              </w:rPr>
            </w:pPr>
            <w:r>
              <w:rPr>
                <w:noProof/>
              </w:rPr>
              <w:t>Ορόσημο/Στόχος</w:t>
            </w:r>
          </w:p>
        </w:tc>
        <w:tc>
          <w:tcPr>
            <w:tcW w:w="1701" w:type="dxa"/>
            <w:vMerge w:val="restart"/>
            <w:shd w:val="clear" w:color="auto" w:fill="BDD6EE"/>
            <w:vAlign w:val="center"/>
            <w:hideMark/>
          </w:tcPr>
          <w:p w14:paraId="4BDED511" w14:textId="77777777" w:rsidR="00154AD2" w:rsidRDefault="007F6BF3">
            <w:pPr>
              <w:pStyle w:val="P68B1DB1-Normal6"/>
              <w:spacing w:after="0" w:line="240" w:lineRule="auto"/>
              <w:jc w:val="center"/>
              <w:rPr>
                <w:rFonts w:eastAsia="Times New Roman" w:cs="Times New Roman"/>
                <w:noProof/>
              </w:rPr>
            </w:pPr>
            <w:r>
              <w:rPr>
                <w:noProof/>
              </w:rPr>
              <w:t>Όνομα</w:t>
            </w:r>
          </w:p>
        </w:tc>
        <w:tc>
          <w:tcPr>
            <w:tcW w:w="1275" w:type="dxa"/>
            <w:vMerge w:val="restart"/>
            <w:shd w:val="clear" w:color="auto" w:fill="BDD6EE"/>
            <w:vAlign w:val="center"/>
            <w:hideMark/>
          </w:tcPr>
          <w:p w14:paraId="3EA0C12C" w14:textId="77777777" w:rsidR="00154AD2" w:rsidRDefault="007F6BF3">
            <w:pPr>
              <w:pStyle w:val="P68B1DB1-Normal6"/>
              <w:spacing w:after="0" w:line="240" w:lineRule="auto"/>
              <w:jc w:val="center"/>
              <w:rPr>
                <w:rFonts w:eastAsia="Times New Roman" w:cs="Times New Roman"/>
                <w:noProof/>
              </w:rPr>
            </w:pPr>
            <w:r>
              <w:rPr>
                <w:noProof/>
              </w:rPr>
              <w:t>Ποιοτικοί δείκτες (για τα ορόσημα)</w:t>
            </w:r>
          </w:p>
        </w:tc>
        <w:tc>
          <w:tcPr>
            <w:tcW w:w="2835" w:type="dxa"/>
            <w:gridSpan w:val="3"/>
            <w:shd w:val="clear" w:color="auto" w:fill="BDD6EE"/>
            <w:vAlign w:val="center"/>
            <w:hideMark/>
          </w:tcPr>
          <w:p w14:paraId="381F8037" w14:textId="77777777" w:rsidR="00154AD2" w:rsidRDefault="007F6BF3">
            <w:pPr>
              <w:pStyle w:val="P68B1DB1-Normal6"/>
              <w:spacing w:after="0" w:line="240" w:lineRule="auto"/>
              <w:jc w:val="center"/>
              <w:rPr>
                <w:rFonts w:eastAsia="Times New Roman" w:cs="Times New Roman"/>
                <w:noProof/>
              </w:rPr>
            </w:pPr>
            <w:r>
              <w:rPr>
                <w:noProof/>
              </w:rPr>
              <w:t>Ποσοτικοί δείκτες (για τους στόχους)</w:t>
            </w:r>
          </w:p>
        </w:tc>
        <w:tc>
          <w:tcPr>
            <w:tcW w:w="1275" w:type="dxa"/>
            <w:gridSpan w:val="2"/>
            <w:shd w:val="clear" w:color="auto" w:fill="BDD6EE"/>
            <w:vAlign w:val="center"/>
            <w:hideMark/>
          </w:tcPr>
          <w:p w14:paraId="2B867F8B" w14:textId="77777777" w:rsidR="00154AD2" w:rsidRDefault="007F6BF3">
            <w:pPr>
              <w:pStyle w:val="P68B1DB1-Normal6"/>
              <w:spacing w:after="0" w:line="240" w:lineRule="auto"/>
              <w:jc w:val="center"/>
              <w:rPr>
                <w:rFonts w:eastAsia="Times New Roman" w:cs="Times New Roman"/>
                <w:noProof/>
              </w:rPr>
            </w:pPr>
            <w:r>
              <w:rPr>
                <w:noProof/>
              </w:rPr>
              <w:t>Ενδεικτικό χρονοδιάγραμμα ολοκλήρωσης</w:t>
            </w:r>
          </w:p>
        </w:tc>
        <w:tc>
          <w:tcPr>
            <w:tcW w:w="4395" w:type="dxa"/>
            <w:vMerge w:val="restart"/>
            <w:shd w:val="clear" w:color="auto" w:fill="BDD6EE"/>
            <w:noWrap/>
            <w:vAlign w:val="center"/>
            <w:hideMark/>
          </w:tcPr>
          <w:p w14:paraId="61D7CEDC" w14:textId="77777777" w:rsidR="00154AD2" w:rsidRDefault="007F6BF3">
            <w:pPr>
              <w:pStyle w:val="P68B1DB1-Normal6"/>
              <w:spacing w:after="0" w:line="240" w:lineRule="auto"/>
              <w:jc w:val="center"/>
              <w:rPr>
                <w:rFonts w:eastAsia="Times New Roman" w:cs="Times New Roman"/>
                <w:noProof/>
              </w:rPr>
            </w:pPr>
            <w:r>
              <w:rPr>
                <w:noProof/>
              </w:rPr>
              <w:t>Περιγραφή και σαφής ορισμός κάθε ορόσημου και στόχου</w:t>
            </w:r>
          </w:p>
        </w:tc>
      </w:tr>
      <w:tr w:rsidR="00154AD2" w14:paraId="186265A2" w14:textId="77777777">
        <w:trPr>
          <w:trHeight w:val="470"/>
          <w:tblHeader/>
        </w:trPr>
        <w:tc>
          <w:tcPr>
            <w:tcW w:w="1135" w:type="dxa"/>
            <w:vMerge/>
            <w:vAlign w:val="center"/>
            <w:hideMark/>
          </w:tcPr>
          <w:p w14:paraId="23EAC102" w14:textId="77777777" w:rsidR="00154AD2" w:rsidRDefault="00154AD2">
            <w:pPr>
              <w:spacing w:after="0" w:line="240" w:lineRule="auto"/>
              <w:rPr>
                <w:rFonts w:ascii="Times New Roman" w:eastAsia="Times New Roman" w:hAnsi="Times New Roman" w:cs="Times New Roman"/>
                <w:b/>
                <w:noProof/>
                <w:sz w:val="18"/>
              </w:rPr>
            </w:pPr>
          </w:p>
        </w:tc>
        <w:tc>
          <w:tcPr>
            <w:tcW w:w="1276" w:type="dxa"/>
            <w:vMerge/>
            <w:vAlign w:val="center"/>
            <w:hideMark/>
          </w:tcPr>
          <w:p w14:paraId="7FFB2B96" w14:textId="77777777" w:rsidR="00154AD2" w:rsidRDefault="00154AD2">
            <w:pPr>
              <w:spacing w:after="0" w:line="240" w:lineRule="auto"/>
              <w:rPr>
                <w:rFonts w:ascii="Times New Roman" w:eastAsia="Times New Roman" w:hAnsi="Times New Roman" w:cs="Times New Roman"/>
                <w:b/>
                <w:noProof/>
                <w:sz w:val="18"/>
              </w:rPr>
            </w:pPr>
          </w:p>
        </w:tc>
        <w:tc>
          <w:tcPr>
            <w:tcW w:w="1134" w:type="dxa"/>
            <w:vMerge/>
            <w:vAlign w:val="center"/>
            <w:hideMark/>
          </w:tcPr>
          <w:p w14:paraId="61C40CBB" w14:textId="05DF786C" w:rsidR="00154AD2" w:rsidRDefault="00154AD2">
            <w:pPr>
              <w:spacing w:after="0" w:line="240" w:lineRule="auto"/>
              <w:jc w:val="center"/>
              <w:rPr>
                <w:rFonts w:ascii="Times New Roman" w:eastAsia="Times New Roman" w:hAnsi="Times New Roman" w:cs="Times New Roman"/>
                <w:b/>
                <w:noProof/>
                <w:sz w:val="18"/>
              </w:rPr>
            </w:pPr>
          </w:p>
        </w:tc>
        <w:tc>
          <w:tcPr>
            <w:tcW w:w="1701" w:type="dxa"/>
            <w:vMerge/>
            <w:vAlign w:val="center"/>
            <w:hideMark/>
          </w:tcPr>
          <w:p w14:paraId="392949DC" w14:textId="77777777" w:rsidR="00154AD2" w:rsidRDefault="00154AD2">
            <w:pPr>
              <w:spacing w:after="0" w:line="240" w:lineRule="auto"/>
              <w:rPr>
                <w:rFonts w:ascii="Times New Roman" w:eastAsia="Times New Roman" w:hAnsi="Times New Roman" w:cs="Times New Roman"/>
                <w:b/>
                <w:noProof/>
                <w:sz w:val="18"/>
              </w:rPr>
            </w:pPr>
          </w:p>
        </w:tc>
        <w:tc>
          <w:tcPr>
            <w:tcW w:w="1275" w:type="dxa"/>
            <w:vMerge/>
            <w:vAlign w:val="center"/>
            <w:hideMark/>
          </w:tcPr>
          <w:p w14:paraId="0003544B" w14:textId="77777777" w:rsidR="00154AD2" w:rsidRDefault="00154AD2">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1AC56CC8" w14:textId="77777777" w:rsidR="00154AD2" w:rsidRDefault="007F6BF3">
            <w:pPr>
              <w:pStyle w:val="P68B1DB1-Normal6"/>
              <w:spacing w:after="0" w:line="240" w:lineRule="auto"/>
              <w:jc w:val="center"/>
              <w:rPr>
                <w:rFonts w:eastAsia="Times New Roman" w:cs="Times New Roman"/>
                <w:noProof/>
              </w:rPr>
            </w:pPr>
            <w:r>
              <w:rPr>
                <w:noProof/>
              </w:rPr>
              <w:t>Μονάδα μέτρησης</w:t>
            </w:r>
          </w:p>
        </w:tc>
        <w:tc>
          <w:tcPr>
            <w:tcW w:w="992" w:type="dxa"/>
            <w:shd w:val="clear" w:color="auto" w:fill="BDD6EE"/>
            <w:vAlign w:val="center"/>
            <w:hideMark/>
          </w:tcPr>
          <w:p w14:paraId="22EAFC97" w14:textId="77777777" w:rsidR="00154AD2" w:rsidRDefault="007F6BF3">
            <w:pPr>
              <w:pStyle w:val="P68B1DB1-Normal6"/>
              <w:spacing w:after="0" w:line="240" w:lineRule="auto"/>
              <w:jc w:val="center"/>
              <w:rPr>
                <w:rFonts w:eastAsia="Times New Roman" w:cs="Times New Roman"/>
                <w:noProof/>
              </w:rPr>
            </w:pPr>
            <w:r>
              <w:rPr>
                <w:noProof/>
              </w:rPr>
              <w:t>Γραμμή βάσης</w:t>
            </w:r>
          </w:p>
        </w:tc>
        <w:tc>
          <w:tcPr>
            <w:tcW w:w="850" w:type="dxa"/>
            <w:shd w:val="clear" w:color="auto" w:fill="BDD6EE"/>
            <w:vAlign w:val="center"/>
            <w:hideMark/>
          </w:tcPr>
          <w:p w14:paraId="2BE8FC8B" w14:textId="77777777" w:rsidR="00154AD2" w:rsidRDefault="007F6BF3">
            <w:pPr>
              <w:pStyle w:val="P68B1DB1-Normal6"/>
              <w:spacing w:after="0" w:line="240" w:lineRule="auto"/>
              <w:jc w:val="center"/>
              <w:rPr>
                <w:rFonts w:eastAsia="Times New Roman" w:cs="Times New Roman"/>
                <w:noProof/>
              </w:rPr>
            </w:pPr>
            <w:r>
              <w:rPr>
                <w:noProof/>
              </w:rPr>
              <w:t>Στόχοι</w:t>
            </w:r>
          </w:p>
        </w:tc>
        <w:tc>
          <w:tcPr>
            <w:tcW w:w="567" w:type="dxa"/>
            <w:shd w:val="clear" w:color="auto" w:fill="BDD6EE"/>
            <w:vAlign w:val="center"/>
            <w:hideMark/>
          </w:tcPr>
          <w:p w14:paraId="242D2DDD" w14:textId="77777777" w:rsidR="00154AD2" w:rsidRDefault="007F6BF3">
            <w:pPr>
              <w:pStyle w:val="P68B1DB1-Normal6"/>
              <w:spacing w:after="0" w:line="240" w:lineRule="auto"/>
              <w:jc w:val="center"/>
              <w:rPr>
                <w:rFonts w:eastAsia="Times New Roman" w:cs="Times New Roman"/>
                <w:noProof/>
              </w:rPr>
            </w:pPr>
            <w:r>
              <w:rPr>
                <w:noProof/>
              </w:rPr>
              <w:t>Ε</w:t>
            </w:r>
          </w:p>
        </w:tc>
        <w:tc>
          <w:tcPr>
            <w:tcW w:w="708" w:type="dxa"/>
            <w:shd w:val="clear" w:color="auto" w:fill="BDD6EE"/>
            <w:vAlign w:val="center"/>
            <w:hideMark/>
          </w:tcPr>
          <w:p w14:paraId="74452C72" w14:textId="77777777" w:rsidR="00154AD2" w:rsidRDefault="007F6BF3">
            <w:pPr>
              <w:pStyle w:val="P68B1DB1-Normal6"/>
              <w:spacing w:after="0" w:line="240" w:lineRule="auto"/>
              <w:jc w:val="center"/>
              <w:rPr>
                <w:rFonts w:eastAsia="Times New Roman" w:cs="Times New Roman"/>
                <w:noProof/>
              </w:rPr>
            </w:pPr>
            <w:r>
              <w:rPr>
                <w:noProof/>
              </w:rPr>
              <w:t>Έτος</w:t>
            </w:r>
          </w:p>
        </w:tc>
        <w:tc>
          <w:tcPr>
            <w:tcW w:w="4395" w:type="dxa"/>
            <w:vMerge/>
            <w:vAlign w:val="center"/>
            <w:hideMark/>
          </w:tcPr>
          <w:p w14:paraId="1CC6F99B" w14:textId="77777777" w:rsidR="00154AD2" w:rsidRDefault="00154AD2">
            <w:pPr>
              <w:spacing w:after="0" w:line="240" w:lineRule="auto"/>
              <w:rPr>
                <w:rFonts w:ascii="Times New Roman" w:eastAsia="Times New Roman" w:hAnsi="Times New Roman" w:cs="Times New Roman"/>
                <w:b/>
                <w:noProof/>
                <w:sz w:val="18"/>
              </w:rPr>
            </w:pPr>
          </w:p>
        </w:tc>
      </w:tr>
      <w:tr w:rsidR="00154AD2" w14:paraId="79EA62E7" w14:textId="77777777">
        <w:trPr>
          <w:trHeight w:val="640"/>
        </w:trPr>
        <w:tc>
          <w:tcPr>
            <w:tcW w:w="1135" w:type="dxa"/>
            <w:shd w:val="clear" w:color="auto" w:fill="C5EFCE"/>
            <w:vAlign w:val="center"/>
            <w:hideMark/>
          </w:tcPr>
          <w:p w14:paraId="11E1C5C8" w14:textId="77777777" w:rsidR="00154AD2" w:rsidRDefault="007F6BF3">
            <w:pPr>
              <w:pStyle w:val="P68B1DB1-Normal7"/>
              <w:spacing w:after="0" w:line="240" w:lineRule="auto"/>
              <w:jc w:val="center"/>
              <w:rPr>
                <w:rFonts w:eastAsia="Times New Roman" w:cs="Calibri"/>
                <w:noProof/>
              </w:rPr>
            </w:pPr>
            <w:r>
              <w:rPr>
                <w:noProof/>
              </w:rPr>
              <w:t>6.1</w:t>
            </w:r>
          </w:p>
        </w:tc>
        <w:tc>
          <w:tcPr>
            <w:tcW w:w="1276" w:type="dxa"/>
            <w:shd w:val="clear" w:color="auto" w:fill="C4EFCE"/>
            <w:noWrap/>
            <w:vAlign w:val="center"/>
            <w:hideMark/>
          </w:tcPr>
          <w:p w14:paraId="1D6D398A" w14:textId="77777777" w:rsidR="00154AD2" w:rsidRDefault="007F6BF3">
            <w:pPr>
              <w:pStyle w:val="P68B1DB1-Normal8"/>
              <w:spacing w:after="0" w:line="240" w:lineRule="auto"/>
              <w:jc w:val="center"/>
              <w:rPr>
                <w:rFonts w:eastAsia="Times New Roman" w:cs="Calibri"/>
                <w:noProof/>
              </w:rPr>
            </w:pPr>
            <w:r>
              <w:rPr>
                <w:noProof/>
              </w:rPr>
              <w:t>RE-C06-i01</w:t>
            </w:r>
          </w:p>
        </w:tc>
        <w:tc>
          <w:tcPr>
            <w:tcW w:w="1134" w:type="dxa"/>
            <w:shd w:val="clear" w:color="auto" w:fill="C4EFCE"/>
            <w:noWrap/>
            <w:vAlign w:val="center"/>
            <w:hideMark/>
          </w:tcPr>
          <w:p w14:paraId="0245193C"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FE5CBD2" w14:textId="77777777" w:rsidR="00154AD2" w:rsidRDefault="007F6BF3">
            <w:pPr>
              <w:pStyle w:val="P68B1DB1-Normal8"/>
              <w:spacing w:after="0" w:line="240" w:lineRule="auto"/>
              <w:jc w:val="center"/>
              <w:rPr>
                <w:rFonts w:eastAsia="Times New Roman" w:cs="Calibri"/>
                <w:noProof/>
              </w:rPr>
            </w:pPr>
            <w:r>
              <w:rPr>
                <w:noProof/>
              </w:rPr>
              <w:t>Ανακαίνιση ή κατασκευή εξειδικευμένων τεχνολογικών κέντρων</w:t>
            </w:r>
          </w:p>
        </w:tc>
        <w:tc>
          <w:tcPr>
            <w:tcW w:w="1275" w:type="dxa"/>
            <w:shd w:val="clear" w:color="auto" w:fill="C4EFCE"/>
            <w:noWrap/>
            <w:vAlign w:val="center"/>
            <w:hideMark/>
          </w:tcPr>
          <w:p w14:paraId="1DC8F389"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1339ABF"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73C47244" w14:textId="77777777" w:rsidR="00154AD2" w:rsidRDefault="007F6BF3">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52609596" w14:textId="77777777" w:rsidR="00154AD2" w:rsidRDefault="007F6BF3">
            <w:pPr>
              <w:pStyle w:val="P68B1DB1-Normal8"/>
              <w:spacing w:after="0" w:line="240" w:lineRule="auto"/>
              <w:jc w:val="center"/>
              <w:rPr>
                <w:rFonts w:eastAsia="Times New Roman" w:cs="Calibri"/>
                <w:noProof/>
              </w:rPr>
            </w:pPr>
            <w:r>
              <w:rPr>
                <w:noProof/>
              </w:rPr>
              <w:t>310</w:t>
            </w:r>
          </w:p>
        </w:tc>
        <w:tc>
          <w:tcPr>
            <w:tcW w:w="567" w:type="dxa"/>
            <w:shd w:val="clear" w:color="auto" w:fill="C4EFCE"/>
            <w:noWrap/>
            <w:vAlign w:val="center"/>
            <w:hideMark/>
          </w:tcPr>
          <w:p w14:paraId="5E577122"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708" w:type="dxa"/>
            <w:shd w:val="clear" w:color="auto" w:fill="C4EFCE"/>
            <w:noWrap/>
            <w:vAlign w:val="center"/>
            <w:hideMark/>
          </w:tcPr>
          <w:p w14:paraId="5B9C16CB" w14:textId="77777777" w:rsidR="00154AD2" w:rsidRDefault="007F6BF3">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0E2343BD" w14:textId="77777777" w:rsidR="00154AD2" w:rsidRDefault="007F6BF3">
            <w:pPr>
              <w:pStyle w:val="P68B1DB1-Normal8"/>
              <w:spacing w:after="0" w:line="240" w:lineRule="auto"/>
              <w:jc w:val="both"/>
              <w:rPr>
                <w:rFonts w:eastAsia="Times New Roman" w:cs="Calibri"/>
                <w:noProof/>
              </w:rPr>
            </w:pPr>
            <w:r>
              <w:rPr>
                <w:noProof/>
              </w:rPr>
              <w:t xml:space="preserve">Αριθμός εξειδικευμένων τεχνολογικών κέντρων που ανακαινίστηκαν ή κατασκευάστηκαν για επαγγελματικά μαθήματα στη δευτεροβάθμια εκπαίδευση, συμπεριλαμβανομένης της χρηματοδότησης εξοπλισμού, τεχνολογικών υποδομών και της πιθανής αναβάθμισης χώρων και εργαστηρίων για την προσαρμογή σε νέα μαθήματα. </w:t>
            </w:r>
          </w:p>
        </w:tc>
      </w:tr>
      <w:tr w:rsidR="00154AD2" w14:paraId="31C598A2" w14:textId="77777777">
        <w:trPr>
          <w:trHeight w:val="640"/>
        </w:trPr>
        <w:tc>
          <w:tcPr>
            <w:tcW w:w="1135" w:type="dxa"/>
            <w:shd w:val="clear" w:color="auto" w:fill="C5EFCE"/>
            <w:vAlign w:val="center"/>
            <w:hideMark/>
          </w:tcPr>
          <w:p w14:paraId="2FE12F6E" w14:textId="77777777" w:rsidR="00154AD2" w:rsidRDefault="007F6BF3">
            <w:pPr>
              <w:pStyle w:val="P68B1DB1-Normal7"/>
              <w:spacing w:after="0" w:line="240" w:lineRule="auto"/>
              <w:jc w:val="center"/>
              <w:rPr>
                <w:rFonts w:eastAsia="Times New Roman" w:cs="Calibri"/>
                <w:noProof/>
              </w:rPr>
            </w:pPr>
            <w:r>
              <w:rPr>
                <w:noProof/>
              </w:rPr>
              <w:t>6.2</w:t>
            </w:r>
          </w:p>
        </w:tc>
        <w:tc>
          <w:tcPr>
            <w:tcW w:w="1276" w:type="dxa"/>
            <w:shd w:val="clear" w:color="auto" w:fill="C4EFCE"/>
            <w:noWrap/>
            <w:vAlign w:val="center"/>
            <w:hideMark/>
          </w:tcPr>
          <w:p w14:paraId="6CE55E02" w14:textId="77777777" w:rsidR="00154AD2" w:rsidRDefault="007F6BF3">
            <w:pPr>
              <w:pStyle w:val="P68B1DB1-Normal8"/>
              <w:spacing w:after="0" w:line="240" w:lineRule="auto"/>
              <w:jc w:val="center"/>
              <w:rPr>
                <w:rFonts w:eastAsia="Times New Roman" w:cs="Calibri"/>
                <w:noProof/>
              </w:rPr>
            </w:pPr>
            <w:r>
              <w:rPr>
                <w:noProof/>
              </w:rPr>
              <w:t>RE-C06-i01</w:t>
            </w:r>
          </w:p>
        </w:tc>
        <w:tc>
          <w:tcPr>
            <w:tcW w:w="1134" w:type="dxa"/>
            <w:shd w:val="clear" w:color="auto" w:fill="C4EFCE"/>
            <w:noWrap/>
            <w:vAlign w:val="center"/>
            <w:hideMark/>
          </w:tcPr>
          <w:p w14:paraId="365464C5"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EAA9EB9" w14:textId="77777777" w:rsidR="00154AD2" w:rsidRDefault="007F6BF3">
            <w:pPr>
              <w:pStyle w:val="P68B1DB1-Normal8"/>
              <w:spacing w:after="0" w:line="240" w:lineRule="auto"/>
              <w:jc w:val="center"/>
              <w:rPr>
                <w:rFonts w:eastAsia="Times New Roman" w:cs="Calibri"/>
                <w:noProof/>
              </w:rPr>
            </w:pPr>
            <w:r>
              <w:rPr>
                <w:noProof/>
              </w:rPr>
              <w:t>Ανακαίνιση ή κατασκευή εξειδικευμένων τεχνολογικών κέντρων</w:t>
            </w:r>
          </w:p>
        </w:tc>
        <w:tc>
          <w:tcPr>
            <w:tcW w:w="1275" w:type="dxa"/>
            <w:shd w:val="clear" w:color="auto" w:fill="C4EFCE"/>
            <w:noWrap/>
            <w:vAlign w:val="center"/>
            <w:hideMark/>
          </w:tcPr>
          <w:p w14:paraId="52981225"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2EFD07B5"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3C1D84AB" w14:textId="77777777" w:rsidR="00154AD2" w:rsidRDefault="007F6BF3">
            <w:pPr>
              <w:pStyle w:val="P68B1DB1-Normal8"/>
              <w:spacing w:after="0" w:line="240" w:lineRule="auto"/>
              <w:jc w:val="center"/>
              <w:rPr>
                <w:rFonts w:eastAsia="Times New Roman" w:cs="Calibri"/>
                <w:noProof/>
              </w:rPr>
            </w:pPr>
            <w:r>
              <w:rPr>
                <w:noProof/>
              </w:rPr>
              <w:t>310</w:t>
            </w:r>
          </w:p>
        </w:tc>
        <w:tc>
          <w:tcPr>
            <w:tcW w:w="850" w:type="dxa"/>
            <w:shd w:val="clear" w:color="auto" w:fill="C4EFCE"/>
            <w:noWrap/>
            <w:vAlign w:val="center"/>
            <w:hideMark/>
          </w:tcPr>
          <w:p w14:paraId="53776CC3" w14:textId="77777777" w:rsidR="00154AD2" w:rsidRDefault="007F6BF3">
            <w:pPr>
              <w:pStyle w:val="P68B1DB1-Normal8"/>
              <w:spacing w:after="0" w:line="240" w:lineRule="auto"/>
              <w:jc w:val="center"/>
              <w:rPr>
                <w:rFonts w:eastAsia="Times New Roman" w:cs="Calibri"/>
                <w:noProof/>
              </w:rPr>
            </w:pPr>
            <w:r>
              <w:rPr>
                <w:noProof/>
              </w:rPr>
              <w:t>365</w:t>
            </w:r>
          </w:p>
        </w:tc>
        <w:tc>
          <w:tcPr>
            <w:tcW w:w="567" w:type="dxa"/>
            <w:shd w:val="clear" w:color="auto" w:fill="C4EFCE"/>
            <w:noWrap/>
            <w:vAlign w:val="center"/>
            <w:hideMark/>
          </w:tcPr>
          <w:p w14:paraId="27944A1C"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7EEBE2C5" w14:textId="77777777" w:rsidR="00154AD2" w:rsidRDefault="007F6BF3">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3A678E29" w14:textId="77777777" w:rsidR="00154AD2" w:rsidRDefault="007F6BF3">
            <w:pPr>
              <w:pStyle w:val="P68B1DB1-Normal8"/>
              <w:spacing w:after="0" w:line="240" w:lineRule="auto"/>
              <w:jc w:val="both"/>
              <w:rPr>
                <w:rFonts w:eastAsia="Times New Roman" w:cs="Calibri"/>
                <w:noProof/>
              </w:rPr>
            </w:pPr>
            <w:r>
              <w:rPr>
                <w:noProof/>
              </w:rPr>
              <w:t>Αριθμός εξειδικευμένων τεχνολογικών κέντρων που ανακαινίστηκαν ή κατασκευάστηκαν για επαγγελματικά μαθήματα δευτεροβάθμιας εκπαίδευσης, συμπεριλαμβανομένης της χρηματοδότησης εξοπλισμού, τεχνολογικών υποδομών και της πιθανής αναβάθμισης χώρων και εργαστηρίων για την προσαρμογή σε νέα μαθήματα</w:t>
            </w:r>
          </w:p>
        </w:tc>
      </w:tr>
      <w:tr w:rsidR="00154AD2" w14:paraId="3E90A23F" w14:textId="77777777">
        <w:trPr>
          <w:trHeight w:val="1270"/>
        </w:trPr>
        <w:tc>
          <w:tcPr>
            <w:tcW w:w="1135" w:type="dxa"/>
            <w:shd w:val="clear" w:color="auto" w:fill="C5EFCE"/>
            <w:vAlign w:val="center"/>
            <w:hideMark/>
          </w:tcPr>
          <w:p w14:paraId="047D3B3F" w14:textId="77777777" w:rsidR="00154AD2" w:rsidRDefault="007F6BF3">
            <w:pPr>
              <w:pStyle w:val="P68B1DB1-Normal7"/>
              <w:spacing w:after="0" w:line="240" w:lineRule="auto"/>
              <w:jc w:val="center"/>
              <w:rPr>
                <w:rFonts w:eastAsia="Times New Roman" w:cs="Calibri"/>
                <w:noProof/>
              </w:rPr>
            </w:pPr>
            <w:r>
              <w:rPr>
                <w:noProof/>
              </w:rPr>
              <w:t>6.3</w:t>
            </w:r>
          </w:p>
        </w:tc>
        <w:tc>
          <w:tcPr>
            <w:tcW w:w="1276" w:type="dxa"/>
            <w:shd w:val="clear" w:color="auto" w:fill="C4EFCE"/>
            <w:noWrap/>
            <w:vAlign w:val="center"/>
            <w:hideMark/>
          </w:tcPr>
          <w:p w14:paraId="5356A2CC" w14:textId="77777777" w:rsidR="00154AD2" w:rsidRDefault="007F6BF3">
            <w:pPr>
              <w:pStyle w:val="P68B1DB1-Normal8"/>
              <w:spacing w:after="0" w:line="240" w:lineRule="auto"/>
              <w:jc w:val="center"/>
              <w:rPr>
                <w:rFonts w:eastAsia="Times New Roman" w:cs="Calibri"/>
                <w:noProof/>
              </w:rPr>
            </w:pPr>
            <w:r>
              <w:rPr>
                <w:noProof/>
              </w:rPr>
              <w:t>RE-C06-i01</w:t>
            </w:r>
          </w:p>
        </w:tc>
        <w:tc>
          <w:tcPr>
            <w:tcW w:w="1134" w:type="dxa"/>
            <w:shd w:val="clear" w:color="auto" w:fill="C4EFCE"/>
            <w:noWrap/>
            <w:vAlign w:val="center"/>
            <w:hideMark/>
          </w:tcPr>
          <w:p w14:paraId="3DB04DD1"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FA61F5F" w14:textId="77777777" w:rsidR="00154AD2" w:rsidRDefault="007F6BF3">
            <w:pPr>
              <w:pStyle w:val="P68B1DB1-Normal8"/>
              <w:spacing w:after="0" w:line="240" w:lineRule="auto"/>
              <w:jc w:val="center"/>
              <w:rPr>
                <w:rFonts w:eastAsia="Times New Roman" w:cs="Calibri"/>
                <w:noProof/>
              </w:rPr>
            </w:pPr>
            <w:r>
              <w:rPr>
                <w:noProof/>
              </w:rPr>
              <w:t xml:space="preserve">Αναβαθμισμένοι σταθμοί κατάρτισης </w:t>
            </w:r>
          </w:p>
        </w:tc>
        <w:tc>
          <w:tcPr>
            <w:tcW w:w="1275" w:type="dxa"/>
            <w:shd w:val="clear" w:color="auto" w:fill="C4EFCE"/>
            <w:noWrap/>
            <w:vAlign w:val="center"/>
            <w:hideMark/>
          </w:tcPr>
          <w:p w14:paraId="130E4E31"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26DA56A3"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213A84D5" w14:textId="77777777" w:rsidR="00154AD2" w:rsidRDefault="007F6BF3">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5D069C25" w14:textId="373C2310" w:rsidR="00154AD2" w:rsidRDefault="007F6BF3">
            <w:pPr>
              <w:pStyle w:val="P68B1DB1-Normal8"/>
              <w:spacing w:after="0" w:line="240" w:lineRule="auto"/>
              <w:jc w:val="center"/>
              <w:rPr>
                <w:rFonts w:eastAsia="Times New Roman" w:cs="Calibri"/>
                <w:noProof/>
              </w:rPr>
            </w:pPr>
            <w:r>
              <w:rPr>
                <w:noProof/>
              </w:rPr>
              <w:t>11 500</w:t>
            </w:r>
          </w:p>
        </w:tc>
        <w:tc>
          <w:tcPr>
            <w:tcW w:w="567" w:type="dxa"/>
            <w:shd w:val="clear" w:color="auto" w:fill="C4EFCE"/>
            <w:noWrap/>
            <w:vAlign w:val="center"/>
            <w:hideMark/>
          </w:tcPr>
          <w:p w14:paraId="61A11D31"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7CE9D443" w14:textId="77777777" w:rsidR="00154AD2" w:rsidRDefault="007F6BF3">
            <w:pPr>
              <w:pStyle w:val="P68B1DB1-Normal8"/>
              <w:spacing w:after="0" w:line="240" w:lineRule="auto"/>
              <w:jc w:val="center"/>
              <w:rPr>
                <w:rFonts w:eastAsia="Times New Roman" w:cs="Calibri"/>
                <w:noProof/>
              </w:rPr>
            </w:pPr>
            <w:r>
              <w:rPr>
                <w:noProof/>
              </w:rPr>
              <w:t>2023</w:t>
            </w:r>
          </w:p>
        </w:tc>
        <w:tc>
          <w:tcPr>
            <w:tcW w:w="4395" w:type="dxa"/>
            <w:shd w:val="clear" w:color="auto" w:fill="C4EFCE"/>
            <w:vAlign w:val="center"/>
            <w:hideMark/>
          </w:tcPr>
          <w:p w14:paraId="31810B06" w14:textId="42B3EDCA" w:rsidR="00154AD2" w:rsidRDefault="007F6BF3">
            <w:pPr>
              <w:pStyle w:val="P68B1DB1-Normal8"/>
              <w:spacing w:after="0" w:line="240" w:lineRule="auto"/>
              <w:jc w:val="both"/>
              <w:rPr>
                <w:rFonts w:eastAsia="Times New Roman" w:cs="Calibri"/>
                <w:noProof/>
              </w:rPr>
            </w:pPr>
            <w:r>
              <w:rPr>
                <w:noProof/>
              </w:rPr>
              <w:t>Αριθμός σταθμών επαγγελματικής κατάρτισης του δικτύου δημόσιων υπηρεσιών απασχόλησης (IEFP) και του δικτύου σχολείων της Εθνικής Αρχής Τουρισμού (Turismo de Portugal) (είτε υπό άμεση διαχείριση είτε μέσω παραχώρησης) που ανακαινίστηκαν ή κατασκευάστηκαν. Περιλαμβάνει την ανακαίνιση και την κατασκευή νέων κτιρίων, καθώς και την αγορά διαφόρων ειδών εξοπλισμού για εκπαιδευτικούς σκοπούς. Τα νέα κτίρια έχουν ζήτηση πρωτογενούς ενέργειας τουλάχιστον 20 % χαμηλότερη από τις απαιτήσεις των κτιρίων με σχεδόν μηδενική κατανάλωση ενέργειας. Οι ανακαινίσεις ενεργειακής απόδοσης επιτυγχάνουν, κατά μέσο όρο, τουλάχιστον μεσαίας κλίμακας ανακαίνιση, όπως ορίζεται στη σύσταση της Επιτροπής για την ανακαίνιση κτιρίων (ΕΕ) 2019/786.</w:t>
            </w:r>
          </w:p>
        </w:tc>
      </w:tr>
      <w:tr w:rsidR="00154AD2" w14:paraId="4AB7F922" w14:textId="77777777">
        <w:trPr>
          <w:trHeight w:val="1270"/>
        </w:trPr>
        <w:tc>
          <w:tcPr>
            <w:tcW w:w="1135" w:type="dxa"/>
            <w:shd w:val="clear" w:color="auto" w:fill="C5EFCE"/>
            <w:vAlign w:val="center"/>
            <w:hideMark/>
          </w:tcPr>
          <w:p w14:paraId="4DAD2626" w14:textId="77777777" w:rsidR="00154AD2" w:rsidRDefault="007F6BF3">
            <w:pPr>
              <w:pStyle w:val="P68B1DB1-Normal7"/>
              <w:spacing w:after="0" w:line="240" w:lineRule="auto"/>
              <w:jc w:val="center"/>
              <w:rPr>
                <w:rFonts w:eastAsia="Times New Roman" w:cs="Calibri"/>
                <w:noProof/>
              </w:rPr>
            </w:pPr>
            <w:r>
              <w:rPr>
                <w:noProof/>
              </w:rPr>
              <w:t>6.4</w:t>
            </w:r>
          </w:p>
        </w:tc>
        <w:tc>
          <w:tcPr>
            <w:tcW w:w="1276" w:type="dxa"/>
            <w:shd w:val="clear" w:color="auto" w:fill="C4EFCE"/>
            <w:noWrap/>
            <w:vAlign w:val="center"/>
            <w:hideMark/>
          </w:tcPr>
          <w:p w14:paraId="069D62CA" w14:textId="77777777" w:rsidR="00154AD2" w:rsidRDefault="007F6BF3">
            <w:pPr>
              <w:pStyle w:val="P68B1DB1-Normal8"/>
              <w:spacing w:after="0" w:line="240" w:lineRule="auto"/>
              <w:jc w:val="center"/>
              <w:rPr>
                <w:rFonts w:eastAsia="Times New Roman" w:cs="Calibri"/>
                <w:noProof/>
              </w:rPr>
            </w:pPr>
            <w:r>
              <w:rPr>
                <w:noProof/>
              </w:rPr>
              <w:t>RE-C06-i01</w:t>
            </w:r>
          </w:p>
        </w:tc>
        <w:tc>
          <w:tcPr>
            <w:tcW w:w="1134" w:type="dxa"/>
            <w:shd w:val="clear" w:color="auto" w:fill="C4EFCE"/>
            <w:noWrap/>
            <w:vAlign w:val="center"/>
            <w:hideMark/>
          </w:tcPr>
          <w:p w14:paraId="5EE390D5"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B383716" w14:textId="77777777" w:rsidR="00154AD2" w:rsidRDefault="007F6BF3">
            <w:pPr>
              <w:pStyle w:val="P68B1DB1-Normal8"/>
              <w:spacing w:after="0" w:line="240" w:lineRule="auto"/>
              <w:jc w:val="center"/>
              <w:rPr>
                <w:rFonts w:eastAsia="Times New Roman" w:cs="Calibri"/>
                <w:noProof/>
              </w:rPr>
            </w:pPr>
            <w:r>
              <w:rPr>
                <w:noProof/>
              </w:rPr>
              <w:t xml:space="preserve">Αναβαθμισμένοι σταθμοί κατάρτισης </w:t>
            </w:r>
          </w:p>
        </w:tc>
        <w:tc>
          <w:tcPr>
            <w:tcW w:w="1275" w:type="dxa"/>
            <w:shd w:val="clear" w:color="auto" w:fill="C4EFCE"/>
            <w:noWrap/>
            <w:vAlign w:val="center"/>
            <w:hideMark/>
          </w:tcPr>
          <w:p w14:paraId="16A61C90"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DA2846B"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5EBF0158" w14:textId="6B2FB681" w:rsidR="00154AD2" w:rsidRDefault="007F6BF3">
            <w:pPr>
              <w:pStyle w:val="P68B1DB1-Normal8"/>
              <w:spacing w:after="0" w:line="240" w:lineRule="auto"/>
              <w:jc w:val="center"/>
              <w:rPr>
                <w:rFonts w:eastAsia="Times New Roman" w:cs="Calibri"/>
                <w:noProof/>
              </w:rPr>
            </w:pPr>
            <w:r>
              <w:rPr>
                <w:noProof/>
              </w:rPr>
              <w:t>11 500</w:t>
            </w:r>
          </w:p>
        </w:tc>
        <w:tc>
          <w:tcPr>
            <w:tcW w:w="850" w:type="dxa"/>
            <w:shd w:val="clear" w:color="auto" w:fill="C4EFCE"/>
            <w:noWrap/>
            <w:vAlign w:val="center"/>
            <w:hideMark/>
          </w:tcPr>
          <w:p w14:paraId="60A36C33" w14:textId="77777777" w:rsidR="00154AD2" w:rsidRDefault="007F6BF3">
            <w:pPr>
              <w:pStyle w:val="P68B1DB1-Normal8"/>
              <w:spacing w:after="0" w:line="240" w:lineRule="auto"/>
              <w:jc w:val="center"/>
              <w:rPr>
                <w:rFonts w:eastAsia="Times New Roman" w:cs="Calibri"/>
                <w:noProof/>
              </w:rPr>
            </w:pPr>
            <w:r>
              <w:rPr>
                <w:noProof/>
              </w:rPr>
              <w:t>22 000</w:t>
            </w:r>
          </w:p>
        </w:tc>
        <w:tc>
          <w:tcPr>
            <w:tcW w:w="567" w:type="dxa"/>
            <w:shd w:val="clear" w:color="auto" w:fill="C4EFCE"/>
            <w:noWrap/>
            <w:vAlign w:val="center"/>
            <w:hideMark/>
          </w:tcPr>
          <w:p w14:paraId="787ADB8E"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1C45E088" w14:textId="77777777" w:rsidR="00154AD2" w:rsidRDefault="007F6BF3">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3FC38451" w14:textId="3C4E7288" w:rsidR="00154AD2" w:rsidRDefault="007F6BF3">
            <w:pPr>
              <w:pStyle w:val="P68B1DB1-Normal8"/>
              <w:spacing w:after="0" w:line="240" w:lineRule="auto"/>
              <w:jc w:val="both"/>
              <w:rPr>
                <w:rFonts w:eastAsia="Times New Roman" w:cs="Calibri"/>
                <w:noProof/>
              </w:rPr>
            </w:pPr>
            <w:r>
              <w:rPr>
                <w:noProof/>
              </w:rPr>
              <w:t>Αριθμός σταθμών επαγγελματικής κατάρτισης του δικτύου δημόσιων υπηρεσιών απασχόλησης (IEFP) και του δικτύου σχολείων της Εθνικής Αρχής Τουρισμού (Turismo de Portugal) (είτε υπό άμεση διαχείριση είτε μέσω παραχώρησης) που ανακαινίστηκαν ή κατασκευάστηκαν. Περιλαμβάνει την ανακαίνιση και την κατασκευή νέων κτιρίων, καθώς και την αγορά διαφόρων ειδών εξοπλισμού για εκπαιδευτικούς σκοπούς. Τα νέα κτίρια έχουν ζήτηση πρωτογενούς ενέργειας τουλάχιστον 20 % χαμηλότερη από τις απαιτήσεις των κτιρίων με σχεδόν μηδενική κατανάλωση ενέργειας. Οι ανακαινίσεις ενεργειακής απόδοσης επιτυγχάνουν, κατά μέσο όρο, τουλάχιστον μεσαίας κλίμακας ανακαίνιση, όπως ορίζεται στη σύσταση της Επιτροπής για την ανακαίνιση κτιρίων (ΕΕ) 2019/786</w:t>
            </w:r>
          </w:p>
        </w:tc>
      </w:tr>
      <w:tr w:rsidR="00154AD2" w14:paraId="6C12491B" w14:textId="77777777">
        <w:trPr>
          <w:trHeight w:val="430"/>
        </w:trPr>
        <w:tc>
          <w:tcPr>
            <w:tcW w:w="1135" w:type="dxa"/>
            <w:shd w:val="clear" w:color="auto" w:fill="C5EFCE"/>
            <w:vAlign w:val="center"/>
            <w:hideMark/>
          </w:tcPr>
          <w:p w14:paraId="0EDD61CD" w14:textId="77777777" w:rsidR="00154AD2" w:rsidRDefault="007F6BF3">
            <w:pPr>
              <w:pStyle w:val="P68B1DB1-Normal7"/>
              <w:spacing w:after="0" w:line="240" w:lineRule="auto"/>
              <w:jc w:val="center"/>
              <w:rPr>
                <w:rFonts w:eastAsia="Times New Roman" w:cs="Calibri"/>
                <w:noProof/>
              </w:rPr>
            </w:pPr>
            <w:r>
              <w:rPr>
                <w:noProof/>
              </w:rPr>
              <w:t>6.5</w:t>
            </w:r>
          </w:p>
        </w:tc>
        <w:tc>
          <w:tcPr>
            <w:tcW w:w="1276" w:type="dxa"/>
            <w:shd w:val="clear" w:color="auto" w:fill="C4EFCE"/>
            <w:noWrap/>
            <w:vAlign w:val="center"/>
            <w:hideMark/>
          </w:tcPr>
          <w:p w14:paraId="5DFD9DC8" w14:textId="77777777" w:rsidR="00154AD2" w:rsidRDefault="007F6BF3">
            <w:pPr>
              <w:pStyle w:val="P68B1DB1-Normal8"/>
              <w:spacing w:after="0" w:line="240" w:lineRule="auto"/>
              <w:jc w:val="center"/>
              <w:rPr>
                <w:rFonts w:eastAsia="Times New Roman" w:cs="Calibri"/>
                <w:noProof/>
              </w:rPr>
            </w:pPr>
            <w:r>
              <w:rPr>
                <w:noProof/>
              </w:rPr>
              <w:t>RE-C06-i02</w:t>
            </w:r>
          </w:p>
        </w:tc>
        <w:tc>
          <w:tcPr>
            <w:tcW w:w="1134" w:type="dxa"/>
            <w:shd w:val="clear" w:color="auto" w:fill="C4EFCE"/>
            <w:noWrap/>
            <w:vAlign w:val="center"/>
            <w:hideMark/>
          </w:tcPr>
          <w:p w14:paraId="659AF737"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050AF8F6" w14:textId="77777777" w:rsidR="00154AD2" w:rsidRDefault="007F6BF3">
            <w:pPr>
              <w:pStyle w:val="P68B1DB1-Normal8"/>
              <w:spacing w:after="0" w:line="240" w:lineRule="auto"/>
              <w:jc w:val="center"/>
              <w:rPr>
                <w:rFonts w:eastAsia="Times New Roman" w:cs="Calibri"/>
                <w:noProof/>
              </w:rPr>
            </w:pPr>
            <w:r>
              <w:rPr>
                <w:noProof/>
              </w:rPr>
              <w:t xml:space="preserve">Χρηματοδοτική στήριξη για συμβάσεις αορίστου χρόνου </w:t>
            </w:r>
          </w:p>
        </w:tc>
        <w:tc>
          <w:tcPr>
            <w:tcW w:w="1275" w:type="dxa"/>
            <w:shd w:val="clear" w:color="auto" w:fill="C4EFCE"/>
            <w:noWrap/>
            <w:vAlign w:val="center"/>
            <w:hideMark/>
          </w:tcPr>
          <w:p w14:paraId="10FDB223"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FA7A81A"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0DE8E0EA" w14:textId="77777777" w:rsidR="00154AD2" w:rsidRDefault="007F6BF3">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3A09210A" w14:textId="77777777" w:rsidR="00154AD2" w:rsidRDefault="007F6BF3">
            <w:pPr>
              <w:pStyle w:val="P68B1DB1-Normal8"/>
              <w:spacing w:after="0" w:line="240" w:lineRule="auto"/>
              <w:jc w:val="center"/>
              <w:rPr>
                <w:rFonts w:eastAsia="Times New Roman" w:cs="Calibri"/>
                <w:noProof/>
              </w:rPr>
            </w:pPr>
            <w:r>
              <w:rPr>
                <w:noProof/>
              </w:rPr>
              <w:t>30 000</w:t>
            </w:r>
          </w:p>
        </w:tc>
        <w:tc>
          <w:tcPr>
            <w:tcW w:w="567" w:type="dxa"/>
            <w:shd w:val="clear" w:color="auto" w:fill="C4EFCE"/>
            <w:noWrap/>
            <w:vAlign w:val="center"/>
            <w:hideMark/>
          </w:tcPr>
          <w:p w14:paraId="0B4540AC"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7ACEB742" w14:textId="288C9D01" w:rsidR="00154AD2" w:rsidRDefault="007F6BF3">
            <w:pPr>
              <w:pStyle w:val="P68B1DB1-Normal8"/>
              <w:spacing w:after="0" w:line="240" w:lineRule="auto"/>
              <w:jc w:val="center"/>
              <w:rPr>
                <w:rFonts w:eastAsia="Times New Roman" w:cs="Calibri"/>
                <w:noProof/>
              </w:rPr>
            </w:pPr>
            <w:r>
              <w:rPr>
                <w:noProof/>
              </w:rPr>
              <w:t>2024</w:t>
            </w:r>
          </w:p>
        </w:tc>
        <w:tc>
          <w:tcPr>
            <w:tcW w:w="4395" w:type="dxa"/>
            <w:shd w:val="clear" w:color="auto" w:fill="C4EFCE"/>
            <w:vAlign w:val="center"/>
            <w:hideMark/>
          </w:tcPr>
          <w:p w14:paraId="675968B1" w14:textId="77777777" w:rsidR="00154AD2" w:rsidRDefault="007F6BF3">
            <w:pPr>
              <w:pStyle w:val="P68B1DB1-Normal8"/>
              <w:spacing w:after="0" w:line="240" w:lineRule="auto"/>
              <w:jc w:val="both"/>
              <w:rPr>
                <w:rFonts w:eastAsia="Times New Roman" w:cs="Calibri"/>
                <w:noProof/>
              </w:rPr>
            </w:pPr>
            <w:r>
              <w:rPr>
                <w:noProof/>
              </w:rPr>
              <w:t>Αριθμός συμβάσεων που υποστηρίζονται από χρηματοδοτική στήριξη που χορηγείται σε εργοδότες ως αντάλλαγμα για την προσφορά συμβάσεων αορίστου χρόνου που καταβάλλουν επαρκείς μισθούς στην αγορά εργασίας στο πλαίσιο του μέτρου δέσμευσης για βιώσιμη απασχόληση.</w:t>
            </w:r>
          </w:p>
        </w:tc>
      </w:tr>
      <w:tr w:rsidR="00154AD2" w14:paraId="61E0EF86" w14:textId="77777777">
        <w:trPr>
          <w:trHeight w:val="1060"/>
        </w:trPr>
        <w:tc>
          <w:tcPr>
            <w:tcW w:w="1135" w:type="dxa"/>
            <w:shd w:val="clear" w:color="auto" w:fill="C5EFCE"/>
            <w:vAlign w:val="center"/>
            <w:hideMark/>
          </w:tcPr>
          <w:p w14:paraId="148B85D9" w14:textId="77777777" w:rsidR="00154AD2" w:rsidRDefault="007F6BF3">
            <w:pPr>
              <w:pStyle w:val="P68B1DB1-Normal7"/>
              <w:spacing w:after="0" w:line="240" w:lineRule="auto"/>
              <w:jc w:val="center"/>
              <w:rPr>
                <w:rFonts w:eastAsia="Times New Roman" w:cs="Calibri"/>
                <w:noProof/>
              </w:rPr>
            </w:pPr>
            <w:r>
              <w:rPr>
                <w:noProof/>
              </w:rPr>
              <w:t>6.6</w:t>
            </w:r>
          </w:p>
        </w:tc>
        <w:tc>
          <w:tcPr>
            <w:tcW w:w="1276" w:type="dxa"/>
            <w:shd w:val="clear" w:color="auto" w:fill="C4EFCE"/>
            <w:noWrap/>
            <w:vAlign w:val="center"/>
            <w:hideMark/>
          </w:tcPr>
          <w:p w14:paraId="479AA52E" w14:textId="77777777" w:rsidR="00154AD2" w:rsidRDefault="007F6BF3">
            <w:pPr>
              <w:pStyle w:val="P68B1DB1-Normal8"/>
              <w:spacing w:after="0" w:line="240" w:lineRule="auto"/>
              <w:jc w:val="center"/>
              <w:rPr>
                <w:rFonts w:eastAsia="Times New Roman" w:cs="Calibri"/>
                <w:noProof/>
              </w:rPr>
            </w:pPr>
            <w:r>
              <w:rPr>
                <w:noProof/>
              </w:rPr>
              <w:t>RE-C06-i03</w:t>
            </w:r>
          </w:p>
        </w:tc>
        <w:tc>
          <w:tcPr>
            <w:tcW w:w="1134" w:type="dxa"/>
            <w:shd w:val="clear" w:color="auto" w:fill="C4EFCE"/>
            <w:noWrap/>
            <w:vAlign w:val="center"/>
            <w:hideMark/>
          </w:tcPr>
          <w:p w14:paraId="12BFBD44"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0CC8E3A" w14:textId="77777777" w:rsidR="00154AD2" w:rsidRDefault="007F6BF3">
            <w:pPr>
              <w:pStyle w:val="P68B1DB1-Normal8"/>
              <w:spacing w:after="0" w:line="240" w:lineRule="auto"/>
              <w:jc w:val="center"/>
              <w:rPr>
                <w:rFonts w:eastAsia="Times New Roman" w:cs="Calibri"/>
                <w:noProof/>
              </w:rPr>
            </w:pPr>
            <w:r>
              <w:rPr>
                <w:noProof/>
              </w:rPr>
              <w:t>Πρόσθετοι συμμετέχοντες σε μέτρα για τη στήριξη της αναβάθμισης των δεξιοτήτων των ενηλίκων</w:t>
            </w:r>
          </w:p>
        </w:tc>
        <w:tc>
          <w:tcPr>
            <w:tcW w:w="1275" w:type="dxa"/>
            <w:shd w:val="clear" w:color="auto" w:fill="C4EFCE"/>
            <w:noWrap/>
            <w:vAlign w:val="center"/>
            <w:hideMark/>
          </w:tcPr>
          <w:p w14:paraId="22792D93"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DD62676"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3B8E5057" w14:textId="77777777" w:rsidR="00154AD2" w:rsidRDefault="007F6BF3">
            <w:pPr>
              <w:pStyle w:val="P68B1DB1-Normal8"/>
              <w:spacing w:after="0" w:line="240" w:lineRule="auto"/>
              <w:jc w:val="center"/>
              <w:rPr>
                <w:rFonts w:eastAsia="Times New Roman" w:cs="Calibri"/>
                <w:noProof/>
              </w:rPr>
            </w:pPr>
            <w:r>
              <w:rPr>
                <w:noProof/>
              </w:rPr>
              <w:t> 0</w:t>
            </w:r>
          </w:p>
        </w:tc>
        <w:tc>
          <w:tcPr>
            <w:tcW w:w="850" w:type="dxa"/>
            <w:shd w:val="clear" w:color="auto" w:fill="C4EFCE"/>
            <w:noWrap/>
            <w:vAlign w:val="center"/>
            <w:hideMark/>
          </w:tcPr>
          <w:p w14:paraId="5DACDA6B" w14:textId="25014E5E" w:rsidR="00154AD2" w:rsidRDefault="007F6BF3">
            <w:pPr>
              <w:pStyle w:val="P68B1DB1-Normal8"/>
              <w:spacing w:after="0" w:line="240" w:lineRule="auto"/>
              <w:jc w:val="center"/>
              <w:rPr>
                <w:rFonts w:eastAsia="Times New Roman" w:cs="Calibri"/>
                <w:noProof/>
              </w:rPr>
            </w:pPr>
            <w:r>
              <w:rPr>
                <w:noProof/>
              </w:rPr>
              <w:t>145 500</w:t>
            </w:r>
          </w:p>
        </w:tc>
        <w:tc>
          <w:tcPr>
            <w:tcW w:w="567" w:type="dxa"/>
            <w:shd w:val="clear" w:color="auto" w:fill="C4EFCE"/>
            <w:noWrap/>
            <w:vAlign w:val="center"/>
            <w:hideMark/>
          </w:tcPr>
          <w:p w14:paraId="4B441948"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0E8AB3E7" w14:textId="77777777" w:rsidR="00154AD2" w:rsidRDefault="007F6BF3">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7A246919" w14:textId="27E7058B" w:rsidR="00154AD2" w:rsidRDefault="007F6BF3">
            <w:pPr>
              <w:pStyle w:val="P68B1DB1-Normal8"/>
              <w:spacing w:after="0" w:line="240" w:lineRule="auto"/>
              <w:jc w:val="both"/>
              <w:rPr>
                <w:rFonts w:eastAsia="Times New Roman" w:cs="Calibri"/>
                <w:noProof/>
              </w:rPr>
            </w:pPr>
            <w:r>
              <w:rPr>
                <w:noProof/>
              </w:rPr>
              <w:t>Πρόσθετος αριθμός ενήλικων (18 +) συμμετεχόντων που έχουν συμμετάσχει σε ένα από τα ακόλουθα μαθήματα: I) μαθήματα βασικής εκπαίδευσης και κατάρτισης για ενηλίκους επιπέδου B1/B2/B3, τα οποία υλοποιούνται από τοπικά έργα που επωφελούνται από την αναβάθμιση του εθνικού σχεδίου για την παιδεία ενηλίκων· II) εκπαιδευτικές διαδρομές αναγνώρισης, επικύρωσης και πιστοποίησης ικανοτήτων για ενήλικες με χαμηλά προσόντα (RVCC)· και iii) μικρής διάρκειας μαθήματα τριτοβάθμιας εκπαίδευσης που διοργανώνονται από κοινοπραξίες ιδρυμάτων τριτοβάθμιας εκπαίδευσης και εργοδοτών.</w:t>
            </w:r>
          </w:p>
        </w:tc>
      </w:tr>
      <w:tr w:rsidR="00154AD2" w14:paraId="4D402638" w14:textId="77777777">
        <w:trPr>
          <w:trHeight w:val="640"/>
        </w:trPr>
        <w:tc>
          <w:tcPr>
            <w:tcW w:w="1135" w:type="dxa"/>
            <w:shd w:val="clear" w:color="auto" w:fill="C5EFCE"/>
            <w:vAlign w:val="center"/>
            <w:hideMark/>
          </w:tcPr>
          <w:p w14:paraId="0D51C2DF" w14:textId="77777777" w:rsidR="00154AD2" w:rsidRDefault="007F6BF3">
            <w:pPr>
              <w:pStyle w:val="P68B1DB1-Normal7"/>
              <w:spacing w:after="0" w:line="240" w:lineRule="auto"/>
              <w:jc w:val="center"/>
              <w:rPr>
                <w:rFonts w:eastAsia="Times New Roman" w:cs="Calibri"/>
                <w:noProof/>
              </w:rPr>
            </w:pPr>
            <w:r>
              <w:rPr>
                <w:noProof/>
              </w:rPr>
              <w:t>6.7</w:t>
            </w:r>
          </w:p>
        </w:tc>
        <w:tc>
          <w:tcPr>
            <w:tcW w:w="1276" w:type="dxa"/>
            <w:shd w:val="clear" w:color="auto" w:fill="C4EFCE"/>
            <w:noWrap/>
            <w:vAlign w:val="center"/>
            <w:hideMark/>
          </w:tcPr>
          <w:p w14:paraId="14AD9AAA" w14:textId="77777777" w:rsidR="00154AD2" w:rsidRDefault="007F6BF3">
            <w:pPr>
              <w:pStyle w:val="P68B1DB1-Normal8"/>
              <w:spacing w:after="0" w:line="240" w:lineRule="auto"/>
              <w:jc w:val="center"/>
              <w:rPr>
                <w:rFonts w:eastAsia="Times New Roman" w:cs="Calibri"/>
                <w:noProof/>
              </w:rPr>
            </w:pPr>
            <w:r>
              <w:rPr>
                <w:noProof/>
              </w:rPr>
              <w:t>RE-C06-i04</w:t>
            </w:r>
          </w:p>
        </w:tc>
        <w:tc>
          <w:tcPr>
            <w:tcW w:w="1134" w:type="dxa"/>
            <w:shd w:val="clear" w:color="auto" w:fill="C4EFCE"/>
            <w:noWrap/>
            <w:vAlign w:val="center"/>
            <w:hideMark/>
          </w:tcPr>
          <w:p w14:paraId="63132154"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FF28ED8" w14:textId="77777777" w:rsidR="00154AD2" w:rsidRDefault="007F6BF3">
            <w:pPr>
              <w:pStyle w:val="P68B1DB1-Normal8"/>
              <w:spacing w:after="0" w:line="240" w:lineRule="auto"/>
              <w:jc w:val="center"/>
              <w:rPr>
                <w:rFonts w:eastAsia="Times New Roman" w:cs="Calibri"/>
                <w:noProof/>
              </w:rPr>
            </w:pPr>
            <w:r>
              <w:rPr>
                <w:noProof/>
              </w:rPr>
              <w:t xml:space="preserve">Πρόσθετοι σύλλογοι </w:t>
            </w:r>
            <w:r>
              <w:rPr>
                <w:i/>
                <w:noProof/>
              </w:rPr>
              <w:t>Ciência Viva</w:t>
            </w:r>
          </w:p>
        </w:tc>
        <w:tc>
          <w:tcPr>
            <w:tcW w:w="1275" w:type="dxa"/>
            <w:shd w:val="clear" w:color="auto" w:fill="C4EFCE"/>
            <w:noWrap/>
            <w:vAlign w:val="center"/>
            <w:hideMark/>
          </w:tcPr>
          <w:p w14:paraId="475EF3EC"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20C07D87"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139C60E3" w14:textId="77777777" w:rsidR="00154AD2" w:rsidRDefault="007F6BF3">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713DAAD2" w14:textId="77777777" w:rsidR="00154AD2" w:rsidRDefault="007F6BF3">
            <w:pPr>
              <w:pStyle w:val="P68B1DB1-Normal8"/>
              <w:spacing w:after="0" w:line="240" w:lineRule="auto"/>
              <w:jc w:val="center"/>
              <w:rPr>
                <w:rFonts w:eastAsia="Times New Roman" w:cs="Calibri"/>
                <w:noProof/>
              </w:rPr>
            </w:pPr>
            <w:r>
              <w:rPr>
                <w:noProof/>
              </w:rPr>
              <w:t>650</w:t>
            </w:r>
          </w:p>
        </w:tc>
        <w:tc>
          <w:tcPr>
            <w:tcW w:w="567" w:type="dxa"/>
            <w:shd w:val="clear" w:color="auto" w:fill="C4EFCE"/>
            <w:noWrap/>
            <w:vAlign w:val="center"/>
            <w:hideMark/>
          </w:tcPr>
          <w:p w14:paraId="65CF29A1"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708" w:type="dxa"/>
            <w:shd w:val="clear" w:color="auto" w:fill="C4EFCE"/>
            <w:noWrap/>
            <w:vAlign w:val="center"/>
            <w:hideMark/>
          </w:tcPr>
          <w:p w14:paraId="577D02B1" w14:textId="77777777" w:rsidR="00154AD2" w:rsidRDefault="007F6BF3">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71DD2E25" w14:textId="77777777" w:rsidR="00154AD2" w:rsidRDefault="007F6BF3">
            <w:pPr>
              <w:pStyle w:val="P68B1DB1-Normal8"/>
              <w:spacing w:after="0" w:line="240" w:lineRule="auto"/>
              <w:jc w:val="both"/>
              <w:rPr>
                <w:rFonts w:eastAsia="Times New Roman" w:cs="Calibri"/>
                <w:noProof/>
              </w:rPr>
            </w:pPr>
            <w:r>
              <w:rPr>
                <w:noProof/>
              </w:rPr>
              <w:t xml:space="preserve">Αριθμός νέων συλλόγων που προστέθηκαν στο δίκτυο των συλλόγων </w:t>
            </w:r>
            <w:r>
              <w:rPr>
                <w:i/>
                <w:noProof/>
              </w:rPr>
              <w:t>Ciência Viva</w:t>
            </w:r>
            <w:r>
              <w:rPr>
                <w:noProof/>
              </w:rPr>
              <w:t>, εστιάζοντας σε τομείς STEAM, οι οποίοι αποσκοπούν στη διάδοση των επιστημονικών αξιών στο δίκτυο της δευτεροβάθμιας εκπαίδευσης, μεταξύ άλλων μέσω εταιρικών σχέσεων με πανεπιστήμια και ερευνητικά κέντρα, καθώς και μέσω της διοργάνωσης σεμιναρίων και εργαστηρίων.</w:t>
            </w:r>
          </w:p>
        </w:tc>
      </w:tr>
      <w:tr w:rsidR="00154AD2" w14:paraId="49C0C904" w14:textId="77777777">
        <w:trPr>
          <w:trHeight w:val="430"/>
        </w:trPr>
        <w:tc>
          <w:tcPr>
            <w:tcW w:w="1135" w:type="dxa"/>
            <w:shd w:val="clear" w:color="auto" w:fill="C5EFCE"/>
            <w:vAlign w:val="center"/>
            <w:hideMark/>
          </w:tcPr>
          <w:p w14:paraId="31071806" w14:textId="77777777" w:rsidR="00154AD2" w:rsidRDefault="007F6BF3">
            <w:pPr>
              <w:pStyle w:val="P68B1DB1-Normal7"/>
              <w:spacing w:after="0" w:line="240" w:lineRule="auto"/>
              <w:jc w:val="center"/>
              <w:rPr>
                <w:rFonts w:eastAsia="Times New Roman" w:cs="Calibri"/>
                <w:noProof/>
              </w:rPr>
            </w:pPr>
            <w:r>
              <w:rPr>
                <w:noProof/>
              </w:rPr>
              <w:t>6.8</w:t>
            </w:r>
          </w:p>
        </w:tc>
        <w:tc>
          <w:tcPr>
            <w:tcW w:w="1276" w:type="dxa"/>
            <w:shd w:val="clear" w:color="auto" w:fill="C4EFCE"/>
            <w:noWrap/>
            <w:vAlign w:val="center"/>
            <w:hideMark/>
          </w:tcPr>
          <w:p w14:paraId="7831644F" w14:textId="77777777" w:rsidR="00154AD2" w:rsidRDefault="007F6BF3">
            <w:pPr>
              <w:pStyle w:val="P68B1DB1-Normal8"/>
              <w:spacing w:after="0" w:line="240" w:lineRule="auto"/>
              <w:jc w:val="center"/>
              <w:rPr>
                <w:rFonts w:eastAsia="Times New Roman" w:cs="Calibri"/>
                <w:noProof/>
              </w:rPr>
            </w:pPr>
            <w:r>
              <w:rPr>
                <w:noProof/>
              </w:rPr>
              <w:t>RE-C06-i04</w:t>
            </w:r>
          </w:p>
        </w:tc>
        <w:tc>
          <w:tcPr>
            <w:tcW w:w="1134" w:type="dxa"/>
            <w:shd w:val="clear" w:color="auto" w:fill="C4EFCE"/>
            <w:noWrap/>
            <w:vAlign w:val="center"/>
            <w:hideMark/>
          </w:tcPr>
          <w:p w14:paraId="19E22B81"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4ABB0A2" w14:textId="77777777" w:rsidR="00154AD2" w:rsidRDefault="007F6BF3">
            <w:pPr>
              <w:pStyle w:val="P68B1DB1-Normal8"/>
              <w:spacing w:after="0" w:line="240" w:lineRule="auto"/>
              <w:jc w:val="center"/>
              <w:rPr>
                <w:rFonts w:eastAsia="Times New Roman" w:cs="Calibri"/>
                <w:noProof/>
              </w:rPr>
            </w:pPr>
            <w:r>
              <w:rPr>
                <w:noProof/>
              </w:rPr>
              <w:t>Πρόσθετος αριθμός φοιτητών που αποφοίτησαν σε μαθήματα τριτοβάθμιας εκπαίδευσης σε τομείς STEAM</w:t>
            </w:r>
          </w:p>
        </w:tc>
        <w:tc>
          <w:tcPr>
            <w:tcW w:w="1275" w:type="dxa"/>
            <w:shd w:val="clear" w:color="auto" w:fill="C4EFCE"/>
            <w:noWrap/>
            <w:vAlign w:val="center"/>
            <w:hideMark/>
          </w:tcPr>
          <w:p w14:paraId="19A3F63E"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22A75A0"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71EF5171" w14:textId="77777777" w:rsidR="00154AD2" w:rsidRDefault="007F6BF3">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05143F7C" w14:textId="77777777" w:rsidR="00154AD2" w:rsidRDefault="007F6BF3">
            <w:pPr>
              <w:pStyle w:val="P68B1DB1-Normal8"/>
              <w:spacing w:after="0" w:line="240" w:lineRule="auto"/>
              <w:jc w:val="right"/>
              <w:rPr>
                <w:rFonts w:eastAsia="Times New Roman" w:cs="Calibri"/>
                <w:noProof/>
              </w:rPr>
            </w:pPr>
            <w:r>
              <w:rPr>
                <w:noProof/>
              </w:rPr>
              <w:t>7500</w:t>
            </w:r>
          </w:p>
        </w:tc>
        <w:tc>
          <w:tcPr>
            <w:tcW w:w="567" w:type="dxa"/>
            <w:shd w:val="clear" w:color="auto" w:fill="C4EFCE"/>
            <w:noWrap/>
            <w:vAlign w:val="center"/>
            <w:hideMark/>
          </w:tcPr>
          <w:p w14:paraId="74D42D05"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708" w:type="dxa"/>
            <w:shd w:val="clear" w:color="auto" w:fill="C4EFCE"/>
            <w:noWrap/>
            <w:vAlign w:val="center"/>
            <w:hideMark/>
          </w:tcPr>
          <w:p w14:paraId="0AD002C5" w14:textId="77777777" w:rsidR="00154AD2" w:rsidRDefault="007F6BF3">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6906ED0C" w14:textId="1A58018F" w:rsidR="00154AD2" w:rsidRDefault="007F6BF3">
            <w:pPr>
              <w:pStyle w:val="P68B1DB1-Normal8"/>
              <w:spacing w:after="0" w:line="240" w:lineRule="auto"/>
              <w:jc w:val="both"/>
              <w:rPr>
                <w:rFonts w:eastAsia="Times New Roman" w:cs="Calibri"/>
                <w:noProof/>
              </w:rPr>
            </w:pPr>
            <w:r>
              <w:rPr>
                <w:noProof/>
              </w:rPr>
              <w:t>Πρόσθετος αριθμός αποφοίτων τριτοβάθμιας εκπαίδευσης στους τομείς STEAM (δηλαδή θετικές επιστήμες, τεχνολογία, μηχανική, τέχνες και μαθηματικά): απόφοιτοι τριτοβάθμιας εκπαίδευσης από προγράμματα τριτοβάθμιας εκπαίδευσης σύντομου και πρώτου κύκλου σπουδών και βραχείας διάρκειας. (έως 2 έτη), σε σύγκριση με το 2020.</w:t>
            </w:r>
          </w:p>
        </w:tc>
      </w:tr>
      <w:tr w:rsidR="00154AD2" w14:paraId="41A35489" w14:textId="77777777">
        <w:trPr>
          <w:trHeight w:val="430"/>
        </w:trPr>
        <w:tc>
          <w:tcPr>
            <w:tcW w:w="1135" w:type="dxa"/>
            <w:shd w:val="clear" w:color="auto" w:fill="C5EFCE"/>
            <w:vAlign w:val="center"/>
            <w:hideMark/>
          </w:tcPr>
          <w:p w14:paraId="03EC6843" w14:textId="77777777" w:rsidR="00154AD2" w:rsidRDefault="007F6BF3">
            <w:pPr>
              <w:pStyle w:val="P68B1DB1-Normal7"/>
              <w:spacing w:after="0" w:line="240" w:lineRule="auto"/>
              <w:jc w:val="center"/>
              <w:rPr>
                <w:rFonts w:eastAsia="Times New Roman" w:cs="Calibri"/>
                <w:noProof/>
              </w:rPr>
            </w:pPr>
            <w:r>
              <w:rPr>
                <w:noProof/>
              </w:rPr>
              <w:t>6.9</w:t>
            </w:r>
          </w:p>
        </w:tc>
        <w:tc>
          <w:tcPr>
            <w:tcW w:w="1276" w:type="dxa"/>
            <w:shd w:val="clear" w:color="auto" w:fill="C4EFCE"/>
            <w:noWrap/>
            <w:vAlign w:val="center"/>
            <w:hideMark/>
          </w:tcPr>
          <w:p w14:paraId="1F688299" w14:textId="77777777" w:rsidR="00154AD2" w:rsidRDefault="007F6BF3">
            <w:pPr>
              <w:pStyle w:val="P68B1DB1-Normal8"/>
              <w:spacing w:after="0" w:line="240" w:lineRule="auto"/>
              <w:jc w:val="center"/>
              <w:rPr>
                <w:rFonts w:eastAsia="Times New Roman" w:cs="Calibri"/>
                <w:noProof/>
              </w:rPr>
            </w:pPr>
            <w:r>
              <w:rPr>
                <w:noProof/>
              </w:rPr>
              <w:t>RE-C06-i04</w:t>
            </w:r>
          </w:p>
        </w:tc>
        <w:tc>
          <w:tcPr>
            <w:tcW w:w="1134" w:type="dxa"/>
            <w:shd w:val="clear" w:color="auto" w:fill="C4EFCE"/>
            <w:noWrap/>
            <w:vAlign w:val="center"/>
            <w:hideMark/>
          </w:tcPr>
          <w:p w14:paraId="0766DA2A"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0FCC21AD" w14:textId="77777777" w:rsidR="00154AD2" w:rsidRDefault="007F6BF3">
            <w:pPr>
              <w:pStyle w:val="P68B1DB1-Normal8"/>
              <w:spacing w:after="0" w:line="240" w:lineRule="auto"/>
              <w:jc w:val="center"/>
              <w:rPr>
                <w:rFonts w:eastAsia="Times New Roman" w:cs="Calibri"/>
                <w:noProof/>
              </w:rPr>
            </w:pPr>
            <w:r>
              <w:rPr>
                <w:noProof/>
              </w:rPr>
              <w:t xml:space="preserve">Πρόσθετος αριθμός φοιτητών που αποφοίτησαν σε μαθήματα τριτοβάθμιας εκπαίδευσης στους τομείς STEAM </w:t>
            </w:r>
          </w:p>
        </w:tc>
        <w:tc>
          <w:tcPr>
            <w:tcW w:w="1275" w:type="dxa"/>
            <w:shd w:val="clear" w:color="auto" w:fill="C4EFCE"/>
            <w:noWrap/>
            <w:vAlign w:val="center"/>
            <w:hideMark/>
          </w:tcPr>
          <w:p w14:paraId="2534A7F7"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01C7875"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0F461685" w14:textId="77777777" w:rsidR="00154AD2" w:rsidRDefault="007F6BF3">
            <w:pPr>
              <w:pStyle w:val="P68B1DB1-Normal8"/>
              <w:spacing w:after="0" w:line="240" w:lineRule="auto"/>
              <w:jc w:val="center"/>
              <w:rPr>
                <w:rFonts w:eastAsia="Times New Roman" w:cs="Calibri"/>
                <w:noProof/>
              </w:rPr>
            </w:pPr>
            <w:r>
              <w:rPr>
                <w:noProof/>
              </w:rPr>
              <w:t>7 500</w:t>
            </w:r>
          </w:p>
        </w:tc>
        <w:tc>
          <w:tcPr>
            <w:tcW w:w="850" w:type="dxa"/>
            <w:shd w:val="clear" w:color="auto" w:fill="C4EFCE"/>
            <w:noWrap/>
            <w:vAlign w:val="center"/>
            <w:hideMark/>
          </w:tcPr>
          <w:p w14:paraId="0EDAA318" w14:textId="77777777" w:rsidR="00154AD2" w:rsidRDefault="007F6BF3">
            <w:pPr>
              <w:pStyle w:val="P68B1DB1-Normal8"/>
              <w:spacing w:after="0" w:line="240" w:lineRule="auto"/>
              <w:jc w:val="center"/>
              <w:rPr>
                <w:rFonts w:eastAsia="Times New Roman" w:cs="Calibri"/>
                <w:noProof/>
              </w:rPr>
            </w:pPr>
            <w:r>
              <w:rPr>
                <w:noProof/>
              </w:rPr>
              <w:t>10 000</w:t>
            </w:r>
          </w:p>
        </w:tc>
        <w:tc>
          <w:tcPr>
            <w:tcW w:w="567" w:type="dxa"/>
            <w:shd w:val="clear" w:color="auto" w:fill="C4EFCE"/>
            <w:noWrap/>
            <w:vAlign w:val="center"/>
            <w:hideMark/>
          </w:tcPr>
          <w:p w14:paraId="74AF7ABA"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0B041574" w14:textId="77777777" w:rsidR="00154AD2" w:rsidRDefault="007F6BF3">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36B7BB90" w14:textId="6491F048" w:rsidR="00154AD2" w:rsidRDefault="007F6BF3">
            <w:pPr>
              <w:pStyle w:val="P68B1DB1-Normal8"/>
              <w:spacing w:after="0" w:line="240" w:lineRule="auto"/>
              <w:jc w:val="both"/>
              <w:rPr>
                <w:rFonts w:eastAsia="Times New Roman" w:cs="Calibri"/>
                <w:noProof/>
              </w:rPr>
            </w:pPr>
            <w:r>
              <w:rPr>
                <w:noProof/>
              </w:rPr>
              <w:t>Πρόσθετος αριθμός αποφοίτων τριτοβάθμιας εκπαίδευσης στους τομείς STEAM (δηλαδή θετικές επιστήμες, τεχνολογία, μηχανική, τέχνες και μαθηματικά): απόφοιτοι τριτοβάθμιας εκπαίδευσης από προγράμματα τριτοβάθμιας εκπαίδευσης σύντομου και πρώτου κύκλου σπουδών και βραχείας διάρκειας. (έως 2 έτη) σε σύγκριση με το 2020.</w:t>
            </w:r>
          </w:p>
        </w:tc>
      </w:tr>
      <w:tr w:rsidR="00154AD2" w14:paraId="7BCA29C4" w14:textId="77777777">
        <w:trPr>
          <w:trHeight w:val="430"/>
        </w:trPr>
        <w:tc>
          <w:tcPr>
            <w:tcW w:w="1135" w:type="dxa"/>
            <w:shd w:val="clear" w:color="auto" w:fill="C5EFCE"/>
            <w:vAlign w:val="center"/>
            <w:hideMark/>
          </w:tcPr>
          <w:p w14:paraId="31EEE1B7" w14:textId="77777777" w:rsidR="00154AD2" w:rsidRDefault="007F6BF3">
            <w:pPr>
              <w:pStyle w:val="P68B1DB1-Normal7"/>
              <w:spacing w:after="0" w:line="240" w:lineRule="auto"/>
              <w:jc w:val="center"/>
              <w:rPr>
                <w:rFonts w:eastAsia="Times New Roman" w:cs="Calibri"/>
                <w:noProof/>
              </w:rPr>
            </w:pPr>
            <w:r>
              <w:rPr>
                <w:noProof/>
              </w:rPr>
              <w:t>6.10</w:t>
            </w:r>
          </w:p>
        </w:tc>
        <w:tc>
          <w:tcPr>
            <w:tcW w:w="1276" w:type="dxa"/>
            <w:shd w:val="clear" w:color="auto" w:fill="C4EFCE"/>
            <w:noWrap/>
            <w:vAlign w:val="center"/>
            <w:hideMark/>
          </w:tcPr>
          <w:p w14:paraId="3455EA12" w14:textId="77777777" w:rsidR="00154AD2" w:rsidRDefault="007F6BF3">
            <w:pPr>
              <w:pStyle w:val="P68B1DB1-Normal8"/>
              <w:spacing w:after="0" w:line="240" w:lineRule="auto"/>
              <w:jc w:val="center"/>
              <w:rPr>
                <w:rFonts w:eastAsia="Times New Roman" w:cs="Calibri"/>
                <w:noProof/>
              </w:rPr>
            </w:pPr>
            <w:r>
              <w:rPr>
                <w:noProof/>
              </w:rPr>
              <w:t>RE-C06-i05-RAA</w:t>
            </w:r>
          </w:p>
        </w:tc>
        <w:tc>
          <w:tcPr>
            <w:tcW w:w="1134" w:type="dxa"/>
            <w:shd w:val="clear" w:color="auto" w:fill="C4EFCE"/>
            <w:noWrap/>
            <w:vAlign w:val="center"/>
            <w:hideMark/>
          </w:tcPr>
          <w:p w14:paraId="5F017E0B"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74D4D1A" w14:textId="77777777" w:rsidR="00154AD2" w:rsidRDefault="007F6BF3">
            <w:pPr>
              <w:pStyle w:val="P68B1DB1-Normal8"/>
              <w:spacing w:after="0" w:line="240" w:lineRule="auto"/>
              <w:jc w:val="center"/>
              <w:rPr>
                <w:rFonts w:eastAsia="Times New Roman" w:cs="Calibri"/>
                <w:noProof/>
              </w:rPr>
            </w:pPr>
            <w:r>
              <w:rPr>
                <w:noProof/>
              </w:rPr>
              <w:t>Πρόσθετος αριθμός ενηλίκων εγγεγραμμένων στη μεταδευτεροβάθμια και τριτοβάθμια εκπαίδευση στην αυτόνομη περιφέρεια των Αζορών</w:t>
            </w:r>
          </w:p>
        </w:tc>
        <w:tc>
          <w:tcPr>
            <w:tcW w:w="1275" w:type="dxa"/>
            <w:shd w:val="clear" w:color="auto" w:fill="C4EFCE"/>
            <w:noWrap/>
            <w:vAlign w:val="center"/>
            <w:hideMark/>
          </w:tcPr>
          <w:p w14:paraId="4B93C7DE"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F677F4A"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408B2C73" w14:textId="77777777" w:rsidR="00154AD2" w:rsidRDefault="007F6BF3">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36350747" w14:textId="77777777" w:rsidR="00154AD2" w:rsidRDefault="007F6BF3">
            <w:pPr>
              <w:pStyle w:val="P68B1DB1-Normal8"/>
              <w:spacing w:after="0" w:line="240" w:lineRule="auto"/>
              <w:jc w:val="center"/>
              <w:rPr>
                <w:rFonts w:eastAsia="Times New Roman" w:cs="Calibri"/>
                <w:noProof/>
              </w:rPr>
            </w:pPr>
            <w:r>
              <w:rPr>
                <w:noProof/>
              </w:rPr>
              <w:t>1 145</w:t>
            </w:r>
          </w:p>
        </w:tc>
        <w:tc>
          <w:tcPr>
            <w:tcW w:w="567" w:type="dxa"/>
            <w:shd w:val="clear" w:color="auto" w:fill="C4EFCE"/>
            <w:noWrap/>
            <w:vAlign w:val="center"/>
            <w:hideMark/>
          </w:tcPr>
          <w:p w14:paraId="2B64FDEB"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5C6DF304" w14:textId="77777777" w:rsidR="00154AD2" w:rsidRDefault="007F6BF3">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0110C7B5" w14:textId="77777777" w:rsidR="00154AD2" w:rsidRDefault="007F6BF3">
            <w:pPr>
              <w:pStyle w:val="P68B1DB1-Normal8"/>
              <w:spacing w:after="0" w:line="240" w:lineRule="auto"/>
              <w:jc w:val="both"/>
              <w:rPr>
                <w:rFonts w:eastAsia="Times New Roman" w:cs="Calibri"/>
                <w:noProof/>
              </w:rPr>
            </w:pPr>
            <w:r>
              <w:rPr>
                <w:noProof/>
              </w:rPr>
              <w:t>Πρόσθετος αριθμός ενηλίκων εγγεγραμμένων στη μεταδευτεροβάθμια και τριτοβάθμια εκπαίδευση στην αυτόνομη περιφέρεια των Αζορών.</w:t>
            </w:r>
          </w:p>
        </w:tc>
      </w:tr>
      <w:tr w:rsidR="00154AD2" w14:paraId="750BEA35" w14:textId="77777777">
        <w:trPr>
          <w:trHeight w:val="1060"/>
        </w:trPr>
        <w:tc>
          <w:tcPr>
            <w:tcW w:w="1135" w:type="dxa"/>
            <w:shd w:val="clear" w:color="auto" w:fill="C5EFCE"/>
            <w:vAlign w:val="center"/>
            <w:hideMark/>
          </w:tcPr>
          <w:p w14:paraId="15B13B31" w14:textId="77777777" w:rsidR="00154AD2" w:rsidRDefault="007F6BF3">
            <w:pPr>
              <w:pStyle w:val="P68B1DB1-Normal7"/>
              <w:spacing w:after="0" w:line="240" w:lineRule="auto"/>
              <w:jc w:val="center"/>
              <w:rPr>
                <w:rFonts w:eastAsia="Times New Roman" w:cs="Calibri"/>
                <w:noProof/>
              </w:rPr>
            </w:pPr>
            <w:r>
              <w:rPr>
                <w:noProof/>
              </w:rPr>
              <w:t>6.11</w:t>
            </w:r>
          </w:p>
        </w:tc>
        <w:tc>
          <w:tcPr>
            <w:tcW w:w="1276" w:type="dxa"/>
            <w:shd w:val="clear" w:color="auto" w:fill="C4EFCE"/>
            <w:noWrap/>
            <w:vAlign w:val="center"/>
            <w:hideMark/>
          </w:tcPr>
          <w:p w14:paraId="4B3896E6" w14:textId="77777777" w:rsidR="00154AD2" w:rsidRDefault="007F6BF3">
            <w:pPr>
              <w:pStyle w:val="P68B1DB1-Normal8"/>
              <w:spacing w:after="0" w:line="240" w:lineRule="auto"/>
              <w:jc w:val="center"/>
              <w:rPr>
                <w:rFonts w:eastAsia="Times New Roman" w:cs="Calibri"/>
                <w:noProof/>
              </w:rPr>
            </w:pPr>
            <w:r>
              <w:rPr>
                <w:noProof/>
              </w:rPr>
              <w:t>RE-C06-i05-RAA</w:t>
            </w:r>
          </w:p>
        </w:tc>
        <w:tc>
          <w:tcPr>
            <w:tcW w:w="1134" w:type="dxa"/>
            <w:shd w:val="clear" w:color="auto" w:fill="C4EFCE"/>
            <w:noWrap/>
            <w:vAlign w:val="center"/>
            <w:hideMark/>
          </w:tcPr>
          <w:p w14:paraId="5501D610"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27DFBDA" w14:textId="77777777" w:rsidR="00154AD2" w:rsidRDefault="007F6BF3">
            <w:pPr>
              <w:pStyle w:val="P68B1DB1-Normal8"/>
              <w:spacing w:after="0" w:line="240" w:lineRule="auto"/>
              <w:jc w:val="center"/>
              <w:rPr>
                <w:rFonts w:eastAsia="Times New Roman" w:cs="Calibri"/>
                <w:noProof/>
              </w:rPr>
            </w:pPr>
            <w:r>
              <w:rPr>
                <w:noProof/>
              </w:rPr>
              <w:t>Αναβαθμισμένες επαγγελματικές σχολές στην Αυτόνομη Περιφέρεια Αζορών</w:t>
            </w:r>
          </w:p>
        </w:tc>
        <w:tc>
          <w:tcPr>
            <w:tcW w:w="1275" w:type="dxa"/>
            <w:shd w:val="clear" w:color="auto" w:fill="C4EFCE"/>
            <w:noWrap/>
            <w:vAlign w:val="center"/>
            <w:hideMark/>
          </w:tcPr>
          <w:p w14:paraId="7633C471"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B04129F"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264B2313" w14:textId="77777777" w:rsidR="00154AD2" w:rsidRDefault="007F6BF3">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2B8D440E" w14:textId="77777777" w:rsidR="00154AD2" w:rsidRDefault="007F6BF3">
            <w:pPr>
              <w:pStyle w:val="P68B1DB1-Normal8"/>
              <w:spacing w:after="0" w:line="240" w:lineRule="auto"/>
              <w:jc w:val="center"/>
              <w:rPr>
                <w:rFonts w:eastAsia="Times New Roman" w:cs="Calibri"/>
                <w:noProof/>
              </w:rPr>
            </w:pPr>
            <w:r>
              <w:rPr>
                <w:noProof/>
              </w:rPr>
              <w:t>17</w:t>
            </w:r>
          </w:p>
        </w:tc>
        <w:tc>
          <w:tcPr>
            <w:tcW w:w="567" w:type="dxa"/>
            <w:shd w:val="clear" w:color="auto" w:fill="C4EFCE"/>
            <w:noWrap/>
            <w:vAlign w:val="center"/>
            <w:hideMark/>
          </w:tcPr>
          <w:p w14:paraId="657890BF"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5D55CA0C" w14:textId="77777777" w:rsidR="00154AD2" w:rsidRDefault="007F6BF3">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3F352652" w14:textId="60266876" w:rsidR="00154AD2" w:rsidRDefault="007F6BF3">
            <w:pPr>
              <w:pStyle w:val="P68B1DB1-Normal8"/>
              <w:spacing w:after="0" w:line="240" w:lineRule="auto"/>
              <w:jc w:val="both"/>
              <w:rPr>
                <w:rFonts w:eastAsia="Times New Roman" w:cs="Calibri"/>
                <w:noProof/>
              </w:rPr>
            </w:pPr>
            <w:r>
              <w:rPr>
                <w:noProof/>
              </w:rPr>
              <w:t>Αριθμός επαγγελματικών σχολείων και δημόσιων ιδρυμάτων κατάρτισης που επωφελήθηκαν από την ανακαίνιση εργαστηρίων, εργαστηρίων και αιθουσών υπολογιστών και την αγορά νέου εξοπλισμού σύμφωνα με τις τεχνολογικές εξελίξεις. Όταν η αναβάθμιση των υποδομών συνεπάγεται την ανακαίνιση κτιρίων, οι ανακαινίσεις ενεργειακής απόδοσης επιτυγχάνουν, κατά μέσο όρο, τουλάχιστον μεσαίας κλίμακας ανακαίνιση, όπως ορίζεται στη σύσταση (ΕΕ) 2019/786 της Επιτροπής για την ανακαίνιση κτιρίων.</w:t>
            </w:r>
          </w:p>
        </w:tc>
      </w:tr>
      <w:tr w:rsidR="00154AD2" w14:paraId="55F947BE" w14:textId="77777777">
        <w:trPr>
          <w:trHeight w:val="1171"/>
        </w:trPr>
        <w:tc>
          <w:tcPr>
            <w:tcW w:w="1135" w:type="dxa"/>
            <w:shd w:val="clear" w:color="auto" w:fill="C5EFCE"/>
            <w:vAlign w:val="center"/>
            <w:hideMark/>
          </w:tcPr>
          <w:p w14:paraId="6524EBF6" w14:textId="77777777" w:rsidR="00154AD2" w:rsidRDefault="007F6BF3">
            <w:pPr>
              <w:pStyle w:val="P68B1DB1-Normal7"/>
              <w:spacing w:after="0" w:line="240" w:lineRule="auto"/>
              <w:jc w:val="center"/>
              <w:rPr>
                <w:rFonts w:eastAsia="Times New Roman" w:cs="Calibri"/>
                <w:noProof/>
              </w:rPr>
            </w:pPr>
            <w:r>
              <w:rPr>
                <w:noProof/>
              </w:rPr>
              <w:t>6.12</w:t>
            </w:r>
          </w:p>
        </w:tc>
        <w:tc>
          <w:tcPr>
            <w:tcW w:w="1276" w:type="dxa"/>
            <w:shd w:val="clear" w:color="auto" w:fill="C4EFCE"/>
            <w:noWrap/>
            <w:vAlign w:val="center"/>
            <w:hideMark/>
          </w:tcPr>
          <w:p w14:paraId="547D2E2F" w14:textId="77777777" w:rsidR="00154AD2" w:rsidRDefault="007F6BF3">
            <w:pPr>
              <w:pStyle w:val="P68B1DB1-Normal8"/>
              <w:spacing w:after="0" w:line="240" w:lineRule="auto"/>
              <w:jc w:val="center"/>
              <w:rPr>
                <w:rFonts w:eastAsia="Times New Roman" w:cs="Calibri"/>
                <w:noProof/>
              </w:rPr>
            </w:pPr>
            <w:r>
              <w:rPr>
                <w:noProof/>
              </w:rPr>
              <w:t>RE-C06-r14</w:t>
            </w:r>
          </w:p>
        </w:tc>
        <w:tc>
          <w:tcPr>
            <w:tcW w:w="1134" w:type="dxa"/>
            <w:shd w:val="clear" w:color="auto" w:fill="C4EFCE"/>
            <w:noWrap/>
            <w:vAlign w:val="center"/>
            <w:hideMark/>
          </w:tcPr>
          <w:p w14:paraId="6161978A"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77FF7A7F" w14:textId="77777777" w:rsidR="00154AD2" w:rsidRDefault="007F6BF3">
            <w:pPr>
              <w:pStyle w:val="P68B1DB1-Normal8"/>
              <w:spacing w:after="0" w:line="240" w:lineRule="auto"/>
              <w:jc w:val="center"/>
              <w:rPr>
                <w:rFonts w:eastAsia="Times New Roman" w:cs="Calibri"/>
                <w:noProof/>
              </w:rPr>
            </w:pPr>
            <w:r>
              <w:rPr>
                <w:noProof/>
              </w:rPr>
              <w:t>Άνοιγμα κενών θέσεων κατάρτισης</w:t>
            </w:r>
          </w:p>
        </w:tc>
        <w:tc>
          <w:tcPr>
            <w:tcW w:w="1275" w:type="dxa"/>
            <w:shd w:val="clear" w:color="auto" w:fill="C4EFCE"/>
            <w:noWrap/>
            <w:vAlign w:val="center"/>
            <w:hideMark/>
          </w:tcPr>
          <w:p w14:paraId="1F0B5386"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08FF90D"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7E521221" w14:textId="77777777" w:rsidR="00154AD2" w:rsidRDefault="007F6BF3">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2D8E74D9" w14:textId="77777777" w:rsidR="00154AD2" w:rsidRDefault="007F6BF3">
            <w:pPr>
              <w:pStyle w:val="P68B1DB1-Normal8"/>
              <w:spacing w:after="0" w:line="240" w:lineRule="auto"/>
              <w:jc w:val="center"/>
              <w:rPr>
                <w:rFonts w:eastAsia="Times New Roman" w:cs="Calibri"/>
                <w:noProof/>
              </w:rPr>
            </w:pPr>
            <w:r>
              <w:rPr>
                <w:noProof/>
              </w:rPr>
              <w:t>20 000</w:t>
            </w:r>
          </w:p>
        </w:tc>
        <w:tc>
          <w:tcPr>
            <w:tcW w:w="567" w:type="dxa"/>
            <w:shd w:val="clear" w:color="auto" w:fill="C4EFCE"/>
            <w:noWrap/>
            <w:vAlign w:val="center"/>
            <w:hideMark/>
          </w:tcPr>
          <w:p w14:paraId="4D258239"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330192EF" w14:textId="77777777" w:rsidR="00154AD2" w:rsidRDefault="007F6BF3">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5E6EA693" w14:textId="77777777" w:rsidR="00154AD2" w:rsidRDefault="007F6BF3">
            <w:pPr>
              <w:pStyle w:val="P68B1DB1-Normal8"/>
              <w:spacing w:after="0" w:line="240" w:lineRule="auto"/>
              <w:jc w:val="both"/>
              <w:rPr>
                <w:rFonts w:eastAsia="Times New Roman" w:cs="Calibri"/>
                <w:noProof/>
              </w:rPr>
            </w:pPr>
            <w:r>
              <w:rPr>
                <w:noProof/>
              </w:rPr>
              <w:t>Αριθμός νέων κενών θέσεων που ανοίγονται σε επαγγελματικά μαθήματα μετά την αναβάθμιση του εθνικού καταλόγου επαγγελματικών προσόντων (CNQ) σε αναδυόμενους τομείς με βάση τη διάγνωση της πρόβλεψης των αναγκών σε δεξιότητες (SANQ).</w:t>
            </w:r>
          </w:p>
        </w:tc>
      </w:tr>
      <w:tr w:rsidR="00154AD2" w14:paraId="4D68171D" w14:textId="77777777">
        <w:trPr>
          <w:trHeight w:val="430"/>
        </w:trPr>
        <w:tc>
          <w:tcPr>
            <w:tcW w:w="1135" w:type="dxa"/>
            <w:shd w:val="clear" w:color="auto" w:fill="C5EFCE"/>
            <w:vAlign w:val="center"/>
            <w:hideMark/>
          </w:tcPr>
          <w:p w14:paraId="574224E8" w14:textId="77777777" w:rsidR="00154AD2" w:rsidRDefault="007F6BF3">
            <w:pPr>
              <w:pStyle w:val="P68B1DB1-Normal7"/>
              <w:spacing w:after="0" w:line="240" w:lineRule="auto"/>
              <w:jc w:val="center"/>
              <w:rPr>
                <w:rFonts w:eastAsia="Times New Roman" w:cs="Calibri"/>
                <w:noProof/>
              </w:rPr>
            </w:pPr>
            <w:r>
              <w:rPr>
                <w:noProof/>
              </w:rPr>
              <w:t>6.13</w:t>
            </w:r>
          </w:p>
        </w:tc>
        <w:tc>
          <w:tcPr>
            <w:tcW w:w="1276" w:type="dxa"/>
            <w:shd w:val="clear" w:color="auto" w:fill="C4EFCE"/>
            <w:noWrap/>
            <w:vAlign w:val="center"/>
            <w:hideMark/>
          </w:tcPr>
          <w:p w14:paraId="1F8EACCD" w14:textId="77777777" w:rsidR="00154AD2" w:rsidRDefault="007F6BF3">
            <w:pPr>
              <w:pStyle w:val="P68B1DB1-Normal8"/>
              <w:spacing w:after="0" w:line="240" w:lineRule="auto"/>
              <w:jc w:val="center"/>
              <w:rPr>
                <w:rFonts w:eastAsia="Times New Roman" w:cs="Calibri"/>
                <w:noProof/>
              </w:rPr>
            </w:pPr>
            <w:r>
              <w:rPr>
                <w:noProof/>
              </w:rPr>
              <w:t>RE-C06-r15</w:t>
            </w:r>
          </w:p>
        </w:tc>
        <w:tc>
          <w:tcPr>
            <w:tcW w:w="1134" w:type="dxa"/>
            <w:shd w:val="clear" w:color="auto" w:fill="C4EFCE"/>
            <w:noWrap/>
            <w:vAlign w:val="center"/>
            <w:hideMark/>
          </w:tcPr>
          <w:p w14:paraId="3F880A1E"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60F8EBFA" w14:textId="77777777" w:rsidR="00154AD2" w:rsidRDefault="007F6BF3">
            <w:pPr>
              <w:pStyle w:val="P68B1DB1-Normal8"/>
              <w:spacing w:after="0" w:line="240" w:lineRule="auto"/>
              <w:jc w:val="center"/>
              <w:rPr>
                <w:rFonts w:eastAsia="Times New Roman" w:cs="Calibri"/>
                <w:noProof/>
              </w:rPr>
            </w:pPr>
            <w:r>
              <w:rPr>
                <w:noProof/>
              </w:rPr>
              <w:t>Έναρξη ισχύος του νόμου για τη θέσπιση ειδικών διαγωνισμών για την εισαγωγή στην τριτοβάθμια εκπαίδευση</w:t>
            </w:r>
          </w:p>
        </w:tc>
        <w:tc>
          <w:tcPr>
            <w:tcW w:w="1275" w:type="dxa"/>
            <w:shd w:val="clear" w:color="auto" w:fill="C4EFCE"/>
            <w:noWrap/>
            <w:vAlign w:val="center"/>
            <w:hideMark/>
          </w:tcPr>
          <w:p w14:paraId="4881AFCF" w14:textId="77777777" w:rsidR="00154AD2" w:rsidRDefault="007F6BF3">
            <w:pPr>
              <w:pStyle w:val="P68B1DB1-Normal8"/>
              <w:spacing w:after="0" w:line="240" w:lineRule="auto"/>
              <w:jc w:val="center"/>
              <w:rPr>
                <w:rFonts w:eastAsia="Times New Roman" w:cs="Calibri"/>
                <w:noProof/>
              </w:rPr>
            </w:pPr>
            <w:r>
              <w:rPr>
                <w:noProof/>
              </w:rPr>
              <w:t xml:space="preserve">Έναρξη ισχύος του νόμου για τη θέσπιση ειδικών διαγωνισμών για την εισαγωγή στην τριτοβάθμια εκπαίδευση </w:t>
            </w:r>
          </w:p>
        </w:tc>
        <w:tc>
          <w:tcPr>
            <w:tcW w:w="993" w:type="dxa"/>
            <w:shd w:val="clear" w:color="auto" w:fill="C4EFCE"/>
            <w:noWrap/>
            <w:vAlign w:val="center"/>
            <w:hideMark/>
          </w:tcPr>
          <w:p w14:paraId="324277CF" w14:textId="77777777" w:rsidR="00154AD2" w:rsidRDefault="007F6BF3">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3AFB1159" w14:textId="77777777" w:rsidR="00154AD2" w:rsidRDefault="007F6BF3">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4CD5524E" w14:textId="77777777" w:rsidR="00154AD2" w:rsidRDefault="007F6BF3">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2EC36569"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708" w:type="dxa"/>
            <w:shd w:val="clear" w:color="auto" w:fill="C4EFCE"/>
            <w:noWrap/>
            <w:vAlign w:val="center"/>
            <w:hideMark/>
          </w:tcPr>
          <w:p w14:paraId="19163647" w14:textId="77777777" w:rsidR="00154AD2" w:rsidRDefault="007F6BF3">
            <w:pPr>
              <w:pStyle w:val="P68B1DB1-Normal8"/>
              <w:spacing w:after="0" w:line="240" w:lineRule="auto"/>
              <w:jc w:val="center"/>
              <w:rPr>
                <w:rFonts w:eastAsia="Times New Roman" w:cs="Calibri"/>
                <w:noProof/>
              </w:rPr>
            </w:pPr>
            <w:r>
              <w:rPr>
                <w:noProof/>
              </w:rPr>
              <w:t>2020</w:t>
            </w:r>
          </w:p>
        </w:tc>
        <w:tc>
          <w:tcPr>
            <w:tcW w:w="4395" w:type="dxa"/>
            <w:shd w:val="clear" w:color="auto" w:fill="C4EFCE"/>
            <w:vAlign w:val="center"/>
            <w:hideMark/>
          </w:tcPr>
          <w:p w14:paraId="042D0010" w14:textId="77777777" w:rsidR="00154AD2" w:rsidRDefault="007F6BF3">
            <w:pPr>
              <w:pStyle w:val="P68B1DB1-Normal8"/>
              <w:spacing w:after="0" w:line="240" w:lineRule="auto"/>
              <w:jc w:val="both"/>
              <w:rPr>
                <w:rFonts w:eastAsia="Times New Roman" w:cs="Calibri"/>
                <w:noProof/>
              </w:rPr>
            </w:pPr>
            <w:r>
              <w:rPr>
                <w:noProof/>
              </w:rPr>
              <w:t>Έναρξη ισχύος του νόμου για τη θέσπιση ειδικών διαγωνισμών για την εισαγωγή στην τριτοβάθμια εκπαίδευση φοιτητών που έχουν ολοκληρώσει τη δευτεροβάθμια εκπαίδευση μέσω επαγγελματικών διαύλων και εξειδικευμένων καλλιτεχνικών μαθημάτων.</w:t>
            </w:r>
          </w:p>
        </w:tc>
      </w:tr>
      <w:tr w:rsidR="00154AD2" w14:paraId="5C350BC5" w14:textId="77777777">
        <w:trPr>
          <w:trHeight w:val="1480"/>
        </w:trPr>
        <w:tc>
          <w:tcPr>
            <w:tcW w:w="1135" w:type="dxa"/>
            <w:shd w:val="clear" w:color="auto" w:fill="C5EFCE"/>
            <w:vAlign w:val="center"/>
            <w:hideMark/>
          </w:tcPr>
          <w:p w14:paraId="2D4BA14E" w14:textId="77777777" w:rsidR="00154AD2" w:rsidRDefault="007F6BF3">
            <w:pPr>
              <w:pStyle w:val="P68B1DB1-Normal7"/>
              <w:spacing w:after="0" w:line="240" w:lineRule="auto"/>
              <w:jc w:val="center"/>
              <w:rPr>
                <w:rFonts w:eastAsia="Times New Roman" w:cs="Calibri"/>
                <w:noProof/>
              </w:rPr>
            </w:pPr>
            <w:r>
              <w:rPr>
                <w:noProof/>
              </w:rPr>
              <w:t>6.14</w:t>
            </w:r>
          </w:p>
        </w:tc>
        <w:tc>
          <w:tcPr>
            <w:tcW w:w="1276" w:type="dxa"/>
            <w:shd w:val="clear" w:color="auto" w:fill="C4EFCE"/>
            <w:noWrap/>
            <w:vAlign w:val="center"/>
            <w:hideMark/>
          </w:tcPr>
          <w:p w14:paraId="49780B25" w14:textId="77777777" w:rsidR="00154AD2" w:rsidRDefault="007F6BF3">
            <w:pPr>
              <w:pStyle w:val="P68B1DB1-Normal8"/>
              <w:spacing w:after="0" w:line="240" w:lineRule="auto"/>
              <w:jc w:val="center"/>
              <w:rPr>
                <w:rFonts w:eastAsia="Times New Roman" w:cs="Calibri"/>
                <w:noProof/>
              </w:rPr>
            </w:pPr>
            <w:r>
              <w:rPr>
                <w:noProof/>
              </w:rPr>
              <w:t>RE-C06-r15</w:t>
            </w:r>
          </w:p>
        </w:tc>
        <w:tc>
          <w:tcPr>
            <w:tcW w:w="1134" w:type="dxa"/>
            <w:shd w:val="clear" w:color="auto" w:fill="C4EFCE"/>
            <w:noWrap/>
            <w:vAlign w:val="center"/>
            <w:hideMark/>
          </w:tcPr>
          <w:p w14:paraId="1D50742B"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3285546A" w14:textId="77777777" w:rsidR="00154AD2" w:rsidRDefault="007F6BF3">
            <w:pPr>
              <w:pStyle w:val="P68B1DB1-Normal8"/>
              <w:spacing w:after="0" w:line="240" w:lineRule="auto"/>
              <w:jc w:val="center"/>
              <w:rPr>
                <w:rFonts w:eastAsia="Times New Roman" w:cs="Calibri"/>
                <w:noProof/>
              </w:rPr>
            </w:pPr>
            <w:r>
              <w:rPr>
                <w:noProof/>
              </w:rPr>
              <w:t>Έναρξη ισχύος του νέου νομικού πλαισίου που διέπει τη συνεργασία των ιδρυμάτων τριτοβάθμιας εκπαίδευσης με τη δημόσια διοίκηση και τις επιχειρήσεις</w:t>
            </w:r>
          </w:p>
        </w:tc>
        <w:tc>
          <w:tcPr>
            <w:tcW w:w="1275" w:type="dxa"/>
            <w:shd w:val="clear" w:color="auto" w:fill="C4EFCE"/>
            <w:noWrap/>
            <w:vAlign w:val="center"/>
            <w:hideMark/>
          </w:tcPr>
          <w:p w14:paraId="4004223A" w14:textId="77777777" w:rsidR="00154AD2" w:rsidRDefault="007F6BF3">
            <w:pPr>
              <w:pStyle w:val="P68B1DB1-Normal8"/>
              <w:spacing w:after="0" w:line="240" w:lineRule="auto"/>
              <w:jc w:val="center"/>
              <w:rPr>
                <w:rFonts w:eastAsia="Times New Roman" w:cs="Calibri"/>
                <w:noProof/>
              </w:rPr>
            </w:pPr>
            <w:r>
              <w:rPr>
                <w:noProof/>
              </w:rPr>
              <w:t>Έναρξη ισχύος του νέου νομικού πλαισίου που διέπει τη συνεργασία των ιδρυμάτων τριτοβάθμιας εκπαίδευσης με τη δημόσια διοίκηση και τις επιχειρήσεις</w:t>
            </w:r>
          </w:p>
        </w:tc>
        <w:tc>
          <w:tcPr>
            <w:tcW w:w="993" w:type="dxa"/>
            <w:shd w:val="clear" w:color="auto" w:fill="C4EFCE"/>
            <w:noWrap/>
            <w:vAlign w:val="center"/>
            <w:hideMark/>
          </w:tcPr>
          <w:p w14:paraId="79A1DBFD" w14:textId="77777777" w:rsidR="00154AD2" w:rsidRDefault="007F6BF3">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51817FB5" w14:textId="77777777" w:rsidR="00154AD2" w:rsidRDefault="007F6BF3">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700D13E6" w14:textId="77777777" w:rsidR="00154AD2" w:rsidRDefault="007F6BF3">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40C153E5"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708" w:type="dxa"/>
            <w:shd w:val="clear" w:color="auto" w:fill="C4EFCE"/>
            <w:noWrap/>
            <w:vAlign w:val="center"/>
            <w:hideMark/>
          </w:tcPr>
          <w:p w14:paraId="53BC3D0D" w14:textId="77777777" w:rsidR="00154AD2" w:rsidRDefault="007F6BF3">
            <w:pPr>
              <w:pStyle w:val="P68B1DB1-Normal8"/>
              <w:spacing w:after="0" w:line="240" w:lineRule="auto"/>
              <w:jc w:val="center"/>
              <w:rPr>
                <w:rFonts w:eastAsia="Times New Roman" w:cs="Calibri"/>
                <w:noProof/>
              </w:rPr>
            </w:pPr>
            <w:r>
              <w:rPr>
                <w:noProof/>
              </w:rPr>
              <w:t>2021</w:t>
            </w:r>
          </w:p>
        </w:tc>
        <w:tc>
          <w:tcPr>
            <w:tcW w:w="4395" w:type="dxa"/>
            <w:shd w:val="clear" w:color="auto" w:fill="C4EFCE"/>
            <w:vAlign w:val="center"/>
            <w:hideMark/>
          </w:tcPr>
          <w:p w14:paraId="777EF2C9" w14:textId="77777777" w:rsidR="00154AD2" w:rsidRDefault="007F6BF3">
            <w:pPr>
              <w:pStyle w:val="P68B1DB1-Normal8"/>
              <w:spacing w:after="0" w:line="240" w:lineRule="auto"/>
              <w:jc w:val="both"/>
              <w:rPr>
                <w:rFonts w:eastAsia="Times New Roman" w:cs="Calibri"/>
                <w:noProof/>
              </w:rPr>
            </w:pPr>
            <w:r>
              <w:rPr>
                <w:noProof/>
              </w:rPr>
              <w:t>Έναρξη ισχύος του νέου νομικού πλαισίου που διέπει τη συνεργασία των ιδρυμάτων τριτοβάθμιας εκπαίδευσης με τη δημόσια διοίκηση και τις επιχειρήσεις, μεταξύ άλλων: τη δημιουργία συνεργατικών δικτύων ιδρυμάτων τριτοβάθμιας εκπαίδευσης σε συνεργασία με τους εργοδότες, μεταξύ άλλων, για την προώθηση της αρχικής τριτοβάθμιας εκπαίδευσης, έργων καινοτομίας και υπηρεσιών για τις επιχειρήσεις, ii) την τροποποίηση του νομικού καθεστώτος προκειμένου να αποσαφηνιστούν οι προϋποθέσεις υπό τις οποίες ένας εξωτερικός ειδικός μπορεί να ασκεί διδακτικά ή διευθυντικά καθήκοντα σε ιδρύματα τριτοβάθμιας εκπαίδευσης, προκειμένου να προωθηθεί η κινητικότητα μεταξύ ακαδημαϊκού και επιχειρηματικού κόσμου· ενίσχυση κοινοπραξιών με επιμερισμένη διαχείριση μεταξύ ιδρυμάτων τριτοβάθμιας εκπαίδευσης και επιχειρήσεων.</w:t>
            </w:r>
          </w:p>
        </w:tc>
      </w:tr>
      <w:tr w:rsidR="00154AD2" w14:paraId="6B6D1913" w14:textId="77777777">
        <w:trPr>
          <w:trHeight w:val="1060"/>
        </w:trPr>
        <w:tc>
          <w:tcPr>
            <w:tcW w:w="1135" w:type="dxa"/>
            <w:shd w:val="clear" w:color="auto" w:fill="C5EFCE"/>
            <w:vAlign w:val="center"/>
            <w:hideMark/>
          </w:tcPr>
          <w:p w14:paraId="7A115D0E" w14:textId="77777777" w:rsidR="00154AD2" w:rsidRDefault="007F6BF3">
            <w:pPr>
              <w:pStyle w:val="P68B1DB1-Normal7"/>
              <w:spacing w:after="0" w:line="240" w:lineRule="auto"/>
              <w:jc w:val="center"/>
              <w:rPr>
                <w:rFonts w:eastAsia="Times New Roman" w:cs="Calibri"/>
                <w:noProof/>
              </w:rPr>
            </w:pPr>
            <w:r>
              <w:rPr>
                <w:noProof/>
              </w:rPr>
              <w:t>6.15</w:t>
            </w:r>
          </w:p>
        </w:tc>
        <w:tc>
          <w:tcPr>
            <w:tcW w:w="1276" w:type="dxa"/>
            <w:shd w:val="clear" w:color="auto" w:fill="C4EFCE"/>
            <w:noWrap/>
            <w:vAlign w:val="center"/>
            <w:hideMark/>
          </w:tcPr>
          <w:p w14:paraId="072BCFC9" w14:textId="77777777" w:rsidR="00154AD2" w:rsidRDefault="007F6BF3">
            <w:pPr>
              <w:pStyle w:val="P68B1DB1-Normal8"/>
              <w:spacing w:after="0" w:line="240" w:lineRule="auto"/>
              <w:jc w:val="center"/>
              <w:rPr>
                <w:rFonts w:eastAsia="Times New Roman" w:cs="Calibri"/>
                <w:noProof/>
              </w:rPr>
            </w:pPr>
            <w:r>
              <w:rPr>
                <w:noProof/>
              </w:rPr>
              <w:t>RE-C06-r16</w:t>
            </w:r>
          </w:p>
        </w:tc>
        <w:tc>
          <w:tcPr>
            <w:tcW w:w="1134" w:type="dxa"/>
            <w:shd w:val="clear" w:color="auto" w:fill="C4EFCE"/>
            <w:noWrap/>
            <w:vAlign w:val="center"/>
            <w:hideMark/>
          </w:tcPr>
          <w:p w14:paraId="36CF0280"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3E9FAFFB" w14:textId="77777777" w:rsidR="00154AD2" w:rsidRDefault="007F6BF3">
            <w:pPr>
              <w:pStyle w:val="P68B1DB1-Normal8"/>
              <w:spacing w:after="0" w:line="240" w:lineRule="auto"/>
              <w:jc w:val="center"/>
              <w:rPr>
                <w:rFonts w:eastAsia="Times New Roman" w:cs="Calibri"/>
                <w:noProof/>
              </w:rPr>
            </w:pPr>
            <w:r>
              <w:rPr>
                <w:noProof/>
              </w:rPr>
              <w:t>Έναρξη ισχύος του νόμου για τα νομοθετικά κατοχυρωμένα επαγγέλματα</w:t>
            </w:r>
          </w:p>
        </w:tc>
        <w:tc>
          <w:tcPr>
            <w:tcW w:w="1275" w:type="dxa"/>
            <w:shd w:val="clear" w:color="auto" w:fill="C4EFCE"/>
            <w:noWrap/>
            <w:vAlign w:val="center"/>
            <w:hideMark/>
          </w:tcPr>
          <w:p w14:paraId="0F2F14F7" w14:textId="77777777" w:rsidR="00154AD2" w:rsidRDefault="007F6BF3">
            <w:pPr>
              <w:pStyle w:val="P68B1DB1-Normal8"/>
              <w:spacing w:after="0" w:line="240" w:lineRule="auto"/>
              <w:jc w:val="center"/>
              <w:rPr>
                <w:rFonts w:eastAsia="Times New Roman" w:cs="Calibri"/>
                <w:noProof/>
              </w:rPr>
            </w:pPr>
            <w:r>
              <w:rPr>
                <w:noProof/>
              </w:rPr>
              <w:t>Έναρξη ισχύος του νόμου για τα νομοθετικά κατοχυρωμένα επαγγέλματα</w:t>
            </w:r>
          </w:p>
        </w:tc>
        <w:tc>
          <w:tcPr>
            <w:tcW w:w="993" w:type="dxa"/>
            <w:shd w:val="clear" w:color="auto" w:fill="C4EFCE"/>
            <w:noWrap/>
            <w:vAlign w:val="center"/>
            <w:hideMark/>
          </w:tcPr>
          <w:p w14:paraId="1C4406F9" w14:textId="77777777" w:rsidR="00154AD2" w:rsidRDefault="007F6BF3">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78CC3D9E" w14:textId="77777777" w:rsidR="00154AD2" w:rsidRDefault="007F6BF3">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4E64DB52" w14:textId="77777777" w:rsidR="00154AD2" w:rsidRDefault="007F6BF3">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0E3EBB9F"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17B08CA5" w14:textId="77777777" w:rsidR="00154AD2" w:rsidRDefault="007F6BF3">
            <w:pPr>
              <w:pStyle w:val="P68B1DB1-Normal8"/>
              <w:spacing w:after="0" w:line="240" w:lineRule="auto"/>
              <w:jc w:val="center"/>
              <w:rPr>
                <w:rFonts w:eastAsia="Times New Roman" w:cs="Calibri"/>
                <w:noProof/>
              </w:rPr>
            </w:pPr>
            <w:r>
              <w:rPr>
                <w:noProof/>
              </w:rPr>
              <w:t>2022</w:t>
            </w:r>
          </w:p>
        </w:tc>
        <w:tc>
          <w:tcPr>
            <w:tcW w:w="4395" w:type="dxa"/>
            <w:shd w:val="clear" w:color="auto" w:fill="C4EFCE"/>
            <w:vAlign w:val="center"/>
            <w:hideMark/>
          </w:tcPr>
          <w:p w14:paraId="6B104D29" w14:textId="61D2CBCD" w:rsidR="00154AD2" w:rsidRDefault="007F6BF3">
            <w:pPr>
              <w:pStyle w:val="P68B1DB1-Normal8"/>
              <w:spacing w:after="0" w:line="240" w:lineRule="auto"/>
              <w:jc w:val="both"/>
              <w:rPr>
                <w:rFonts w:eastAsia="Times New Roman" w:cs="Calibri"/>
                <w:noProof/>
              </w:rPr>
            </w:pPr>
            <w:r>
              <w:rPr>
                <w:noProof/>
              </w:rPr>
              <w:t>Έναρξη ισχύος του νόμου που αποσκοπεί, μεταξύ άλλων: I) να διαχωρίζουν τα καθήκοντα ρύθμισης και εκπροσώπησης σε επαγγελματικές ενώσεις· II) μείωση του καταλόγου των δραστηριοτήτων περιορισμένης πρόσβασης. Η πρόσβαση στις δραστηριότητες μπορεί να περιοριστεί μόνο για τη διασφάλιση συνταγματικών συμφερόντων, σύμφωνα με τις αρχές της αναγκαιότητας και της αναλογικότητας· III) να τερματίσουν τους περιορισμούς στην ιδιοκτησία και τη διαχείριση επιχειρήσεων παροχής επιχειρηματικών υπηρεσιών, υπό την προϋπόθεση ότι τα διευθυντικά στελέχη τηρούν το νομικό καθεστώς για την πρόληψη της «σύγκρουσης συμφερόντων»· και iv) να επιτρέπει πολυτομεακές επιχειρηματικές υπηρεσίες.</w:t>
            </w:r>
          </w:p>
        </w:tc>
      </w:tr>
      <w:tr w:rsidR="00154AD2" w14:paraId="23A0A514" w14:textId="77777777">
        <w:trPr>
          <w:trHeight w:val="640"/>
        </w:trPr>
        <w:tc>
          <w:tcPr>
            <w:tcW w:w="1135" w:type="dxa"/>
            <w:shd w:val="clear" w:color="auto" w:fill="C5EFCE"/>
            <w:vAlign w:val="center"/>
            <w:hideMark/>
          </w:tcPr>
          <w:p w14:paraId="5367DF6B" w14:textId="77777777" w:rsidR="00154AD2" w:rsidRDefault="007F6BF3">
            <w:pPr>
              <w:pStyle w:val="P68B1DB1-Normal7"/>
              <w:spacing w:after="0" w:line="240" w:lineRule="auto"/>
              <w:jc w:val="center"/>
              <w:rPr>
                <w:rFonts w:eastAsia="Times New Roman" w:cs="Calibri"/>
                <w:noProof/>
              </w:rPr>
            </w:pPr>
            <w:r>
              <w:rPr>
                <w:noProof/>
              </w:rPr>
              <w:t>6.16</w:t>
            </w:r>
          </w:p>
        </w:tc>
        <w:tc>
          <w:tcPr>
            <w:tcW w:w="1276" w:type="dxa"/>
            <w:shd w:val="clear" w:color="auto" w:fill="C4EFCE"/>
            <w:noWrap/>
            <w:vAlign w:val="center"/>
            <w:hideMark/>
          </w:tcPr>
          <w:p w14:paraId="52F2ECE7" w14:textId="77777777" w:rsidR="00154AD2" w:rsidRDefault="007F6BF3">
            <w:pPr>
              <w:pStyle w:val="P68B1DB1-Normal8"/>
              <w:spacing w:after="0" w:line="240" w:lineRule="auto"/>
              <w:jc w:val="center"/>
              <w:rPr>
                <w:rFonts w:eastAsia="Times New Roman" w:cs="Calibri"/>
                <w:noProof/>
              </w:rPr>
            </w:pPr>
            <w:r>
              <w:rPr>
                <w:noProof/>
              </w:rPr>
              <w:t>RE-C06-r17</w:t>
            </w:r>
          </w:p>
        </w:tc>
        <w:tc>
          <w:tcPr>
            <w:tcW w:w="1134" w:type="dxa"/>
            <w:shd w:val="clear" w:color="auto" w:fill="C4EFCE"/>
            <w:noWrap/>
            <w:vAlign w:val="center"/>
            <w:hideMark/>
          </w:tcPr>
          <w:p w14:paraId="4C773C60"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553FC47" w14:textId="77777777" w:rsidR="00154AD2" w:rsidRDefault="007F6BF3">
            <w:pPr>
              <w:pStyle w:val="P68B1DB1-Normal8"/>
              <w:spacing w:after="0" w:line="240" w:lineRule="auto"/>
              <w:jc w:val="center"/>
              <w:rPr>
                <w:rFonts w:eastAsia="Times New Roman" w:cs="Calibri"/>
                <w:noProof/>
              </w:rPr>
            </w:pPr>
            <w:r>
              <w:rPr>
                <w:noProof/>
              </w:rPr>
              <w:t>Έναρξη ισχύος του νόμου που διέπει την εργασία σε πλατφόρμα</w:t>
            </w:r>
          </w:p>
        </w:tc>
        <w:tc>
          <w:tcPr>
            <w:tcW w:w="1275" w:type="dxa"/>
            <w:shd w:val="clear" w:color="auto" w:fill="C4EFCE"/>
            <w:noWrap/>
            <w:vAlign w:val="center"/>
            <w:hideMark/>
          </w:tcPr>
          <w:p w14:paraId="5201FB9F" w14:textId="77777777" w:rsidR="00154AD2" w:rsidRDefault="007F6BF3">
            <w:pPr>
              <w:pStyle w:val="P68B1DB1-Normal8"/>
              <w:spacing w:after="0" w:line="240" w:lineRule="auto"/>
              <w:jc w:val="center"/>
              <w:rPr>
                <w:rFonts w:eastAsia="Times New Roman" w:cs="Calibri"/>
                <w:noProof/>
              </w:rPr>
            </w:pPr>
            <w:r>
              <w:rPr>
                <w:noProof/>
              </w:rPr>
              <w:t>Έναρξη ισχύος του νόμου που διέπει την εργασία σε πλατφόρμα</w:t>
            </w:r>
          </w:p>
        </w:tc>
        <w:tc>
          <w:tcPr>
            <w:tcW w:w="993" w:type="dxa"/>
            <w:shd w:val="clear" w:color="auto" w:fill="C4EFCE"/>
            <w:noWrap/>
            <w:vAlign w:val="center"/>
            <w:hideMark/>
          </w:tcPr>
          <w:p w14:paraId="311ED5B5" w14:textId="77777777" w:rsidR="00154AD2" w:rsidRDefault="007F6BF3">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06F95D85" w14:textId="77777777" w:rsidR="00154AD2" w:rsidRDefault="007F6BF3">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278565D9" w14:textId="77777777" w:rsidR="00154AD2" w:rsidRDefault="007F6BF3">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43A107F4"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708" w:type="dxa"/>
            <w:shd w:val="clear" w:color="auto" w:fill="C4EFCE"/>
            <w:noWrap/>
            <w:vAlign w:val="center"/>
            <w:hideMark/>
          </w:tcPr>
          <w:p w14:paraId="13BAF87B" w14:textId="77777777" w:rsidR="00154AD2" w:rsidRDefault="007F6BF3">
            <w:pPr>
              <w:pStyle w:val="P68B1DB1-Normal8"/>
              <w:spacing w:after="0" w:line="240" w:lineRule="auto"/>
              <w:jc w:val="center"/>
              <w:rPr>
                <w:rFonts w:eastAsia="Times New Roman" w:cs="Calibri"/>
                <w:noProof/>
              </w:rPr>
            </w:pPr>
            <w:r>
              <w:rPr>
                <w:noProof/>
              </w:rPr>
              <w:t>2023</w:t>
            </w:r>
          </w:p>
        </w:tc>
        <w:tc>
          <w:tcPr>
            <w:tcW w:w="4395" w:type="dxa"/>
            <w:shd w:val="clear" w:color="auto" w:fill="C4EFCE"/>
            <w:vAlign w:val="center"/>
            <w:hideMark/>
          </w:tcPr>
          <w:p w14:paraId="06DB3C30" w14:textId="77777777" w:rsidR="00154AD2" w:rsidRDefault="007F6BF3">
            <w:pPr>
              <w:pStyle w:val="P68B1DB1-Normal8"/>
              <w:spacing w:after="0" w:line="240" w:lineRule="auto"/>
              <w:jc w:val="both"/>
              <w:rPr>
                <w:rFonts w:eastAsia="Times New Roman" w:cs="Calibri"/>
                <w:noProof/>
              </w:rPr>
            </w:pPr>
            <w:r>
              <w:rPr>
                <w:noProof/>
              </w:rPr>
              <w:t xml:space="preserve">Έναρξη ισχύος του νόμου για τη ρύθμιση της εργασίας σε πλατφόρμα προκειμένου να αντιμετωπιστούν οι νέες προκλήσεις που δημιουργούν οι άτυπες εργασιακές σχέσεις, σύμφωνα με τις αρχές του ευρωπαϊκού πυλώνα κοινωνικών δικαιωμάτων. Αποσκοπεί στην ενίσχυση των εργασιακών σχέσεων και της πρόσβασης στα δικαιώματα. </w:t>
            </w:r>
          </w:p>
        </w:tc>
      </w:tr>
      <w:tr w:rsidR="00154AD2" w14:paraId="673F5EE3" w14:textId="77777777">
        <w:trPr>
          <w:trHeight w:val="640"/>
        </w:trPr>
        <w:tc>
          <w:tcPr>
            <w:tcW w:w="1135" w:type="dxa"/>
            <w:shd w:val="clear" w:color="auto" w:fill="C5EFCE"/>
            <w:vAlign w:val="center"/>
            <w:hideMark/>
          </w:tcPr>
          <w:p w14:paraId="64E9A71C" w14:textId="77777777" w:rsidR="00154AD2" w:rsidRDefault="007F6BF3">
            <w:pPr>
              <w:pStyle w:val="P68B1DB1-Normal7"/>
              <w:spacing w:after="0" w:line="240" w:lineRule="auto"/>
              <w:jc w:val="center"/>
              <w:rPr>
                <w:rFonts w:eastAsia="Times New Roman" w:cs="Calibri"/>
                <w:noProof/>
              </w:rPr>
            </w:pPr>
            <w:r>
              <w:rPr>
                <w:noProof/>
              </w:rPr>
              <w:t>6.17</w:t>
            </w:r>
          </w:p>
        </w:tc>
        <w:tc>
          <w:tcPr>
            <w:tcW w:w="1276" w:type="dxa"/>
            <w:shd w:val="clear" w:color="auto" w:fill="C4EFCE"/>
            <w:noWrap/>
            <w:vAlign w:val="center"/>
            <w:hideMark/>
          </w:tcPr>
          <w:p w14:paraId="72BCDBDF" w14:textId="77777777" w:rsidR="00154AD2" w:rsidRDefault="007F6BF3">
            <w:pPr>
              <w:pStyle w:val="P68B1DB1-Normal8"/>
              <w:spacing w:after="0" w:line="240" w:lineRule="auto"/>
              <w:jc w:val="center"/>
              <w:rPr>
                <w:rFonts w:eastAsia="Times New Roman" w:cs="Calibri"/>
                <w:noProof/>
              </w:rPr>
            </w:pPr>
            <w:r>
              <w:rPr>
                <w:noProof/>
              </w:rPr>
              <w:t>RE-C06-r18</w:t>
            </w:r>
          </w:p>
        </w:tc>
        <w:tc>
          <w:tcPr>
            <w:tcW w:w="1134" w:type="dxa"/>
            <w:shd w:val="clear" w:color="auto" w:fill="C4EFCE"/>
            <w:noWrap/>
            <w:vAlign w:val="center"/>
            <w:hideMark/>
          </w:tcPr>
          <w:p w14:paraId="524C0022"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48ADF796" w14:textId="77777777" w:rsidR="00154AD2" w:rsidRDefault="007F6BF3">
            <w:pPr>
              <w:pStyle w:val="P68B1DB1-Normal8"/>
              <w:spacing w:after="0" w:line="240" w:lineRule="auto"/>
              <w:jc w:val="center"/>
              <w:rPr>
                <w:rFonts w:eastAsia="Times New Roman" w:cs="Calibri"/>
                <w:noProof/>
              </w:rPr>
            </w:pPr>
            <w:r>
              <w:rPr>
                <w:noProof/>
              </w:rPr>
              <w:t xml:space="preserve">Θέσπιση του πορτογαλικού κανόνα για ένα σύστημα ίσης διαχείρισης των αμοιβών. </w:t>
            </w:r>
          </w:p>
        </w:tc>
        <w:tc>
          <w:tcPr>
            <w:tcW w:w="1275" w:type="dxa"/>
            <w:shd w:val="clear" w:color="auto" w:fill="C4EFCE"/>
            <w:noWrap/>
            <w:vAlign w:val="center"/>
            <w:hideMark/>
          </w:tcPr>
          <w:p w14:paraId="55000A29" w14:textId="77777777" w:rsidR="00154AD2" w:rsidRDefault="007F6BF3">
            <w:pPr>
              <w:pStyle w:val="P68B1DB1-Normal8"/>
              <w:spacing w:after="0" w:line="240" w:lineRule="auto"/>
              <w:jc w:val="center"/>
              <w:rPr>
                <w:rFonts w:eastAsia="Times New Roman" w:cs="Calibri"/>
                <w:noProof/>
              </w:rPr>
            </w:pPr>
            <w:r>
              <w:rPr>
                <w:noProof/>
              </w:rPr>
              <w:t>Δημοσίευση του κανόνα</w:t>
            </w:r>
          </w:p>
        </w:tc>
        <w:tc>
          <w:tcPr>
            <w:tcW w:w="993" w:type="dxa"/>
            <w:shd w:val="clear" w:color="auto" w:fill="C4EFCE"/>
            <w:noWrap/>
            <w:vAlign w:val="center"/>
            <w:hideMark/>
          </w:tcPr>
          <w:p w14:paraId="7D92AA79" w14:textId="77777777" w:rsidR="00154AD2" w:rsidRDefault="007F6BF3">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7EA2CD27" w14:textId="77777777" w:rsidR="00154AD2" w:rsidRDefault="007F6BF3">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46A55245" w14:textId="77777777" w:rsidR="00154AD2" w:rsidRDefault="007F6BF3">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4F51F9B5"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16E56A06" w14:textId="77777777" w:rsidR="00154AD2" w:rsidRDefault="007F6BF3">
            <w:pPr>
              <w:pStyle w:val="P68B1DB1-Normal8"/>
              <w:spacing w:after="0" w:line="240" w:lineRule="auto"/>
              <w:jc w:val="center"/>
              <w:rPr>
                <w:rFonts w:eastAsia="Times New Roman" w:cs="Calibri"/>
                <w:noProof/>
              </w:rPr>
            </w:pPr>
            <w:r>
              <w:rPr>
                <w:noProof/>
              </w:rPr>
              <w:t>2024</w:t>
            </w:r>
          </w:p>
        </w:tc>
        <w:tc>
          <w:tcPr>
            <w:tcW w:w="4395" w:type="dxa"/>
            <w:shd w:val="clear" w:color="auto" w:fill="C4EFCE"/>
            <w:vAlign w:val="center"/>
            <w:hideMark/>
          </w:tcPr>
          <w:p w14:paraId="7A2136C7" w14:textId="77777777" w:rsidR="00154AD2" w:rsidRDefault="007F6BF3">
            <w:pPr>
              <w:pStyle w:val="P68B1DB1-Normal8"/>
              <w:spacing w:after="0" w:line="240" w:lineRule="auto"/>
              <w:jc w:val="both"/>
              <w:rPr>
                <w:rFonts w:eastAsia="Times New Roman" w:cs="Calibri"/>
                <w:noProof/>
              </w:rPr>
            </w:pPr>
            <w:r>
              <w:rPr>
                <w:noProof/>
              </w:rPr>
              <w:t>Ο κανόνας είναι ένα εθελοντικό σύστημα που βασίζεται στο πρότυπο ÍST 85 της Ισλανδίας: 2012, η οποία παρέχει δημόσια αναγνώριση σε επιχειρήσεις που έχουν εφαρμόσει αποτελεσματικά πολιτικές για την ισότητα των αμοιβών. Χορηγούνται πιστοποιητικά με τα οποία βεβαιώνεται ότι, όταν λαμβάνονται αποφάσεις σχετικά με τον μισθό, βασίζονται εξ ολοκλήρου σε συναφείς εκτιμήσεις.</w:t>
            </w:r>
          </w:p>
        </w:tc>
      </w:tr>
      <w:tr w:rsidR="00154AD2" w14:paraId="3DEAC6EC" w14:textId="77777777">
        <w:trPr>
          <w:trHeight w:val="640"/>
        </w:trPr>
        <w:tc>
          <w:tcPr>
            <w:tcW w:w="1135" w:type="dxa"/>
            <w:shd w:val="clear" w:color="auto" w:fill="C5EFCE"/>
            <w:vAlign w:val="center"/>
            <w:hideMark/>
          </w:tcPr>
          <w:p w14:paraId="05280834" w14:textId="77777777" w:rsidR="00154AD2" w:rsidRDefault="007F6BF3">
            <w:pPr>
              <w:pStyle w:val="P68B1DB1-Normal7"/>
              <w:spacing w:after="0" w:line="240" w:lineRule="auto"/>
              <w:jc w:val="center"/>
              <w:rPr>
                <w:rFonts w:eastAsia="Times New Roman" w:cs="Calibri"/>
                <w:noProof/>
              </w:rPr>
            </w:pPr>
            <w:r>
              <w:rPr>
                <w:noProof/>
              </w:rPr>
              <w:t>6.18</w:t>
            </w:r>
          </w:p>
        </w:tc>
        <w:tc>
          <w:tcPr>
            <w:tcW w:w="1276" w:type="dxa"/>
            <w:shd w:val="clear" w:color="auto" w:fill="C4EFCE"/>
            <w:noWrap/>
            <w:vAlign w:val="center"/>
            <w:hideMark/>
          </w:tcPr>
          <w:p w14:paraId="6BCF6F48" w14:textId="77777777" w:rsidR="00154AD2" w:rsidRDefault="007F6BF3">
            <w:pPr>
              <w:pStyle w:val="P68B1DB1-Normal8"/>
              <w:spacing w:after="0" w:line="240" w:lineRule="auto"/>
              <w:jc w:val="center"/>
              <w:rPr>
                <w:rFonts w:eastAsia="Times New Roman" w:cs="Calibri"/>
                <w:noProof/>
              </w:rPr>
            </w:pPr>
            <w:r>
              <w:rPr>
                <w:noProof/>
              </w:rPr>
              <w:t>RE-C06-r18</w:t>
            </w:r>
          </w:p>
        </w:tc>
        <w:tc>
          <w:tcPr>
            <w:tcW w:w="1134" w:type="dxa"/>
            <w:shd w:val="clear" w:color="auto" w:fill="C4EFCE"/>
            <w:noWrap/>
            <w:vAlign w:val="center"/>
            <w:hideMark/>
          </w:tcPr>
          <w:p w14:paraId="0FED066F"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31C8BBF" w14:textId="77777777" w:rsidR="00154AD2" w:rsidRDefault="007F6BF3">
            <w:pPr>
              <w:pStyle w:val="P68B1DB1-Normal8"/>
              <w:spacing w:after="0" w:line="240" w:lineRule="auto"/>
              <w:jc w:val="center"/>
              <w:rPr>
                <w:rFonts w:eastAsia="Times New Roman" w:cs="Calibri"/>
                <w:noProof/>
              </w:rPr>
            </w:pPr>
            <w:r>
              <w:rPr>
                <w:noProof/>
              </w:rPr>
              <w:t>Κοινοποίηση εταιρειών με περισσότερους από 50 εργαζομένους που παρουσιάζουν σημαντικές μισθολογικές διαφορές μεταξύ των φύλων</w:t>
            </w:r>
          </w:p>
        </w:tc>
        <w:tc>
          <w:tcPr>
            <w:tcW w:w="1275" w:type="dxa"/>
            <w:shd w:val="clear" w:color="auto" w:fill="C4EFCE"/>
            <w:noWrap/>
            <w:vAlign w:val="center"/>
            <w:hideMark/>
          </w:tcPr>
          <w:p w14:paraId="4929D370" w14:textId="77777777" w:rsidR="00154AD2" w:rsidRDefault="007F6BF3">
            <w:pPr>
              <w:pStyle w:val="P68B1DB1-Normal8"/>
              <w:spacing w:after="0" w:line="240" w:lineRule="auto"/>
              <w:jc w:val="center"/>
              <w:rPr>
                <w:rFonts w:eastAsia="Times New Roman" w:cs="Calibri"/>
                <w:noProof/>
              </w:rPr>
            </w:pPr>
            <w:r>
              <w:rPr>
                <w:noProof/>
              </w:rPr>
              <w:t>Κοινοποίηση εταιρειών με περισσότερους από 50 εργαζομένους που παρουσιάζουν σημαντικές μισθολογικές διαφορές μεταξύ των φύλων</w:t>
            </w:r>
          </w:p>
        </w:tc>
        <w:tc>
          <w:tcPr>
            <w:tcW w:w="993" w:type="dxa"/>
            <w:shd w:val="clear" w:color="auto" w:fill="C4EFCE"/>
            <w:noWrap/>
            <w:vAlign w:val="center"/>
            <w:hideMark/>
          </w:tcPr>
          <w:p w14:paraId="64A13A3D" w14:textId="77777777" w:rsidR="00154AD2" w:rsidRDefault="007F6BF3">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18442C1A" w14:textId="77777777" w:rsidR="00154AD2" w:rsidRDefault="007F6BF3">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0A5C912E" w14:textId="77777777" w:rsidR="00154AD2" w:rsidRDefault="007F6BF3">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1C3A39E0"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00CB07A4" w14:textId="77777777" w:rsidR="00154AD2" w:rsidRDefault="007F6BF3">
            <w:pPr>
              <w:pStyle w:val="P68B1DB1-Normal8"/>
              <w:spacing w:after="0" w:line="240" w:lineRule="auto"/>
              <w:jc w:val="center"/>
              <w:rPr>
                <w:rFonts w:eastAsia="Times New Roman" w:cs="Calibri"/>
                <w:noProof/>
              </w:rPr>
            </w:pPr>
            <w:r>
              <w:rPr>
                <w:noProof/>
              </w:rPr>
              <w:t>2024</w:t>
            </w:r>
          </w:p>
        </w:tc>
        <w:tc>
          <w:tcPr>
            <w:tcW w:w="4395" w:type="dxa"/>
            <w:shd w:val="clear" w:color="auto" w:fill="C4EFCE"/>
            <w:vAlign w:val="center"/>
            <w:hideMark/>
          </w:tcPr>
          <w:p w14:paraId="07F0DA13" w14:textId="77777777" w:rsidR="00154AD2" w:rsidRDefault="007F6BF3">
            <w:pPr>
              <w:pStyle w:val="P68B1DB1-Normal8"/>
              <w:spacing w:after="0" w:line="240" w:lineRule="auto"/>
              <w:jc w:val="both"/>
              <w:rPr>
                <w:rFonts w:eastAsia="Times New Roman" w:cs="Calibri"/>
                <w:noProof/>
              </w:rPr>
            </w:pPr>
            <w:r>
              <w:rPr>
                <w:noProof/>
              </w:rPr>
              <w:t>Κοινοποίηση σε εταιρείες με περισσότερους από 50 εργαζομένους που έχουν σημαντικές διαφορές στα επίπεδα αμοιβών μεταξύ των φύλων για τις ίδιες θέσεις εργασίας σχετικά με την υποχρέωση υποβολής σχεδίου δράσης στη Διεύθυνση Επιθεώρησης Εργασίας για την αντιμετώπιση των μισθολογικών ανισοτήτων μεταξύ των φύλων μέσω της εφαρμογής του σχεδίου δράσης</w:t>
            </w:r>
          </w:p>
        </w:tc>
      </w:tr>
      <w:tr w:rsidR="00154AD2" w14:paraId="7D8D557E" w14:textId="77777777">
        <w:trPr>
          <w:trHeight w:val="273"/>
        </w:trPr>
        <w:tc>
          <w:tcPr>
            <w:tcW w:w="1135" w:type="dxa"/>
            <w:shd w:val="clear" w:color="auto" w:fill="C5EFCE"/>
            <w:vAlign w:val="center"/>
          </w:tcPr>
          <w:p w14:paraId="6DB0713C" w14:textId="52D6D02F" w:rsidR="00154AD2" w:rsidRDefault="007F6BF3">
            <w:pPr>
              <w:pStyle w:val="P68B1DB1-Normal11"/>
              <w:spacing w:after="0" w:line="240" w:lineRule="auto"/>
              <w:jc w:val="center"/>
              <w:rPr>
                <w:rFonts w:eastAsia="Times New Roman"/>
                <w:noProof/>
              </w:rPr>
            </w:pPr>
            <w:r>
              <w:rPr>
                <w:noProof/>
              </w:rPr>
              <w:t>6.19</w:t>
            </w:r>
          </w:p>
        </w:tc>
        <w:tc>
          <w:tcPr>
            <w:tcW w:w="1276" w:type="dxa"/>
            <w:shd w:val="clear" w:color="auto" w:fill="C4EFCE"/>
            <w:noWrap/>
            <w:vAlign w:val="center"/>
          </w:tcPr>
          <w:p w14:paraId="24F4FD24" w14:textId="15FD8AA5" w:rsidR="00154AD2" w:rsidRDefault="007F6BF3">
            <w:pPr>
              <w:pStyle w:val="P68B1DB1-Normal12"/>
              <w:spacing w:after="0" w:line="240" w:lineRule="auto"/>
              <w:jc w:val="center"/>
              <w:rPr>
                <w:rFonts w:eastAsia="Times New Roman" w:cstheme="minorHAnsi"/>
                <w:noProof/>
              </w:rPr>
            </w:pPr>
            <w:r>
              <w:rPr>
                <w:noProof/>
              </w:rPr>
              <w:t>RE-C06-i06</w:t>
            </w:r>
          </w:p>
        </w:tc>
        <w:tc>
          <w:tcPr>
            <w:tcW w:w="1134" w:type="dxa"/>
            <w:shd w:val="clear" w:color="auto" w:fill="C4EFCE"/>
            <w:noWrap/>
            <w:vAlign w:val="center"/>
          </w:tcPr>
          <w:p w14:paraId="65A01FAC" w14:textId="3ABCA12D" w:rsidR="00154AD2" w:rsidRDefault="007F6BF3">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4AEC0245" w14:textId="6EE157E7" w:rsidR="00154AD2" w:rsidRDefault="007F6BF3">
            <w:pPr>
              <w:pStyle w:val="P68B1DB1-Bodytext1013"/>
              <w:jc w:val="center"/>
              <w:rPr>
                <w:rFonts w:cstheme="minorBidi"/>
                <w:noProof/>
              </w:rPr>
            </w:pPr>
            <w:r>
              <w:rPr>
                <w:noProof/>
              </w:rPr>
              <w:t>Στήριξη για συμβάσεις αορίστου χρόνου με διδακτορικούς ερευνητές στο πλαίσιο του προγράμματος FCT-Tenure και στήριξη ερευνητών στο πλαίσιο του ΕΣΕ Πορτογαλίας</w:t>
            </w:r>
          </w:p>
        </w:tc>
        <w:tc>
          <w:tcPr>
            <w:tcW w:w="1275" w:type="dxa"/>
            <w:shd w:val="clear" w:color="auto" w:fill="C4EFCE"/>
            <w:noWrap/>
            <w:vAlign w:val="center"/>
          </w:tcPr>
          <w:p w14:paraId="5B1FE369" w14:textId="77777777" w:rsidR="00154AD2" w:rsidRDefault="00154AD2">
            <w:pPr>
              <w:spacing w:after="0" w:line="240" w:lineRule="auto"/>
              <w:jc w:val="center"/>
              <w:rPr>
                <w:rFonts w:eastAsia="Times New Roman" w:cstheme="minorHAnsi"/>
                <w:noProof/>
                <w:sz w:val="16"/>
              </w:rPr>
            </w:pPr>
          </w:p>
        </w:tc>
        <w:tc>
          <w:tcPr>
            <w:tcW w:w="993" w:type="dxa"/>
            <w:shd w:val="clear" w:color="auto" w:fill="C4EFCE"/>
            <w:noWrap/>
            <w:vAlign w:val="center"/>
          </w:tcPr>
          <w:p w14:paraId="716424E2" w14:textId="6461DA4A" w:rsidR="00154AD2" w:rsidRDefault="007F6BF3">
            <w:pPr>
              <w:pStyle w:val="P68B1DB1-Normal12"/>
              <w:spacing w:after="0" w:line="240" w:lineRule="auto"/>
              <w:jc w:val="center"/>
              <w:rPr>
                <w:rFonts w:eastAsia="Times New Roman" w:cstheme="minorHAnsi"/>
                <w:noProof/>
              </w:rPr>
            </w:pPr>
            <w:r>
              <w:rPr>
                <w:noProof/>
              </w:rPr>
              <w:t>Αριθμός συμβάσεων</w:t>
            </w:r>
          </w:p>
        </w:tc>
        <w:tc>
          <w:tcPr>
            <w:tcW w:w="992" w:type="dxa"/>
            <w:shd w:val="clear" w:color="auto" w:fill="C4EFCE"/>
            <w:noWrap/>
            <w:vAlign w:val="center"/>
          </w:tcPr>
          <w:p w14:paraId="29E7E7F7" w14:textId="77777777" w:rsidR="00154AD2" w:rsidRDefault="00154AD2">
            <w:pPr>
              <w:spacing w:after="0" w:line="240" w:lineRule="auto"/>
              <w:jc w:val="center"/>
              <w:rPr>
                <w:rFonts w:eastAsia="Times New Roman" w:cstheme="minorHAnsi"/>
                <w:noProof/>
                <w:sz w:val="16"/>
              </w:rPr>
            </w:pPr>
          </w:p>
        </w:tc>
        <w:tc>
          <w:tcPr>
            <w:tcW w:w="850" w:type="dxa"/>
            <w:shd w:val="clear" w:color="auto" w:fill="C4EFCE"/>
            <w:noWrap/>
            <w:vAlign w:val="center"/>
          </w:tcPr>
          <w:p w14:paraId="40BABDEE" w14:textId="58953BB8" w:rsidR="00154AD2" w:rsidRDefault="007F6BF3">
            <w:pPr>
              <w:pStyle w:val="P68B1DB1-Normal12"/>
              <w:spacing w:after="0" w:line="240" w:lineRule="auto"/>
              <w:jc w:val="center"/>
              <w:rPr>
                <w:noProof/>
              </w:rPr>
            </w:pPr>
            <w:r>
              <w:rPr>
                <w:noProof/>
              </w:rPr>
              <w:t>255</w:t>
            </w:r>
          </w:p>
        </w:tc>
        <w:tc>
          <w:tcPr>
            <w:tcW w:w="567" w:type="dxa"/>
            <w:shd w:val="clear" w:color="auto" w:fill="C4EFCE"/>
            <w:noWrap/>
            <w:vAlign w:val="center"/>
          </w:tcPr>
          <w:p w14:paraId="57152D13" w14:textId="3FC6943F" w:rsidR="00154AD2" w:rsidRDefault="007F6BF3">
            <w:pPr>
              <w:pStyle w:val="P68B1DB1-Normal12"/>
              <w:spacing w:after="0" w:line="240" w:lineRule="auto"/>
              <w:jc w:val="center"/>
              <w:rPr>
                <w:rFonts w:eastAsia="Times New Roman" w:cstheme="minorHAnsi"/>
                <w:noProof/>
              </w:rPr>
            </w:pPr>
            <w:r>
              <w:rPr>
                <w:noProof/>
              </w:rPr>
              <w:t>ΤΡΊΜΗΝΟ 1</w:t>
            </w:r>
          </w:p>
        </w:tc>
        <w:tc>
          <w:tcPr>
            <w:tcW w:w="708" w:type="dxa"/>
            <w:shd w:val="clear" w:color="auto" w:fill="C4EFCE"/>
            <w:noWrap/>
            <w:vAlign w:val="center"/>
          </w:tcPr>
          <w:p w14:paraId="626F1508" w14:textId="403213AC" w:rsidR="00154AD2" w:rsidRDefault="007F6BF3">
            <w:pPr>
              <w:pStyle w:val="P68B1DB1-Normal12"/>
              <w:spacing w:after="0" w:line="240" w:lineRule="auto"/>
              <w:jc w:val="center"/>
              <w:rPr>
                <w:rFonts w:eastAsia="Times New Roman" w:cstheme="minorHAnsi"/>
                <w:noProof/>
              </w:rPr>
            </w:pPr>
            <w:r>
              <w:rPr>
                <w:noProof/>
              </w:rPr>
              <w:t>2026</w:t>
            </w:r>
          </w:p>
        </w:tc>
        <w:tc>
          <w:tcPr>
            <w:tcW w:w="4395" w:type="dxa"/>
            <w:shd w:val="clear" w:color="auto" w:fill="C4EFCE"/>
          </w:tcPr>
          <w:p w14:paraId="3EEEBBB2" w14:textId="4A4F68FE" w:rsidR="00154AD2" w:rsidRDefault="007F6BF3">
            <w:pPr>
              <w:pStyle w:val="P68B1DB1-Bodytext1013"/>
              <w:spacing w:after="0" w:line="240" w:lineRule="auto"/>
              <w:jc w:val="both"/>
              <w:rPr>
                <w:rFonts w:cstheme="minorBidi"/>
                <w:noProof/>
              </w:rPr>
            </w:pPr>
            <w:r>
              <w:rPr>
                <w:noProof/>
              </w:rPr>
              <w:t>Υπογράφονται 230 συμβάσεις αορίστου χρόνου με διδακτορικούς ερευνητές που επιλέγονται μέσω διαγωνισμών.</w:t>
            </w:r>
          </w:p>
          <w:p w14:paraId="5A86B9A8" w14:textId="3357027D" w:rsidR="00154AD2" w:rsidRDefault="007F6BF3">
            <w:pPr>
              <w:pStyle w:val="P68B1DB1-Bodytext1013"/>
              <w:spacing w:after="0" w:line="240" w:lineRule="auto"/>
              <w:jc w:val="both"/>
              <w:rPr>
                <w:rFonts w:cstheme="minorBidi"/>
                <w:noProof/>
              </w:rPr>
            </w:pPr>
            <w:r>
              <w:rPr>
                <w:noProof/>
              </w:rPr>
              <w:t>Υπογράφονται 25 συμβάσεις με ερευνητές των οποίων τα έργα συνιστώνται για χρηματοδότηση σε ευρωπαϊκό ή εθνικό επίπεδο και ερευνητές των οποίων οι αιτήσεις του ΕΣΕ προτάθηκαν για χρηματοδότηση ή των οποίων οι αιτήσεις προτάθηκαν για χρηματοδότηση αλλά τελικά δεν χρηματοδοτήθηκαν.</w:t>
            </w:r>
          </w:p>
        </w:tc>
      </w:tr>
      <w:tr w:rsidR="00154AD2" w14:paraId="6C354C45" w14:textId="77777777">
        <w:trPr>
          <w:trHeight w:val="640"/>
        </w:trPr>
        <w:tc>
          <w:tcPr>
            <w:tcW w:w="1135" w:type="dxa"/>
            <w:shd w:val="clear" w:color="auto" w:fill="C5EFCE"/>
            <w:vAlign w:val="center"/>
          </w:tcPr>
          <w:p w14:paraId="3122B51F" w14:textId="63A658E0" w:rsidR="00154AD2" w:rsidRDefault="007F6BF3">
            <w:pPr>
              <w:pStyle w:val="P68B1DB1-Normal11"/>
              <w:spacing w:after="0" w:line="240" w:lineRule="auto"/>
              <w:jc w:val="center"/>
              <w:rPr>
                <w:rFonts w:eastAsia="Times New Roman"/>
                <w:noProof/>
              </w:rPr>
            </w:pPr>
            <w:r>
              <w:rPr>
                <w:noProof/>
              </w:rPr>
              <w:t>6.20</w:t>
            </w:r>
          </w:p>
        </w:tc>
        <w:tc>
          <w:tcPr>
            <w:tcW w:w="1276" w:type="dxa"/>
            <w:shd w:val="clear" w:color="auto" w:fill="C4EFCE"/>
            <w:noWrap/>
            <w:vAlign w:val="center"/>
          </w:tcPr>
          <w:p w14:paraId="1B8B3816" w14:textId="7564BF5E" w:rsidR="00154AD2" w:rsidRDefault="007F6BF3">
            <w:pPr>
              <w:pStyle w:val="P68B1DB1-Normal12"/>
              <w:spacing w:after="0" w:line="240" w:lineRule="auto"/>
              <w:jc w:val="center"/>
              <w:rPr>
                <w:rFonts w:eastAsia="Times New Roman" w:cstheme="minorHAnsi"/>
                <w:noProof/>
              </w:rPr>
            </w:pPr>
            <w:r>
              <w:rPr>
                <w:noProof/>
              </w:rPr>
              <w:t>RE-C06-i06</w:t>
            </w:r>
          </w:p>
        </w:tc>
        <w:tc>
          <w:tcPr>
            <w:tcW w:w="1134" w:type="dxa"/>
            <w:shd w:val="clear" w:color="auto" w:fill="C4EFCE"/>
            <w:noWrap/>
            <w:vAlign w:val="center"/>
          </w:tcPr>
          <w:p w14:paraId="46F364F4" w14:textId="76B61AEE" w:rsidR="00154AD2" w:rsidRDefault="007F6BF3">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0274D0FE" w14:textId="05A036E6" w:rsidR="00154AD2" w:rsidRDefault="007F6BF3">
            <w:pPr>
              <w:pStyle w:val="P68B1DB1-Normal12"/>
              <w:spacing w:after="0" w:line="240" w:lineRule="auto"/>
              <w:jc w:val="center"/>
              <w:rPr>
                <w:rFonts w:eastAsia="Times New Roman" w:cstheme="minorHAnsi"/>
                <w:noProof/>
              </w:rPr>
            </w:pPr>
            <w:r>
              <w:rPr>
                <w:noProof/>
              </w:rPr>
              <w:t>Διεθνείς συμπράξεις στους τομείς της επιστήμης, της τεχνολογίας και της καινοτομίας: Υποστηριζόμενες διεθνείς εταιρικές σχέσεις· Υποστηριζόμενα έργα Ε &amp; Ι· Υποστηριζόμενη διεθνής κινητικότητα</w:t>
            </w:r>
          </w:p>
        </w:tc>
        <w:tc>
          <w:tcPr>
            <w:tcW w:w="1275" w:type="dxa"/>
            <w:shd w:val="clear" w:color="auto" w:fill="C4EFCE"/>
            <w:noWrap/>
            <w:vAlign w:val="center"/>
          </w:tcPr>
          <w:p w14:paraId="56824669" w14:textId="4A80532A" w:rsidR="00154AD2" w:rsidRDefault="007F6BF3">
            <w:pPr>
              <w:pStyle w:val="P68B1DB1-Normal12"/>
              <w:spacing w:after="0" w:line="240" w:lineRule="auto"/>
              <w:jc w:val="center"/>
              <w:rPr>
                <w:rFonts w:eastAsia="Times New Roman"/>
                <w:noProof/>
              </w:rPr>
            </w:pPr>
            <w:r>
              <w:rPr>
                <w:noProof/>
              </w:rPr>
              <w:t>Διεθνείς συμπράξεις στους τομείς της επιστήμης, της τεχνολογίας και της καινοτομίας: Υποστηριζόμενες διεθνείς εταιρικές σχέσεις· Υποστηριζόμενα έργα Ε &amp; Ι· Υποστηριζόμενη διεθνής κινητικότητα</w:t>
            </w:r>
          </w:p>
        </w:tc>
        <w:tc>
          <w:tcPr>
            <w:tcW w:w="993" w:type="dxa"/>
            <w:shd w:val="clear" w:color="auto" w:fill="C4EFCE"/>
            <w:noWrap/>
            <w:vAlign w:val="center"/>
          </w:tcPr>
          <w:p w14:paraId="5ED41571" w14:textId="1AF5D95C" w:rsidR="00154AD2" w:rsidRDefault="00154AD2">
            <w:pPr>
              <w:spacing w:after="0" w:line="240" w:lineRule="auto"/>
              <w:jc w:val="center"/>
              <w:rPr>
                <w:noProof/>
                <w:sz w:val="16"/>
              </w:rPr>
            </w:pPr>
          </w:p>
        </w:tc>
        <w:tc>
          <w:tcPr>
            <w:tcW w:w="992" w:type="dxa"/>
            <w:shd w:val="clear" w:color="auto" w:fill="C4EFCE"/>
            <w:noWrap/>
            <w:vAlign w:val="center"/>
          </w:tcPr>
          <w:p w14:paraId="09478518" w14:textId="77777777" w:rsidR="00154AD2" w:rsidRDefault="00154AD2">
            <w:pPr>
              <w:spacing w:after="0" w:line="240" w:lineRule="auto"/>
              <w:jc w:val="center"/>
              <w:rPr>
                <w:rFonts w:eastAsia="Times New Roman" w:cstheme="minorHAnsi"/>
                <w:noProof/>
                <w:sz w:val="16"/>
              </w:rPr>
            </w:pPr>
          </w:p>
        </w:tc>
        <w:tc>
          <w:tcPr>
            <w:tcW w:w="850" w:type="dxa"/>
            <w:shd w:val="clear" w:color="auto" w:fill="C4EFCE"/>
            <w:noWrap/>
            <w:vAlign w:val="center"/>
          </w:tcPr>
          <w:p w14:paraId="17C9928F" w14:textId="77777777" w:rsidR="00154AD2" w:rsidRDefault="00154AD2">
            <w:pPr>
              <w:spacing w:after="0" w:line="240" w:lineRule="auto"/>
              <w:jc w:val="center"/>
              <w:rPr>
                <w:rFonts w:eastAsia="Times New Roman" w:cstheme="minorHAnsi"/>
                <w:noProof/>
                <w:sz w:val="16"/>
              </w:rPr>
            </w:pPr>
          </w:p>
        </w:tc>
        <w:tc>
          <w:tcPr>
            <w:tcW w:w="567" w:type="dxa"/>
            <w:shd w:val="clear" w:color="auto" w:fill="C4EFCE"/>
            <w:noWrap/>
            <w:vAlign w:val="center"/>
          </w:tcPr>
          <w:p w14:paraId="2B082B34" w14:textId="23598E88" w:rsidR="00154AD2" w:rsidRDefault="007F6BF3">
            <w:pPr>
              <w:pStyle w:val="P68B1DB1-Normal12"/>
              <w:spacing w:after="0" w:line="240" w:lineRule="auto"/>
              <w:jc w:val="center"/>
              <w:rPr>
                <w:rFonts w:eastAsia="Times New Roman" w:cstheme="minorHAnsi"/>
                <w:noProof/>
              </w:rPr>
            </w:pPr>
            <w:r>
              <w:rPr>
                <w:noProof/>
              </w:rPr>
              <w:t>ΤΡΊΜΗΝΟ 1</w:t>
            </w:r>
          </w:p>
        </w:tc>
        <w:tc>
          <w:tcPr>
            <w:tcW w:w="708" w:type="dxa"/>
            <w:shd w:val="clear" w:color="auto" w:fill="C4EFCE"/>
            <w:noWrap/>
            <w:vAlign w:val="center"/>
          </w:tcPr>
          <w:p w14:paraId="736E26A8" w14:textId="3DBDCE66" w:rsidR="00154AD2" w:rsidRDefault="007F6BF3">
            <w:pPr>
              <w:pStyle w:val="P68B1DB1-Normal12"/>
              <w:spacing w:after="0" w:line="240" w:lineRule="auto"/>
              <w:jc w:val="center"/>
              <w:rPr>
                <w:rFonts w:eastAsia="Times New Roman" w:cstheme="minorHAnsi"/>
                <w:noProof/>
              </w:rPr>
            </w:pPr>
            <w:r>
              <w:rPr>
                <w:noProof/>
              </w:rPr>
              <w:t>2026</w:t>
            </w:r>
          </w:p>
        </w:tc>
        <w:tc>
          <w:tcPr>
            <w:tcW w:w="4395" w:type="dxa"/>
            <w:shd w:val="clear" w:color="auto" w:fill="C4EFCE"/>
            <w:vAlign w:val="center"/>
          </w:tcPr>
          <w:p w14:paraId="35A3F479" w14:textId="7E0BEAF8" w:rsidR="00154AD2" w:rsidRDefault="007F6BF3">
            <w:pPr>
              <w:pStyle w:val="P68B1DB1-Bodytext1013"/>
              <w:spacing w:after="0" w:line="240" w:lineRule="auto"/>
              <w:jc w:val="both"/>
              <w:rPr>
                <w:rFonts w:cstheme="minorBidi"/>
                <w:noProof/>
              </w:rPr>
            </w:pPr>
            <w:r>
              <w:rPr>
                <w:noProof/>
              </w:rPr>
              <w:t>Υπογράφονται έξι συμβάσεις για διεθνείς συμπράξεις στους τομείς της επιστήμης, της τεχνολογίας και της καινοτομίας με τα εθνικά ιδρύματα υποδοχής.</w:t>
            </w:r>
          </w:p>
          <w:p w14:paraId="1570EE45" w14:textId="77777777" w:rsidR="00154AD2" w:rsidRDefault="00154AD2">
            <w:pPr>
              <w:pStyle w:val="Bodytext10"/>
              <w:spacing w:after="0" w:line="240" w:lineRule="auto"/>
              <w:jc w:val="both"/>
              <w:rPr>
                <w:rFonts w:asciiTheme="minorHAnsi" w:hAnsiTheme="minorHAnsi" w:cstheme="minorBidi"/>
                <w:noProof/>
                <w:sz w:val="16"/>
              </w:rPr>
            </w:pPr>
          </w:p>
          <w:p w14:paraId="6DE6A27E" w14:textId="4F262688" w:rsidR="00154AD2" w:rsidRDefault="007F6BF3">
            <w:pPr>
              <w:pStyle w:val="P68B1DB1-Bodytext1013"/>
              <w:spacing w:after="0" w:line="240" w:lineRule="auto"/>
              <w:jc w:val="both"/>
              <w:rPr>
                <w:rFonts w:cstheme="minorBidi"/>
                <w:noProof/>
              </w:rPr>
            </w:pPr>
            <w:r>
              <w:rPr>
                <w:noProof/>
              </w:rPr>
              <w:t>Υποστηρίζονται 30 έργα, συμμαχίες και υποδομές με εθνική συμμετοχή που επιλέγονται σε ευρωπαϊκό επίπεδο.</w:t>
            </w:r>
          </w:p>
          <w:p w14:paraId="63CDE0C8" w14:textId="71BFC2F0" w:rsidR="00154AD2" w:rsidRDefault="007F6BF3">
            <w:pPr>
              <w:pStyle w:val="P68B1DB1-Bodytext1013"/>
              <w:spacing w:after="0" w:line="240" w:lineRule="auto"/>
              <w:jc w:val="both"/>
              <w:rPr>
                <w:rFonts w:cstheme="minorBidi"/>
                <w:noProof/>
              </w:rPr>
            </w:pPr>
            <w:r>
              <w:rPr>
                <w:noProof/>
              </w:rPr>
              <w:t>Υποστηρίζεται η διεθνής κινητικότητα 100 εθνικών ερευνητών και εκπαιδευτικών.</w:t>
            </w:r>
          </w:p>
        </w:tc>
      </w:tr>
      <w:tr w:rsidR="00154AD2" w14:paraId="66721075" w14:textId="77777777">
        <w:trPr>
          <w:trHeight w:val="640"/>
        </w:trPr>
        <w:tc>
          <w:tcPr>
            <w:tcW w:w="1135" w:type="dxa"/>
            <w:shd w:val="clear" w:color="auto" w:fill="C5EFCE"/>
            <w:vAlign w:val="center"/>
          </w:tcPr>
          <w:p w14:paraId="48CD17D8" w14:textId="27C11524" w:rsidR="00154AD2" w:rsidRDefault="007F6BF3">
            <w:pPr>
              <w:pStyle w:val="P68B1DB1-Normal11"/>
              <w:spacing w:after="0" w:line="240" w:lineRule="auto"/>
              <w:jc w:val="center"/>
              <w:rPr>
                <w:noProof/>
              </w:rPr>
            </w:pPr>
            <w:r>
              <w:rPr>
                <w:noProof/>
              </w:rPr>
              <w:t>6.21</w:t>
            </w:r>
          </w:p>
        </w:tc>
        <w:tc>
          <w:tcPr>
            <w:tcW w:w="1276" w:type="dxa"/>
            <w:shd w:val="clear" w:color="auto" w:fill="C4EFCE"/>
            <w:noWrap/>
            <w:vAlign w:val="center"/>
          </w:tcPr>
          <w:p w14:paraId="7F188F7C" w14:textId="66E53AF2" w:rsidR="00154AD2" w:rsidRDefault="007F6BF3">
            <w:pPr>
              <w:pStyle w:val="P68B1DB1-Normal12"/>
              <w:spacing w:after="0" w:line="240" w:lineRule="auto"/>
              <w:jc w:val="center"/>
              <w:rPr>
                <w:rFonts w:cstheme="minorHAnsi"/>
                <w:noProof/>
              </w:rPr>
            </w:pPr>
            <w:r>
              <w:rPr>
                <w:noProof/>
              </w:rPr>
              <w:t>RE-C06-i07</w:t>
            </w:r>
          </w:p>
        </w:tc>
        <w:tc>
          <w:tcPr>
            <w:tcW w:w="1134" w:type="dxa"/>
            <w:shd w:val="clear" w:color="auto" w:fill="C4EFCE"/>
            <w:noWrap/>
            <w:vAlign w:val="center"/>
          </w:tcPr>
          <w:p w14:paraId="6C4575F7" w14:textId="03133D2B" w:rsidR="00154AD2" w:rsidRDefault="007F6BF3">
            <w:pPr>
              <w:pStyle w:val="P68B1DB1-Normal12"/>
              <w:spacing w:after="0" w:line="240" w:lineRule="auto"/>
              <w:jc w:val="center"/>
              <w:rPr>
                <w:rFonts w:cstheme="minorHAnsi"/>
                <w:noProof/>
              </w:rPr>
            </w:pPr>
            <w:r>
              <w:rPr>
                <w:noProof/>
              </w:rPr>
              <w:t>T</w:t>
            </w:r>
          </w:p>
        </w:tc>
        <w:tc>
          <w:tcPr>
            <w:tcW w:w="1701" w:type="dxa"/>
            <w:shd w:val="clear" w:color="auto" w:fill="C4EFCE"/>
            <w:noWrap/>
            <w:vAlign w:val="center"/>
          </w:tcPr>
          <w:p w14:paraId="3FCB708D" w14:textId="3B3E8E18" w:rsidR="00154AD2" w:rsidRDefault="007F6BF3">
            <w:pPr>
              <w:pStyle w:val="P68B1DB1-Normal12"/>
              <w:spacing w:after="0" w:line="240" w:lineRule="auto"/>
              <w:jc w:val="center"/>
              <w:rPr>
                <w:noProof/>
              </w:rPr>
            </w:pPr>
            <w:r>
              <w:rPr>
                <w:noProof/>
              </w:rPr>
              <w:t xml:space="preserve">Τεχνολογικός και ψηφιακός εκσυγχρονισμός των αγροτικών επιστημών: Μεταρρύθμιση του προγράμματος σπουδών των αγροτικών επιστημών, άνοιγμα των γεωργικών σχολείων σε μαθητές δευτεροβάθμιας εκπαίδευσης και επανειδίκευση των επαγγελματιών  </w:t>
            </w:r>
          </w:p>
        </w:tc>
        <w:tc>
          <w:tcPr>
            <w:tcW w:w="1275" w:type="dxa"/>
            <w:shd w:val="clear" w:color="auto" w:fill="C4EFCE"/>
            <w:noWrap/>
            <w:vAlign w:val="center"/>
          </w:tcPr>
          <w:p w14:paraId="7AA9B9BF" w14:textId="42CE9F74" w:rsidR="00154AD2" w:rsidRDefault="00154AD2">
            <w:pPr>
              <w:spacing w:after="0" w:line="240" w:lineRule="auto"/>
              <w:jc w:val="center"/>
              <w:rPr>
                <w:noProof/>
                <w:sz w:val="16"/>
              </w:rPr>
            </w:pPr>
          </w:p>
        </w:tc>
        <w:tc>
          <w:tcPr>
            <w:tcW w:w="993" w:type="dxa"/>
            <w:shd w:val="clear" w:color="auto" w:fill="C4EFCE"/>
            <w:noWrap/>
            <w:vAlign w:val="center"/>
          </w:tcPr>
          <w:p w14:paraId="5C47BD23" w14:textId="71BE01C2" w:rsidR="00154AD2" w:rsidRDefault="007F6BF3">
            <w:pPr>
              <w:pStyle w:val="P68B1DB1-Normal12"/>
              <w:spacing w:after="0" w:line="240" w:lineRule="auto"/>
              <w:jc w:val="center"/>
              <w:rPr>
                <w:noProof/>
              </w:rPr>
            </w:pPr>
            <w:r>
              <w:rPr>
                <w:noProof/>
              </w:rPr>
              <w:t>Αριθμός</w:t>
            </w:r>
          </w:p>
        </w:tc>
        <w:tc>
          <w:tcPr>
            <w:tcW w:w="992" w:type="dxa"/>
            <w:shd w:val="clear" w:color="auto" w:fill="C4EFCE"/>
            <w:noWrap/>
            <w:vAlign w:val="center"/>
          </w:tcPr>
          <w:p w14:paraId="472FBF28" w14:textId="2DD9CCA7" w:rsidR="00154AD2" w:rsidRDefault="007F6BF3">
            <w:pPr>
              <w:pStyle w:val="P68B1DB1-Normal12"/>
              <w:spacing w:after="0" w:line="240" w:lineRule="auto"/>
              <w:jc w:val="center"/>
              <w:rPr>
                <w:rFonts w:eastAsia="Times New Roman"/>
                <w:noProof/>
              </w:rPr>
            </w:pPr>
            <w:r>
              <w:rPr>
                <w:noProof/>
              </w:rPr>
              <w:t>0</w:t>
            </w:r>
          </w:p>
        </w:tc>
        <w:tc>
          <w:tcPr>
            <w:tcW w:w="850" w:type="dxa"/>
            <w:shd w:val="clear" w:color="auto" w:fill="C4EFCE"/>
            <w:noWrap/>
            <w:vAlign w:val="center"/>
          </w:tcPr>
          <w:p w14:paraId="0DC53A66" w14:textId="64A65D02" w:rsidR="00154AD2" w:rsidRDefault="007F6BF3">
            <w:pPr>
              <w:pStyle w:val="P68B1DB1-Normal12"/>
              <w:spacing w:after="0" w:line="240" w:lineRule="auto"/>
              <w:jc w:val="center"/>
              <w:rPr>
                <w:rFonts w:eastAsia="Times New Roman"/>
                <w:noProof/>
              </w:rPr>
            </w:pPr>
            <w:r>
              <w:rPr>
                <w:noProof/>
              </w:rPr>
              <w:t>7 020</w:t>
            </w:r>
          </w:p>
        </w:tc>
        <w:tc>
          <w:tcPr>
            <w:tcW w:w="567" w:type="dxa"/>
            <w:shd w:val="clear" w:color="auto" w:fill="C4EFCE"/>
            <w:noWrap/>
            <w:vAlign w:val="center"/>
          </w:tcPr>
          <w:p w14:paraId="625E1EDD" w14:textId="12420CA2" w:rsidR="00154AD2" w:rsidRDefault="007F6BF3">
            <w:pPr>
              <w:pStyle w:val="P68B1DB1-Normal12"/>
              <w:spacing w:after="0" w:line="240" w:lineRule="auto"/>
              <w:jc w:val="center"/>
              <w:rPr>
                <w:rFonts w:cstheme="minorHAnsi"/>
                <w:noProof/>
              </w:rPr>
            </w:pPr>
            <w:r>
              <w:rPr>
                <w:noProof/>
              </w:rPr>
              <w:t>ΤΡΊΜΗΝΟ 2</w:t>
            </w:r>
          </w:p>
        </w:tc>
        <w:tc>
          <w:tcPr>
            <w:tcW w:w="708" w:type="dxa"/>
            <w:shd w:val="clear" w:color="auto" w:fill="C4EFCE"/>
            <w:noWrap/>
            <w:vAlign w:val="center"/>
          </w:tcPr>
          <w:p w14:paraId="4FD2ECE2" w14:textId="0AEB54AF" w:rsidR="00154AD2" w:rsidRDefault="007F6BF3">
            <w:pPr>
              <w:pStyle w:val="P68B1DB1-Normal12"/>
              <w:spacing w:after="0" w:line="240" w:lineRule="auto"/>
              <w:jc w:val="center"/>
              <w:rPr>
                <w:rFonts w:cstheme="minorHAnsi"/>
                <w:noProof/>
              </w:rPr>
            </w:pPr>
            <w:r>
              <w:rPr>
                <w:noProof/>
              </w:rPr>
              <w:t>2026</w:t>
            </w:r>
          </w:p>
        </w:tc>
        <w:tc>
          <w:tcPr>
            <w:tcW w:w="4395" w:type="dxa"/>
            <w:shd w:val="clear" w:color="auto" w:fill="C4EFCE"/>
            <w:vAlign w:val="center"/>
          </w:tcPr>
          <w:p w14:paraId="5D0A3DF6" w14:textId="2108C601" w:rsidR="00154AD2" w:rsidRDefault="007F6BF3">
            <w:pPr>
              <w:pStyle w:val="P68B1DB1-Bodytext1013"/>
              <w:spacing w:after="0" w:line="240" w:lineRule="auto"/>
              <w:jc w:val="both"/>
              <w:rPr>
                <w:rFonts w:cstheme="minorBidi"/>
                <w:noProof/>
              </w:rPr>
            </w:pPr>
            <w:r>
              <w:rPr>
                <w:noProof/>
              </w:rPr>
              <w:t>Εφαρμοζόμενη μεταρρύθμιση προγραμμάτων 20 πτυχίων (Bachelor ή Master, ή και τα δύο) στις αγροτικές επιστήμες από:</w:t>
            </w:r>
          </w:p>
          <w:p w14:paraId="6CF7E7C6" w14:textId="77777777" w:rsidR="00154AD2" w:rsidRDefault="007F6BF3">
            <w:pPr>
              <w:pStyle w:val="P68B1DB1-Bodytext1013"/>
              <w:spacing w:after="0" w:line="240" w:lineRule="auto"/>
              <w:jc w:val="both"/>
              <w:rPr>
                <w:rFonts w:cstheme="minorBidi"/>
                <w:noProof/>
              </w:rPr>
            </w:pPr>
            <w:r>
              <w:rPr>
                <w:noProof/>
              </w:rPr>
              <w:t>ενίσχυση της ψηφιακής και τεχνολογικής συνιστώσας, με την αγορά εξοπλισμού για εκπαιδευτικά ιδρύματα</w:t>
            </w:r>
          </w:p>
          <w:p w14:paraId="7D8375DC" w14:textId="3010FE9E" w:rsidR="00154AD2" w:rsidRDefault="007F6BF3">
            <w:pPr>
              <w:pStyle w:val="P68B1DB1-Bodytext1013"/>
              <w:spacing w:after="0" w:line="240" w:lineRule="auto"/>
              <w:jc w:val="both"/>
              <w:rPr>
                <w:rFonts w:cstheme="minorBidi"/>
                <w:noProof/>
              </w:rPr>
            </w:pPr>
            <w:r>
              <w:rPr>
                <w:noProof/>
              </w:rPr>
              <w:t>διεθνοποίηση, συμπεριλαμβανομένης της διοργάνωσης προσκεκλημένων προέδρων</w:t>
            </w:r>
          </w:p>
          <w:p w14:paraId="1227FFF1" w14:textId="319AEAE0" w:rsidR="00154AD2" w:rsidRDefault="007F6BF3">
            <w:pPr>
              <w:pStyle w:val="P68B1DB1-Bodytext1013"/>
              <w:spacing w:after="0" w:line="240" w:lineRule="auto"/>
              <w:jc w:val="both"/>
              <w:rPr>
                <w:rFonts w:cstheme="minorBidi"/>
                <w:noProof/>
              </w:rPr>
            </w:pPr>
            <w:r>
              <w:rPr>
                <w:noProof/>
              </w:rPr>
              <w:t xml:space="preserve">— διοργανική συνεργασία με την εφαρμογή της στρατηγικής για τη διεθνοποίηση της γεωργικής εκπαίδευσης σε κοινοπραξία. </w:t>
            </w:r>
          </w:p>
          <w:p w14:paraId="53ABA183" w14:textId="319AEAE0" w:rsidR="00154AD2" w:rsidRDefault="00154AD2">
            <w:pPr>
              <w:pStyle w:val="Bodytext10"/>
              <w:spacing w:after="0" w:line="240" w:lineRule="auto"/>
              <w:jc w:val="both"/>
              <w:rPr>
                <w:rStyle w:val="Bodytext1"/>
                <w:rFonts w:asciiTheme="minorHAnsi" w:hAnsiTheme="minorHAnsi" w:cstheme="minorBidi"/>
                <w:noProof/>
                <w:sz w:val="16"/>
              </w:rPr>
            </w:pPr>
          </w:p>
          <w:p w14:paraId="496B7FD9" w14:textId="544DE159" w:rsidR="00154AD2" w:rsidRDefault="007F6BF3">
            <w:pPr>
              <w:pStyle w:val="P68B1DB1-Bodytext1013"/>
              <w:spacing w:after="0" w:line="240" w:lineRule="auto"/>
              <w:jc w:val="both"/>
              <w:rPr>
                <w:rFonts w:cstheme="minorBidi"/>
                <w:noProof/>
              </w:rPr>
            </w:pPr>
            <w:r>
              <w:rPr>
                <w:noProof/>
              </w:rPr>
              <w:t>6000 μαθητές δευτεροβάθμιας εκπαίδευσης θα επωφεληθούν από πρόγραμμα μίας εβδομάδας σε γεωργικές σχολές με στόχο την αύξηση της ελκυστικότητας των γεωργικών σχολείων για τους δυνητικούς αιτούντες.</w:t>
            </w:r>
          </w:p>
          <w:p w14:paraId="1FC3030B" w14:textId="3C773367" w:rsidR="00154AD2" w:rsidRDefault="00154AD2">
            <w:pPr>
              <w:pStyle w:val="Bodytext10"/>
              <w:spacing w:after="0" w:line="240" w:lineRule="auto"/>
              <w:jc w:val="both"/>
              <w:rPr>
                <w:rFonts w:asciiTheme="minorHAnsi" w:hAnsiTheme="minorHAnsi" w:cstheme="minorBidi"/>
                <w:noProof/>
                <w:sz w:val="16"/>
              </w:rPr>
            </w:pPr>
          </w:p>
          <w:p w14:paraId="69D689D1" w14:textId="63B60CD2" w:rsidR="00154AD2" w:rsidRDefault="007F6BF3">
            <w:pPr>
              <w:pStyle w:val="P68B1DB1-Bodytext1013"/>
              <w:spacing w:after="0" w:line="240" w:lineRule="auto"/>
              <w:jc w:val="both"/>
              <w:rPr>
                <w:rStyle w:val="Bodytext1"/>
                <w:rFonts w:asciiTheme="minorHAnsi" w:hAnsiTheme="minorHAnsi" w:cstheme="minorBidi"/>
                <w:noProof/>
                <w:sz w:val="16"/>
              </w:rPr>
            </w:pPr>
            <w:r>
              <w:rPr>
                <w:noProof/>
              </w:rPr>
              <w:t>1000 επαγγελματίες του γεωργικού τομέα ολοκληρώνουν ψηφιακή και τεχνολογική κατάρτιση μέσω μικροδιαπιστευτηρίων ή μικρής διάρκειας επαγγελματικής κατάρτισης τριτοβάθμιας εκπαίδευσης ή επαγγελματιών πλοιάρχων.</w:t>
            </w:r>
          </w:p>
        </w:tc>
      </w:tr>
      <w:tr w:rsidR="00154AD2" w14:paraId="5AB95557" w14:textId="77777777">
        <w:trPr>
          <w:trHeight w:val="640"/>
        </w:trPr>
        <w:tc>
          <w:tcPr>
            <w:tcW w:w="1135" w:type="dxa"/>
            <w:shd w:val="clear" w:color="auto" w:fill="C5EFCE"/>
            <w:vAlign w:val="center"/>
          </w:tcPr>
          <w:p w14:paraId="0D1BDDD8" w14:textId="07872EC0" w:rsidR="00154AD2" w:rsidRDefault="007F6BF3">
            <w:pPr>
              <w:pStyle w:val="P68B1DB1-Normal11"/>
              <w:spacing w:after="0" w:line="240" w:lineRule="auto"/>
              <w:jc w:val="center"/>
              <w:rPr>
                <w:noProof/>
              </w:rPr>
            </w:pPr>
            <w:r>
              <w:rPr>
                <w:noProof/>
              </w:rPr>
              <w:t>6.22</w:t>
            </w:r>
          </w:p>
        </w:tc>
        <w:tc>
          <w:tcPr>
            <w:tcW w:w="1276" w:type="dxa"/>
            <w:shd w:val="clear" w:color="auto" w:fill="C4EFCE"/>
            <w:noWrap/>
            <w:vAlign w:val="center"/>
          </w:tcPr>
          <w:p w14:paraId="011A4D16" w14:textId="7298F3BD" w:rsidR="00154AD2" w:rsidRDefault="007F6BF3">
            <w:pPr>
              <w:pStyle w:val="P68B1DB1-Normal12"/>
              <w:spacing w:after="0" w:line="240" w:lineRule="auto"/>
              <w:jc w:val="center"/>
              <w:rPr>
                <w:rFonts w:cstheme="minorHAnsi"/>
                <w:noProof/>
              </w:rPr>
            </w:pPr>
            <w:r>
              <w:rPr>
                <w:noProof/>
              </w:rPr>
              <w:t>RE-C06-i07</w:t>
            </w:r>
          </w:p>
        </w:tc>
        <w:tc>
          <w:tcPr>
            <w:tcW w:w="1134" w:type="dxa"/>
            <w:shd w:val="clear" w:color="auto" w:fill="C4EFCE"/>
            <w:noWrap/>
            <w:vAlign w:val="center"/>
          </w:tcPr>
          <w:p w14:paraId="690BFF82" w14:textId="70CB804F" w:rsidR="00154AD2" w:rsidRDefault="007F6BF3">
            <w:pPr>
              <w:pStyle w:val="P68B1DB1-Normal12"/>
              <w:spacing w:after="0" w:line="240" w:lineRule="auto"/>
              <w:jc w:val="center"/>
              <w:rPr>
                <w:rFonts w:cstheme="minorHAnsi"/>
                <w:noProof/>
              </w:rPr>
            </w:pPr>
            <w:r>
              <w:rPr>
                <w:noProof/>
              </w:rPr>
              <w:t>T</w:t>
            </w:r>
          </w:p>
        </w:tc>
        <w:tc>
          <w:tcPr>
            <w:tcW w:w="1701" w:type="dxa"/>
            <w:shd w:val="clear" w:color="auto" w:fill="C4EFCE"/>
            <w:noWrap/>
            <w:vAlign w:val="center"/>
          </w:tcPr>
          <w:p w14:paraId="0C56191D" w14:textId="4A065135" w:rsidR="00154AD2" w:rsidRDefault="007F6BF3">
            <w:pPr>
              <w:pStyle w:val="P68B1DB1-Normal12"/>
              <w:spacing w:after="0" w:line="240" w:lineRule="auto"/>
              <w:jc w:val="center"/>
              <w:rPr>
                <w:rFonts w:cstheme="minorHAnsi"/>
                <w:noProof/>
              </w:rPr>
            </w:pPr>
            <w:r>
              <w:rPr>
                <w:noProof/>
              </w:rPr>
              <w:t>Εκσυγχρονισμός της ιατρικής</w:t>
            </w:r>
          </w:p>
        </w:tc>
        <w:tc>
          <w:tcPr>
            <w:tcW w:w="1275" w:type="dxa"/>
            <w:shd w:val="clear" w:color="auto" w:fill="C4EFCE"/>
            <w:noWrap/>
            <w:vAlign w:val="center"/>
          </w:tcPr>
          <w:p w14:paraId="5E0E2847" w14:textId="77777777" w:rsidR="00154AD2" w:rsidRDefault="00154AD2">
            <w:pPr>
              <w:spacing w:after="0" w:line="240" w:lineRule="auto"/>
              <w:jc w:val="center"/>
              <w:rPr>
                <w:rFonts w:cstheme="minorHAnsi"/>
                <w:noProof/>
                <w:sz w:val="16"/>
              </w:rPr>
            </w:pPr>
          </w:p>
        </w:tc>
        <w:tc>
          <w:tcPr>
            <w:tcW w:w="993" w:type="dxa"/>
            <w:shd w:val="clear" w:color="auto" w:fill="C4EFCE"/>
            <w:noWrap/>
            <w:vAlign w:val="center"/>
          </w:tcPr>
          <w:p w14:paraId="602C1537" w14:textId="535C74AD" w:rsidR="00154AD2" w:rsidRDefault="007F6BF3">
            <w:pPr>
              <w:pStyle w:val="P68B1DB1-Normal12"/>
              <w:spacing w:after="0" w:line="240" w:lineRule="auto"/>
              <w:jc w:val="center"/>
              <w:rPr>
                <w:noProof/>
              </w:rPr>
            </w:pPr>
            <w:r>
              <w:rPr>
                <w:noProof/>
              </w:rPr>
              <w:t>Αριθμός</w:t>
            </w:r>
          </w:p>
        </w:tc>
        <w:tc>
          <w:tcPr>
            <w:tcW w:w="992" w:type="dxa"/>
            <w:shd w:val="clear" w:color="auto" w:fill="C4EFCE"/>
            <w:noWrap/>
            <w:vAlign w:val="center"/>
          </w:tcPr>
          <w:p w14:paraId="1636CEA0" w14:textId="3F6BC36D" w:rsidR="00154AD2" w:rsidRDefault="007F6BF3">
            <w:pPr>
              <w:pStyle w:val="P68B1DB1-Normal12"/>
              <w:spacing w:after="0" w:line="240" w:lineRule="auto"/>
              <w:jc w:val="center"/>
              <w:rPr>
                <w:rFonts w:eastAsia="Times New Roman" w:cstheme="minorHAnsi"/>
                <w:noProof/>
              </w:rPr>
            </w:pPr>
            <w:r>
              <w:rPr>
                <w:noProof/>
              </w:rPr>
              <w:t>0</w:t>
            </w:r>
          </w:p>
        </w:tc>
        <w:tc>
          <w:tcPr>
            <w:tcW w:w="850" w:type="dxa"/>
            <w:shd w:val="clear" w:color="auto" w:fill="C4EFCE"/>
            <w:noWrap/>
            <w:vAlign w:val="center"/>
          </w:tcPr>
          <w:p w14:paraId="4FA19C54" w14:textId="5DA13673" w:rsidR="00154AD2" w:rsidRDefault="007F6BF3">
            <w:pPr>
              <w:pStyle w:val="P68B1DB1-Normal12"/>
              <w:spacing w:after="0" w:line="240" w:lineRule="auto"/>
              <w:jc w:val="center"/>
              <w:rPr>
                <w:rFonts w:eastAsia="Times New Roman" w:cstheme="minorHAnsi"/>
                <w:noProof/>
              </w:rPr>
            </w:pPr>
            <w:r>
              <w:rPr>
                <w:noProof/>
              </w:rPr>
              <w:t>12 500</w:t>
            </w:r>
          </w:p>
        </w:tc>
        <w:tc>
          <w:tcPr>
            <w:tcW w:w="567" w:type="dxa"/>
            <w:shd w:val="clear" w:color="auto" w:fill="C4EFCE"/>
            <w:noWrap/>
            <w:vAlign w:val="center"/>
          </w:tcPr>
          <w:p w14:paraId="05F711F2" w14:textId="578373FB" w:rsidR="00154AD2" w:rsidRDefault="007F6BF3">
            <w:pPr>
              <w:pStyle w:val="P68B1DB1-Normal12"/>
              <w:spacing w:after="0" w:line="240" w:lineRule="auto"/>
              <w:jc w:val="center"/>
              <w:rPr>
                <w:noProof/>
              </w:rPr>
            </w:pPr>
            <w:r>
              <w:rPr>
                <w:noProof/>
              </w:rPr>
              <w:t>ΤΡΊΜΗΝΟ 2</w:t>
            </w:r>
          </w:p>
        </w:tc>
        <w:tc>
          <w:tcPr>
            <w:tcW w:w="708" w:type="dxa"/>
            <w:shd w:val="clear" w:color="auto" w:fill="C4EFCE"/>
            <w:noWrap/>
            <w:vAlign w:val="center"/>
          </w:tcPr>
          <w:p w14:paraId="727812B4" w14:textId="69053B8C" w:rsidR="00154AD2" w:rsidRDefault="007F6BF3">
            <w:pPr>
              <w:pStyle w:val="P68B1DB1-Normal12"/>
              <w:spacing w:after="0" w:line="240" w:lineRule="auto"/>
              <w:jc w:val="center"/>
              <w:rPr>
                <w:noProof/>
              </w:rPr>
            </w:pPr>
            <w:r>
              <w:rPr>
                <w:noProof/>
              </w:rPr>
              <w:t>2026</w:t>
            </w:r>
          </w:p>
        </w:tc>
        <w:tc>
          <w:tcPr>
            <w:tcW w:w="4395" w:type="dxa"/>
            <w:shd w:val="clear" w:color="auto" w:fill="C4EFCE"/>
            <w:vAlign w:val="center"/>
          </w:tcPr>
          <w:p w14:paraId="0BE60C62" w14:textId="57230731" w:rsidR="00154AD2" w:rsidRDefault="007F6BF3">
            <w:pPr>
              <w:pStyle w:val="P68B1DB1-Bodytext1013"/>
              <w:spacing w:line="240" w:lineRule="auto"/>
              <w:jc w:val="both"/>
              <w:rPr>
                <w:rFonts w:cstheme="minorBidi"/>
                <w:noProof/>
              </w:rPr>
            </w:pPr>
            <w:r>
              <w:rPr>
                <w:noProof/>
              </w:rPr>
              <w:t>Τουλάχιστον 5 000 σπουδαστές ολοκληρωμένου μεταπτυχιακού διπλώματος συμμετέχουν σε προγράμματα σπουδών με τη χρήση ψηφιακών περιβαλλόντων ή ιατρικής προσομοίωσης. Για τον σκοπό αυτό, χρησιμοποιείται εξοπλισμός όπως ανδρείκελα υψηλής πιστότητας ή προσομοιωτές εικονικής πραγματικότητας.</w:t>
            </w:r>
          </w:p>
          <w:p w14:paraId="03728086" w14:textId="31BE029E" w:rsidR="00154AD2" w:rsidRDefault="007F6BF3">
            <w:pPr>
              <w:pStyle w:val="P68B1DB1-Bodytext1013"/>
              <w:spacing w:after="0" w:line="240" w:lineRule="auto"/>
              <w:jc w:val="both"/>
              <w:rPr>
                <w:rFonts w:cstheme="minorBidi"/>
                <w:noProof/>
              </w:rPr>
            </w:pPr>
            <w:r>
              <w:rPr>
                <w:noProof/>
              </w:rPr>
              <w:t>Τουλάχιστον 7 500 επαγγελματίες του τομέα της υγείας συμμετέχουν σε ιατρική κατάρτιση με επίκεντρο τον τεχνολογικό και ψηφιακό εκσυγχρονισμό του τομέα της υγειονομικής περίθαλψης. Πρέπει να προσφέρονται τρεις τύποι κατάρτισης: σύντομοι κύκλοι μαθημάτων τριτοβάθμιας εκπαίδευσης, επαγγελματίες μάστερ και/ή μικροδιαπιστευτήρια.</w:t>
            </w:r>
          </w:p>
        </w:tc>
      </w:tr>
      <w:tr w:rsidR="00154AD2" w14:paraId="7E7C518B" w14:textId="77777777">
        <w:trPr>
          <w:trHeight w:val="640"/>
        </w:trPr>
        <w:tc>
          <w:tcPr>
            <w:tcW w:w="1135" w:type="dxa"/>
            <w:shd w:val="clear" w:color="auto" w:fill="C5EFCE"/>
            <w:vAlign w:val="center"/>
          </w:tcPr>
          <w:p w14:paraId="7342B9AB" w14:textId="4D1C1BE5" w:rsidR="00154AD2" w:rsidRDefault="007F6BF3">
            <w:pPr>
              <w:pStyle w:val="P68B1DB1-Normal11"/>
              <w:spacing w:after="0" w:line="240" w:lineRule="auto"/>
              <w:jc w:val="center"/>
              <w:rPr>
                <w:noProof/>
              </w:rPr>
            </w:pPr>
            <w:r>
              <w:rPr>
                <w:noProof/>
              </w:rPr>
              <w:t>6.23</w:t>
            </w:r>
          </w:p>
        </w:tc>
        <w:tc>
          <w:tcPr>
            <w:tcW w:w="1276" w:type="dxa"/>
            <w:shd w:val="clear" w:color="auto" w:fill="C4EFCE"/>
            <w:noWrap/>
            <w:vAlign w:val="center"/>
          </w:tcPr>
          <w:p w14:paraId="61D9CF67" w14:textId="5923C0BC" w:rsidR="00154AD2" w:rsidRDefault="007F6BF3">
            <w:pPr>
              <w:pStyle w:val="P68B1DB1-Normal12"/>
              <w:spacing w:after="0" w:line="240" w:lineRule="auto"/>
              <w:jc w:val="center"/>
              <w:rPr>
                <w:rFonts w:cstheme="minorHAnsi"/>
                <w:noProof/>
              </w:rPr>
            </w:pPr>
            <w:r>
              <w:rPr>
                <w:noProof/>
              </w:rPr>
              <w:t>RE-C06-i07</w:t>
            </w:r>
          </w:p>
        </w:tc>
        <w:tc>
          <w:tcPr>
            <w:tcW w:w="1134" w:type="dxa"/>
            <w:shd w:val="clear" w:color="auto" w:fill="C4EFCE"/>
            <w:noWrap/>
            <w:vAlign w:val="center"/>
          </w:tcPr>
          <w:p w14:paraId="7BF68D0A" w14:textId="4BA5BECB" w:rsidR="00154AD2" w:rsidRDefault="007F6BF3">
            <w:pPr>
              <w:pStyle w:val="P68B1DB1-Normal12"/>
              <w:spacing w:after="0" w:line="240" w:lineRule="auto"/>
              <w:jc w:val="center"/>
              <w:rPr>
                <w:rFonts w:cstheme="minorHAnsi"/>
                <w:noProof/>
              </w:rPr>
            </w:pPr>
            <w:r>
              <w:rPr>
                <w:noProof/>
              </w:rPr>
              <w:t>T</w:t>
            </w:r>
          </w:p>
        </w:tc>
        <w:tc>
          <w:tcPr>
            <w:tcW w:w="1701" w:type="dxa"/>
            <w:shd w:val="clear" w:color="auto" w:fill="C4EFCE"/>
            <w:noWrap/>
            <w:vAlign w:val="center"/>
          </w:tcPr>
          <w:p w14:paraId="3C8DA4AE" w14:textId="30954B10" w:rsidR="00154AD2" w:rsidRDefault="007F6BF3">
            <w:pPr>
              <w:pStyle w:val="P68B1DB1-Normal12"/>
              <w:spacing w:after="0" w:line="240" w:lineRule="auto"/>
              <w:jc w:val="center"/>
              <w:rPr>
                <w:rFonts w:cstheme="minorHAnsi"/>
                <w:noProof/>
              </w:rPr>
            </w:pPr>
            <w:r>
              <w:rPr>
                <w:noProof/>
              </w:rPr>
              <w:t>Ενίσχυση των ψηφιακών δεξιοτήτων</w:t>
            </w:r>
          </w:p>
        </w:tc>
        <w:tc>
          <w:tcPr>
            <w:tcW w:w="1275" w:type="dxa"/>
            <w:shd w:val="clear" w:color="auto" w:fill="C4EFCE"/>
            <w:noWrap/>
            <w:vAlign w:val="center"/>
          </w:tcPr>
          <w:p w14:paraId="20F37E5B" w14:textId="77777777" w:rsidR="00154AD2" w:rsidRDefault="00154AD2">
            <w:pPr>
              <w:spacing w:after="0" w:line="240" w:lineRule="auto"/>
              <w:jc w:val="center"/>
              <w:rPr>
                <w:rFonts w:cstheme="minorHAnsi"/>
                <w:noProof/>
                <w:sz w:val="16"/>
              </w:rPr>
            </w:pPr>
          </w:p>
        </w:tc>
        <w:tc>
          <w:tcPr>
            <w:tcW w:w="993" w:type="dxa"/>
            <w:shd w:val="clear" w:color="auto" w:fill="C4EFCE"/>
            <w:noWrap/>
            <w:vAlign w:val="center"/>
          </w:tcPr>
          <w:p w14:paraId="3843260D" w14:textId="7E687270" w:rsidR="00154AD2" w:rsidRDefault="007F6BF3">
            <w:pPr>
              <w:pStyle w:val="P68B1DB1-Normal12"/>
              <w:spacing w:after="0" w:line="240" w:lineRule="auto"/>
              <w:jc w:val="center"/>
              <w:rPr>
                <w:noProof/>
              </w:rPr>
            </w:pPr>
            <w:r>
              <w:rPr>
                <w:noProof/>
              </w:rPr>
              <w:t xml:space="preserve"> Αριθμός</w:t>
            </w:r>
          </w:p>
        </w:tc>
        <w:tc>
          <w:tcPr>
            <w:tcW w:w="992" w:type="dxa"/>
            <w:shd w:val="clear" w:color="auto" w:fill="C4EFCE"/>
            <w:noWrap/>
            <w:vAlign w:val="center"/>
          </w:tcPr>
          <w:p w14:paraId="03179505" w14:textId="02D7BE6B" w:rsidR="00154AD2" w:rsidRDefault="007F6BF3">
            <w:pPr>
              <w:pStyle w:val="P68B1DB1-Normal12"/>
              <w:spacing w:after="0" w:line="240" w:lineRule="auto"/>
              <w:jc w:val="center"/>
              <w:rPr>
                <w:rFonts w:eastAsia="Times New Roman" w:cstheme="minorHAnsi"/>
                <w:noProof/>
              </w:rPr>
            </w:pPr>
            <w:r>
              <w:rPr>
                <w:noProof/>
              </w:rPr>
              <w:t>0</w:t>
            </w:r>
          </w:p>
        </w:tc>
        <w:tc>
          <w:tcPr>
            <w:tcW w:w="850" w:type="dxa"/>
            <w:shd w:val="clear" w:color="auto" w:fill="C4EFCE"/>
            <w:noWrap/>
            <w:vAlign w:val="center"/>
          </w:tcPr>
          <w:p w14:paraId="3ABCA18E" w14:textId="5D6BAAE1" w:rsidR="00154AD2" w:rsidRDefault="007F6BF3">
            <w:pPr>
              <w:pStyle w:val="P68B1DB1-Normal12"/>
              <w:spacing w:after="0" w:line="240" w:lineRule="auto"/>
              <w:jc w:val="center"/>
              <w:rPr>
                <w:rFonts w:eastAsia="Times New Roman" w:cstheme="minorHAnsi"/>
                <w:noProof/>
              </w:rPr>
            </w:pPr>
            <w:r>
              <w:rPr>
                <w:noProof/>
              </w:rPr>
              <w:t>11 750</w:t>
            </w:r>
          </w:p>
        </w:tc>
        <w:tc>
          <w:tcPr>
            <w:tcW w:w="567" w:type="dxa"/>
            <w:shd w:val="clear" w:color="auto" w:fill="C4EFCE"/>
            <w:noWrap/>
            <w:vAlign w:val="center"/>
          </w:tcPr>
          <w:p w14:paraId="718E9C07" w14:textId="7AFA7A93" w:rsidR="00154AD2" w:rsidRDefault="007F6BF3">
            <w:pPr>
              <w:pStyle w:val="P68B1DB1-Normal12"/>
              <w:spacing w:after="0" w:line="240" w:lineRule="auto"/>
              <w:jc w:val="center"/>
              <w:rPr>
                <w:rFonts w:cstheme="minorHAnsi"/>
                <w:noProof/>
              </w:rPr>
            </w:pPr>
            <w:r>
              <w:rPr>
                <w:noProof/>
              </w:rPr>
              <w:t>ΤΡΊΜΗΝΟ 2</w:t>
            </w:r>
          </w:p>
        </w:tc>
        <w:tc>
          <w:tcPr>
            <w:tcW w:w="708" w:type="dxa"/>
            <w:shd w:val="clear" w:color="auto" w:fill="C4EFCE"/>
            <w:noWrap/>
            <w:vAlign w:val="center"/>
          </w:tcPr>
          <w:p w14:paraId="0704A86A" w14:textId="763D5987" w:rsidR="00154AD2" w:rsidRDefault="007F6BF3">
            <w:pPr>
              <w:pStyle w:val="P68B1DB1-Normal12"/>
              <w:spacing w:after="0" w:line="240" w:lineRule="auto"/>
              <w:jc w:val="center"/>
              <w:rPr>
                <w:rFonts w:cstheme="minorHAnsi"/>
                <w:noProof/>
              </w:rPr>
            </w:pPr>
            <w:r>
              <w:rPr>
                <w:noProof/>
              </w:rPr>
              <w:t>2026</w:t>
            </w:r>
          </w:p>
        </w:tc>
        <w:tc>
          <w:tcPr>
            <w:tcW w:w="4395" w:type="dxa"/>
            <w:shd w:val="clear" w:color="auto" w:fill="C4EFCE"/>
            <w:vAlign w:val="center"/>
          </w:tcPr>
          <w:p w14:paraId="58BDA553" w14:textId="0C921B07" w:rsidR="00154AD2" w:rsidRDefault="007F6BF3">
            <w:pPr>
              <w:pStyle w:val="P68B1DB1-Bodytext1013"/>
              <w:spacing w:after="0" w:line="240" w:lineRule="auto"/>
              <w:jc w:val="both"/>
              <w:rPr>
                <w:rFonts w:cstheme="minorBidi"/>
                <w:noProof/>
              </w:rPr>
            </w:pPr>
            <w:r>
              <w:rPr>
                <w:noProof/>
              </w:rPr>
              <w:t>11 750 νέοι και ενήλικες από τομείς εκτός STEAM συμμετέχουν στα προγράμματα για την ενίσχυση των ψηφιακών δεξιοτήτων.</w:t>
            </w:r>
          </w:p>
        </w:tc>
      </w:tr>
      <w:tr w:rsidR="00154AD2" w14:paraId="4D94B093" w14:textId="77777777">
        <w:trPr>
          <w:trHeight w:val="640"/>
        </w:trPr>
        <w:tc>
          <w:tcPr>
            <w:tcW w:w="1135" w:type="dxa"/>
            <w:shd w:val="clear" w:color="auto" w:fill="C5EFCE"/>
            <w:vAlign w:val="center"/>
          </w:tcPr>
          <w:p w14:paraId="34E64220" w14:textId="772B93AE" w:rsidR="00154AD2" w:rsidRDefault="007F6BF3">
            <w:pPr>
              <w:pStyle w:val="P68B1DB1-Normal11"/>
              <w:spacing w:after="0" w:line="240" w:lineRule="auto"/>
              <w:jc w:val="center"/>
              <w:rPr>
                <w:noProof/>
              </w:rPr>
            </w:pPr>
            <w:r>
              <w:rPr>
                <w:noProof/>
              </w:rPr>
              <w:t>6.24</w:t>
            </w:r>
          </w:p>
        </w:tc>
        <w:tc>
          <w:tcPr>
            <w:tcW w:w="1276" w:type="dxa"/>
            <w:shd w:val="clear" w:color="auto" w:fill="C4EFCE"/>
            <w:noWrap/>
            <w:vAlign w:val="center"/>
          </w:tcPr>
          <w:p w14:paraId="0083973A" w14:textId="5FF91370" w:rsidR="00154AD2" w:rsidRDefault="007F6BF3">
            <w:pPr>
              <w:pStyle w:val="P68B1DB1-Normal12"/>
              <w:spacing w:after="0" w:line="240" w:lineRule="auto"/>
              <w:jc w:val="center"/>
              <w:rPr>
                <w:rFonts w:cstheme="minorHAnsi"/>
                <w:noProof/>
              </w:rPr>
            </w:pPr>
            <w:r>
              <w:rPr>
                <w:noProof/>
              </w:rPr>
              <w:t>RE-C06-i07</w:t>
            </w:r>
          </w:p>
        </w:tc>
        <w:tc>
          <w:tcPr>
            <w:tcW w:w="1134" w:type="dxa"/>
            <w:shd w:val="clear" w:color="auto" w:fill="C4EFCE"/>
            <w:noWrap/>
            <w:vAlign w:val="center"/>
          </w:tcPr>
          <w:p w14:paraId="534D3821" w14:textId="716BA925" w:rsidR="00154AD2" w:rsidRDefault="007F6BF3">
            <w:pPr>
              <w:pStyle w:val="P68B1DB1-Normal12"/>
              <w:spacing w:after="0" w:line="240" w:lineRule="auto"/>
              <w:jc w:val="center"/>
              <w:rPr>
                <w:rFonts w:cstheme="minorHAnsi"/>
                <w:noProof/>
              </w:rPr>
            </w:pPr>
            <w:r>
              <w:rPr>
                <w:noProof/>
              </w:rPr>
              <w:t>M</w:t>
            </w:r>
          </w:p>
        </w:tc>
        <w:tc>
          <w:tcPr>
            <w:tcW w:w="1701" w:type="dxa"/>
            <w:shd w:val="clear" w:color="auto" w:fill="C4EFCE"/>
            <w:noWrap/>
            <w:vAlign w:val="center"/>
          </w:tcPr>
          <w:p w14:paraId="546F1C56" w14:textId="4A44DB24" w:rsidR="00154AD2" w:rsidRDefault="007F6BF3">
            <w:pPr>
              <w:pStyle w:val="P68B1DB1-Normal12"/>
              <w:spacing w:after="0" w:line="240" w:lineRule="auto"/>
              <w:jc w:val="center"/>
              <w:rPr>
                <w:rFonts w:cstheme="minorHAnsi"/>
                <w:noProof/>
              </w:rPr>
            </w:pPr>
            <w:r>
              <w:rPr>
                <w:noProof/>
              </w:rPr>
              <w:t>Καινοτομία και παιδαγωγικός εκσυγχρονισμός στην τριτοβάθμια εκπαίδευση</w:t>
            </w:r>
          </w:p>
        </w:tc>
        <w:tc>
          <w:tcPr>
            <w:tcW w:w="1275" w:type="dxa"/>
            <w:shd w:val="clear" w:color="auto" w:fill="C4EFCE"/>
            <w:noWrap/>
            <w:vAlign w:val="center"/>
          </w:tcPr>
          <w:p w14:paraId="459EE616" w14:textId="77777777" w:rsidR="00154AD2" w:rsidRDefault="00154AD2">
            <w:pPr>
              <w:spacing w:after="0" w:line="240" w:lineRule="auto"/>
              <w:jc w:val="center"/>
              <w:rPr>
                <w:rFonts w:cstheme="minorHAnsi"/>
                <w:noProof/>
                <w:sz w:val="16"/>
              </w:rPr>
            </w:pPr>
          </w:p>
        </w:tc>
        <w:tc>
          <w:tcPr>
            <w:tcW w:w="993" w:type="dxa"/>
            <w:shd w:val="clear" w:color="auto" w:fill="C4EFCE"/>
            <w:noWrap/>
            <w:vAlign w:val="center"/>
          </w:tcPr>
          <w:p w14:paraId="7BEDA178" w14:textId="53F4813C" w:rsidR="00154AD2" w:rsidRDefault="007F6BF3">
            <w:pPr>
              <w:pStyle w:val="P68B1DB1-Normal12"/>
              <w:spacing w:after="0" w:line="240" w:lineRule="auto"/>
              <w:jc w:val="center"/>
              <w:rPr>
                <w:noProof/>
              </w:rPr>
            </w:pPr>
            <w:r>
              <w:rPr>
                <w:noProof/>
              </w:rPr>
              <w:t xml:space="preserve"> Αριθμός</w:t>
            </w:r>
          </w:p>
        </w:tc>
        <w:tc>
          <w:tcPr>
            <w:tcW w:w="992" w:type="dxa"/>
            <w:shd w:val="clear" w:color="auto" w:fill="C4EFCE"/>
            <w:noWrap/>
            <w:vAlign w:val="center"/>
          </w:tcPr>
          <w:p w14:paraId="665883BC" w14:textId="2EC998CE" w:rsidR="00154AD2" w:rsidRDefault="007F6BF3">
            <w:pPr>
              <w:pStyle w:val="P68B1DB1-Normal12"/>
              <w:spacing w:after="0" w:line="240" w:lineRule="auto"/>
              <w:jc w:val="center"/>
              <w:rPr>
                <w:rFonts w:eastAsia="Times New Roman" w:cstheme="minorHAnsi"/>
                <w:noProof/>
              </w:rPr>
            </w:pPr>
            <w:r>
              <w:rPr>
                <w:noProof/>
              </w:rPr>
              <w:t>0</w:t>
            </w:r>
          </w:p>
        </w:tc>
        <w:tc>
          <w:tcPr>
            <w:tcW w:w="850" w:type="dxa"/>
            <w:shd w:val="clear" w:color="auto" w:fill="C4EFCE"/>
            <w:noWrap/>
            <w:vAlign w:val="center"/>
          </w:tcPr>
          <w:p w14:paraId="6CC2A8F9" w14:textId="06F7ECA2" w:rsidR="00154AD2" w:rsidRDefault="007F6BF3">
            <w:pPr>
              <w:pStyle w:val="P68B1DB1-Normal12"/>
              <w:spacing w:after="0" w:line="240" w:lineRule="auto"/>
              <w:jc w:val="center"/>
              <w:rPr>
                <w:rFonts w:eastAsia="Times New Roman" w:cstheme="minorHAnsi"/>
                <w:noProof/>
              </w:rPr>
            </w:pPr>
            <w:r>
              <w:rPr>
                <w:noProof/>
              </w:rPr>
              <w:t>5</w:t>
            </w:r>
          </w:p>
        </w:tc>
        <w:tc>
          <w:tcPr>
            <w:tcW w:w="567" w:type="dxa"/>
            <w:shd w:val="clear" w:color="auto" w:fill="C4EFCE"/>
            <w:noWrap/>
            <w:vAlign w:val="center"/>
          </w:tcPr>
          <w:p w14:paraId="02D944F5" w14:textId="703DB580" w:rsidR="00154AD2" w:rsidRDefault="007F6BF3">
            <w:pPr>
              <w:pStyle w:val="P68B1DB1-Normal12"/>
              <w:spacing w:after="0" w:line="240" w:lineRule="auto"/>
              <w:jc w:val="center"/>
              <w:rPr>
                <w:rFonts w:cstheme="minorHAnsi"/>
                <w:noProof/>
              </w:rPr>
            </w:pPr>
            <w:r>
              <w:rPr>
                <w:noProof/>
              </w:rPr>
              <w:t xml:space="preserve">ΤΡΊΜΗΝΟ 4 </w:t>
            </w:r>
          </w:p>
        </w:tc>
        <w:tc>
          <w:tcPr>
            <w:tcW w:w="708" w:type="dxa"/>
            <w:shd w:val="clear" w:color="auto" w:fill="C4EFCE"/>
            <w:noWrap/>
            <w:vAlign w:val="center"/>
          </w:tcPr>
          <w:p w14:paraId="64371F14" w14:textId="0A68E79D" w:rsidR="00154AD2" w:rsidRDefault="007F6BF3">
            <w:pPr>
              <w:pStyle w:val="P68B1DB1-Normal12"/>
              <w:spacing w:after="0" w:line="240" w:lineRule="auto"/>
              <w:jc w:val="center"/>
              <w:rPr>
                <w:rFonts w:cstheme="minorHAnsi"/>
                <w:noProof/>
              </w:rPr>
            </w:pPr>
            <w:r>
              <w:rPr>
                <w:noProof/>
              </w:rPr>
              <w:t>2024</w:t>
            </w:r>
          </w:p>
        </w:tc>
        <w:tc>
          <w:tcPr>
            <w:tcW w:w="4395" w:type="dxa"/>
            <w:shd w:val="clear" w:color="auto" w:fill="C4EFCE"/>
            <w:vAlign w:val="center"/>
          </w:tcPr>
          <w:p w14:paraId="31B02553" w14:textId="31BE029E" w:rsidR="00154AD2" w:rsidRDefault="007F6BF3">
            <w:pPr>
              <w:pStyle w:val="P68B1DB1-Bodytext1013"/>
              <w:spacing w:after="0" w:line="240" w:lineRule="auto"/>
              <w:jc w:val="both"/>
              <w:rPr>
                <w:rFonts w:cstheme="minorBidi"/>
                <w:noProof/>
              </w:rPr>
            </w:pPr>
            <w:r>
              <w:rPr>
                <w:noProof/>
              </w:rPr>
              <w:t xml:space="preserve">Δημιουργούνται πέντε κέντρα αριστείας παιδαγωγικής καινοτομίας με έμφαση στους μη τεχνολογικούς τομείς (κοινωνικές, ανθρωπιστικές και καλλιτεχνικές επιστήμες). Συγκροτείται το Εθνικό Συμβούλιο Παιδαγωγικής Καινοτομίας στην Τριτοβάθμια Εκπαίδευση. </w:t>
            </w:r>
          </w:p>
        </w:tc>
      </w:tr>
      <w:tr w:rsidR="00154AD2" w14:paraId="5EDD3E14" w14:textId="77777777">
        <w:trPr>
          <w:trHeight w:val="640"/>
        </w:trPr>
        <w:tc>
          <w:tcPr>
            <w:tcW w:w="1135" w:type="dxa"/>
            <w:shd w:val="clear" w:color="auto" w:fill="C5EFCE"/>
            <w:vAlign w:val="center"/>
          </w:tcPr>
          <w:p w14:paraId="42FF49FC" w14:textId="25C76D14" w:rsidR="00154AD2" w:rsidRDefault="007F6BF3">
            <w:pPr>
              <w:pStyle w:val="P68B1DB1-Normal11"/>
              <w:spacing w:after="0" w:line="240" w:lineRule="auto"/>
              <w:jc w:val="center"/>
              <w:rPr>
                <w:noProof/>
              </w:rPr>
            </w:pPr>
            <w:r>
              <w:rPr>
                <w:noProof/>
                <w:shd w:val="clear" w:color="auto" w:fill="E6E6E6"/>
              </w:rPr>
              <w:t>6.2</w:t>
            </w:r>
            <w:r>
              <w:rPr>
                <w:noProof/>
              </w:rPr>
              <w:t>5</w:t>
            </w:r>
          </w:p>
        </w:tc>
        <w:tc>
          <w:tcPr>
            <w:tcW w:w="1276" w:type="dxa"/>
            <w:shd w:val="clear" w:color="auto" w:fill="C4EFCE"/>
            <w:noWrap/>
            <w:vAlign w:val="center"/>
          </w:tcPr>
          <w:p w14:paraId="56C60FE1" w14:textId="4068A0BE" w:rsidR="00154AD2" w:rsidRDefault="007F6BF3">
            <w:pPr>
              <w:pStyle w:val="P68B1DB1-Normal12"/>
              <w:spacing w:after="0" w:line="240" w:lineRule="auto"/>
              <w:jc w:val="center"/>
              <w:rPr>
                <w:noProof/>
              </w:rPr>
            </w:pPr>
            <w:r>
              <w:rPr>
                <w:noProof/>
              </w:rPr>
              <w:t>RE-C06-i07</w:t>
            </w:r>
          </w:p>
        </w:tc>
        <w:tc>
          <w:tcPr>
            <w:tcW w:w="1134" w:type="dxa"/>
            <w:shd w:val="clear" w:color="auto" w:fill="C4EFCE"/>
            <w:noWrap/>
            <w:vAlign w:val="center"/>
          </w:tcPr>
          <w:p w14:paraId="075C0195" w14:textId="08EB7FE7" w:rsidR="00154AD2" w:rsidRDefault="007F6BF3">
            <w:pPr>
              <w:pStyle w:val="P68B1DB1-Normal12"/>
              <w:spacing w:after="0" w:line="240" w:lineRule="auto"/>
              <w:jc w:val="center"/>
              <w:rPr>
                <w:noProof/>
              </w:rPr>
            </w:pPr>
            <w:r>
              <w:rPr>
                <w:noProof/>
              </w:rPr>
              <w:t>T</w:t>
            </w:r>
          </w:p>
        </w:tc>
        <w:tc>
          <w:tcPr>
            <w:tcW w:w="1701" w:type="dxa"/>
            <w:shd w:val="clear" w:color="auto" w:fill="C4EFCE"/>
            <w:noWrap/>
            <w:vAlign w:val="center"/>
          </w:tcPr>
          <w:p w14:paraId="6FB5789C" w14:textId="4D968374" w:rsidR="00154AD2" w:rsidRDefault="007F6BF3">
            <w:pPr>
              <w:pStyle w:val="P68B1DB1-Normal12"/>
              <w:spacing w:after="0" w:line="240" w:lineRule="auto"/>
              <w:jc w:val="center"/>
              <w:rPr>
                <w:noProof/>
              </w:rPr>
            </w:pPr>
            <w:r>
              <w:rPr>
                <w:noProof/>
              </w:rPr>
              <w:t>Καινοτομία και παιδαγωγικός εκσυγχρονισμός στην τριτοβάθμια εκπαίδευση</w:t>
            </w:r>
          </w:p>
        </w:tc>
        <w:tc>
          <w:tcPr>
            <w:tcW w:w="1275" w:type="dxa"/>
            <w:shd w:val="clear" w:color="auto" w:fill="C4EFCE"/>
            <w:noWrap/>
            <w:vAlign w:val="center"/>
          </w:tcPr>
          <w:p w14:paraId="1FE0DD74" w14:textId="77777777" w:rsidR="00154AD2" w:rsidRDefault="00154AD2">
            <w:pPr>
              <w:spacing w:after="0" w:line="240" w:lineRule="auto"/>
              <w:jc w:val="center"/>
              <w:rPr>
                <w:noProof/>
                <w:sz w:val="16"/>
              </w:rPr>
            </w:pPr>
          </w:p>
        </w:tc>
        <w:tc>
          <w:tcPr>
            <w:tcW w:w="993" w:type="dxa"/>
            <w:shd w:val="clear" w:color="auto" w:fill="C4EFCE"/>
            <w:noWrap/>
            <w:vAlign w:val="center"/>
          </w:tcPr>
          <w:p w14:paraId="109C6A75" w14:textId="6DC07688" w:rsidR="00154AD2" w:rsidRDefault="007F6BF3">
            <w:pPr>
              <w:pStyle w:val="P68B1DB1-Normal12"/>
              <w:spacing w:after="0" w:line="240" w:lineRule="auto"/>
              <w:jc w:val="center"/>
              <w:rPr>
                <w:noProof/>
              </w:rPr>
            </w:pPr>
            <w:r>
              <w:rPr>
                <w:noProof/>
              </w:rPr>
              <w:t>Ποσοστό</w:t>
            </w:r>
          </w:p>
        </w:tc>
        <w:tc>
          <w:tcPr>
            <w:tcW w:w="992" w:type="dxa"/>
            <w:shd w:val="clear" w:color="auto" w:fill="C4EFCE"/>
            <w:noWrap/>
            <w:vAlign w:val="center"/>
          </w:tcPr>
          <w:p w14:paraId="5BACD0A3" w14:textId="2B76B72B" w:rsidR="00154AD2" w:rsidRDefault="007F6BF3">
            <w:pPr>
              <w:pStyle w:val="P68B1DB1-Normal12"/>
              <w:spacing w:after="0" w:line="240" w:lineRule="auto"/>
              <w:jc w:val="center"/>
              <w:rPr>
                <w:noProof/>
              </w:rPr>
            </w:pPr>
            <w:r>
              <w:rPr>
                <w:noProof/>
              </w:rPr>
              <w:t>24</w:t>
            </w:r>
          </w:p>
        </w:tc>
        <w:tc>
          <w:tcPr>
            <w:tcW w:w="850" w:type="dxa"/>
            <w:shd w:val="clear" w:color="auto" w:fill="C4EFCE"/>
            <w:noWrap/>
            <w:vAlign w:val="center"/>
          </w:tcPr>
          <w:p w14:paraId="0FCCD7A8" w14:textId="17E68BD7" w:rsidR="00154AD2" w:rsidRDefault="007F6BF3">
            <w:pPr>
              <w:pStyle w:val="P68B1DB1-Normal12"/>
              <w:spacing w:after="0" w:line="240" w:lineRule="auto"/>
              <w:jc w:val="center"/>
              <w:rPr>
                <w:noProof/>
              </w:rPr>
            </w:pPr>
            <w:r>
              <w:rPr>
                <w:noProof/>
              </w:rPr>
              <w:t>22</w:t>
            </w:r>
          </w:p>
        </w:tc>
        <w:tc>
          <w:tcPr>
            <w:tcW w:w="567" w:type="dxa"/>
            <w:shd w:val="clear" w:color="auto" w:fill="C4EFCE"/>
            <w:noWrap/>
            <w:vAlign w:val="center"/>
          </w:tcPr>
          <w:p w14:paraId="407A04B9" w14:textId="6C671152" w:rsidR="00154AD2" w:rsidRDefault="007F6BF3">
            <w:pPr>
              <w:pStyle w:val="P68B1DB1-Normal12"/>
              <w:spacing w:after="0" w:line="240" w:lineRule="auto"/>
              <w:jc w:val="center"/>
              <w:rPr>
                <w:noProof/>
              </w:rPr>
            </w:pPr>
            <w:r>
              <w:rPr>
                <w:noProof/>
              </w:rPr>
              <w:t xml:space="preserve">ΤΡΊΜΗΝΟ 2 </w:t>
            </w:r>
          </w:p>
        </w:tc>
        <w:tc>
          <w:tcPr>
            <w:tcW w:w="708" w:type="dxa"/>
            <w:shd w:val="clear" w:color="auto" w:fill="C4EFCE"/>
            <w:noWrap/>
            <w:vAlign w:val="center"/>
          </w:tcPr>
          <w:p w14:paraId="24140BFE" w14:textId="49106AB4" w:rsidR="00154AD2" w:rsidRDefault="007F6BF3">
            <w:pPr>
              <w:pStyle w:val="P68B1DB1-Normal12"/>
              <w:spacing w:after="0" w:line="240" w:lineRule="auto"/>
              <w:jc w:val="center"/>
              <w:rPr>
                <w:noProof/>
              </w:rPr>
            </w:pPr>
            <w:r>
              <w:rPr>
                <w:noProof/>
              </w:rPr>
              <w:t>2026</w:t>
            </w:r>
          </w:p>
        </w:tc>
        <w:tc>
          <w:tcPr>
            <w:tcW w:w="4395" w:type="dxa"/>
            <w:shd w:val="clear" w:color="auto" w:fill="C4EFCE"/>
            <w:vAlign w:val="center"/>
          </w:tcPr>
          <w:p w14:paraId="301CE07F" w14:textId="78DC95DE" w:rsidR="00154AD2" w:rsidRDefault="007F6BF3">
            <w:pPr>
              <w:pStyle w:val="P68B1DB1-Bodytext1013"/>
              <w:spacing w:after="0" w:line="240" w:lineRule="auto"/>
              <w:jc w:val="both"/>
              <w:rPr>
                <w:rFonts w:cstheme="minorBidi"/>
                <w:noProof/>
              </w:rPr>
            </w:pPr>
            <w:r>
              <w:rPr>
                <w:noProof/>
              </w:rPr>
              <w:t>Το μέσο ποσοστό εγκατάλειψης του σχολείου κατά το</w:t>
            </w:r>
            <w:r>
              <w:rPr>
                <w:noProof/>
                <w:vertAlign w:val="superscript"/>
              </w:rPr>
              <w:t>1ο</w:t>
            </w:r>
            <w:r>
              <w:rPr>
                <w:noProof/>
              </w:rPr>
              <w:t xml:space="preserve"> έτος και των μαθητών για πρώτη φορά στην αρχική κατάρτιση μειώνεται από 24 σε 22 % σε σύγκριση με το σχολικό έτος 2020/2021. </w:t>
            </w:r>
          </w:p>
        </w:tc>
      </w:tr>
      <w:tr w:rsidR="00154AD2" w14:paraId="1B6CC263" w14:textId="77777777">
        <w:trPr>
          <w:trHeight w:val="1200"/>
        </w:trPr>
        <w:tc>
          <w:tcPr>
            <w:tcW w:w="1135" w:type="dxa"/>
            <w:shd w:val="clear" w:color="auto" w:fill="C5EFCE"/>
            <w:vAlign w:val="center"/>
          </w:tcPr>
          <w:p w14:paraId="17852A2F" w14:textId="4BC71954" w:rsidR="00154AD2" w:rsidRDefault="007F6BF3">
            <w:pPr>
              <w:pStyle w:val="P68B1DB1-Normal11"/>
              <w:spacing w:after="0" w:line="240" w:lineRule="auto"/>
              <w:jc w:val="center"/>
              <w:rPr>
                <w:noProof/>
              </w:rPr>
            </w:pPr>
            <w:r>
              <w:rPr>
                <w:noProof/>
              </w:rPr>
              <w:t>6.26</w:t>
            </w:r>
          </w:p>
        </w:tc>
        <w:tc>
          <w:tcPr>
            <w:tcW w:w="1276" w:type="dxa"/>
            <w:shd w:val="clear" w:color="auto" w:fill="C4EFCE"/>
            <w:noWrap/>
            <w:vAlign w:val="center"/>
          </w:tcPr>
          <w:p w14:paraId="6AB0021F" w14:textId="36D94200" w:rsidR="00154AD2" w:rsidRDefault="007F6BF3">
            <w:pPr>
              <w:pStyle w:val="P68B1DB1-Normal12"/>
              <w:spacing w:after="0" w:line="240" w:lineRule="auto"/>
              <w:jc w:val="center"/>
              <w:rPr>
                <w:rFonts w:cstheme="minorHAnsi"/>
                <w:noProof/>
                <w:highlight w:val="yellow"/>
              </w:rPr>
            </w:pPr>
            <w:r>
              <w:rPr>
                <w:noProof/>
              </w:rPr>
              <w:t>RE-C06-i08-RAM</w:t>
            </w:r>
          </w:p>
        </w:tc>
        <w:tc>
          <w:tcPr>
            <w:tcW w:w="1134" w:type="dxa"/>
            <w:shd w:val="clear" w:color="auto" w:fill="C4EFCE"/>
            <w:noWrap/>
            <w:vAlign w:val="center"/>
          </w:tcPr>
          <w:p w14:paraId="7D4E502D" w14:textId="257DAB64" w:rsidR="00154AD2" w:rsidRDefault="007F6BF3">
            <w:pPr>
              <w:pStyle w:val="P68B1DB1-Normal12"/>
              <w:spacing w:after="0" w:line="240" w:lineRule="auto"/>
              <w:jc w:val="center"/>
              <w:rPr>
                <w:rFonts w:cstheme="minorHAnsi"/>
                <w:noProof/>
                <w:highlight w:val="yellow"/>
              </w:rPr>
            </w:pPr>
            <w:r>
              <w:rPr>
                <w:noProof/>
              </w:rPr>
              <w:t>M</w:t>
            </w:r>
          </w:p>
        </w:tc>
        <w:tc>
          <w:tcPr>
            <w:tcW w:w="1701" w:type="dxa"/>
            <w:shd w:val="clear" w:color="auto" w:fill="C4EFCE"/>
            <w:noWrap/>
            <w:vAlign w:val="center"/>
          </w:tcPr>
          <w:p w14:paraId="4066C449" w14:textId="4911D8E4" w:rsidR="00154AD2" w:rsidRDefault="007F6BF3">
            <w:pPr>
              <w:pStyle w:val="P68B1DB1-Normal12"/>
              <w:spacing w:after="0" w:line="240" w:lineRule="auto"/>
              <w:jc w:val="center"/>
              <w:rPr>
                <w:noProof/>
                <w:highlight w:val="yellow"/>
              </w:rPr>
            </w:pPr>
            <w:r>
              <w:rPr>
                <w:noProof/>
              </w:rPr>
              <w:t>Υπογραφή σύμβασης για την επέκταση του κτιρίου CITMA</w:t>
            </w:r>
          </w:p>
        </w:tc>
        <w:tc>
          <w:tcPr>
            <w:tcW w:w="1275" w:type="dxa"/>
            <w:shd w:val="clear" w:color="auto" w:fill="C4EFCE"/>
            <w:noWrap/>
            <w:vAlign w:val="center"/>
          </w:tcPr>
          <w:p w14:paraId="4184FAC3" w14:textId="57DE588F" w:rsidR="00154AD2" w:rsidRDefault="007F6BF3">
            <w:pPr>
              <w:pStyle w:val="P68B1DB1-Normal12"/>
              <w:spacing w:after="0" w:line="240" w:lineRule="auto"/>
              <w:jc w:val="center"/>
              <w:rPr>
                <w:noProof/>
              </w:rPr>
            </w:pPr>
            <w:r>
              <w:rPr>
                <w:noProof/>
              </w:rPr>
              <w:t>Υπογραφή σύμβασης με τον ανάδοχο για την επέκταση του κτιρίου CITMA</w:t>
            </w:r>
          </w:p>
        </w:tc>
        <w:tc>
          <w:tcPr>
            <w:tcW w:w="993" w:type="dxa"/>
            <w:shd w:val="clear" w:color="auto" w:fill="C4EFCE"/>
            <w:noWrap/>
            <w:vAlign w:val="center"/>
          </w:tcPr>
          <w:p w14:paraId="2594E74E" w14:textId="77777777" w:rsidR="00154AD2" w:rsidRDefault="00154AD2">
            <w:pPr>
              <w:spacing w:after="0" w:line="240" w:lineRule="auto"/>
              <w:jc w:val="center"/>
              <w:rPr>
                <w:rFonts w:cstheme="minorHAnsi"/>
                <w:noProof/>
                <w:sz w:val="16"/>
                <w:highlight w:val="yellow"/>
              </w:rPr>
            </w:pPr>
          </w:p>
        </w:tc>
        <w:tc>
          <w:tcPr>
            <w:tcW w:w="992" w:type="dxa"/>
            <w:shd w:val="clear" w:color="auto" w:fill="C4EFCE"/>
            <w:noWrap/>
            <w:vAlign w:val="center"/>
          </w:tcPr>
          <w:p w14:paraId="5C7A545B" w14:textId="77777777" w:rsidR="00154AD2" w:rsidRDefault="00154AD2">
            <w:pPr>
              <w:spacing w:after="0" w:line="240" w:lineRule="auto"/>
              <w:jc w:val="center"/>
              <w:rPr>
                <w:rFonts w:cstheme="minorHAnsi"/>
                <w:noProof/>
                <w:sz w:val="16"/>
                <w:highlight w:val="yellow"/>
              </w:rPr>
            </w:pPr>
          </w:p>
        </w:tc>
        <w:tc>
          <w:tcPr>
            <w:tcW w:w="850" w:type="dxa"/>
            <w:shd w:val="clear" w:color="auto" w:fill="C4EFCE"/>
            <w:noWrap/>
            <w:vAlign w:val="center"/>
          </w:tcPr>
          <w:p w14:paraId="5C0309AA" w14:textId="77777777" w:rsidR="00154AD2" w:rsidRDefault="00154AD2">
            <w:pPr>
              <w:spacing w:after="0" w:line="240" w:lineRule="auto"/>
              <w:jc w:val="center"/>
              <w:rPr>
                <w:rFonts w:cstheme="minorHAnsi"/>
                <w:noProof/>
                <w:sz w:val="16"/>
                <w:highlight w:val="yellow"/>
              </w:rPr>
            </w:pPr>
          </w:p>
        </w:tc>
        <w:tc>
          <w:tcPr>
            <w:tcW w:w="567" w:type="dxa"/>
            <w:shd w:val="clear" w:color="auto" w:fill="C4EFCE"/>
            <w:noWrap/>
            <w:vAlign w:val="center"/>
          </w:tcPr>
          <w:p w14:paraId="7B969A18" w14:textId="75D7CB06" w:rsidR="00154AD2" w:rsidRDefault="007F6BF3">
            <w:pPr>
              <w:pStyle w:val="P68B1DB1-Normal12"/>
              <w:spacing w:after="0" w:line="240" w:lineRule="auto"/>
              <w:jc w:val="center"/>
              <w:rPr>
                <w:noProof/>
                <w:highlight w:val="yellow"/>
              </w:rPr>
            </w:pPr>
            <w:r>
              <w:rPr>
                <w:noProof/>
              </w:rPr>
              <w:t>ΤΡΊΜΗΝΟ 4</w:t>
            </w:r>
          </w:p>
        </w:tc>
        <w:tc>
          <w:tcPr>
            <w:tcW w:w="708" w:type="dxa"/>
            <w:shd w:val="clear" w:color="auto" w:fill="C4EFCE"/>
            <w:noWrap/>
            <w:vAlign w:val="center"/>
          </w:tcPr>
          <w:p w14:paraId="5BA274AA" w14:textId="7294986B" w:rsidR="00154AD2" w:rsidRDefault="007F6BF3">
            <w:pPr>
              <w:pStyle w:val="P68B1DB1-Normal12"/>
              <w:spacing w:after="0" w:line="240" w:lineRule="auto"/>
              <w:jc w:val="center"/>
              <w:rPr>
                <w:noProof/>
                <w:highlight w:val="yellow"/>
              </w:rPr>
            </w:pPr>
            <w:r>
              <w:rPr>
                <w:noProof/>
              </w:rPr>
              <w:t>2024</w:t>
            </w:r>
          </w:p>
        </w:tc>
        <w:tc>
          <w:tcPr>
            <w:tcW w:w="4395" w:type="dxa"/>
            <w:shd w:val="clear" w:color="auto" w:fill="C4EFCE"/>
          </w:tcPr>
          <w:p w14:paraId="026297F8" w14:textId="55F6305A" w:rsidR="00154AD2" w:rsidRDefault="007F6BF3">
            <w:pPr>
              <w:pStyle w:val="P68B1DB1-Bodytext1013"/>
              <w:spacing w:line="240" w:lineRule="auto"/>
              <w:jc w:val="both"/>
              <w:rPr>
                <w:rFonts w:cstheme="minorBidi"/>
                <w:noProof/>
              </w:rPr>
            </w:pPr>
            <w:r>
              <w:rPr>
                <w:noProof/>
              </w:rPr>
              <w:t>Υπογραφή σύμβασης για την επέκταση του κτιρίου του επιστημονικού και τεχνολογικού κέντρου της Μαδέρας (CITMA). Η επέκταση συνίσταται στην προσθήκη τριών ορόφων στο υφιστάμενο κτίριο και στην επέκταση του ισογείου. Το κτίριο προσαρμόζεται στις ανάγκες των ατόμων με μειωμένη κινητικότητα.</w:t>
            </w:r>
          </w:p>
        </w:tc>
      </w:tr>
      <w:tr w:rsidR="00154AD2" w14:paraId="26661FA7" w14:textId="77777777">
        <w:trPr>
          <w:trHeight w:val="640"/>
        </w:trPr>
        <w:tc>
          <w:tcPr>
            <w:tcW w:w="1135" w:type="dxa"/>
            <w:shd w:val="clear" w:color="auto" w:fill="C5EFCE"/>
            <w:vAlign w:val="center"/>
          </w:tcPr>
          <w:p w14:paraId="16FCC56E" w14:textId="432F4705" w:rsidR="00154AD2" w:rsidRDefault="007F6BF3">
            <w:pPr>
              <w:pStyle w:val="P68B1DB1-Normal11"/>
              <w:spacing w:after="0" w:line="240" w:lineRule="auto"/>
              <w:jc w:val="center"/>
              <w:rPr>
                <w:noProof/>
              </w:rPr>
            </w:pPr>
            <w:r>
              <w:rPr>
                <w:noProof/>
              </w:rPr>
              <w:t>6.27</w:t>
            </w:r>
          </w:p>
        </w:tc>
        <w:tc>
          <w:tcPr>
            <w:tcW w:w="1276" w:type="dxa"/>
            <w:shd w:val="clear" w:color="auto" w:fill="C4EFCE"/>
            <w:noWrap/>
            <w:vAlign w:val="center"/>
          </w:tcPr>
          <w:p w14:paraId="7A2ED63D" w14:textId="6A226D82" w:rsidR="00154AD2" w:rsidRDefault="007F6BF3">
            <w:pPr>
              <w:pStyle w:val="P68B1DB1-Normal12"/>
              <w:spacing w:after="0" w:line="240" w:lineRule="auto"/>
              <w:jc w:val="center"/>
              <w:rPr>
                <w:rFonts w:cstheme="minorHAnsi"/>
                <w:noProof/>
                <w:highlight w:val="yellow"/>
              </w:rPr>
            </w:pPr>
            <w:r>
              <w:rPr>
                <w:noProof/>
              </w:rPr>
              <w:t>RE-C06-i08-RAM</w:t>
            </w:r>
          </w:p>
        </w:tc>
        <w:tc>
          <w:tcPr>
            <w:tcW w:w="1134" w:type="dxa"/>
            <w:shd w:val="clear" w:color="auto" w:fill="C4EFCE"/>
            <w:noWrap/>
            <w:vAlign w:val="center"/>
          </w:tcPr>
          <w:p w14:paraId="71DDD4B9" w14:textId="3B2B0BFD" w:rsidR="00154AD2" w:rsidRDefault="007F6BF3">
            <w:pPr>
              <w:pStyle w:val="P68B1DB1-Normal12"/>
              <w:spacing w:after="0" w:line="240" w:lineRule="auto"/>
              <w:jc w:val="center"/>
              <w:rPr>
                <w:rFonts w:cstheme="minorHAnsi"/>
                <w:noProof/>
                <w:highlight w:val="yellow"/>
              </w:rPr>
            </w:pPr>
            <w:r>
              <w:rPr>
                <w:noProof/>
              </w:rPr>
              <w:t>T</w:t>
            </w:r>
          </w:p>
        </w:tc>
        <w:tc>
          <w:tcPr>
            <w:tcW w:w="1701" w:type="dxa"/>
            <w:shd w:val="clear" w:color="auto" w:fill="C4EFCE"/>
            <w:noWrap/>
            <w:vAlign w:val="center"/>
          </w:tcPr>
          <w:p w14:paraId="6636B311" w14:textId="0722EF78" w:rsidR="00154AD2" w:rsidRDefault="007F6BF3">
            <w:pPr>
              <w:pStyle w:val="P68B1DB1-Normal12"/>
              <w:spacing w:after="0" w:line="240" w:lineRule="auto"/>
              <w:jc w:val="center"/>
              <w:rPr>
                <w:rFonts w:cstheme="minorHAnsi"/>
                <w:noProof/>
                <w:highlight w:val="yellow"/>
              </w:rPr>
            </w:pPr>
            <w:r>
              <w:rPr>
                <w:noProof/>
              </w:rPr>
              <w:t>Ολοκλήρωση της επέκτασης του κτιρίου CITMA</w:t>
            </w:r>
          </w:p>
        </w:tc>
        <w:tc>
          <w:tcPr>
            <w:tcW w:w="1275" w:type="dxa"/>
            <w:shd w:val="clear" w:color="auto" w:fill="C4EFCE"/>
            <w:noWrap/>
            <w:vAlign w:val="center"/>
          </w:tcPr>
          <w:p w14:paraId="5B8088BD" w14:textId="77777777" w:rsidR="00154AD2" w:rsidRDefault="00154AD2">
            <w:pPr>
              <w:spacing w:after="0" w:line="240" w:lineRule="auto"/>
              <w:jc w:val="center"/>
              <w:rPr>
                <w:rFonts w:cstheme="minorHAnsi"/>
                <w:noProof/>
                <w:sz w:val="16"/>
              </w:rPr>
            </w:pPr>
          </w:p>
        </w:tc>
        <w:tc>
          <w:tcPr>
            <w:tcW w:w="993" w:type="dxa"/>
            <w:shd w:val="clear" w:color="auto" w:fill="C4EFCE"/>
            <w:noWrap/>
            <w:vAlign w:val="center"/>
          </w:tcPr>
          <w:p w14:paraId="6D0A9446" w14:textId="77152A4E" w:rsidR="00154AD2" w:rsidRDefault="007F6BF3">
            <w:pPr>
              <w:pStyle w:val="P68B1DB1-Normal12"/>
              <w:spacing w:after="0" w:line="240" w:lineRule="auto"/>
              <w:jc w:val="center"/>
              <w:rPr>
                <w:rFonts w:cstheme="minorHAnsi"/>
                <w:noProof/>
                <w:highlight w:val="yellow"/>
              </w:rPr>
            </w:pPr>
            <w:r>
              <w:rPr>
                <w:noProof/>
              </w:rPr>
              <w:t>m² (μεικτό)</w:t>
            </w:r>
          </w:p>
        </w:tc>
        <w:tc>
          <w:tcPr>
            <w:tcW w:w="992" w:type="dxa"/>
            <w:shd w:val="clear" w:color="auto" w:fill="C4EFCE"/>
            <w:noWrap/>
            <w:vAlign w:val="center"/>
          </w:tcPr>
          <w:p w14:paraId="49E7248F" w14:textId="0204F5B0" w:rsidR="00154AD2" w:rsidRDefault="007F6BF3">
            <w:pPr>
              <w:pStyle w:val="P68B1DB1-Normal12"/>
              <w:spacing w:after="0" w:line="240" w:lineRule="auto"/>
              <w:jc w:val="center"/>
              <w:rPr>
                <w:rFonts w:cstheme="minorHAnsi"/>
                <w:noProof/>
                <w:highlight w:val="yellow"/>
              </w:rPr>
            </w:pPr>
            <w:r>
              <w:rPr>
                <w:noProof/>
              </w:rPr>
              <w:t>0</w:t>
            </w:r>
          </w:p>
        </w:tc>
        <w:tc>
          <w:tcPr>
            <w:tcW w:w="850" w:type="dxa"/>
            <w:shd w:val="clear" w:color="auto" w:fill="C4EFCE"/>
            <w:noWrap/>
            <w:vAlign w:val="center"/>
          </w:tcPr>
          <w:p w14:paraId="437267C7" w14:textId="13522473" w:rsidR="00154AD2" w:rsidRDefault="007F6BF3">
            <w:pPr>
              <w:pStyle w:val="P68B1DB1-Normal12"/>
              <w:spacing w:after="0" w:line="240" w:lineRule="auto"/>
              <w:jc w:val="center"/>
              <w:rPr>
                <w:rFonts w:cstheme="minorHAnsi"/>
                <w:noProof/>
                <w:highlight w:val="yellow"/>
              </w:rPr>
            </w:pPr>
            <w:r>
              <w:rPr>
                <w:noProof/>
              </w:rPr>
              <w:t>9.030</w:t>
            </w:r>
          </w:p>
        </w:tc>
        <w:tc>
          <w:tcPr>
            <w:tcW w:w="567" w:type="dxa"/>
            <w:shd w:val="clear" w:color="auto" w:fill="C4EFCE"/>
            <w:noWrap/>
            <w:vAlign w:val="center"/>
          </w:tcPr>
          <w:p w14:paraId="1704115E" w14:textId="514D1C81" w:rsidR="00154AD2" w:rsidRDefault="007F6BF3">
            <w:pPr>
              <w:pStyle w:val="P68B1DB1-Normal12"/>
              <w:spacing w:after="0" w:line="240" w:lineRule="auto"/>
              <w:jc w:val="center"/>
              <w:rPr>
                <w:rFonts w:cstheme="minorHAnsi"/>
                <w:noProof/>
                <w:highlight w:val="yellow"/>
              </w:rPr>
            </w:pPr>
            <w:r>
              <w:rPr>
                <w:noProof/>
              </w:rPr>
              <w:t>ΤΡΊΜΗΝΟ 2</w:t>
            </w:r>
          </w:p>
        </w:tc>
        <w:tc>
          <w:tcPr>
            <w:tcW w:w="708" w:type="dxa"/>
            <w:shd w:val="clear" w:color="auto" w:fill="C4EFCE"/>
            <w:noWrap/>
            <w:vAlign w:val="center"/>
          </w:tcPr>
          <w:p w14:paraId="121AEEFC" w14:textId="164B71B5" w:rsidR="00154AD2" w:rsidRDefault="007F6BF3">
            <w:pPr>
              <w:pStyle w:val="P68B1DB1-Normal12"/>
              <w:spacing w:after="0" w:line="240" w:lineRule="auto"/>
              <w:jc w:val="center"/>
              <w:rPr>
                <w:rFonts w:cstheme="minorHAnsi"/>
                <w:noProof/>
                <w:highlight w:val="yellow"/>
              </w:rPr>
            </w:pPr>
            <w:r>
              <w:rPr>
                <w:noProof/>
              </w:rPr>
              <w:t>2026</w:t>
            </w:r>
          </w:p>
        </w:tc>
        <w:tc>
          <w:tcPr>
            <w:tcW w:w="4395" w:type="dxa"/>
            <w:shd w:val="clear" w:color="auto" w:fill="C4EFCE"/>
          </w:tcPr>
          <w:p w14:paraId="6755F55B" w14:textId="6249822E" w:rsidR="00154AD2" w:rsidRDefault="007F6BF3">
            <w:pPr>
              <w:pStyle w:val="P68B1DB1-Bodytext1013"/>
              <w:spacing w:after="0" w:line="240" w:lineRule="auto"/>
              <w:jc w:val="both"/>
              <w:rPr>
                <w:rFonts w:cstheme="minorBidi"/>
                <w:noProof/>
              </w:rPr>
            </w:pPr>
            <w:r>
              <w:rPr>
                <w:noProof/>
              </w:rPr>
              <w:t xml:space="preserve">Ολοκλήρωση όλων των συμβατικών εργασιών που σχετίζονται με την επέκταση του κτιρίου CITMA, όπως ορίζεται στο μέτρο 6.26. </w:t>
            </w:r>
          </w:p>
          <w:p w14:paraId="2E4EF6FD" w14:textId="67B2A4A2" w:rsidR="00154AD2" w:rsidRDefault="007F6BF3">
            <w:pPr>
              <w:pStyle w:val="P68B1DB1-Bodytext1013"/>
              <w:spacing w:after="0" w:line="240" w:lineRule="auto"/>
              <w:jc w:val="both"/>
              <w:rPr>
                <w:rFonts w:cstheme="minorHAnsi"/>
                <w:noProof/>
                <w:highlight w:val="yellow"/>
              </w:rPr>
            </w:pPr>
            <w:r>
              <w:rPr>
                <w:noProof/>
              </w:rPr>
              <w:t>Το κτίριο έχει ζήτηση πρωτογενούς ενέργειας τουλάχιστον 20 % χαμηλότερη από τις απαιτήσεις των κτιρίων με σχεδόν μηδενική κατανάλωση ενέργειας.</w:t>
            </w:r>
          </w:p>
        </w:tc>
      </w:tr>
    </w:tbl>
    <w:p w14:paraId="703445A0" w14:textId="77777777" w:rsidR="00154AD2" w:rsidRDefault="00154AD2">
      <w:pPr>
        <w:keepNext/>
        <w:spacing w:before="40" w:after="0" w:line="259" w:lineRule="auto"/>
        <w:jc w:val="both"/>
        <w:rPr>
          <w:rFonts w:ascii="Times New Roman" w:eastAsiaTheme="minorEastAsia" w:hAnsi="Times New Roman" w:cs="Times New Roman"/>
          <w:noProof/>
          <w:sz w:val="24"/>
        </w:rPr>
        <w:sectPr w:rsidR="00154AD2" w:rsidSect="00E00EDD">
          <w:headerReference w:type="even" r:id="rId126"/>
          <w:headerReference w:type="default" r:id="rId127"/>
          <w:footerReference w:type="even" r:id="rId128"/>
          <w:footerReference w:type="default" r:id="rId129"/>
          <w:headerReference w:type="first" r:id="rId130"/>
          <w:footerReference w:type="first" r:id="rId131"/>
          <w:pgSz w:w="16839" w:h="11907" w:orient="landscape"/>
          <w:pgMar w:top="1134" w:right="1134" w:bottom="1134" w:left="1134" w:header="567" w:footer="567" w:gutter="0"/>
          <w:cols w:space="720"/>
          <w:docGrid w:linePitch="360"/>
        </w:sectPr>
      </w:pPr>
    </w:p>
    <w:p w14:paraId="0B57B546" w14:textId="00CBED5A" w:rsidR="00154AD2" w:rsidRDefault="007F6BF3">
      <w:pPr>
        <w:pStyle w:val="P68B1DB1-Normal3"/>
        <w:spacing w:before="40" w:after="120" w:line="259" w:lineRule="auto"/>
        <w:ind w:left="130" w:firstLine="720"/>
        <w:jc w:val="both"/>
        <w:outlineLvl w:val="2"/>
        <w:rPr>
          <w:rFonts w:eastAsiaTheme="minorEastAsia" w:cs="Times New Roman"/>
          <w:noProof/>
        </w:rPr>
      </w:pPr>
      <w:r>
        <w:rPr>
          <w:noProof/>
        </w:rPr>
        <w:t>ΣΤ.3. Περιγραφή των μεταρρυθμίσεων και των επενδύσεων που συνδέονται με τη λήψη δανείου</w:t>
      </w:r>
    </w:p>
    <w:p w14:paraId="4E706AE3" w14:textId="4F5820BE" w:rsidR="00154AD2" w:rsidRDefault="007F6BF3">
      <w:pPr>
        <w:pStyle w:val="P68B1DB1-Heading214"/>
        <w:rPr>
          <w:noProof/>
        </w:rPr>
      </w:pPr>
      <w:bookmarkStart w:id="21" w:name="_Toc137472455"/>
      <w:r>
        <w:rPr>
          <w:noProof/>
        </w:rPr>
        <w:t>Επένδυση RE-C06-i09: Νέα ή ανακαινισμένα σχολεία</w:t>
      </w:r>
      <w:bookmarkEnd w:id="21"/>
    </w:p>
    <w:p w14:paraId="49C17223" w14:textId="77777777" w:rsidR="00154AD2" w:rsidRDefault="007F6BF3">
      <w:pPr>
        <w:pStyle w:val="P68B1DB1-Normal4"/>
        <w:spacing w:after="0" w:line="259" w:lineRule="auto"/>
        <w:jc w:val="both"/>
        <w:rPr>
          <w:rFonts w:cs="Times New Roman"/>
          <w:noProof/>
        </w:rPr>
      </w:pPr>
      <w:r>
        <w:rPr>
          <w:noProof/>
        </w:rPr>
        <w:t>Στόχος του μέτρου είναι η διασφάλιση ισότιμης πρόσβασης σε ποιοτικά δημόσια σχολεία, ώστε να αυξηθεί η ελκυστικότητα και η συμμετοχικότητά τους και να μειωθούν οι εδαφικές ανισότητες.</w:t>
      </w:r>
    </w:p>
    <w:p w14:paraId="1D44833B" w14:textId="597CE0EA" w:rsidR="00154AD2" w:rsidRDefault="007F6BF3">
      <w:pPr>
        <w:pStyle w:val="P68B1DB1-Normal4"/>
        <w:spacing w:after="0" w:line="259" w:lineRule="auto"/>
        <w:jc w:val="both"/>
        <w:rPr>
          <w:rFonts w:cs="Times New Roman"/>
          <w:noProof/>
        </w:rPr>
      </w:pPr>
      <w:r>
        <w:rPr>
          <w:noProof/>
        </w:rPr>
        <w:t xml:space="preserve">Η επένδυση συνίσταται στην κατασκευή νέων σχολείων ή στην ανακαίνιση υφιστάμενων σχολείων. Οι επενδύσεις θα επικεντρωθούν σε 75 σχολεία πρωτοβάθμιας και δευτεροβάθμιας εκπαίδευσης που έχουν προσδιοριστεί ως χρήζοντα παρέμβασης προτεραιότητας. </w:t>
      </w:r>
    </w:p>
    <w:p w14:paraId="4983461D" w14:textId="77777777" w:rsidR="00154AD2" w:rsidRDefault="007F6BF3">
      <w:pPr>
        <w:pStyle w:val="P68B1DB1-Normal4"/>
        <w:spacing w:after="0" w:line="259" w:lineRule="auto"/>
        <w:jc w:val="both"/>
        <w:rPr>
          <w:rFonts w:cs="Times New Roman"/>
          <w:noProof/>
        </w:rPr>
        <w:sectPr w:rsidR="00154AD2" w:rsidSect="00E00EDD">
          <w:headerReference w:type="even" r:id="rId132"/>
          <w:headerReference w:type="default" r:id="rId133"/>
          <w:footerReference w:type="even" r:id="rId134"/>
          <w:footerReference w:type="default" r:id="rId135"/>
          <w:headerReference w:type="first" r:id="rId136"/>
          <w:footerReference w:type="first" r:id="rId137"/>
          <w:pgSz w:w="11907" w:h="16839"/>
          <w:pgMar w:top="1134" w:right="1134" w:bottom="1134" w:left="1134" w:header="567" w:footer="567" w:gutter="0"/>
          <w:cols w:space="720"/>
          <w:docGrid w:linePitch="360"/>
        </w:sectPr>
      </w:pPr>
      <w:r>
        <w:rPr>
          <w:noProof/>
        </w:rPr>
        <w:t>Η υλοποίηση της επένδυσης θα ολοκληρωθεί έως τις 30 Ιουνίου 2026.</w:t>
      </w:r>
    </w:p>
    <w:p w14:paraId="7558F518" w14:textId="06FC37A9" w:rsidR="00154AD2" w:rsidRDefault="007F6BF3">
      <w:pPr>
        <w:pStyle w:val="P68B1DB1-Normal3"/>
        <w:spacing w:before="40" w:after="120" w:line="259" w:lineRule="auto"/>
        <w:ind w:left="130" w:firstLine="720"/>
        <w:jc w:val="both"/>
        <w:outlineLvl w:val="2"/>
        <w:rPr>
          <w:rFonts w:eastAsiaTheme="minorEastAsia" w:cs="Times New Roman"/>
          <w:noProof/>
        </w:rPr>
      </w:pPr>
      <w:r>
        <w:rPr>
          <w:noProof/>
        </w:rPr>
        <w:t>ΣΤ.4. Ορόσημα, στόχοι, δείκτες και χρονοδιάγραμμα για την παρακολούθηση και την υλοποίηση του δανείου</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850"/>
        <w:gridCol w:w="567"/>
        <w:gridCol w:w="708"/>
        <w:gridCol w:w="4395"/>
      </w:tblGrid>
      <w:tr w:rsidR="00154AD2" w14:paraId="35CBC765" w14:textId="77777777">
        <w:trPr>
          <w:trHeight w:val="910"/>
        </w:trPr>
        <w:tc>
          <w:tcPr>
            <w:tcW w:w="1135" w:type="dxa"/>
            <w:vMerge w:val="restart"/>
            <w:shd w:val="clear" w:color="auto" w:fill="BDD6EE"/>
            <w:vAlign w:val="center"/>
            <w:hideMark/>
          </w:tcPr>
          <w:p w14:paraId="1828903B" w14:textId="77777777" w:rsidR="00154AD2" w:rsidRDefault="007F6BF3">
            <w:pPr>
              <w:pStyle w:val="P68B1DB1-Normal6"/>
              <w:spacing w:after="0" w:line="240" w:lineRule="auto"/>
              <w:jc w:val="center"/>
              <w:rPr>
                <w:rFonts w:eastAsia="Times New Roman" w:cs="Times New Roman"/>
                <w:noProof/>
              </w:rPr>
            </w:pPr>
            <w:r>
              <w:rPr>
                <w:noProof/>
              </w:rPr>
              <w:t>Αύξων αριθμός</w:t>
            </w:r>
          </w:p>
        </w:tc>
        <w:tc>
          <w:tcPr>
            <w:tcW w:w="1276" w:type="dxa"/>
            <w:vMerge w:val="restart"/>
            <w:shd w:val="clear" w:color="auto" w:fill="BDD6EE"/>
            <w:vAlign w:val="center"/>
            <w:hideMark/>
          </w:tcPr>
          <w:p w14:paraId="6731E7DF" w14:textId="77777777" w:rsidR="00154AD2" w:rsidRDefault="007F6BF3">
            <w:pPr>
              <w:pStyle w:val="P68B1DB1-Normal6"/>
              <w:spacing w:after="0" w:line="240" w:lineRule="auto"/>
              <w:jc w:val="center"/>
              <w:rPr>
                <w:rFonts w:eastAsia="Times New Roman" w:cs="Times New Roman"/>
                <w:noProof/>
              </w:rPr>
            </w:pPr>
            <w:r>
              <w:rPr>
                <w:noProof/>
              </w:rPr>
              <w:t>Μέτρο (Μεταρρύθμιση ή Επενδύσεις)</w:t>
            </w:r>
          </w:p>
        </w:tc>
        <w:tc>
          <w:tcPr>
            <w:tcW w:w="1134" w:type="dxa"/>
            <w:vMerge w:val="restart"/>
            <w:shd w:val="clear" w:color="auto" w:fill="BDD6EE"/>
            <w:vAlign w:val="center"/>
            <w:hideMark/>
          </w:tcPr>
          <w:p w14:paraId="009937F2" w14:textId="77777777" w:rsidR="00154AD2" w:rsidRDefault="007F6BF3">
            <w:pPr>
              <w:pStyle w:val="P68B1DB1-Normal6"/>
              <w:spacing w:after="0" w:line="240" w:lineRule="auto"/>
              <w:jc w:val="center"/>
              <w:rPr>
                <w:rFonts w:eastAsia="Times New Roman" w:cs="Times New Roman"/>
                <w:noProof/>
              </w:rPr>
            </w:pPr>
            <w:r>
              <w:rPr>
                <w:noProof/>
              </w:rPr>
              <w:t>Ορόσημο/Στόχος</w:t>
            </w:r>
          </w:p>
        </w:tc>
        <w:tc>
          <w:tcPr>
            <w:tcW w:w="1701" w:type="dxa"/>
            <w:vMerge w:val="restart"/>
            <w:shd w:val="clear" w:color="auto" w:fill="BDD6EE"/>
            <w:vAlign w:val="center"/>
            <w:hideMark/>
          </w:tcPr>
          <w:p w14:paraId="110401E7" w14:textId="77777777" w:rsidR="00154AD2" w:rsidRDefault="007F6BF3">
            <w:pPr>
              <w:pStyle w:val="P68B1DB1-Normal6"/>
              <w:spacing w:after="0" w:line="240" w:lineRule="auto"/>
              <w:jc w:val="center"/>
              <w:rPr>
                <w:rFonts w:eastAsia="Times New Roman" w:cs="Times New Roman"/>
                <w:noProof/>
              </w:rPr>
            </w:pPr>
            <w:r>
              <w:rPr>
                <w:noProof/>
              </w:rPr>
              <w:t>Όνομα</w:t>
            </w:r>
          </w:p>
        </w:tc>
        <w:tc>
          <w:tcPr>
            <w:tcW w:w="1275" w:type="dxa"/>
            <w:vMerge w:val="restart"/>
            <w:shd w:val="clear" w:color="auto" w:fill="BDD6EE"/>
            <w:vAlign w:val="center"/>
            <w:hideMark/>
          </w:tcPr>
          <w:p w14:paraId="61C9BD3B" w14:textId="77777777" w:rsidR="00154AD2" w:rsidRDefault="007F6BF3">
            <w:pPr>
              <w:pStyle w:val="P68B1DB1-Normal6"/>
              <w:spacing w:after="0" w:line="240" w:lineRule="auto"/>
              <w:jc w:val="center"/>
              <w:rPr>
                <w:rFonts w:eastAsia="Times New Roman" w:cs="Times New Roman"/>
                <w:noProof/>
              </w:rPr>
            </w:pPr>
            <w:r>
              <w:rPr>
                <w:noProof/>
              </w:rPr>
              <w:t>Ποιοτικοί δείκτες (για τα ορόσημα)</w:t>
            </w:r>
          </w:p>
        </w:tc>
        <w:tc>
          <w:tcPr>
            <w:tcW w:w="2835" w:type="dxa"/>
            <w:gridSpan w:val="3"/>
            <w:shd w:val="clear" w:color="auto" w:fill="BDD6EE"/>
            <w:vAlign w:val="center"/>
            <w:hideMark/>
          </w:tcPr>
          <w:p w14:paraId="136D5C43" w14:textId="77777777" w:rsidR="00154AD2" w:rsidRDefault="007F6BF3">
            <w:pPr>
              <w:pStyle w:val="P68B1DB1-Normal6"/>
              <w:spacing w:after="0" w:line="240" w:lineRule="auto"/>
              <w:jc w:val="center"/>
              <w:rPr>
                <w:rFonts w:eastAsia="Times New Roman" w:cs="Times New Roman"/>
                <w:noProof/>
              </w:rPr>
            </w:pPr>
            <w:r>
              <w:rPr>
                <w:noProof/>
              </w:rPr>
              <w:t>Ποσοτικοί δείκτες (για τους στόχους)</w:t>
            </w:r>
          </w:p>
        </w:tc>
        <w:tc>
          <w:tcPr>
            <w:tcW w:w="1275" w:type="dxa"/>
            <w:gridSpan w:val="2"/>
            <w:shd w:val="clear" w:color="auto" w:fill="BDD6EE"/>
            <w:vAlign w:val="center"/>
            <w:hideMark/>
          </w:tcPr>
          <w:p w14:paraId="65792DA3" w14:textId="77777777" w:rsidR="00154AD2" w:rsidRDefault="007F6BF3">
            <w:pPr>
              <w:pStyle w:val="P68B1DB1-Normal6"/>
              <w:spacing w:after="0" w:line="240" w:lineRule="auto"/>
              <w:jc w:val="center"/>
              <w:rPr>
                <w:rFonts w:eastAsia="Times New Roman" w:cs="Times New Roman"/>
                <w:noProof/>
              </w:rPr>
            </w:pPr>
            <w:r>
              <w:rPr>
                <w:noProof/>
              </w:rPr>
              <w:t>Ενδεικτικό χρονοδιάγραμμα ολοκλήρωσης</w:t>
            </w:r>
          </w:p>
        </w:tc>
        <w:tc>
          <w:tcPr>
            <w:tcW w:w="4395" w:type="dxa"/>
            <w:vMerge w:val="restart"/>
            <w:shd w:val="clear" w:color="auto" w:fill="BDD6EE"/>
            <w:noWrap/>
            <w:vAlign w:val="center"/>
            <w:hideMark/>
          </w:tcPr>
          <w:p w14:paraId="74D8A200" w14:textId="77777777" w:rsidR="00154AD2" w:rsidRDefault="007F6BF3">
            <w:pPr>
              <w:pStyle w:val="P68B1DB1-Normal6"/>
              <w:spacing w:after="0" w:line="240" w:lineRule="auto"/>
              <w:jc w:val="center"/>
              <w:rPr>
                <w:rFonts w:eastAsia="Times New Roman" w:cs="Times New Roman"/>
                <w:noProof/>
              </w:rPr>
            </w:pPr>
            <w:r>
              <w:rPr>
                <w:noProof/>
              </w:rPr>
              <w:t>Περιγραφή και σαφής ορισμός κάθε ορόσημου και στόχου</w:t>
            </w:r>
          </w:p>
        </w:tc>
      </w:tr>
      <w:tr w:rsidR="00154AD2" w14:paraId="0BB373E4" w14:textId="77777777">
        <w:trPr>
          <w:trHeight w:val="470"/>
        </w:trPr>
        <w:tc>
          <w:tcPr>
            <w:tcW w:w="1135" w:type="dxa"/>
            <w:vMerge/>
            <w:vAlign w:val="center"/>
            <w:hideMark/>
          </w:tcPr>
          <w:p w14:paraId="65AD4F05" w14:textId="77777777" w:rsidR="00154AD2" w:rsidRDefault="00154AD2">
            <w:pPr>
              <w:spacing w:after="0" w:line="240" w:lineRule="auto"/>
              <w:rPr>
                <w:rFonts w:ascii="Times New Roman" w:eastAsia="Times New Roman" w:hAnsi="Times New Roman" w:cs="Times New Roman"/>
                <w:b/>
                <w:noProof/>
                <w:sz w:val="18"/>
              </w:rPr>
            </w:pPr>
          </w:p>
        </w:tc>
        <w:tc>
          <w:tcPr>
            <w:tcW w:w="1276" w:type="dxa"/>
            <w:vMerge/>
            <w:vAlign w:val="center"/>
            <w:hideMark/>
          </w:tcPr>
          <w:p w14:paraId="44BD7125" w14:textId="77777777" w:rsidR="00154AD2" w:rsidRDefault="00154AD2">
            <w:pPr>
              <w:spacing w:after="0" w:line="240" w:lineRule="auto"/>
              <w:rPr>
                <w:rFonts w:ascii="Times New Roman" w:eastAsia="Times New Roman" w:hAnsi="Times New Roman" w:cs="Times New Roman"/>
                <w:b/>
                <w:noProof/>
                <w:sz w:val="18"/>
              </w:rPr>
            </w:pPr>
          </w:p>
        </w:tc>
        <w:tc>
          <w:tcPr>
            <w:tcW w:w="1134" w:type="dxa"/>
            <w:vMerge/>
            <w:vAlign w:val="center"/>
            <w:hideMark/>
          </w:tcPr>
          <w:p w14:paraId="32AA7BB9" w14:textId="77777777" w:rsidR="00154AD2" w:rsidRDefault="00154AD2">
            <w:pPr>
              <w:spacing w:after="0" w:line="240" w:lineRule="auto"/>
              <w:jc w:val="center"/>
              <w:rPr>
                <w:rFonts w:ascii="Times New Roman" w:eastAsia="Times New Roman" w:hAnsi="Times New Roman" w:cs="Times New Roman"/>
                <w:b/>
                <w:noProof/>
                <w:sz w:val="18"/>
              </w:rPr>
            </w:pPr>
          </w:p>
        </w:tc>
        <w:tc>
          <w:tcPr>
            <w:tcW w:w="1701" w:type="dxa"/>
            <w:vMerge/>
            <w:vAlign w:val="center"/>
            <w:hideMark/>
          </w:tcPr>
          <w:p w14:paraId="51593588" w14:textId="77777777" w:rsidR="00154AD2" w:rsidRDefault="00154AD2">
            <w:pPr>
              <w:spacing w:after="0" w:line="240" w:lineRule="auto"/>
              <w:rPr>
                <w:rFonts w:ascii="Times New Roman" w:eastAsia="Times New Roman" w:hAnsi="Times New Roman" w:cs="Times New Roman"/>
                <w:b/>
                <w:noProof/>
                <w:sz w:val="18"/>
              </w:rPr>
            </w:pPr>
          </w:p>
        </w:tc>
        <w:tc>
          <w:tcPr>
            <w:tcW w:w="1275" w:type="dxa"/>
            <w:vMerge/>
            <w:vAlign w:val="center"/>
            <w:hideMark/>
          </w:tcPr>
          <w:p w14:paraId="66678DA0" w14:textId="77777777" w:rsidR="00154AD2" w:rsidRDefault="00154AD2">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2DB1308E" w14:textId="77777777" w:rsidR="00154AD2" w:rsidRDefault="007F6BF3">
            <w:pPr>
              <w:pStyle w:val="P68B1DB1-Normal6"/>
              <w:spacing w:after="0" w:line="240" w:lineRule="auto"/>
              <w:jc w:val="center"/>
              <w:rPr>
                <w:rFonts w:eastAsia="Times New Roman" w:cs="Times New Roman"/>
                <w:noProof/>
              </w:rPr>
            </w:pPr>
            <w:r>
              <w:rPr>
                <w:noProof/>
              </w:rPr>
              <w:t>Μονάδα μέτρησης</w:t>
            </w:r>
          </w:p>
        </w:tc>
        <w:tc>
          <w:tcPr>
            <w:tcW w:w="992" w:type="dxa"/>
            <w:shd w:val="clear" w:color="auto" w:fill="BDD6EE"/>
            <w:vAlign w:val="center"/>
            <w:hideMark/>
          </w:tcPr>
          <w:p w14:paraId="01A093FA" w14:textId="77777777" w:rsidR="00154AD2" w:rsidRDefault="007F6BF3">
            <w:pPr>
              <w:pStyle w:val="P68B1DB1-Normal6"/>
              <w:spacing w:after="0" w:line="240" w:lineRule="auto"/>
              <w:jc w:val="center"/>
              <w:rPr>
                <w:rFonts w:eastAsia="Times New Roman" w:cs="Times New Roman"/>
                <w:noProof/>
              </w:rPr>
            </w:pPr>
            <w:r>
              <w:rPr>
                <w:noProof/>
              </w:rPr>
              <w:t>Γραμμή βάσης</w:t>
            </w:r>
          </w:p>
        </w:tc>
        <w:tc>
          <w:tcPr>
            <w:tcW w:w="850" w:type="dxa"/>
            <w:shd w:val="clear" w:color="auto" w:fill="BDD6EE"/>
            <w:vAlign w:val="center"/>
            <w:hideMark/>
          </w:tcPr>
          <w:p w14:paraId="08598FE0" w14:textId="77777777" w:rsidR="00154AD2" w:rsidRDefault="007F6BF3">
            <w:pPr>
              <w:pStyle w:val="P68B1DB1-Normal6"/>
              <w:spacing w:after="0" w:line="240" w:lineRule="auto"/>
              <w:jc w:val="center"/>
              <w:rPr>
                <w:rFonts w:eastAsia="Times New Roman" w:cs="Times New Roman"/>
                <w:noProof/>
              </w:rPr>
            </w:pPr>
            <w:r>
              <w:rPr>
                <w:noProof/>
              </w:rPr>
              <w:t>Στόχοι</w:t>
            </w:r>
          </w:p>
        </w:tc>
        <w:tc>
          <w:tcPr>
            <w:tcW w:w="567" w:type="dxa"/>
            <w:shd w:val="clear" w:color="auto" w:fill="BDD6EE"/>
            <w:vAlign w:val="center"/>
            <w:hideMark/>
          </w:tcPr>
          <w:p w14:paraId="6EF144BD" w14:textId="77777777" w:rsidR="00154AD2" w:rsidRDefault="007F6BF3">
            <w:pPr>
              <w:pStyle w:val="P68B1DB1-Normal6"/>
              <w:spacing w:after="0" w:line="240" w:lineRule="auto"/>
              <w:jc w:val="center"/>
              <w:rPr>
                <w:rFonts w:eastAsia="Times New Roman" w:cs="Times New Roman"/>
                <w:noProof/>
              </w:rPr>
            </w:pPr>
            <w:r>
              <w:rPr>
                <w:noProof/>
              </w:rPr>
              <w:t>Ε</w:t>
            </w:r>
          </w:p>
        </w:tc>
        <w:tc>
          <w:tcPr>
            <w:tcW w:w="708" w:type="dxa"/>
            <w:shd w:val="clear" w:color="auto" w:fill="BDD6EE"/>
            <w:vAlign w:val="center"/>
            <w:hideMark/>
          </w:tcPr>
          <w:p w14:paraId="38E6ED20" w14:textId="77777777" w:rsidR="00154AD2" w:rsidRDefault="007F6BF3">
            <w:pPr>
              <w:pStyle w:val="P68B1DB1-Normal6"/>
              <w:spacing w:after="0" w:line="240" w:lineRule="auto"/>
              <w:jc w:val="center"/>
              <w:rPr>
                <w:rFonts w:eastAsia="Times New Roman" w:cs="Times New Roman"/>
                <w:noProof/>
              </w:rPr>
            </w:pPr>
            <w:r>
              <w:rPr>
                <w:noProof/>
              </w:rPr>
              <w:t>Έτος</w:t>
            </w:r>
          </w:p>
        </w:tc>
        <w:tc>
          <w:tcPr>
            <w:tcW w:w="4395" w:type="dxa"/>
            <w:vMerge/>
            <w:vAlign w:val="center"/>
            <w:hideMark/>
          </w:tcPr>
          <w:p w14:paraId="0E23BA6C" w14:textId="77777777" w:rsidR="00154AD2" w:rsidRDefault="00154AD2">
            <w:pPr>
              <w:spacing w:after="0" w:line="240" w:lineRule="auto"/>
              <w:rPr>
                <w:rFonts w:ascii="Times New Roman" w:eastAsia="Times New Roman" w:hAnsi="Times New Roman" w:cs="Times New Roman"/>
                <w:b/>
                <w:noProof/>
                <w:sz w:val="18"/>
              </w:rPr>
            </w:pPr>
          </w:p>
        </w:tc>
      </w:tr>
      <w:tr w:rsidR="00154AD2" w14:paraId="3D20A5EA" w14:textId="77777777">
        <w:trPr>
          <w:trHeight w:val="640"/>
        </w:trPr>
        <w:tc>
          <w:tcPr>
            <w:tcW w:w="1135" w:type="dxa"/>
            <w:shd w:val="clear" w:color="auto" w:fill="C5EFCE"/>
            <w:vAlign w:val="center"/>
          </w:tcPr>
          <w:p w14:paraId="6A531982" w14:textId="77777777" w:rsidR="00154AD2" w:rsidRDefault="007F6BF3">
            <w:pPr>
              <w:pStyle w:val="P68B1DB1-Normal11"/>
              <w:spacing w:after="0" w:line="240" w:lineRule="auto"/>
              <w:jc w:val="center"/>
              <w:rPr>
                <w:noProof/>
              </w:rPr>
            </w:pPr>
            <w:r>
              <w:rPr>
                <w:noProof/>
              </w:rPr>
              <w:t>6.28</w:t>
            </w:r>
          </w:p>
        </w:tc>
        <w:tc>
          <w:tcPr>
            <w:tcW w:w="1276" w:type="dxa"/>
            <w:shd w:val="clear" w:color="auto" w:fill="C4EFCE"/>
            <w:noWrap/>
            <w:vAlign w:val="center"/>
          </w:tcPr>
          <w:p w14:paraId="110672C3" w14:textId="77777777" w:rsidR="00154AD2" w:rsidRDefault="007F6BF3">
            <w:pPr>
              <w:pStyle w:val="P68B1DB1-Normal12"/>
              <w:spacing w:after="0" w:line="240" w:lineRule="auto"/>
              <w:jc w:val="center"/>
              <w:rPr>
                <w:rFonts w:cstheme="minorHAnsi"/>
                <w:noProof/>
              </w:rPr>
            </w:pPr>
            <w:r>
              <w:rPr>
                <w:noProof/>
              </w:rPr>
              <w:t>RE-C06-i09</w:t>
            </w:r>
          </w:p>
        </w:tc>
        <w:tc>
          <w:tcPr>
            <w:tcW w:w="1134" w:type="dxa"/>
            <w:shd w:val="clear" w:color="auto" w:fill="C4EFCE"/>
            <w:noWrap/>
            <w:vAlign w:val="center"/>
          </w:tcPr>
          <w:p w14:paraId="3F6D50D9" w14:textId="77777777" w:rsidR="00154AD2" w:rsidRDefault="007F6BF3">
            <w:pPr>
              <w:pStyle w:val="P68B1DB1-Normal12"/>
              <w:spacing w:after="0" w:line="240" w:lineRule="auto"/>
              <w:jc w:val="center"/>
              <w:rPr>
                <w:rFonts w:cstheme="minorHAnsi"/>
                <w:noProof/>
              </w:rPr>
            </w:pPr>
            <w:r>
              <w:rPr>
                <w:noProof/>
              </w:rPr>
              <w:t>T</w:t>
            </w:r>
          </w:p>
        </w:tc>
        <w:tc>
          <w:tcPr>
            <w:tcW w:w="1701" w:type="dxa"/>
            <w:shd w:val="clear" w:color="auto" w:fill="C4EFCE"/>
            <w:noWrap/>
            <w:vAlign w:val="center"/>
          </w:tcPr>
          <w:p w14:paraId="5FC35C89" w14:textId="77777777" w:rsidR="00154AD2" w:rsidRDefault="007F6BF3">
            <w:pPr>
              <w:pStyle w:val="P68B1DB1-Normal12"/>
              <w:spacing w:after="0" w:line="240" w:lineRule="auto"/>
              <w:jc w:val="center"/>
              <w:rPr>
                <w:noProof/>
              </w:rPr>
            </w:pPr>
            <w:r>
              <w:rPr>
                <w:noProof/>
              </w:rPr>
              <w:t>Υπογραφή συμβάσεων για την ανέγερση και ανακαίνιση δημόσιων σχολείων</w:t>
            </w:r>
          </w:p>
        </w:tc>
        <w:tc>
          <w:tcPr>
            <w:tcW w:w="1275" w:type="dxa"/>
            <w:shd w:val="clear" w:color="auto" w:fill="C4EFCE"/>
            <w:noWrap/>
            <w:vAlign w:val="center"/>
          </w:tcPr>
          <w:p w14:paraId="64C1ED73" w14:textId="77777777" w:rsidR="00154AD2" w:rsidRDefault="007F6BF3">
            <w:pPr>
              <w:pStyle w:val="P68B1DB1-Normal12"/>
              <w:spacing w:after="0" w:line="240" w:lineRule="auto"/>
              <w:jc w:val="center"/>
              <w:rPr>
                <w:noProof/>
              </w:rPr>
            </w:pPr>
            <w:r>
              <w:rPr>
                <w:noProof/>
              </w:rPr>
              <w:t xml:space="preserve"> Συμβάσεις που υπεγράφησαν </w:t>
            </w:r>
          </w:p>
        </w:tc>
        <w:tc>
          <w:tcPr>
            <w:tcW w:w="993" w:type="dxa"/>
            <w:shd w:val="clear" w:color="auto" w:fill="C4EFCE"/>
            <w:noWrap/>
            <w:vAlign w:val="center"/>
          </w:tcPr>
          <w:p w14:paraId="7EBF5460" w14:textId="77777777" w:rsidR="00154AD2" w:rsidRDefault="007F6BF3">
            <w:pPr>
              <w:pStyle w:val="P68B1DB1-Normal12"/>
              <w:spacing w:after="0" w:line="240" w:lineRule="auto"/>
              <w:jc w:val="center"/>
              <w:rPr>
                <w:noProof/>
              </w:rPr>
            </w:pPr>
            <w:r>
              <w:rPr>
                <w:noProof/>
              </w:rPr>
              <w:t>Αριθμός</w:t>
            </w:r>
          </w:p>
        </w:tc>
        <w:tc>
          <w:tcPr>
            <w:tcW w:w="992" w:type="dxa"/>
            <w:shd w:val="clear" w:color="auto" w:fill="C4EFCE"/>
            <w:noWrap/>
            <w:vAlign w:val="center"/>
          </w:tcPr>
          <w:p w14:paraId="0D14F3E5" w14:textId="77777777" w:rsidR="00154AD2" w:rsidRDefault="007F6BF3">
            <w:pPr>
              <w:pStyle w:val="P68B1DB1-Normal12"/>
              <w:spacing w:after="0" w:line="240" w:lineRule="auto"/>
              <w:jc w:val="center"/>
              <w:rPr>
                <w:rFonts w:cstheme="minorHAnsi"/>
                <w:noProof/>
              </w:rPr>
            </w:pPr>
            <w:r>
              <w:rPr>
                <w:noProof/>
              </w:rPr>
              <w:t>0</w:t>
            </w:r>
          </w:p>
        </w:tc>
        <w:tc>
          <w:tcPr>
            <w:tcW w:w="850" w:type="dxa"/>
            <w:shd w:val="clear" w:color="auto" w:fill="C4EFCE"/>
            <w:noWrap/>
            <w:vAlign w:val="center"/>
          </w:tcPr>
          <w:p w14:paraId="77DD45F8" w14:textId="77777777" w:rsidR="00154AD2" w:rsidRDefault="007F6BF3">
            <w:pPr>
              <w:pStyle w:val="P68B1DB1-Normal12"/>
              <w:spacing w:after="0" w:line="240" w:lineRule="auto"/>
              <w:jc w:val="center"/>
              <w:rPr>
                <w:rFonts w:cstheme="minorHAnsi"/>
                <w:noProof/>
              </w:rPr>
            </w:pPr>
            <w:r>
              <w:rPr>
                <w:noProof/>
              </w:rPr>
              <w:t>75</w:t>
            </w:r>
          </w:p>
        </w:tc>
        <w:tc>
          <w:tcPr>
            <w:tcW w:w="567" w:type="dxa"/>
            <w:shd w:val="clear" w:color="auto" w:fill="C4EFCE"/>
            <w:noWrap/>
            <w:vAlign w:val="center"/>
          </w:tcPr>
          <w:p w14:paraId="7ED23A9E" w14:textId="77777777" w:rsidR="00154AD2" w:rsidRDefault="007F6BF3">
            <w:pPr>
              <w:pStyle w:val="P68B1DB1-Normal12"/>
              <w:spacing w:after="0" w:line="240" w:lineRule="auto"/>
              <w:jc w:val="center"/>
              <w:rPr>
                <w:rFonts w:cstheme="minorHAnsi"/>
                <w:noProof/>
              </w:rPr>
            </w:pPr>
            <w:r>
              <w:rPr>
                <w:noProof/>
              </w:rPr>
              <w:t>ΤΡΊΜΗΝΟ 4</w:t>
            </w:r>
          </w:p>
        </w:tc>
        <w:tc>
          <w:tcPr>
            <w:tcW w:w="708" w:type="dxa"/>
            <w:shd w:val="clear" w:color="auto" w:fill="C4EFCE"/>
            <w:noWrap/>
            <w:vAlign w:val="center"/>
          </w:tcPr>
          <w:p w14:paraId="621FC598" w14:textId="77777777" w:rsidR="00154AD2" w:rsidRDefault="007F6BF3">
            <w:pPr>
              <w:pStyle w:val="P68B1DB1-Normal12"/>
              <w:spacing w:after="0" w:line="240" w:lineRule="auto"/>
              <w:jc w:val="center"/>
              <w:rPr>
                <w:rFonts w:cstheme="minorHAnsi"/>
                <w:noProof/>
              </w:rPr>
            </w:pPr>
            <w:r>
              <w:rPr>
                <w:noProof/>
              </w:rPr>
              <w:t>2024</w:t>
            </w:r>
          </w:p>
        </w:tc>
        <w:tc>
          <w:tcPr>
            <w:tcW w:w="4395" w:type="dxa"/>
            <w:shd w:val="clear" w:color="auto" w:fill="C4EFCE"/>
          </w:tcPr>
          <w:p w14:paraId="77EC3E58" w14:textId="26CD502B" w:rsidR="00154AD2" w:rsidRDefault="007F6BF3">
            <w:pPr>
              <w:pStyle w:val="P68B1DB1-Bodytext1013"/>
              <w:spacing w:after="0" w:line="240" w:lineRule="auto"/>
              <w:jc w:val="both"/>
              <w:rPr>
                <w:rFonts w:cstheme="minorBidi"/>
                <w:noProof/>
              </w:rPr>
            </w:pPr>
            <w:r>
              <w:rPr>
                <w:noProof/>
              </w:rPr>
              <w:t xml:space="preserve">Υπογράφονται συμβάσεις για την ανέγερση ή ανακαίνιση δημόσιων σχολείων πρωτοβάθμιας και δευτεροβάθμιας εκπαίδευσης. Η επιλογή των σχολείων που θα ανακαινιστούν και των νέων σχολείων θα πρέπει να βασίζεται σε εκτίμηση των αναγκών.  </w:t>
            </w:r>
          </w:p>
        </w:tc>
      </w:tr>
      <w:tr w:rsidR="00154AD2" w14:paraId="37FA4D82" w14:textId="77777777">
        <w:trPr>
          <w:trHeight w:val="640"/>
        </w:trPr>
        <w:tc>
          <w:tcPr>
            <w:tcW w:w="1135" w:type="dxa"/>
            <w:shd w:val="clear" w:color="auto" w:fill="C5EFCE"/>
            <w:vAlign w:val="center"/>
          </w:tcPr>
          <w:p w14:paraId="2889C3DF" w14:textId="77777777" w:rsidR="00154AD2" w:rsidRDefault="007F6BF3">
            <w:pPr>
              <w:pStyle w:val="P68B1DB1-Normal11"/>
              <w:spacing w:after="0" w:line="240" w:lineRule="auto"/>
              <w:jc w:val="center"/>
              <w:rPr>
                <w:noProof/>
              </w:rPr>
            </w:pPr>
            <w:r>
              <w:rPr>
                <w:noProof/>
              </w:rPr>
              <w:t>6.29</w:t>
            </w:r>
          </w:p>
        </w:tc>
        <w:tc>
          <w:tcPr>
            <w:tcW w:w="1276" w:type="dxa"/>
            <w:shd w:val="clear" w:color="auto" w:fill="C4EFCE"/>
            <w:noWrap/>
            <w:vAlign w:val="center"/>
          </w:tcPr>
          <w:p w14:paraId="482C0EE3" w14:textId="77777777" w:rsidR="00154AD2" w:rsidRDefault="007F6BF3">
            <w:pPr>
              <w:pStyle w:val="P68B1DB1-Normal12"/>
              <w:spacing w:after="0" w:line="240" w:lineRule="auto"/>
              <w:jc w:val="center"/>
              <w:rPr>
                <w:rFonts w:cstheme="minorHAnsi"/>
                <w:noProof/>
              </w:rPr>
            </w:pPr>
            <w:r>
              <w:rPr>
                <w:noProof/>
              </w:rPr>
              <w:t>RE-C06-i09</w:t>
            </w:r>
          </w:p>
        </w:tc>
        <w:tc>
          <w:tcPr>
            <w:tcW w:w="1134" w:type="dxa"/>
            <w:shd w:val="clear" w:color="auto" w:fill="C4EFCE"/>
            <w:noWrap/>
            <w:vAlign w:val="center"/>
          </w:tcPr>
          <w:p w14:paraId="5D44023D" w14:textId="77777777" w:rsidR="00154AD2" w:rsidRDefault="007F6BF3">
            <w:pPr>
              <w:pStyle w:val="P68B1DB1-Normal12"/>
              <w:spacing w:after="0" w:line="240" w:lineRule="auto"/>
              <w:jc w:val="center"/>
              <w:rPr>
                <w:rFonts w:cstheme="minorHAnsi"/>
                <w:noProof/>
              </w:rPr>
            </w:pPr>
            <w:r>
              <w:rPr>
                <w:noProof/>
              </w:rPr>
              <w:t>T</w:t>
            </w:r>
          </w:p>
        </w:tc>
        <w:tc>
          <w:tcPr>
            <w:tcW w:w="1701" w:type="dxa"/>
            <w:shd w:val="clear" w:color="auto" w:fill="C4EFCE"/>
            <w:noWrap/>
            <w:vAlign w:val="center"/>
          </w:tcPr>
          <w:p w14:paraId="1516CDF5" w14:textId="77777777" w:rsidR="00154AD2" w:rsidRDefault="007F6BF3">
            <w:pPr>
              <w:pStyle w:val="P68B1DB1-Normal12"/>
              <w:spacing w:after="0" w:line="240" w:lineRule="auto"/>
              <w:jc w:val="center"/>
              <w:rPr>
                <w:rFonts w:cstheme="minorHAnsi"/>
                <w:noProof/>
              </w:rPr>
            </w:pPr>
            <w:r>
              <w:rPr>
                <w:noProof/>
              </w:rPr>
              <w:t>Σχολεία που έχουν κατασκευαστεί ή ανακαινιστεί</w:t>
            </w:r>
          </w:p>
        </w:tc>
        <w:tc>
          <w:tcPr>
            <w:tcW w:w="1275" w:type="dxa"/>
            <w:shd w:val="clear" w:color="auto" w:fill="C4EFCE"/>
            <w:noWrap/>
            <w:vAlign w:val="center"/>
          </w:tcPr>
          <w:p w14:paraId="26E7E3C8" w14:textId="77777777" w:rsidR="00154AD2" w:rsidRDefault="00154AD2">
            <w:pPr>
              <w:spacing w:after="0" w:line="240" w:lineRule="auto"/>
              <w:jc w:val="center"/>
              <w:rPr>
                <w:rFonts w:cstheme="minorHAnsi"/>
                <w:noProof/>
                <w:sz w:val="16"/>
              </w:rPr>
            </w:pPr>
          </w:p>
        </w:tc>
        <w:tc>
          <w:tcPr>
            <w:tcW w:w="993" w:type="dxa"/>
            <w:shd w:val="clear" w:color="auto" w:fill="C4EFCE"/>
            <w:noWrap/>
            <w:vAlign w:val="center"/>
          </w:tcPr>
          <w:p w14:paraId="291A36D7" w14:textId="0D94A62A" w:rsidR="00154AD2" w:rsidRDefault="007F6BF3">
            <w:pPr>
              <w:pStyle w:val="P68B1DB1-Normal12"/>
              <w:spacing w:after="0" w:line="240" w:lineRule="auto"/>
              <w:jc w:val="center"/>
              <w:rPr>
                <w:rFonts w:cstheme="minorHAnsi"/>
                <w:noProof/>
              </w:rPr>
            </w:pPr>
            <w:r>
              <w:rPr>
                <w:noProof/>
              </w:rPr>
              <w:t>Αριθμός σχολείων που κατασκευάστηκαν ή ανακαινίστηκαν</w:t>
            </w:r>
          </w:p>
        </w:tc>
        <w:tc>
          <w:tcPr>
            <w:tcW w:w="992" w:type="dxa"/>
            <w:shd w:val="clear" w:color="auto" w:fill="C4EFCE"/>
            <w:noWrap/>
            <w:vAlign w:val="center"/>
          </w:tcPr>
          <w:p w14:paraId="6DB69F02" w14:textId="77777777" w:rsidR="00154AD2" w:rsidRDefault="007F6BF3">
            <w:pPr>
              <w:pStyle w:val="P68B1DB1-Normal12"/>
              <w:spacing w:after="0" w:line="240" w:lineRule="auto"/>
              <w:jc w:val="center"/>
              <w:rPr>
                <w:rFonts w:cstheme="minorHAnsi"/>
                <w:noProof/>
              </w:rPr>
            </w:pPr>
            <w:r>
              <w:rPr>
                <w:noProof/>
              </w:rPr>
              <w:t>0</w:t>
            </w:r>
          </w:p>
        </w:tc>
        <w:tc>
          <w:tcPr>
            <w:tcW w:w="850" w:type="dxa"/>
            <w:shd w:val="clear" w:color="auto" w:fill="C4EFCE"/>
            <w:noWrap/>
            <w:vAlign w:val="center"/>
          </w:tcPr>
          <w:p w14:paraId="11FF05D1" w14:textId="77777777" w:rsidR="00154AD2" w:rsidRDefault="007F6BF3">
            <w:pPr>
              <w:pStyle w:val="P68B1DB1-Normal12"/>
              <w:spacing w:after="0" w:line="240" w:lineRule="auto"/>
              <w:jc w:val="center"/>
              <w:rPr>
                <w:rFonts w:cstheme="minorHAnsi"/>
                <w:noProof/>
              </w:rPr>
            </w:pPr>
            <w:r>
              <w:rPr>
                <w:noProof/>
              </w:rPr>
              <w:t>75</w:t>
            </w:r>
          </w:p>
        </w:tc>
        <w:tc>
          <w:tcPr>
            <w:tcW w:w="567" w:type="dxa"/>
            <w:shd w:val="clear" w:color="auto" w:fill="C4EFCE"/>
            <w:noWrap/>
            <w:vAlign w:val="center"/>
          </w:tcPr>
          <w:p w14:paraId="7F8EE097" w14:textId="77777777" w:rsidR="00154AD2" w:rsidRDefault="007F6BF3">
            <w:pPr>
              <w:pStyle w:val="P68B1DB1-Normal12"/>
              <w:spacing w:after="0" w:line="240" w:lineRule="auto"/>
              <w:jc w:val="center"/>
              <w:rPr>
                <w:rFonts w:cstheme="minorHAnsi"/>
                <w:noProof/>
              </w:rPr>
            </w:pPr>
            <w:r>
              <w:rPr>
                <w:noProof/>
              </w:rPr>
              <w:t>ΤΡΊΜΗΝΟ 2</w:t>
            </w:r>
          </w:p>
        </w:tc>
        <w:tc>
          <w:tcPr>
            <w:tcW w:w="708" w:type="dxa"/>
            <w:shd w:val="clear" w:color="auto" w:fill="C4EFCE"/>
            <w:noWrap/>
            <w:vAlign w:val="center"/>
          </w:tcPr>
          <w:p w14:paraId="274AED81" w14:textId="77777777" w:rsidR="00154AD2" w:rsidRDefault="007F6BF3">
            <w:pPr>
              <w:pStyle w:val="P68B1DB1-Normal12"/>
              <w:spacing w:after="0" w:line="240" w:lineRule="auto"/>
              <w:jc w:val="center"/>
              <w:rPr>
                <w:rFonts w:cstheme="minorHAnsi"/>
                <w:noProof/>
              </w:rPr>
            </w:pPr>
            <w:r>
              <w:rPr>
                <w:noProof/>
              </w:rPr>
              <w:t>2026</w:t>
            </w:r>
          </w:p>
        </w:tc>
        <w:tc>
          <w:tcPr>
            <w:tcW w:w="4395" w:type="dxa"/>
            <w:shd w:val="clear" w:color="auto" w:fill="C4EFCE"/>
          </w:tcPr>
          <w:p w14:paraId="00863007" w14:textId="60A9DB36" w:rsidR="00154AD2" w:rsidRDefault="007F6BF3">
            <w:pPr>
              <w:pStyle w:val="P68B1DB1-Bodytext1013"/>
              <w:spacing w:after="0" w:line="240" w:lineRule="auto"/>
              <w:jc w:val="both"/>
              <w:rPr>
                <w:rFonts w:cstheme="minorBidi"/>
                <w:noProof/>
              </w:rPr>
            </w:pPr>
            <w:r>
              <w:rPr>
                <w:noProof/>
              </w:rPr>
              <w:t xml:space="preserve">75 δημόσια σχολεία θα κατασκευαστούν ή θα ανακαινιστούν και θα είναι έτοιμα προς χρήση. Αυτό περιλαμβάνει την αγορά εξοπλισμού, όπως ψηφιακών μέσων, ο οποίος είναι απαραίτητος για τη λειτουργία των νέων/ανακαινισμένων σχολείων. </w:t>
            </w:r>
          </w:p>
          <w:p w14:paraId="36ED3EEE" w14:textId="41AE783C" w:rsidR="00154AD2" w:rsidRDefault="007F6BF3">
            <w:pPr>
              <w:pStyle w:val="P68B1DB1-Bodytext1013"/>
              <w:spacing w:after="0" w:line="240" w:lineRule="auto"/>
              <w:jc w:val="both"/>
              <w:rPr>
                <w:rFonts w:cstheme="minorHAnsi"/>
                <w:noProof/>
              </w:rPr>
            </w:pPr>
            <w:r>
              <w:rPr>
                <w:noProof/>
              </w:rPr>
              <w:t xml:space="preserve">Τα νέα κτίρια έχουν ζήτηση πρωτογενούς ενέργειας τουλάχιστον 20 % χαμηλότερη από τις απαιτήσεις των κτιρίων με σχεδόν μηδενική κατανάλωση ενέργειας. </w:t>
            </w:r>
          </w:p>
          <w:p w14:paraId="469407C1" w14:textId="77777777" w:rsidR="00154AD2" w:rsidRDefault="007F6BF3">
            <w:pPr>
              <w:pStyle w:val="P68B1DB1-Bodytext1013"/>
              <w:spacing w:after="0" w:line="240" w:lineRule="auto"/>
              <w:jc w:val="both"/>
              <w:rPr>
                <w:rFonts w:cstheme="minorHAnsi"/>
                <w:noProof/>
              </w:rPr>
            </w:pPr>
            <w:r>
              <w:rPr>
                <w:noProof/>
              </w:rPr>
              <w:t>Οι ανακαινίσεις επιτυγχάνουν, κατά μέσο όρο, τουλάχιστον μεσαίας κλίμακας ανακαινίσεις που ορίζονται στη σύσταση της Επιτροπής για τις ανακαινίσεις κτιρίων (ΕΕ) 2019/786.</w:t>
            </w:r>
          </w:p>
        </w:tc>
      </w:tr>
    </w:tbl>
    <w:p w14:paraId="710B72CF" w14:textId="77777777" w:rsidR="00154AD2" w:rsidRDefault="00154AD2">
      <w:pPr>
        <w:spacing w:before="40" w:after="0" w:line="259" w:lineRule="auto"/>
        <w:jc w:val="both"/>
        <w:outlineLvl w:val="2"/>
        <w:rPr>
          <w:rFonts w:ascii="Times New Roman" w:eastAsiaTheme="minorEastAsia" w:hAnsi="Times New Roman" w:cs="Times New Roman"/>
          <w:b/>
          <w:noProof/>
          <w:sz w:val="24"/>
          <w:u w:val="single"/>
        </w:rPr>
      </w:pPr>
    </w:p>
    <w:p w14:paraId="4D8543A1" w14:textId="77777777" w:rsidR="00154AD2" w:rsidRDefault="00154AD2">
      <w:pPr>
        <w:keepNext/>
        <w:spacing w:before="40" w:after="0" w:line="259" w:lineRule="auto"/>
        <w:jc w:val="both"/>
        <w:outlineLvl w:val="1"/>
        <w:rPr>
          <w:rFonts w:ascii="Times New Roman" w:eastAsiaTheme="minorEastAsia" w:hAnsi="Times New Roman" w:cs="Times New Roman"/>
          <w:b/>
          <w:noProof/>
          <w:sz w:val="24"/>
          <w:u w:val="single"/>
        </w:rPr>
        <w:sectPr w:rsidR="00154AD2" w:rsidSect="00EE3DC7">
          <w:headerReference w:type="even" r:id="rId138"/>
          <w:headerReference w:type="default" r:id="rId139"/>
          <w:footerReference w:type="even" r:id="rId140"/>
          <w:footerReference w:type="default" r:id="rId141"/>
          <w:headerReference w:type="first" r:id="rId142"/>
          <w:footerReference w:type="first" r:id="rId143"/>
          <w:pgSz w:w="16839" w:h="11907" w:orient="landscape"/>
          <w:pgMar w:top="1134" w:right="1134" w:bottom="1134" w:left="1134" w:header="567" w:footer="567" w:gutter="0"/>
          <w:cols w:space="720"/>
          <w:docGrid w:linePitch="360"/>
        </w:sectPr>
      </w:pPr>
    </w:p>
    <w:p w14:paraId="20600E2D" w14:textId="15EE7507" w:rsidR="00154AD2" w:rsidRDefault="007F6BF3">
      <w:pPr>
        <w:pStyle w:val="P68B1DB1-Normal3"/>
        <w:keepNext/>
        <w:spacing w:before="40" w:after="0" w:line="259" w:lineRule="auto"/>
        <w:ind w:left="130" w:firstLine="720"/>
        <w:jc w:val="both"/>
        <w:outlineLvl w:val="1"/>
        <w:rPr>
          <w:rFonts w:eastAsiaTheme="minorEastAsia" w:cs="Times New Roman"/>
          <w:smallCaps/>
          <w:noProof/>
        </w:rPr>
      </w:pPr>
      <w:r>
        <w:rPr>
          <w:noProof/>
        </w:rPr>
        <w:t xml:space="preserve">Ζ. ΣΥΝΙΣΤΏΣΑ 7: Υποδομές </w:t>
      </w:r>
    </w:p>
    <w:p w14:paraId="200CA25A" w14:textId="77777777" w:rsidR="00154AD2" w:rsidRDefault="007F6BF3">
      <w:pPr>
        <w:pStyle w:val="P68B1DB1-Normal4"/>
        <w:keepNext/>
        <w:spacing w:before="40" w:after="0" w:line="259" w:lineRule="auto"/>
        <w:jc w:val="both"/>
        <w:rPr>
          <w:rFonts w:eastAsiaTheme="minorEastAsia" w:cs="Times New Roman"/>
          <w:noProof/>
        </w:rPr>
      </w:pPr>
      <w:r>
        <w:rPr>
          <w:noProof/>
        </w:rPr>
        <w:t>Αυτή η</w:t>
      </w:r>
      <w:r>
        <w:rPr>
          <w:i/>
          <w:noProof/>
        </w:rPr>
        <w:t xml:space="preserve"> </w:t>
      </w:r>
      <w:r>
        <w:rPr>
          <w:noProof/>
        </w:rPr>
        <w:t>συνιστώσα του πορτογαλικού σχεδίου ανάκαμψης και ανθεκτικότητας</w:t>
      </w:r>
      <w:r>
        <w:rPr>
          <w:i/>
          <w:noProof/>
        </w:rPr>
        <w:t xml:space="preserve"> </w:t>
      </w:r>
      <w:r>
        <w:rPr>
          <w:noProof/>
        </w:rPr>
        <w:t xml:space="preserve">αντιμετωπίζει την πρόκληση της χαμηλής εδαφικής συνοχής και της χαμηλής ανταγωνιστικότητας των επιχειρήσεων στις περιοχές της ενδοχώρας που προκαλούνται από την ανεπαρκή σύνδεση με το οδικό δίκτυο. Αυτό οδηγεί σε κόστος πλαισίου για τις επιχειρήσεις, όπως το κόστος μεταφοράς λόγω χαμηλής οδικής συνδεσιμότητας ή η δυσκολία προσέλκυσης ειδικευμένου προσωπικού. Μια άλλη πρόκληση είναι η ανάγκη μείωσης των εκπομπών στον τομέα των μεταφορών και στα επιχειρηματικά πάρκα. </w:t>
      </w:r>
    </w:p>
    <w:p w14:paraId="1FBD0D8C"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Οι στόχοι της συνιστώσας είναι η αύξηση της εδαφικής συνοχής και η βελτίωση της ανταγωνιστικότητας με σκοπό την προώθηση της οικονομικής ανάπτυξης των περιοχών της ενδοχώρας. Μέσω της ανάπτυξης σταθμών φόρτισης, αποσκοπεί στην προώθηση της απαλλαγής των οδικών μεταφορών από τις ανθρακούχες εκπομπές. </w:t>
      </w:r>
    </w:p>
    <w:p w14:paraId="32BD65D6"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Για τον σκοπό αυτό, στόχος της συνιστώσας είναι να καταστούν τα επιχειρηματικά πάρκα πιο βιώσιμα και πιο ψηφιακά και να τους παρασχεθεί καλύτερη πρόσβαση στο οδικό δίκτυο. Επιδιώκει επίσης να βελτιώσει τη συνδεσιμότητα των οδικών μεταφορών με την επέκταση του οδικού δικτύου, π.χ. με την αντιμετώπιση των ελλειπόντων κρίκων, μεταξύ άλλων στις Αζόρες, και με την παροχή τεσσάρων διασυνοριακών συνδέσεων. Η επιτάχυνση της επέκτασης του δικτύου προσβάσιμων στο κοινό σταθμών φόρτισης ηλεκτρικών οχημάτων αναμένεται να συμβάλει στη μείωση του αποτυπώματος άνθρακα του τομέα των οδικών μεταφορών στην Πορτογαλία και να τον καταστήσει πιο βιώσιμο. Η επένδυση αυτή αποτελεί συνοδευτικό μέτρο για την επέκταση των οδικών υποδομών, σύμφωνα με τις τεχνικές κατευθυντήριες γραμμές της Επιτροπής σχετικά με την αρχή της μη πρόκλησης σημαντικής βλάβης (2021/C58/01). </w:t>
      </w:r>
    </w:p>
    <w:p w14:paraId="26F8A281" w14:textId="77777777" w:rsidR="00154AD2" w:rsidRDefault="007F6BF3">
      <w:pPr>
        <w:pStyle w:val="P68B1DB1-Normal4"/>
        <w:keepNext/>
        <w:spacing w:before="40" w:after="0" w:line="259" w:lineRule="auto"/>
        <w:jc w:val="both"/>
        <w:rPr>
          <w:rFonts w:eastAsiaTheme="minorEastAsia" w:cs="Times New Roman"/>
          <w:noProof/>
        </w:rPr>
      </w:pPr>
      <w:r>
        <w:rPr>
          <w:noProof/>
        </w:rPr>
        <w:t>Η συνιστώσα στηρίζει την εφαρμογή της ειδικής ανά χώρα σύστασης για την εστίαση των επενδύσεων στην πράσινη μετάβαση, λαμβάνοντας υπόψη τις περιφερειακές ανισότητες (ειδική ανά χώρα σύσταση 3 2019 και ειδική ανά χώρα σύσταση 3 2020) και στηρίζοντας τη χρήση ψηφιακών τεχνολογιών για την τόνωση της ανταγωνιστικότητας των επιχειρήσεων (ειδική ανά χώρα σύσταση 2 2020).</w:t>
      </w:r>
    </w:p>
    <w:p w14:paraId="2B7EE796"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Αναμένεται ότι κανένα μέτρο στη συνιστώσα αυτή δεν βλάπτει σημαντικά τους περιβαλλοντικούς στόχους κατά την έννοια του άρθρου 17 του κανονισμού (ΕΕ) 2020/852, λαμβανομένης υπόψη της περιγραφής των μέτρων και των μέτρων μετριασμού που ορίζονται στο σχέδιο σύμφωνα με την τεχνική καθοδήγηση σχετικά με την αρχή της μη πρόκλησης σημαντικής βλάβης (2021/C58/01). </w:t>
      </w:r>
    </w:p>
    <w:p w14:paraId="3E872C3A"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62B87287" w14:textId="77777777" w:rsidR="00154AD2" w:rsidRDefault="007F6BF3">
      <w:pPr>
        <w:keepNext/>
        <w:spacing w:before="40" w:after="0" w:line="259" w:lineRule="auto"/>
        <w:ind w:left="130" w:firstLine="720"/>
        <w:jc w:val="both"/>
        <w:outlineLvl w:val="2"/>
        <w:rPr>
          <w:rFonts w:ascii="Times New Roman" w:eastAsiaTheme="minorEastAsia" w:hAnsi="Times New Roman" w:cs="Times New Roman"/>
          <w:b/>
          <w:i/>
          <w:noProof/>
          <w:sz w:val="24"/>
          <w:u w:val="single"/>
        </w:rPr>
      </w:pPr>
      <w:r>
        <w:rPr>
          <w:rFonts w:ascii="Times New Roman" w:hAnsi="Times New Roman"/>
          <w:b/>
          <w:noProof/>
          <w:sz w:val="24"/>
          <w:u w:val="single"/>
        </w:rPr>
        <w:t xml:space="preserve">Η.1. </w:t>
      </w:r>
      <w:r>
        <w:rPr>
          <w:noProof/>
        </w:rPr>
        <w:tab/>
      </w:r>
      <w:r>
        <w:rPr>
          <w:rFonts w:ascii="Times New Roman" w:hAnsi="Times New Roman"/>
          <w:b/>
          <w:noProof/>
          <w:sz w:val="24"/>
          <w:u w:val="single"/>
        </w:rPr>
        <w:t>Περιγραφή των μεταρρυθμίσεων και των επενδύσεων που είναι επιλέξιμες για λήψη μη επιστρεπτέας χρηματοδοτικής στήριξης</w:t>
      </w:r>
    </w:p>
    <w:p w14:paraId="590E8D7E"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Επένδυση RE-C07-i00: Επέκταση του δικτύου φόρτισης ηλεκτρικών οχημάτων</w:t>
      </w:r>
    </w:p>
    <w:p w14:paraId="1E56FC8F"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Στόχος του μέτρου είναι η προώθηση της απαλλαγής των οδικών μεταφορών από τις ανθρακούχες εκπομπές μέσω της προώθησης της ηλεκτρικής κινητικότητας. </w:t>
      </w:r>
    </w:p>
    <w:p w14:paraId="0A23AF01" w14:textId="62EBFE78" w:rsidR="00154AD2" w:rsidRDefault="007F6BF3">
      <w:pPr>
        <w:pStyle w:val="P68B1DB1-Normal4"/>
        <w:keepNext/>
        <w:spacing w:before="40" w:after="0" w:line="259" w:lineRule="auto"/>
        <w:jc w:val="both"/>
        <w:rPr>
          <w:rFonts w:eastAsiaTheme="minorEastAsia" w:cs="Times New Roman"/>
          <w:noProof/>
        </w:rPr>
      </w:pPr>
      <w:r>
        <w:rPr>
          <w:noProof/>
        </w:rPr>
        <w:t>Η επένδυση συνίσταται στη διασφάλιση της λειτουργίας 15 000 προσβάσιμων στο κοινό σημείων επαναφόρτισης στην Πορτογαλία. Πρόκειται για συνοδευτικό μέτρο για τις επενδύσεις σε οδικές υποδομές στα σημεία C07-I02, I03, I04 και I05, προκειμένου να διασφαλιστεί η συμμόρφωση με την αρχή της μη πρόκλησης σημαντικής βλάβης όσον αφορά τους στόχους μετριασμού της κλιματικής αλλαγής και πρόληψης και ελέγχου της ρύπανσης. Οι ιδιωτικοί φορείς έχουν καταστεί οι κύριοι παράγοντες της επέκτασης του δικτύου. Το πορτογαλικό κράτος εστιάζει την επένδυσή του στην πλατφόρμα διαχείρισης δικτύου Mobi.E και στην κάλυψη των αδυναμιών της αγοράς, στηρίζοντας τις επενδύσεις σε περιοχές όπου ο ιδιωτικός τομέας δεν εξασφαλίζει την αναγκαία κάλυψη.</w:t>
      </w:r>
    </w:p>
    <w:p w14:paraId="15FD5D8E"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υλοποίηση της επένδυσης ολοκληρώνεται στις 31 Δεκεμβρίου 2025. </w:t>
      </w:r>
    </w:p>
    <w:p w14:paraId="33FAE029"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Επένδυση RE-C07-i01: Χώροι υποδοχής επιχειρήσεων</w:t>
      </w:r>
    </w:p>
    <w:p w14:paraId="3A765AFD" w14:textId="77777777" w:rsidR="00154AD2" w:rsidRDefault="007F6BF3">
      <w:pPr>
        <w:pStyle w:val="P68B1DB1-Normal4"/>
        <w:keepNext/>
        <w:spacing w:before="40" w:after="0" w:line="259" w:lineRule="auto"/>
        <w:jc w:val="both"/>
        <w:rPr>
          <w:rFonts w:eastAsiaTheme="minorEastAsia" w:cs="Times New Roman"/>
          <w:noProof/>
        </w:rPr>
      </w:pPr>
      <w:r>
        <w:rPr>
          <w:noProof/>
        </w:rPr>
        <w:t>Στόχος του μέτρου είναι ο εκσυγχρονισμός των χώρων υποδοχής επιχειρήσεων, οι οποίοι αποτελούν έκταση γης που αναπτύχθηκε ως χώρος για γραφεία, εργοστάσια και άλλες επιχειρήσεις. Ο εκσυγχρονισμός των επιχειρηματικών πάρκων προσδιορίζεται επίσης ως επενδυτική ανάγκη στο εθνικό σχέδιο υποδομών της Πορτογαλίας για το 2030 (PNI 2030).</w:t>
      </w:r>
    </w:p>
    <w:p w14:paraId="698D6A6F"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επένδυση συνίσταται σε παρεμβάσεις σε επιλεγμένα επιχειρηματικά πάρκα που περιλαμβάνουν την προώθηση συστημάτων παραγωγής και αποθήκευσης ενέργειας από ανανεώσιμες πηγές, πιλοτικές παρεμβάσεις για τη βελτίωση της ενεργειακής σταθερότητας, την εγκατάσταση σταθμών φόρτισης ηλεκτρικής ενέργειας και υδρογόνου, ενισχυμένη κάλυψη 5G και ενεργητικά μέτρα πρόληψης πυρκαγιών. Οι εν λόγω παρεμβάσεις για την περιβαλλοντική βιωσιμότητα και την ψηφιοποίηση πραγματοποιούνται σε 10 χώρους υποδοχής επιχειρήσεων, οι οποίοι επιλέγονται μέσω δημόσιου διαγωνισμού. </w:t>
      </w:r>
    </w:p>
    <w:p w14:paraId="71390BF3" w14:textId="77777777" w:rsidR="00154AD2" w:rsidRDefault="007F6BF3">
      <w:pPr>
        <w:pStyle w:val="P68B1DB1-Normal4"/>
        <w:keepNext/>
        <w:spacing w:before="40" w:after="0" w:line="259" w:lineRule="auto"/>
        <w:jc w:val="both"/>
        <w:rPr>
          <w:rFonts w:eastAsiaTheme="minorEastAsia" w:cs="Times New Roman"/>
          <w:noProof/>
        </w:rPr>
      </w:pPr>
      <w:r>
        <w:rPr>
          <w:noProof/>
        </w:rPr>
        <w:t>Η υλοποίηση της επένδυσης αναμένεται να ολοκληρωθεί έως τις 31 Δεκεμβρίου 2025.</w:t>
      </w:r>
    </w:p>
    <w:p w14:paraId="348C4B22"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Επένδυση RE-C07-i02: Ελλείποντες κρίκοι και αύξηση της ικανότητας του δικτύου</w:t>
      </w:r>
    </w:p>
    <w:p w14:paraId="052B39E3" w14:textId="77777777" w:rsidR="00154AD2" w:rsidRDefault="007F6BF3">
      <w:pPr>
        <w:pStyle w:val="P68B1DB1-Normal4"/>
        <w:keepNext/>
        <w:spacing w:before="40" w:after="0" w:line="259" w:lineRule="auto"/>
        <w:jc w:val="both"/>
        <w:rPr>
          <w:rFonts w:eastAsiaTheme="minorEastAsia" w:cs="Times New Roman"/>
          <w:noProof/>
        </w:rPr>
      </w:pPr>
      <w:r>
        <w:rPr>
          <w:noProof/>
        </w:rPr>
        <w:t>Στόχος του μέτρου είναι η βελτίωση της εδαφικής συνοχής και της ανταγωνιστικότητας μέσω της αντιμετώπισης των «ελλειπόντων κρίκων» στο οδικό δίκτυο. Αυτές οι ελλείπουσες συνδέσεις μειώνουν τις επιδόσεις του οδικού δικτύου και οδηγούν σε απώλεια ανταγωνιστικότητας για τις επιχειρήσεις. Η επένδυση αποσκοπεί επίσης στην αντιμετώπιση της κυκλοφοριακής συμφόρησης, στη βελτίωση της οδικής ασφάλειας και της ποιότητας του αέρα και στη μείωση του θορύβου σε τοποθεσίες κοντά στο οδικό δίκτυο.</w:t>
      </w:r>
    </w:p>
    <w:p w14:paraId="66586778"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επένδυση συνίσταται στην κατασκευή και αναβάθμιση οδών. Οι παρεμβάσεις περιλαμβάνουν την εξάλειψη των αστικών διασταυρώσεων και τη διασφάλιση της επάρκειας της μεταφορικής ικανότητας των γραμμών, την αύξηση της προσβασιμότητας σε μεγάλους διαδρόμους μεταφορών και πολυτροπικές διεπαφές. Οι παρεμβάσεις περιλαμβάνουν αναβάθμιση των οδών που αποτελούν μέρος του δικτύου ΔΕΔ-Μ, όπως η ανατολική παράκαμψη IP2 Évora ή επενδύσεις στο IP8. </w:t>
      </w:r>
    </w:p>
    <w:p w14:paraId="688654A9" w14:textId="77777777" w:rsidR="00154AD2" w:rsidRDefault="007F6BF3">
      <w:pPr>
        <w:pStyle w:val="P68B1DB1-Normal4"/>
        <w:keepNext/>
        <w:spacing w:before="40" w:after="0" w:line="259" w:lineRule="auto"/>
        <w:jc w:val="both"/>
        <w:rPr>
          <w:rFonts w:eastAsiaTheme="minorEastAsia" w:cs="Times New Roman"/>
          <w:noProof/>
        </w:rPr>
      </w:pPr>
      <w:r>
        <w:rPr>
          <w:noProof/>
        </w:rPr>
        <w:t>Αναμένεται ότι το μέτρο αυτό δεν θα βλάψει σημαντικά τους περιβαλλοντικούς στόχους κατά την έννοια του άρθρου 17 του κανονισμού (ΕΕ) 2020/852, λαμβάνοντας υπόψη την περιγραφή του μέτρου και τα μέτρα μετριασμού που προβλέπονται στο σχέδιο ανάκαμψης και ανθεκτικότητας σύμφωνα με τις τεχνικές κατευθυντήριες γραμμές του DNSH (2021/C58/01). Ειδικότερα, η συμμόρφωση με την αρχή της μη πρόκλησης σημαντικής βλάβης διασφαλίζεται μέσω της επένδυσης C07-I0 (επέκταση του δικτύου φόρτισης ηλεκτρικών οχημάτων) ως συνοδευτικό μέτρο. Κάθε οδικό έργο που ενδέχεται να έχει σημαντικές αρνητικές επιπτώσεις στο περιβάλλον υπόκειται σε εκτίμηση περιβαλλοντικών επιπτώσεων (ΕΠΕ) σύμφωνα με την οδηγία 2011/92/ΕΕ, ώστε να διασφαλίζεται ότι η συμμόρφωση με την αρχή της μη πρόκλησης σημαντικής βλάβης ενσωματώνεται στο έργο και τηρείται αυστηρά κατά τα στάδια της κατασκευής, της λειτουργίας και του παροπλισμού της υποδομής.</w:t>
      </w:r>
    </w:p>
    <w:p w14:paraId="046AD115" w14:textId="79CA9C50" w:rsidR="00154AD2" w:rsidRDefault="007F6BF3">
      <w:pPr>
        <w:pStyle w:val="P68B1DB1-Normal4"/>
        <w:keepNext/>
        <w:spacing w:before="40" w:after="0" w:line="259" w:lineRule="auto"/>
        <w:jc w:val="both"/>
        <w:rPr>
          <w:rFonts w:eastAsiaTheme="minorEastAsia" w:cs="Times New Roman"/>
          <w:noProof/>
        </w:rPr>
      </w:pPr>
      <w:r>
        <w:rPr>
          <w:noProof/>
        </w:rPr>
        <w:t xml:space="preserve">Από τις αναφερόμενες οδούς, 111 χιλιόμετρα κατασκευάζονται ή αναβαθμίζονται: </w:t>
      </w:r>
    </w:p>
    <w:p w14:paraId="10E3C582" w14:textId="77777777" w:rsidR="00154AD2" w:rsidRDefault="007F6BF3">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EN14: οδική/σιδηροδρομική διεπαφή στην Trofa/Santana, συμπεριλαμβανομένης νέας γέφυρας πάνω από τον ποταμό Ave· </w:t>
      </w:r>
    </w:p>
    <w:p w14:paraId="0D1CCC85" w14:textId="77777777" w:rsidR="00154AD2" w:rsidRDefault="007F6BF3">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EN14: Maia (Via Diagonal)/οδική/σιδηροδρομική διεπαφή στην Trofa· </w:t>
      </w:r>
    </w:p>
    <w:p w14:paraId="24DEB7F3" w14:textId="77777777" w:rsidR="00154AD2" w:rsidRDefault="007F6BF3">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EN4: Παράκαμψη Atalaia· </w:t>
      </w:r>
    </w:p>
    <w:p w14:paraId="0F43B082" w14:textId="77777777" w:rsidR="00154AD2" w:rsidRDefault="007F6BF3">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IC35: Penafiel (EN15)/Rans· </w:t>
      </w:r>
    </w:p>
    <w:p w14:paraId="32D72CCA" w14:textId="77777777" w:rsidR="00154AD2" w:rsidRDefault="007F6BF3">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IC35: RANs/Entre-os Rios· </w:t>
      </w:r>
    </w:p>
    <w:p w14:paraId="03DE18C1" w14:textId="77777777" w:rsidR="00154AD2" w:rsidRDefault="007F6BF3">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IP2: Ανατολική παράκαμψη Évora· </w:t>
      </w:r>
    </w:p>
    <w:p w14:paraId="7A684FA5" w14:textId="77777777" w:rsidR="00154AD2" w:rsidRDefault="007F6BF3">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Σύνδεσμος από το Baião στη γέφυρα Ermida· </w:t>
      </w:r>
    </w:p>
    <w:p w14:paraId="0EC45B3D" w14:textId="77777777" w:rsidR="00154AD2" w:rsidRDefault="007F6BF3">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Οδικός άξονας Aveiro — Águeda· </w:t>
      </w:r>
    </w:p>
    <w:p w14:paraId="1DECF506" w14:textId="77777777" w:rsidR="00154AD2" w:rsidRDefault="007F6BF3">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EN344: km 67 έως km 75 — Pampilhosa da Serra· </w:t>
      </w:r>
    </w:p>
    <w:p w14:paraId="2680B40F" w14:textId="77777777" w:rsidR="00154AD2" w:rsidRDefault="007F6BF3">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EN125: Ανατολική παράκαμψη Olhão· </w:t>
      </w:r>
    </w:p>
    <w:p w14:paraId="328864DD" w14:textId="77777777" w:rsidR="00154AD2" w:rsidRDefault="007F6BF3">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IC2 (EN1): Meirinhas (km 136)/Pombal (km 148)· </w:t>
      </w:r>
    </w:p>
    <w:p w14:paraId="35923BB7" w14:textId="77777777" w:rsidR="00154AD2" w:rsidRDefault="007F6BF3">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IP8 (EN121): Ferreira do Alentejo/Beja, συμπεριλαμβανομένης της παρακαμπτήριας οδού Beringel· </w:t>
      </w:r>
    </w:p>
    <w:p w14:paraId="4609B59F" w14:textId="77777777" w:rsidR="00154AD2" w:rsidRDefault="007F6BF3">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IP8 (EN259): STA. Margarida do Sado/Ferreira do Alentejo, συμπεριλαμβανομένης της παρακαμπτήριας οδού Figueira de Cavaleiros· </w:t>
      </w:r>
    </w:p>
    <w:p w14:paraId="7D895BF1" w14:textId="77777777" w:rsidR="00154AD2" w:rsidRDefault="007F6BF3">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IP8 (A26): Αύξηση της δυναμικότητας της σύνδεσης μεταξύ Sines και A2· </w:t>
      </w:r>
    </w:p>
    <w:p w14:paraId="19991BD2" w14:textId="77777777" w:rsidR="00154AD2" w:rsidRDefault="007F6BF3">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EN211 — Παράκαμψη Quintã/Mesquinhata. </w:t>
      </w:r>
    </w:p>
    <w:p w14:paraId="21CD1717" w14:textId="77777777" w:rsidR="00154AD2" w:rsidRDefault="007F6BF3">
      <w:pPr>
        <w:pStyle w:val="P68B1DB1-Normal4"/>
        <w:keepNext/>
        <w:spacing w:before="40" w:after="0" w:line="259" w:lineRule="auto"/>
        <w:jc w:val="both"/>
        <w:rPr>
          <w:rFonts w:eastAsiaTheme="minorEastAsia" w:cs="Times New Roman"/>
          <w:noProof/>
        </w:rPr>
      </w:pPr>
      <w:r>
        <w:rPr>
          <w:noProof/>
        </w:rPr>
        <w:t>Η υλοποίηση της επένδυσης θα ολοκληρωθεί έως τις 31 Δεκεμβρίου 2025.</w:t>
      </w:r>
    </w:p>
    <w:p w14:paraId="4CD69178"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Επένδυση RE-C07-i05-RAA: Κυκλώματα εφοδιαστικής — Περιφερειακό Δίκτυο Αζορών</w:t>
      </w:r>
    </w:p>
    <w:p w14:paraId="5E978CC5" w14:textId="77777777" w:rsidR="00154AD2" w:rsidRDefault="007F6BF3">
      <w:pPr>
        <w:pStyle w:val="P68B1DB1-Normal4"/>
        <w:keepNext/>
        <w:spacing w:before="40" w:after="0" w:line="259" w:lineRule="auto"/>
        <w:jc w:val="both"/>
        <w:rPr>
          <w:rFonts w:eastAsiaTheme="minorEastAsia" w:cs="Times New Roman"/>
          <w:noProof/>
        </w:rPr>
      </w:pPr>
      <w:r>
        <w:rPr>
          <w:noProof/>
        </w:rPr>
        <w:t>Στόχος του μέτρου είναι η δημιουργία των προϋποθέσεων για μια πιο ισόρροπη οικονομική ανάπτυξη μέσω της προώθησης των οικονομικών φορέων εκτός των μεγάλων αστικών κέντρων. Οι παρεμβάσεις αποσκοπούν επίσης στη μείωση των αποστάσεων, του χρόνου ταξιδίου και της συμφόρησης.</w:t>
      </w:r>
    </w:p>
    <w:p w14:paraId="77005C25"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επένδυση συνίσταται στην επέκταση και αναβάθμιση των οδικών υποδομών στις Αζόρες. Αποσκοπεί στη βελτίωση της προσβασιμότητας σε πληθυσμιακά κέντρα και κόμβους οικονομικής δραστηριότητας και στις κύριες υποδομές εισόδου σε κάθε νησί. Αποσκοπεί επίσης στην παρέμβαση στην κατασκευή κυκλικών οδών προς τα κύρια αστικά κέντρα, με μείωση των αστικών διασταυρώσεων. </w:t>
      </w:r>
    </w:p>
    <w:p w14:paraId="63DBFDF0" w14:textId="77777777" w:rsidR="00154AD2" w:rsidRDefault="007F6BF3">
      <w:pPr>
        <w:pStyle w:val="P68B1DB1-Normal4"/>
        <w:keepNext/>
        <w:spacing w:before="40" w:after="0" w:line="259" w:lineRule="auto"/>
        <w:jc w:val="both"/>
        <w:rPr>
          <w:rFonts w:eastAsiaTheme="minorEastAsia" w:cs="Times New Roman"/>
          <w:noProof/>
        </w:rPr>
      </w:pPr>
      <w:r>
        <w:rPr>
          <w:noProof/>
        </w:rPr>
        <w:t>Αναμένεται ότι το μέτρο αυτό δεν θα βλάψει σημαντικά τους περιβαλλοντικούς στόχους κατά την έννοια του άρθρου 17 του κανονισμού (ΕΕ) 2020/852, λαμβάνοντας υπόψη την περιγραφή του μέτρου και τα μέτρα μετριασμού που προβλέπονται στο σχέδιο ανάκαμψης και ανθεκτικότητας σύμφωνα με τις τεχνικές κατευθυντήριες γραμμές του DNSH (2021/C58/01). Ειδικότερα, η συμμόρφωση με την αρχή της μη πρόκλησης σημαντικής βλάβης διασφαλίζεται μέσω της επένδυσης C07-I0 (επέκταση του δικτύου φόρτισης ηλεκτρικών οχημάτων) ως συνοδευτικό μέτρο. Κάθε οδικό έργο που ενδέχεται να έχει σημαντικές αρνητικές επιπτώσεις στο περιβάλλον υπόκειται σε εκτίμηση περιβαλλοντικών επιπτώσεων (ΕΠΕ) σύμφωνα με την οδηγία 2011/92/ΕΕ, ώστε να διασφαλίζεται ότι η συμμόρφωση με την αρχή της μη πρόκλησης σημαντικής βλάβης ενσωματώνεται στο έργο και τηρείται αυστηρά κατά τα στάδια της κατασκευής, της λειτουργίας και του παροπλισμού της υποδομής. Συνολικά, κατασκευάζονται ή αναβαθμίζονται 34 χιλιόμετρα οδών. Προγραμματίζονται οι ακόλουθες οδικές παρεμβάσεις:</w:t>
      </w:r>
    </w:p>
    <w:p w14:paraId="09A9BBD4" w14:textId="77777777" w:rsidR="00154AD2" w:rsidRDefault="007F6BF3">
      <w:pPr>
        <w:pStyle w:val="P68B1DB1-Normal4"/>
        <w:keepNext/>
        <w:numPr>
          <w:ilvl w:val="0"/>
          <w:numId w:val="25"/>
        </w:numPr>
        <w:spacing w:before="40" w:after="160" w:line="259" w:lineRule="auto"/>
        <w:contextualSpacing/>
        <w:jc w:val="both"/>
        <w:rPr>
          <w:rFonts w:eastAsiaTheme="minorEastAsia" w:cs="Times New Roman"/>
          <w:noProof/>
        </w:rPr>
      </w:pPr>
      <w:r>
        <w:rPr>
          <w:noProof/>
        </w:rPr>
        <w:t>Ilha de Santa Maria</w:t>
      </w:r>
    </w:p>
    <w:p w14:paraId="4F976D1C" w14:textId="77777777" w:rsidR="00154AD2" w:rsidRDefault="007F6BF3">
      <w:pPr>
        <w:pStyle w:val="P68B1DB1-Normal4"/>
        <w:keepNext/>
        <w:numPr>
          <w:ilvl w:val="1"/>
          <w:numId w:val="25"/>
        </w:numPr>
        <w:spacing w:before="40" w:after="160" w:line="259" w:lineRule="auto"/>
        <w:contextualSpacing/>
        <w:jc w:val="both"/>
        <w:rPr>
          <w:rFonts w:eastAsiaTheme="minorEastAsia" w:cs="Times New Roman"/>
          <w:noProof/>
        </w:rPr>
      </w:pPr>
      <w:r>
        <w:rPr>
          <w:noProof/>
        </w:rPr>
        <w:t>Παράκαμψη Vila do Porto</w:t>
      </w:r>
    </w:p>
    <w:p w14:paraId="7F41B4BE" w14:textId="77777777" w:rsidR="00154AD2" w:rsidRDefault="007F6BF3">
      <w:pPr>
        <w:pStyle w:val="P68B1DB1-Normal4"/>
        <w:keepNext/>
        <w:numPr>
          <w:ilvl w:val="0"/>
          <w:numId w:val="25"/>
        </w:numPr>
        <w:spacing w:before="40" w:after="160" w:line="259" w:lineRule="auto"/>
        <w:contextualSpacing/>
        <w:jc w:val="both"/>
        <w:rPr>
          <w:rFonts w:eastAsiaTheme="minorEastAsia" w:cs="Times New Roman"/>
          <w:noProof/>
        </w:rPr>
      </w:pPr>
      <w:r>
        <w:rPr>
          <w:noProof/>
        </w:rPr>
        <w:t>Ilha de São Miguel</w:t>
      </w:r>
    </w:p>
    <w:p w14:paraId="16BFDA9B" w14:textId="77777777" w:rsidR="00154AD2" w:rsidRDefault="007F6BF3">
      <w:pPr>
        <w:pStyle w:val="P68B1DB1-Normal4"/>
        <w:keepNext/>
        <w:numPr>
          <w:ilvl w:val="1"/>
          <w:numId w:val="25"/>
        </w:numPr>
        <w:spacing w:before="40" w:after="160" w:line="259" w:lineRule="auto"/>
        <w:contextualSpacing/>
        <w:jc w:val="both"/>
        <w:rPr>
          <w:rFonts w:eastAsiaTheme="minorEastAsia" w:cs="Times New Roman"/>
          <w:noProof/>
        </w:rPr>
      </w:pPr>
      <w:r>
        <w:rPr>
          <w:noProof/>
        </w:rPr>
        <w:t>Βελτίωση της προσβασιμότητας Furnas/Povoação —</w:t>
      </w:r>
      <w:r>
        <w:rPr>
          <w:noProof/>
          <w:vertAlign w:val="superscript"/>
        </w:rPr>
        <w:t>1ο</w:t>
      </w:r>
      <w:r>
        <w:rPr>
          <w:noProof/>
        </w:rPr>
        <w:t xml:space="preserve"> στάδιο: Παράκαμψη Furnas</w:t>
      </w:r>
    </w:p>
    <w:p w14:paraId="59323044" w14:textId="77777777" w:rsidR="00154AD2" w:rsidRDefault="007F6BF3">
      <w:pPr>
        <w:pStyle w:val="P68B1DB1-Normal4"/>
        <w:keepNext/>
        <w:numPr>
          <w:ilvl w:val="1"/>
          <w:numId w:val="25"/>
        </w:numPr>
        <w:spacing w:before="40" w:after="160" w:line="259" w:lineRule="auto"/>
        <w:contextualSpacing/>
        <w:jc w:val="both"/>
        <w:rPr>
          <w:rFonts w:eastAsiaTheme="minorEastAsia" w:cs="Times New Roman"/>
          <w:noProof/>
        </w:rPr>
      </w:pPr>
      <w:r>
        <w:rPr>
          <w:noProof/>
        </w:rPr>
        <w:t>Παράκαμψη Capelas</w:t>
      </w:r>
    </w:p>
    <w:p w14:paraId="7572973D" w14:textId="77777777" w:rsidR="00154AD2" w:rsidRDefault="007F6BF3">
      <w:pPr>
        <w:pStyle w:val="P68B1DB1-Normal4"/>
        <w:keepNext/>
        <w:numPr>
          <w:ilvl w:val="1"/>
          <w:numId w:val="25"/>
        </w:numPr>
        <w:spacing w:before="40" w:after="160" w:line="259" w:lineRule="auto"/>
        <w:contextualSpacing/>
        <w:jc w:val="both"/>
        <w:rPr>
          <w:rFonts w:eastAsiaTheme="minorEastAsia" w:cs="Times New Roman"/>
          <w:noProof/>
        </w:rPr>
      </w:pPr>
      <w:r>
        <w:rPr>
          <w:noProof/>
        </w:rPr>
        <w:t>Παράκαμψη São Roque</w:t>
      </w:r>
    </w:p>
    <w:p w14:paraId="4820E6A3" w14:textId="77777777" w:rsidR="00154AD2" w:rsidRDefault="007F6BF3">
      <w:pPr>
        <w:pStyle w:val="P68B1DB1-Normal4"/>
        <w:keepNext/>
        <w:numPr>
          <w:ilvl w:val="1"/>
          <w:numId w:val="25"/>
        </w:numPr>
        <w:spacing w:before="40" w:after="160" w:line="259" w:lineRule="auto"/>
        <w:contextualSpacing/>
        <w:jc w:val="both"/>
        <w:rPr>
          <w:rFonts w:eastAsiaTheme="minorEastAsia" w:cs="Times New Roman"/>
          <w:noProof/>
        </w:rPr>
      </w:pPr>
      <w:r>
        <w:rPr>
          <w:noProof/>
        </w:rPr>
        <w:t>Παράκαμψη της δικτυακής πύλης του Vento</w:t>
      </w:r>
    </w:p>
    <w:p w14:paraId="313CCF36" w14:textId="77777777" w:rsidR="00154AD2" w:rsidRDefault="007F6BF3">
      <w:pPr>
        <w:pStyle w:val="P68B1DB1-Normal4"/>
        <w:keepNext/>
        <w:numPr>
          <w:ilvl w:val="0"/>
          <w:numId w:val="25"/>
        </w:numPr>
        <w:spacing w:before="40" w:after="160" w:line="259" w:lineRule="auto"/>
        <w:contextualSpacing/>
        <w:jc w:val="both"/>
        <w:rPr>
          <w:rFonts w:eastAsiaTheme="minorEastAsia" w:cs="Times New Roman"/>
          <w:noProof/>
        </w:rPr>
      </w:pPr>
      <w:r>
        <w:rPr>
          <w:noProof/>
        </w:rPr>
        <w:t>Ilha Terceira</w:t>
      </w:r>
    </w:p>
    <w:p w14:paraId="04E615D9" w14:textId="77777777" w:rsidR="00154AD2" w:rsidRDefault="007F6BF3">
      <w:pPr>
        <w:pStyle w:val="P68B1DB1-Normal4"/>
        <w:keepNext/>
        <w:numPr>
          <w:ilvl w:val="1"/>
          <w:numId w:val="25"/>
        </w:numPr>
        <w:spacing w:before="40" w:after="160" w:line="259" w:lineRule="auto"/>
        <w:contextualSpacing/>
        <w:jc w:val="both"/>
        <w:rPr>
          <w:rFonts w:eastAsiaTheme="minorEastAsia" w:cs="Times New Roman"/>
          <w:noProof/>
        </w:rPr>
      </w:pPr>
      <w:r>
        <w:rPr>
          <w:noProof/>
        </w:rPr>
        <w:t>Προώθηση συνθηκών προσβασιμότητας, κινητικότητας και οδικής ασφάλειας — σύνδεση μεταξύ Via Vitorino Nemésio και εγκυκλίου Angra</w:t>
      </w:r>
    </w:p>
    <w:p w14:paraId="09E0E766" w14:textId="77777777" w:rsidR="00154AD2" w:rsidRDefault="007F6BF3">
      <w:pPr>
        <w:pStyle w:val="P68B1DB1-Normal4"/>
        <w:keepNext/>
        <w:numPr>
          <w:ilvl w:val="0"/>
          <w:numId w:val="25"/>
        </w:numPr>
        <w:spacing w:before="40" w:after="160" w:line="259" w:lineRule="auto"/>
        <w:contextualSpacing/>
        <w:jc w:val="both"/>
        <w:rPr>
          <w:rFonts w:eastAsiaTheme="minorEastAsia" w:cs="Times New Roman"/>
          <w:noProof/>
        </w:rPr>
      </w:pPr>
      <w:r>
        <w:rPr>
          <w:noProof/>
        </w:rPr>
        <w:t>Ιλά Γρακιώσα</w:t>
      </w:r>
    </w:p>
    <w:p w14:paraId="1419E510" w14:textId="77777777" w:rsidR="00154AD2" w:rsidRDefault="007F6BF3">
      <w:pPr>
        <w:pStyle w:val="P68B1DB1-Normal4"/>
        <w:keepNext/>
        <w:numPr>
          <w:ilvl w:val="1"/>
          <w:numId w:val="25"/>
        </w:numPr>
        <w:spacing w:before="40" w:after="160" w:line="259" w:lineRule="auto"/>
        <w:contextualSpacing/>
        <w:jc w:val="both"/>
        <w:rPr>
          <w:rFonts w:eastAsiaTheme="minorEastAsia" w:cs="Times New Roman"/>
          <w:noProof/>
        </w:rPr>
      </w:pPr>
      <w:r>
        <w:rPr>
          <w:noProof/>
        </w:rPr>
        <w:t>Σύνδεση μεταξύ των E.R. 3-2 και E.R. 4-2°</w:t>
      </w:r>
    </w:p>
    <w:p w14:paraId="40754259" w14:textId="77777777" w:rsidR="00154AD2" w:rsidRDefault="007F6BF3">
      <w:pPr>
        <w:pStyle w:val="P68B1DB1-Normal4"/>
        <w:keepNext/>
        <w:numPr>
          <w:ilvl w:val="0"/>
          <w:numId w:val="25"/>
        </w:numPr>
        <w:spacing w:before="40" w:after="160" w:line="259" w:lineRule="auto"/>
        <w:contextualSpacing/>
        <w:jc w:val="both"/>
        <w:rPr>
          <w:rFonts w:eastAsiaTheme="minorEastAsia" w:cs="Times New Roman"/>
          <w:noProof/>
        </w:rPr>
      </w:pPr>
      <w:r>
        <w:rPr>
          <w:noProof/>
        </w:rPr>
        <w:t>Ilha de São Jorge</w:t>
      </w:r>
    </w:p>
    <w:p w14:paraId="6D7F1843" w14:textId="77777777" w:rsidR="00154AD2" w:rsidRDefault="007F6BF3">
      <w:pPr>
        <w:pStyle w:val="P68B1DB1-Normal4"/>
        <w:keepNext/>
        <w:numPr>
          <w:ilvl w:val="1"/>
          <w:numId w:val="25"/>
        </w:numPr>
        <w:spacing w:before="40" w:after="160" w:line="259" w:lineRule="auto"/>
        <w:contextualSpacing/>
        <w:jc w:val="both"/>
        <w:rPr>
          <w:rFonts w:eastAsiaTheme="minorEastAsia" w:cs="Times New Roman"/>
          <w:noProof/>
        </w:rPr>
      </w:pPr>
      <w:r>
        <w:rPr>
          <w:noProof/>
        </w:rPr>
        <w:t>Προώθηση της προσβασιμότητας, της κινητικότητας και των συνθηκών οδικής ασφάλειας — Σύνδεση Βορρά-Νότου</w:t>
      </w:r>
    </w:p>
    <w:p w14:paraId="3FD2AA91" w14:textId="77777777" w:rsidR="00154AD2" w:rsidRDefault="007F6BF3">
      <w:pPr>
        <w:pStyle w:val="P68B1DB1-Normal4"/>
        <w:keepNext/>
        <w:numPr>
          <w:ilvl w:val="0"/>
          <w:numId w:val="25"/>
        </w:numPr>
        <w:spacing w:before="40" w:after="160" w:line="259" w:lineRule="auto"/>
        <w:contextualSpacing/>
        <w:jc w:val="both"/>
        <w:rPr>
          <w:rFonts w:eastAsiaTheme="minorEastAsia" w:cs="Times New Roman"/>
          <w:noProof/>
        </w:rPr>
      </w:pPr>
      <w:r>
        <w:rPr>
          <w:noProof/>
        </w:rPr>
        <w:t xml:space="preserve">Ilha do Pico </w:t>
      </w:r>
    </w:p>
    <w:p w14:paraId="0FE649A1" w14:textId="77777777" w:rsidR="00154AD2" w:rsidRDefault="007F6BF3">
      <w:pPr>
        <w:pStyle w:val="P68B1DB1-Normal4"/>
        <w:keepNext/>
        <w:numPr>
          <w:ilvl w:val="1"/>
          <w:numId w:val="25"/>
        </w:numPr>
        <w:spacing w:before="40" w:after="160" w:line="259" w:lineRule="auto"/>
        <w:contextualSpacing/>
        <w:jc w:val="both"/>
        <w:rPr>
          <w:rFonts w:eastAsiaTheme="minorEastAsia" w:cs="Times New Roman"/>
          <w:noProof/>
        </w:rPr>
      </w:pPr>
      <w:r>
        <w:rPr>
          <w:noProof/>
        </w:rPr>
        <w:t>Κατασκευή της κυκλικής οδού προς Vila da Madalena</w:t>
      </w:r>
    </w:p>
    <w:p w14:paraId="10A36DDF" w14:textId="77777777" w:rsidR="00154AD2" w:rsidRDefault="007F6BF3">
      <w:pPr>
        <w:pStyle w:val="P68B1DB1-Normal4"/>
        <w:keepNext/>
        <w:numPr>
          <w:ilvl w:val="0"/>
          <w:numId w:val="25"/>
        </w:numPr>
        <w:spacing w:before="40" w:after="160" w:line="259" w:lineRule="auto"/>
        <w:contextualSpacing/>
        <w:jc w:val="both"/>
        <w:rPr>
          <w:rFonts w:eastAsiaTheme="minorEastAsia" w:cs="Times New Roman"/>
          <w:noProof/>
        </w:rPr>
      </w:pPr>
      <w:r>
        <w:rPr>
          <w:noProof/>
        </w:rPr>
        <w:t>Ilha do Faial</w:t>
      </w:r>
    </w:p>
    <w:p w14:paraId="68BAC951" w14:textId="77777777" w:rsidR="00154AD2" w:rsidRDefault="007F6BF3">
      <w:pPr>
        <w:pStyle w:val="P68B1DB1-Normal4"/>
        <w:keepNext/>
        <w:numPr>
          <w:ilvl w:val="1"/>
          <w:numId w:val="25"/>
        </w:numPr>
        <w:spacing w:before="40" w:after="160" w:line="259" w:lineRule="auto"/>
        <w:contextualSpacing/>
        <w:jc w:val="both"/>
        <w:rPr>
          <w:rFonts w:eastAsiaTheme="minorEastAsia" w:cs="Times New Roman"/>
          <w:noProof/>
        </w:rPr>
      </w:pPr>
      <w:r>
        <w:rPr>
          <w:noProof/>
        </w:rPr>
        <w:t>Κατασκευή του 2ου</w:t>
      </w:r>
      <w:r>
        <w:rPr>
          <w:noProof/>
          <w:vertAlign w:val="superscript"/>
        </w:rPr>
        <w:t>σταδίου</w:t>
      </w:r>
      <w:r>
        <w:rPr>
          <w:noProof/>
        </w:rPr>
        <w:t xml:space="preserve"> της παρακαμπτήριας οδού Cidade da Horta</w:t>
      </w:r>
    </w:p>
    <w:p w14:paraId="5A803078" w14:textId="21946209" w:rsidR="00154AD2" w:rsidRDefault="007F6BF3">
      <w:pPr>
        <w:pStyle w:val="P68B1DB1-Normal4"/>
        <w:keepNext/>
        <w:spacing w:before="40" w:after="0" w:line="259" w:lineRule="auto"/>
        <w:jc w:val="both"/>
        <w:rPr>
          <w:rFonts w:eastAsiaTheme="minorEastAsia" w:cs="Times New Roman"/>
          <w:noProof/>
        </w:rPr>
        <w:sectPr w:rsidR="00154AD2" w:rsidSect="00E00EDD">
          <w:headerReference w:type="even" r:id="rId144"/>
          <w:headerReference w:type="default" r:id="rId145"/>
          <w:footerReference w:type="even" r:id="rId146"/>
          <w:footerReference w:type="default" r:id="rId147"/>
          <w:headerReference w:type="first" r:id="rId148"/>
          <w:footerReference w:type="first" r:id="rId149"/>
          <w:pgSz w:w="11907" w:h="16839"/>
          <w:pgMar w:top="1134" w:right="1134" w:bottom="1134" w:left="1134" w:header="567" w:footer="567" w:gutter="0"/>
          <w:cols w:space="720"/>
          <w:docGrid w:linePitch="360"/>
        </w:sectPr>
      </w:pPr>
      <w:r>
        <w:rPr>
          <w:noProof/>
        </w:rPr>
        <w:t>Η υλοποίηση της επένδυσης θα ολοκληρωθεί έως τις 30 Ιουνίου 2026.</w:t>
      </w:r>
    </w:p>
    <w:p w14:paraId="02D059F8"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0E182190" w14:textId="77777777" w:rsidR="00154AD2" w:rsidRDefault="007F6BF3">
      <w:pPr>
        <w:pStyle w:val="P68B1DB1-Normal3"/>
        <w:keepNext/>
        <w:spacing w:before="40" w:after="120" w:line="259" w:lineRule="auto"/>
        <w:ind w:left="130" w:firstLine="720"/>
        <w:jc w:val="both"/>
        <w:outlineLvl w:val="2"/>
        <w:rPr>
          <w:rFonts w:eastAsiaTheme="minorEastAsia" w:cs="Times New Roman"/>
          <w:noProof/>
        </w:rPr>
      </w:pPr>
      <w:r>
        <w:rPr>
          <w:noProof/>
        </w:rPr>
        <w:t xml:space="preserve">Η.2. </w:t>
      </w:r>
      <w:r>
        <w:rPr>
          <w:noProof/>
        </w:rPr>
        <w:tab/>
        <w:t>Ορόσημα, στόχοι, δείκτες και χρονοδιάγραμμα για την παρακολούθηση και την υλοποίηση της μη επιστρεπτέας χρηματοδοτικής στήριξης</w:t>
      </w: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154AD2" w14:paraId="76204668" w14:textId="77777777">
        <w:trPr>
          <w:trHeight w:val="910"/>
          <w:tblHeader/>
        </w:trPr>
        <w:tc>
          <w:tcPr>
            <w:tcW w:w="1135" w:type="dxa"/>
            <w:vMerge w:val="restart"/>
            <w:shd w:val="clear" w:color="auto" w:fill="BDD6EE"/>
            <w:vAlign w:val="center"/>
            <w:hideMark/>
          </w:tcPr>
          <w:p w14:paraId="10A83D55" w14:textId="77777777" w:rsidR="00154AD2" w:rsidRDefault="007F6BF3">
            <w:pPr>
              <w:pStyle w:val="P68B1DB1-Normal6"/>
              <w:spacing w:after="0" w:line="240" w:lineRule="auto"/>
              <w:jc w:val="center"/>
              <w:rPr>
                <w:rFonts w:eastAsia="Times New Roman" w:cs="Times New Roman"/>
                <w:noProof/>
              </w:rPr>
            </w:pPr>
            <w:r>
              <w:rPr>
                <w:noProof/>
              </w:rPr>
              <w:t>Αύξων αριθμός</w:t>
            </w:r>
          </w:p>
        </w:tc>
        <w:tc>
          <w:tcPr>
            <w:tcW w:w="1276" w:type="dxa"/>
            <w:vMerge w:val="restart"/>
            <w:shd w:val="clear" w:color="auto" w:fill="BDD6EE"/>
            <w:vAlign w:val="center"/>
            <w:hideMark/>
          </w:tcPr>
          <w:p w14:paraId="2145A2B9" w14:textId="77777777" w:rsidR="00154AD2" w:rsidRDefault="007F6BF3">
            <w:pPr>
              <w:pStyle w:val="P68B1DB1-Normal6"/>
              <w:spacing w:after="0" w:line="240" w:lineRule="auto"/>
              <w:jc w:val="center"/>
              <w:rPr>
                <w:rFonts w:eastAsia="Times New Roman" w:cs="Times New Roman"/>
                <w:noProof/>
              </w:rPr>
            </w:pPr>
            <w:r>
              <w:rPr>
                <w:noProof/>
              </w:rPr>
              <w:t>Μέτρο (Μεταρρύθμιση ή Επενδύσεις)</w:t>
            </w:r>
          </w:p>
        </w:tc>
        <w:tc>
          <w:tcPr>
            <w:tcW w:w="1134" w:type="dxa"/>
            <w:vMerge w:val="restart"/>
            <w:shd w:val="clear" w:color="auto" w:fill="BDD6EE"/>
            <w:vAlign w:val="center"/>
            <w:hideMark/>
          </w:tcPr>
          <w:p w14:paraId="07805992" w14:textId="7DA60548" w:rsidR="00154AD2" w:rsidRDefault="007F6BF3">
            <w:pPr>
              <w:pStyle w:val="P68B1DB1-Normal6"/>
              <w:spacing w:after="0" w:line="240" w:lineRule="auto"/>
              <w:jc w:val="center"/>
              <w:rPr>
                <w:rFonts w:eastAsia="Times New Roman" w:cs="Times New Roman"/>
                <w:noProof/>
              </w:rPr>
            </w:pPr>
            <w:r>
              <w:rPr>
                <w:noProof/>
              </w:rPr>
              <w:t>Ορόσημο/Στόχος</w:t>
            </w:r>
          </w:p>
        </w:tc>
        <w:tc>
          <w:tcPr>
            <w:tcW w:w="1701" w:type="dxa"/>
            <w:vMerge w:val="restart"/>
            <w:shd w:val="clear" w:color="auto" w:fill="BDD6EE"/>
            <w:vAlign w:val="center"/>
            <w:hideMark/>
          </w:tcPr>
          <w:p w14:paraId="61F8D8A7" w14:textId="77777777" w:rsidR="00154AD2" w:rsidRDefault="007F6BF3">
            <w:pPr>
              <w:pStyle w:val="P68B1DB1-Normal6"/>
              <w:spacing w:after="0" w:line="240" w:lineRule="auto"/>
              <w:jc w:val="center"/>
              <w:rPr>
                <w:rFonts w:eastAsia="Times New Roman" w:cs="Times New Roman"/>
                <w:noProof/>
              </w:rPr>
            </w:pPr>
            <w:r>
              <w:rPr>
                <w:noProof/>
              </w:rPr>
              <w:t>Όνομα</w:t>
            </w:r>
          </w:p>
        </w:tc>
        <w:tc>
          <w:tcPr>
            <w:tcW w:w="1275" w:type="dxa"/>
            <w:vMerge w:val="restart"/>
            <w:shd w:val="clear" w:color="auto" w:fill="BDD6EE"/>
            <w:vAlign w:val="center"/>
            <w:hideMark/>
          </w:tcPr>
          <w:p w14:paraId="229C7BBA" w14:textId="77777777" w:rsidR="00154AD2" w:rsidRDefault="007F6BF3">
            <w:pPr>
              <w:pStyle w:val="P68B1DB1-Normal6"/>
              <w:spacing w:after="0" w:line="240" w:lineRule="auto"/>
              <w:jc w:val="center"/>
              <w:rPr>
                <w:rFonts w:eastAsia="Times New Roman" w:cs="Times New Roman"/>
                <w:noProof/>
              </w:rPr>
            </w:pPr>
            <w:r>
              <w:rPr>
                <w:noProof/>
              </w:rPr>
              <w:t>Ποιοτικοί δείκτες (για τα ορόσημα)</w:t>
            </w:r>
          </w:p>
        </w:tc>
        <w:tc>
          <w:tcPr>
            <w:tcW w:w="2694" w:type="dxa"/>
            <w:gridSpan w:val="3"/>
            <w:shd w:val="clear" w:color="auto" w:fill="BDD6EE"/>
            <w:vAlign w:val="center"/>
            <w:hideMark/>
          </w:tcPr>
          <w:p w14:paraId="6843481D" w14:textId="77777777" w:rsidR="00154AD2" w:rsidRDefault="007F6BF3">
            <w:pPr>
              <w:pStyle w:val="P68B1DB1-Normal6"/>
              <w:spacing w:after="0" w:line="240" w:lineRule="auto"/>
              <w:jc w:val="center"/>
              <w:rPr>
                <w:rFonts w:eastAsia="Times New Roman" w:cs="Times New Roman"/>
                <w:noProof/>
              </w:rPr>
            </w:pPr>
            <w:r>
              <w:rPr>
                <w:noProof/>
              </w:rPr>
              <w:t>Ποσοτικοί δείκτες (για τους στόχους)</w:t>
            </w:r>
          </w:p>
        </w:tc>
        <w:tc>
          <w:tcPr>
            <w:tcW w:w="1275" w:type="dxa"/>
            <w:gridSpan w:val="2"/>
            <w:shd w:val="clear" w:color="auto" w:fill="BDD6EE"/>
            <w:vAlign w:val="center"/>
            <w:hideMark/>
          </w:tcPr>
          <w:p w14:paraId="78326D8D" w14:textId="77777777" w:rsidR="00154AD2" w:rsidRDefault="007F6BF3">
            <w:pPr>
              <w:pStyle w:val="P68B1DB1-Normal6"/>
              <w:spacing w:after="0" w:line="240" w:lineRule="auto"/>
              <w:jc w:val="center"/>
              <w:rPr>
                <w:rFonts w:eastAsia="Times New Roman" w:cs="Times New Roman"/>
                <w:noProof/>
              </w:rPr>
            </w:pPr>
            <w:r>
              <w:rPr>
                <w:noProof/>
              </w:rPr>
              <w:t>Ενδεικτικό χρονοδιάγραμμα ολοκλήρωσης</w:t>
            </w:r>
          </w:p>
        </w:tc>
        <w:tc>
          <w:tcPr>
            <w:tcW w:w="3969" w:type="dxa"/>
            <w:vMerge w:val="restart"/>
            <w:shd w:val="clear" w:color="auto" w:fill="BDD6EE"/>
            <w:vAlign w:val="center"/>
            <w:hideMark/>
          </w:tcPr>
          <w:p w14:paraId="41A1C571" w14:textId="77777777" w:rsidR="00154AD2" w:rsidRDefault="007F6BF3">
            <w:pPr>
              <w:pStyle w:val="P68B1DB1-Normal6"/>
              <w:spacing w:after="0" w:line="240" w:lineRule="auto"/>
              <w:jc w:val="center"/>
              <w:rPr>
                <w:rFonts w:eastAsia="Times New Roman" w:cs="Times New Roman"/>
                <w:noProof/>
              </w:rPr>
            </w:pPr>
            <w:r>
              <w:rPr>
                <w:noProof/>
              </w:rPr>
              <w:t>Περιγραφή και σαφής ορισμός κάθε ορόσημου και στόχου</w:t>
            </w:r>
          </w:p>
        </w:tc>
      </w:tr>
      <w:tr w:rsidR="00154AD2" w14:paraId="76EB62E6" w14:textId="77777777">
        <w:trPr>
          <w:trHeight w:val="470"/>
          <w:tblHeader/>
        </w:trPr>
        <w:tc>
          <w:tcPr>
            <w:tcW w:w="1135" w:type="dxa"/>
            <w:vMerge/>
            <w:vAlign w:val="center"/>
            <w:hideMark/>
          </w:tcPr>
          <w:p w14:paraId="4F39F320" w14:textId="77777777" w:rsidR="00154AD2" w:rsidRDefault="00154AD2">
            <w:pPr>
              <w:spacing w:after="0" w:line="240" w:lineRule="auto"/>
              <w:rPr>
                <w:rFonts w:ascii="Times New Roman" w:eastAsia="Times New Roman" w:hAnsi="Times New Roman" w:cs="Times New Roman"/>
                <w:b/>
                <w:noProof/>
                <w:sz w:val="18"/>
              </w:rPr>
            </w:pPr>
          </w:p>
        </w:tc>
        <w:tc>
          <w:tcPr>
            <w:tcW w:w="1276" w:type="dxa"/>
            <w:vMerge/>
            <w:vAlign w:val="center"/>
            <w:hideMark/>
          </w:tcPr>
          <w:p w14:paraId="7D30E977" w14:textId="77777777" w:rsidR="00154AD2" w:rsidRDefault="00154AD2">
            <w:pPr>
              <w:spacing w:after="0" w:line="240" w:lineRule="auto"/>
              <w:rPr>
                <w:rFonts w:ascii="Times New Roman" w:eastAsia="Times New Roman" w:hAnsi="Times New Roman" w:cs="Times New Roman"/>
                <w:b/>
                <w:noProof/>
                <w:sz w:val="18"/>
              </w:rPr>
            </w:pPr>
          </w:p>
        </w:tc>
        <w:tc>
          <w:tcPr>
            <w:tcW w:w="1134" w:type="dxa"/>
            <w:vMerge/>
            <w:vAlign w:val="center"/>
            <w:hideMark/>
          </w:tcPr>
          <w:p w14:paraId="58796813" w14:textId="7999AEB8" w:rsidR="00154AD2" w:rsidRDefault="00154AD2">
            <w:pPr>
              <w:spacing w:after="0" w:line="240" w:lineRule="auto"/>
              <w:jc w:val="center"/>
              <w:rPr>
                <w:rFonts w:ascii="Times New Roman" w:eastAsia="Times New Roman" w:hAnsi="Times New Roman" w:cs="Times New Roman"/>
                <w:b/>
                <w:noProof/>
                <w:sz w:val="14"/>
              </w:rPr>
            </w:pPr>
          </w:p>
        </w:tc>
        <w:tc>
          <w:tcPr>
            <w:tcW w:w="1701" w:type="dxa"/>
            <w:vMerge/>
            <w:vAlign w:val="center"/>
            <w:hideMark/>
          </w:tcPr>
          <w:p w14:paraId="449A85D5" w14:textId="77777777" w:rsidR="00154AD2" w:rsidRDefault="00154AD2">
            <w:pPr>
              <w:spacing w:after="0" w:line="240" w:lineRule="auto"/>
              <w:rPr>
                <w:rFonts w:ascii="Times New Roman" w:eastAsia="Times New Roman" w:hAnsi="Times New Roman" w:cs="Times New Roman"/>
                <w:b/>
                <w:noProof/>
                <w:sz w:val="18"/>
              </w:rPr>
            </w:pPr>
          </w:p>
        </w:tc>
        <w:tc>
          <w:tcPr>
            <w:tcW w:w="1275" w:type="dxa"/>
            <w:vMerge/>
            <w:vAlign w:val="center"/>
            <w:hideMark/>
          </w:tcPr>
          <w:p w14:paraId="770D098D" w14:textId="77777777" w:rsidR="00154AD2" w:rsidRDefault="00154AD2">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4A3469DF" w14:textId="77777777" w:rsidR="00154AD2" w:rsidRDefault="007F6BF3">
            <w:pPr>
              <w:pStyle w:val="P68B1DB1-Normal6"/>
              <w:spacing w:after="0" w:line="240" w:lineRule="auto"/>
              <w:jc w:val="center"/>
              <w:rPr>
                <w:rFonts w:eastAsia="Times New Roman" w:cs="Times New Roman"/>
                <w:noProof/>
              </w:rPr>
            </w:pPr>
            <w:r>
              <w:rPr>
                <w:noProof/>
              </w:rPr>
              <w:t>Μονάδα μέτρησης</w:t>
            </w:r>
          </w:p>
        </w:tc>
        <w:tc>
          <w:tcPr>
            <w:tcW w:w="992" w:type="dxa"/>
            <w:shd w:val="clear" w:color="auto" w:fill="BDD6EE"/>
            <w:vAlign w:val="center"/>
            <w:hideMark/>
          </w:tcPr>
          <w:p w14:paraId="57CE6F65" w14:textId="77777777" w:rsidR="00154AD2" w:rsidRDefault="007F6BF3">
            <w:pPr>
              <w:pStyle w:val="P68B1DB1-Normal6"/>
              <w:spacing w:after="0" w:line="240" w:lineRule="auto"/>
              <w:jc w:val="center"/>
              <w:rPr>
                <w:rFonts w:eastAsia="Times New Roman" w:cs="Times New Roman"/>
                <w:noProof/>
              </w:rPr>
            </w:pPr>
            <w:r>
              <w:rPr>
                <w:noProof/>
              </w:rPr>
              <w:t>Γραμμή βάσης</w:t>
            </w:r>
          </w:p>
        </w:tc>
        <w:tc>
          <w:tcPr>
            <w:tcW w:w="709" w:type="dxa"/>
            <w:shd w:val="clear" w:color="auto" w:fill="BDD6EE"/>
            <w:vAlign w:val="center"/>
            <w:hideMark/>
          </w:tcPr>
          <w:p w14:paraId="2594584D" w14:textId="77777777" w:rsidR="00154AD2" w:rsidRDefault="007F6BF3">
            <w:pPr>
              <w:pStyle w:val="P68B1DB1-Normal6"/>
              <w:spacing w:after="0" w:line="240" w:lineRule="auto"/>
              <w:jc w:val="center"/>
              <w:rPr>
                <w:rFonts w:eastAsia="Times New Roman" w:cs="Times New Roman"/>
                <w:noProof/>
              </w:rPr>
            </w:pPr>
            <w:r>
              <w:rPr>
                <w:noProof/>
              </w:rPr>
              <w:t>Στόχοι</w:t>
            </w:r>
          </w:p>
        </w:tc>
        <w:tc>
          <w:tcPr>
            <w:tcW w:w="567" w:type="dxa"/>
            <w:shd w:val="clear" w:color="auto" w:fill="BDD6EE"/>
            <w:vAlign w:val="center"/>
            <w:hideMark/>
          </w:tcPr>
          <w:p w14:paraId="470C36F2" w14:textId="77777777" w:rsidR="00154AD2" w:rsidRDefault="007F6BF3">
            <w:pPr>
              <w:pStyle w:val="P68B1DB1-Normal6"/>
              <w:spacing w:after="0" w:line="240" w:lineRule="auto"/>
              <w:jc w:val="center"/>
              <w:rPr>
                <w:rFonts w:eastAsia="Times New Roman" w:cs="Times New Roman"/>
                <w:noProof/>
              </w:rPr>
            </w:pPr>
            <w:r>
              <w:rPr>
                <w:noProof/>
              </w:rPr>
              <w:t>Ε</w:t>
            </w:r>
          </w:p>
        </w:tc>
        <w:tc>
          <w:tcPr>
            <w:tcW w:w="708" w:type="dxa"/>
            <w:shd w:val="clear" w:color="auto" w:fill="BDD6EE"/>
            <w:vAlign w:val="center"/>
            <w:hideMark/>
          </w:tcPr>
          <w:p w14:paraId="3AA4CBDD" w14:textId="77777777" w:rsidR="00154AD2" w:rsidRDefault="007F6BF3">
            <w:pPr>
              <w:pStyle w:val="P68B1DB1-Normal6"/>
              <w:spacing w:after="0" w:line="240" w:lineRule="auto"/>
              <w:jc w:val="center"/>
              <w:rPr>
                <w:rFonts w:eastAsia="Times New Roman" w:cs="Times New Roman"/>
                <w:noProof/>
              </w:rPr>
            </w:pPr>
            <w:r>
              <w:rPr>
                <w:noProof/>
              </w:rPr>
              <w:t>Έτος</w:t>
            </w:r>
          </w:p>
        </w:tc>
        <w:tc>
          <w:tcPr>
            <w:tcW w:w="3969" w:type="dxa"/>
            <w:vMerge/>
            <w:vAlign w:val="center"/>
            <w:hideMark/>
          </w:tcPr>
          <w:p w14:paraId="5F2DB0FA" w14:textId="77777777" w:rsidR="00154AD2" w:rsidRDefault="00154AD2">
            <w:pPr>
              <w:spacing w:after="0" w:line="240" w:lineRule="auto"/>
              <w:rPr>
                <w:rFonts w:ascii="Times New Roman" w:eastAsia="Times New Roman" w:hAnsi="Times New Roman" w:cs="Times New Roman"/>
                <w:b/>
                <w:noProof/>
                <w:sz w:val="18"/>
              </w:rPr>
            </w:pPr>
          </w:p>
        </w:tc>
      </w:tr>
      <w:tr w:rsidR="00154AD2" w14:paraId="7CFEA922" w14:textId="77777777">
        <w:trPr>
          <w:trHeight w:val="300"/>
        </w:trPr>
        <w:tc>
          <w:tcPr>
            <w:tcW w:w="1135" w:type="dxa"/>
            <w:shd w:val="clear" w:color="auto" w:fill="C4EFCE"/>
            <w:vAlign w:val="center"/>
            <w:hideMark/>
          </w:tcPr>
          <w:p w14:paraId="3F3E09F7" w14:textId="77777777" w:rsidR="00154AD2" w:rsidRDefault="007F6BF3">
            <w:pPr>
              <w:pStyle w:val="P68B1DB1-Normal7"/>
              <w:spacing w:after="0" w:line="240" w:lineRule="auto"/>
              <w:jc w:val="center"/>
              <w:rPr>
                <w:rFonts w:eastAsia="Times New Roman" w:cs="Calibri"/>
                <w:noProof/>
              </w:rPr>
            </w:pPr>
            <w:r>
              <w:rPr>
                <w:noProof/>
              </w:rPr>
              <w:t>7.1</w:t>
            </w:r>
          </w:p>
        </w:tc>
        <w:tc>
          <w:tcPr>
            <w:tcW w:w="1276" w:type="dxa"/>
            <w:shd w:val="clear" w:color="auto" w:fill="C4EFCE"/>
            <w:noWrap/>
            <w:vAlign w:val="center"/>
            <w:hideMark/>
          </w:tcPr>
          <w:p w14:paraId="4A111EAC" w14:textId="77777777" w:rsidR="00154AD2" w:rsidRDefault="007F6BF3">
            <w:pPr>
              <w:pStyle w:val="P68B1DB1-Normal8"/>
              <w:spacing w:after="0" w:line="240" w:lineRule="auto"/>
              <w:jc w:val="center"/>
              <w:rPr>
                <w:rFonts w:eastAsia="Times New Roman" w:cs="Calibri"/>
                <w:noProof/>
              </w:rPr>
            </w:pPr>
            <w:r>
              <w:rPr>
                <w:noProof/>
              </w:rPr>
              <w:t>RE-C07-i00</w:t>
            </w:r>
          </w:p>
        </w:tc>
        <w:tc>
          <w:tcPr>
            <w:tcW w:w="1134" w:type="dxa"/>
            <w:shd w:val="clear" w:color="auto" w:fill="C4EFCE"/>
            <w:noWrap/>
            <w:vAlign w:val="center"/>
            <w:hideMark/>
          </w:tcPr>
          <w:p w14:paraId="0DD29370"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26EF931" w14:textId="10CF120E" w:rsidR="00154AD2" w:rsidRDefault="007F6BF3">
            <w:pPr>
              <w:pStyle w:val="P68B1DB1-Normal8"/>
              <w:spacing w:after="0" w:line="240" w:lineRule="auto"/>
              <w:jc w:val="center"/>
              <w:rPr>
                <w:rFonts w:eastAsia="Times New Roman" w:cs="Calibri"/>
                <w:noProof/>
              </w:rPr>
            </w:pPr>
            <w:r>
              <w:rPr>
                <w:noProof/>
              </w:rPr>
              <w:t>Δημοσίως προσβάσιμα σημεία επαναφόρτισης ηλεκτρικών οχημάτων</w:t>
            </w:r>
          </w:p>
        </w:tc>
        <w:tc>
          <w:tcPr>
            <w:tcW w:w="1275" w:type="dxa"/>
            <w:shd w:val="clear" w:color="auto" w:fill="C4EFCE"/>
            <w:noWrap/>
            <w:vAlign w:val="center"/>
            <w:hideMark/>
          </w:tcPr>
          <w:p w14:paraId="565AADE8"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FCE86B4" w14:textId="77777777" w:rsidR="00154AD2" w:rsidRDefault="007F6BF3">
            <w:pPr>
              <w:pStyle w:val="P68B1DB1-Normal8"/>
              <w:spacing w:after="0" w:line="240" w:lineRule="auto"/>
              <w:jc w:val="center"/>
              <w:rPr>
                <w:rFonts w:eastAsia="Times New Roman" w:cs="Calibri"/>
                <w:noProof/>
              </w:rPr>
            </w:pPr>
            <w:r>
              <w:rPr>
                <w:noProof/>
              </w:rPr>
              <w:t xml:space="preserve">Αριθμός </w:t>
            </w:r>
          </w:p>
        </w:tc>
        <w:tc>
          <w:tcPr>
            <w:tcW w:w="992" w:type="dxa"/>
            <w:shd w:val="clear" w:color="auto" w:fill="C4EFCE"/>
            <w:noWrap/>
            <w:vAlign w:val="center"/>
            <w:hideMark/>
          </w:tcPr>
          <w:p w14:paraId="61129708" w14:textId="77777777" w:rsidR="00154AD2" w:rsidRDefault="007F6BF3">
            <w:pPr>
              <w:pStyle w:val="P68B1DB1-Normal8"/>
              <w:spacing w:after="0" w:line="240" w:lineRule="auto"/>
              <w:jc w:val="center"/>
              <w:rPr>
                <w:rFonts w:eastAsia="Times New Roman" w:cs="Calibri"/>
                <w:noProof/>
              </w:rPr>
            </w:pPr>
            <w:r>
              <w:rPr>
                <w:noProof/>
              </w:rPr>
              <w:t>3 520</w:t>
            </w:r>
          </w:p>
        </w:tc>
        <w:tc>
          <w:tcPr>
            <w:tcW w:w="709" w:type="dxa"/>
            <w:shd w:val="clear" w:color="auto" w:fill="C4EFCE"/>
            <w:noWrap/>
            <w:vAlign w:val="center"/>
            <w:hideMark/>
          </w:tcPr>
          <w:p w14:paraId="213900A0" w14:textId="77777777" w:rsidR="00154AD2" w:rsidRDefault="007F6BF3">
            <w:pPr>
              <w:pStyle w:val="P68B1DB1-Normal8"/>
              <w:spacing w:after="0" w:line="240" w:lineRule="auto"/>
              <w:jc w:val="center"/>
              <w:rPr>
                <w:rFonts w:eastAsia="Times New Roman" w:cs="Calibri"/>
                <w:noProof/>
              </w:rPr>
            </w:pPr>
            <w:r>
              <w:rPr>
                <w:noProof/>
              </w:rPr>
              <w:t>5 250</w:t>
            </w:r>
          </w:p>
        </w:tc>
        <w:tc>
          <w:tcPr>
            <w:tcW w:w="567" w:type="dxa"/>
            <w:shd w:val="clear" w:color="auto" w:fill="C4EFCE"/>
            <w:noWrap/>
            <w:vAlign w:val="center"/>
            <w:hideMark/>
          </w:tcPr>
          <w:p w14:paraId="22D9B120"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146CD88B" w14:textId="77777777" w:rsidR="00154AD2" w:rsidRDefault="007F6BF3">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2EBBFDA7" w14:textId="72F46DC9" w:rsidR="00154AD2" w:rsidRDefault="007F6BF3">
            <w:pPr>
              <w:pStyle w:val="P68B1DB1-Normal8"/>
              <w:spacing w:after="0" w:line="240" w:lineRule="auto"/>
              <w:jc w:val="both"/>
              <w:rPr>
                <w:rFonts w:eastAsia="Times New Roman" w:cs="Calibri"/>
                <w:noProof/>
              </w:rPr>
            </w:pPr>
            <w:r>
              <w:rPr>
                <w:noProof/>
              </w:rPr>
              <w:t>Αριθμός δημοσίως προσβάσιμων σημείων φόρτισης ηλεκτρικών οχημάτων (σε σύγκριση με τη βάση αναφοράς του πρώτου τριμήνου του 4 2021)</w:t>
            </w:r>
          </w:p>
        </w:tc>
      </w:tr>
      <w:tr w:rsidR="00154AD2" w14:paraId="411748AE" w14:textId="77777777">
        <w:trPr>
          <w:trHeight w:val="300"/>
        </w:trPr>
        <w:tc>
          <w:tcPr>
            <w:tcW w:w="1135" w:type="dxa"/>
            <w:shd w:val="clear" w:color="auto" w:fill="C4EFCE"/>
            <w:vAlign w:val="center"/>
            <w:hideMark/>
          </w:tcPr>
          <w:p w14:paraId="50AB89C4" w14:textId="77777777" w:rsidR="00154AD2" w:rsidRDefault="007F6BF3">
            <w:pPr>
              <w:pStyle w:val="P68B1DB1-Normal7"/>
              <w:spacing w:after="0" w:line="240" w:lineRule="auto"/>
              <w:jc w:val="center"/>
              <w:rPr>
                <w:rFonts w:eastAsia="Times New Roman" w:cs="Calibri"/>
                <w:noProof/>
              </w:rPr>
            </w:pPr>
            <w:r>
              <w:rPr>
                <w:noProof/>
              </w:rPr>
              <w:t>7.2</w:t>
            </w:r>
          </w:p>
        </w:tc>
        <w:tc>
          <w:tcPr>
            <w:tcW w:w="1276" w:type="dxa"/>
            <w:shd w:val="clear" w:color="auto" w:fill="C4EFCE"/>
            <w:noWrap/>
            <w:vAlign w:val="center"/>
            <w:hideMark/>
          </w:tcPr>
          <w:p w14:paraId="5FD10D53" w14:textId="77777777" w:rsidR="00154AD2" w:rsidRDefault="007F6BF3">
            <w:pPr>
              <w:pStyle w:val="P68B1DB1-Normal8"/>
              <w:spacing w:after="0" w:line="240" w:lineRule="auto"/>
              <w:jc w:val="center"/>
              <w:rPr>
                <w:rFonts w:eastAsia="Times New Roman" w:cs="Calibri"/>
                <w:noProof/>
              </w:rPr>
            </w:pPr>
            <w:r>
              <w:rPr>
                <w:noProof/>
              </w:rPr>
              <w:t>RE-C07-i00</w:t>
            </w:r>
          </w:p>
        </w:tc>
        <w:tc>
          <w:tcPr>
            <w:tcW w:w="1134" w:type="dxa"/>
            <w:shd w:val="clear" w:color="auto" w:fill="C4EFCE"/>
            <w:noWrap/>
            <w:vAlign w:val="center"/>
            <w:hideMark/>
          </w:tcPr>
          <w:p w14:paraId="71F92348"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DCB8434" w14:textId="6A490E0A" w:rsidR="00154AD2" w:rsidRDefault="007F6BF3">
            <w:pPr>
              <w:pStyle w:val="P68B1DB1-Normal8"/>
              <w:spacing w:after="0" w:line="240" w:lineRule="auto"/>
              <w:jc w:val="center"/>
              <w:rPr>
                <w:rFonts w:eastAsia="Times New Roman" w:cs="Calibri"/>
                <w:noProof/>
              </w:rPr>
            </w:pPr>
            <w:r>
              <w:rPr>
                <w:noProof/>
              </w:rPr>
              <w:t>Δημοσίως προσβάσιμα σημεία επαναφόρτισης ηλεκτρικών οχημάτων</w:t>
            </w:r>
          </w:p>
        </w:tc>
        <w:tc>
          <w:tcPr>
            <w:tcW w:w="1275" w:type="dxa"/>
            <w:shd w:val="clear" w:color="auto" w:fill="C4EFCE"/>
            <w:noWrap/>
            <w:vAlign w:val="center"/>
            <w:hideMark/>
          </w:tcPr>
          <w:p w14:paraId="039BB342"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0738A1E7" w14:textId="77777777" w:rsidR="00154AD2" w:rsidRDefault="007F6BF3">
            <w:pPr>
              <w:pStyle w:val="P68B1DB1-Normal8"/>
              <w:spacing w:after="0" w:line="240" w:lineRule="auto"/>
              <w:jc w:val="center"/>
              <w:rPr>
                <w:rFonts w:eastAsia="Times New Roman" w:cs="Calibri"/>
                <w:noProof/>
              </w:rPr>
            </w:pPr>
            <w:r>
              <w:rPr>
                <w:noProof/>
              </w:rPr>
              <w:t xml:space="preserve">Αριθμός </w:t>
            </w:r>
          </w:p>
        </w:tc>
        <w:tc>
          <w:tcPr>
            <w:tcW w:w="992" w:type="dxa"/>
            <w:shd w:val="clear" w:color="auto" w:fill="C4EFCE"/>
            <w:noWrap/>
            <w:vAlign w:val="center"/>
            <w:hideMark/>
          </w:tcPr>
          <w:p w14:paraId="22A7D3DE" w14:textId="77777777" w:rsidR="00154AD2" w:rsidRDefault="007F6BF3">
            <w:pPr>
              <w:pStyle w:val="P68B1DB1-Normal8"/>
              <w:spacing w:after="0" w:line="240" w:lineRule="auto"/>
              <w:jc w:val="center"/>
              <w:rPr>
                <w:rFonts w:eastAsia="Times New Roman" w:cs="Calibri"/>
                <w:noProof/>
              </w:rPr>
            </w:pPr>
            <w:r>
              <w:rPr>
                <w:noProof/>
              </w:rPr>
              <w:t>5 250</w:t>
            </w:r>
          </w:p>
        </w:tc>
        <w:tc>
          <w:tcPr>
            <w:tcW w:w="709" w:type="dxa"/>
            <w:shd w:val="clear" w:color="auto" w:fill="C4EFCE"/>
            <w:noWrap/>
            <w:vAlign w:val="center"/>
            <w:hideMark/>
          </w:tcPr>
          <w:p w14:paraId="1B77A0ED" w14:textId="77777777" w:rsidR="00154AD2" w:rsidRDefault="007F6BF3">
            <w:pPr>
              <w:pStyle w:val="P68B1DB1-Normal8"/>
              <w:spacing w:after="0" w:line="240" w:lineRule="auto"/>
              <w:jc w:val="center"/>
              <w:rPr>
                <w:rFonts w:eastAsia="Times New Roman" w:cs="Calibri"/>
                <w:noProof/>
              </w:rPr>
            </w:pPr>
            <w:r>
              <w:rPr>
                <w:noProof/>
              </w:rPr>
              <w:t>10 450</w:t>
            </w:r>
          </w:p>
        </w:tc>
        <w:tc>
          <w:tcPr>
            <w:tcW w:w="567" w:type="dxa"/>
            <w:shd w:val="clear" w:color="auto" w:fill="C4EFCE"/>
            <w:noWrap/>
            <w:vAlign w:val="center"/>
            <w:hideMark/>
          </w:tcPr>
          <w:p w14:paraId="57655D31"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66B50A5F" w14:textId="77777777" w:rsidR="00154AD2" w:rsidRDefault="007F6BF3">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4A5BDC17" w14:textId="0FAC8B46" w:rsidR="00154AD2" w:rsidRDefault="007F6BF3">
            <w:pPr>
              <w:pStyle w:val="P68B1DB1-Normal8"/>
              <w:spacing w:after="0" w:line="240" w:lineRule="auto"/>
              <w:jc w:val="both"/>
              <w:rPr>
                <w:rFonts w:eastAsia="Times New Roman" w:cs="Calibri"/>
                <w:noProof/>
              </w:rPr>
            </w:pPr>
            <w:r>
              <w:rPr>
                <w:noProof/>
              </w:rPr>
              <w:t>Αριθμός δημοσίως προσβάσιμων σημείων φόρτισης ηλεκτρικών οχημάτων (σε σύγκριση με τη βάση αναφοράς του πρώτου τριμήνου του 4 2022)</w:t>
            </w:r>
          </w:p>
        </w:tc>
      </w:tr>
      <w:tr w:rsidR="00154AD2" w14:paraId="0EAF8566" w14:textId="77777777">
        <w:trPr>
          <w:trHeight w:val="300"/>
        </w:trPr>
        <w:tc>
          <w:tcPr>
            <w:tcW w:w="1135" w:type="dxa"/>
            <w:shd w:val="clear" w:color="auto" w:fill="C4EFCE"/>
            <w:vAlign w:val="center"/>
            <w:hideMark/>
          </w:tcPr>
          <w:p w14:paraId="354C0B63" w14:textId="77777777" w:rsidR="00154AD2" w:rsidRDefault="007F6BF3">
            <w:pPr>
              <w:pStyle w:val="P68B1DB1-Normal7"/>
              <w:spacing w:after="0" w:line="240" w:lineRule="auto"/>
              <w:jc w:val="center"/>
              <w:rPr>
                <w:rFonts w:eastAsia="Times New Roman" w:cs="Calibri"/>
                <w:noProof/>
              </w:rPr>
            </w:pPr>
            <w:r>
              <w:rPr>
                <w:noProof/>
              </w:rPr>
              <w:t>7.3</w:t>
            </w:r>
          </w:p>
        </w:tc>
        <w:tc>
          <w:tcPr>
            <w:tcW w:w="1276" w:type="dxa"/>
            <w:shd w:val="clear" w:color="auto" w:fill="C4EFCE"/>
            <w:noWrap/>
            <w:vAlign w:val="center"/>
            <w:hideMark/>
          </w:tcPr>
          <w:p w14:paraId="415D9614" w14:textId="77777777" w:rsidR="00154AD2" w:rsidRDefault="007F6BF3">
            <w:pPr>
              <w:pStyle w:val="P68B1DB1-Normal8"/>
              <w:spacing w:after="0" w:line="240" w:lineRule="auto"/>
              <w:jc w:val="center"/>
              <w:rPr>
                <w:rFonts w:eastAsia="Times New Roman" w:cs="Calibri"/>
                <w:noProof/>
              </w:rPr>
            </w:pPr>
            <w:r>
              <w:rPr>
                <w:noProof/>
              </w:rPr>
              <w:t>RE-C07-i00</w:t>
            </w:r>
          </w:p>
        </w:tc>
        <w:tc>
          <w:tcPr>
            <w:tcW w:w="1134" w:type="dxa"/>
            <w:shd w:val="clear" w:color="auto" w:fill="C4EFCE"/>
            <w:noWrap/>
            <w:vAlign w:val="center"/>
            <w:hideMark/>
          </w:tcPr>
          <w:p w14:paraId="3E535130"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D5E62B3" w14:textId="4AD6DD50" w:rsidR="00154AD2" w:rsidRDefault="007F6BF3">
            <w:pPr>
              <w:pStyle w:val="P68B1DB1-Normal8"/>
              <w:spacing w:after="0" w:line="240" w:lineRule="auto"/>
              <w:jc w:val="center"/>
              <w:rPr>
                <w:rFonts w:eastAsia="Times New Roman" w:cs="Calibri"/>
                <w:noProof/>
              </w:rPr>
            </w:pPr>
            <w:r>
              <w:rPr>
                <w:noProof/>
              </w:rPr>
              <w:t>Δημοσίως προσβάσιμα σημεία επαναφόρτισης ηλεκτρικών οχημάτων</w:t>
            </w:r>
          </w:p>
        </w:tc>
        <w:tc>
          <w:tcPr>
            <w:tcW w:w="1275" w:type="dxa"/>
            <w:shd w:val="clear" w:color="auto" w:fill="C4EFCE"/>
            <w:noWrap/>
            <w:vAlign w:val="center"/>
            <w:hideMark/>
          </w:tcPr>
          <w:p w14:paraId="48FD32B6"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48F471C" w14:textId="77777777" w:rsidR="00154AD2" w:rsidRDefault="007F6BF3">
            <w:pPr>
              <w:pStyle w:val="P68B1DB1-Normal8"/>
              <w:spacing w:after="0" w:line="240" w:lineRule="auto"/>
              <w:jc w:val="center"/>
              <w:rPr>
                <w:rFonts w:eastAsia="Times New Roman" w:cs="Calibri"/>
                <w:noProof/>
              </w:rPr>
            </w:pPr>
            <w:r>
              <w:rPr>
                <w:noProof/>
              </w:rPr>
              <w:t xml:space="preserve">Αριθμός </w:t>
            </w:r>
          </w:p>
        </w:tc>
        <w:tc>
          <w:tcPr>
            <w:tcW w:w="992" w:type="dxa"/>
            <w:shd w:val="clear" w:color="auto" w:fill="C4EFCE"/>
            <w:noWrap/>
            <w:vAlign w:val="center"/>
            <w:hideMark/>
          </w:tcPr>
          <w:p w14:paraId="77A7D296" w14:textId="77777777" w:rsidR="00154AD2" w:rsidRDefault="007F6BF3">
            <w:pPr>
              <w:pStyle w:val="P68B1DB1-Normal8"/>
              <w:spacing w:after="0" w:line="240" w:lineRule="auto"/>
              <w:jc w:val="center"/>
              <w:rPr>
                <w:rFonts w:eastAsia="Times New Roman" w:cs="Calibri"/>
                <w:noProof/>
              </w:rPr>
            </w:pPr>
            <w:r>
              <w:rPr>
                <w:noProof/>
              </w:rPr>
              <w:t>10 450</w:t>
            </w:r>
          </w:p>
        </w:tc>
        <w:tc>
          <w:tcPr>
            <w:tcW w:w="709" w:type="dxa"/>
            <w:shd w:val="clear" w:color="auto" w:fill="C4EFCE"/>
            <w:noWrap/>
            <w:vAlign w:val="center"/>
            <w:hideMark/>
          </w:tcPr>
          <w:p w14:paraId="7C46C763" w14:textId="77777777" w:rsidR="00154AD2" w:rsidRDefault="007F6BF3">
            <w:pPr>
              <w:pStyle w:val="P68B1DB1-Normal8"/>
              <w:spacing w:after="0" w:line="240" w:lineRule="auto"/>
              <w:jc w:val="center"/>
              <w:rPr>
                <w:rFonts w:eastAsia="Times New Roman" w:cs="Calibri"/>
                <w:noProof/>
              </w:rPr>
            </w:pPr>
            <w:r>
              <w:rPr>
                <w:noProof/>
              </w:rPr>
              <w:t>15 000</w:t>
            </w:r>
          </w:p>
        </w:tc>
        <w:tc>
          <w:tcPr>
            <w:tcW w:w="567" w:type="dxa"/>
            <w:shd w:val="clear" w:color="auto" w:fill="C4EFCE"/>
            <w:noWrap/>
            <w:vAlign w:val="center"/>
            <w:hideMark/>
          </w:tcPr>
          <w:p w14:paraId="425C2DC1"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65542AA4" w14:textId="77777777" w:rsidR="00154AD2" w:rsidRDefault="007F6BF3">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68F4B423" w14:textId="2FF52C31" w:rsidR="00154AD2" w:rsidRDefault="007F6BF3">
            <w:pPr>
              <w:pStyle w:val="P68B1DB1-Normal8"/>
              <w:spacing w:after="0" w:line="240" w:lineRule="auto"/>
              <w:jc w:val="both"/>
              <w:rPr>
                <w:rFonts w:eastAsia="Times New Roman" w:cs="Calibri"/>
                <w:noProof/>
              </w:rPr>
            </w:pPr>
            <w:r>
              <w:rPr>
                <w:noProof/>
              </w:rPr>
              <w:t>Αριθμός δημοσίως προσβάσιμων σημείων φόρτισης ηλεκτρικών οχημάτων (σε σύγκριση με τη βάση αναφοράς του πρώτου τριμήνου του 4 2024)</w:t>
            </w:r>
          </w:p>
        </w:tc>
      </w:tr>
      <w:tr w:rsidR="00154AD2" w14:paraId="6CDEF770" w14:textId="77777777">
        <w:trPr>
          <w:trHeight w:val="640"/>
        </w:trPr>
        <w:tc>
          <w:tcPr>
            <w:tcW w:w="1135" w:type="dxa"/>
            <w:shd w:val="clear" w:color="auto" w:fill="C4EFCE"/>
            <w:vAlign w:val="center"/>
            <w:hideMark/>
          </w:tcPr>
          <w:p w14:paraId="7E9D55FE" w14:textId="77777777" w:rsidR="00154AD2" w:rsidRDefault="007F6BF3">
            <w:pPr>
              <w:pStyle w:val="P68B1DB1-Normal7"/>
              <w:spacing w:after="0" w:line="240" w:lineRule="auto"/>
              <w:jc w:val="center"/>
              <w:rPr>
                <w:rFonts w:eastAsia="Times New Roman" w:cs="Calibri"/>
                <w:noProof/>
              </w:rPr>
            </w:pPr>
            <w:r>
              <w:rPr>
                <w:noProof/>
              </w:rPr>
              <w:t>7.4</w:t>
            </w:r>
          </w:p>
        </w:tc>
        <w:tc>
          <w:tcPr>
            <w:tcW w:w="1276" w:type="dxa"/>
            <w:shd w:val="clear" w:color="auto" w:fill="C4EFCE"/>
            <w:noWrap/>
            <w:vAlign w:val="center"/>
            <w:hideMark/>
          </w:tcPr>
          <w:p w14:paraId="74F8FD76" w14:textId="77777777" w:rsidR="00154AD2" w:rsidRDefault="007F6BF3">
            <w:pPr>
              <w:pStyle w:val="P68B1DB1-Normal8"/>
              <w:spacing w:after="0" w:line="240" w:lineRule="auto"/>
              <w:jc w:val="center"/>
              <w:rPr>
                <w:rFonts w:eastAsia="Times New Roman" w:cs="Calibri"/>
                <w:noProof/>
              </w:rPr>
            </w:pPr>
            <w:r>
              <w:rPr>
                <w:noProof/>
              </w:rPr>
              <w:t>RE-C07-i01</w:t>
            </w:r>
          </w:p>
        </w:tc>
        <w:tc>
          <w:tcPr>
            <w:tcW w:w="1134" w:type="dxa"/>
            <w:shd w:val="clear" w:color="auto" w:fill="C4EFCE"/>
            <w:noWrap/>
            <w:vAlign w:val="center"/>
            <w:hideMark/>
          </w:tcPr>
          <w:p w14:paraId="0F209261"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6F9C461D" w14:textId="77777777" w:rsidR="00154AD2" w:rsidRDefault="007F6BF3">
            <w:pPr>
              <w:pStyle w:val="P68B1DB1-Normal8"/>
              <w:spacing w:after="0" w:line="240" w:lineRule="auto"/>
              <w:jc w:val="center"/>
              <w:rPr>
                <w:rFonts w:eastAsia="Times New Roman" w:cs="Calibri"/>
                <w:noProof/>
              </w:rPr>
            </w:pPr>
            <w:r>
              <w:rPr>
                <w:noProof/>
              </w:rPr>
              <w:t>Επιλογή χώρων υποδοχής επιχειρήσεων για παρεμβάσεις βελτίωσης της περιβαλλοντικής βιωσιμότητας και ψηφιοποίησης</w:t>
            </w:r>
          </w:p>
        </w:tc>
        <w:tc>
          <w:tcPr>
            <w:tcW w:w="1275" w:type="dxa"/>
            <w:shd w:val="clear" w:color="auto" w:fill="C4EFCE"/>
            <w:noWrap/>
            <w:vAlign w:val="center"/>
            <w:hideMark/>
          </w:tcPr>
          <w:p w14:paraId="593AAD30" w14:textId="77777777" w:rsidR="00154AD2" w:rsidRDefault="007F6BF3">
            <w:pPr>
              <w:pStyle w:val="P68B1DB1-Normal8"/>
              <w:spacing w:after="0" w:line="240" w:lineRule="auto"/>
              <w:jc w:val="center"/>
              <w:rPr>
                <w:rFonts w:eastAsia="Times New Roman" w:cs="Calibri"/>
                <w:noProof/>
              </w:rPr>
            </w:pPr>
            <w:r>
              <w:rPr>
                <w:noProof/>
              </w:rPr>
              <w:t>Υπογραφή δημόσιου πρωτοκόλλου που επιβεβαιώνει την επιλογή των χώρων υποδοχής επιχειρήσεων</w:t>
            </w:r>
          </w:p>
        </w:tc>
        <w:tc>
          <w:tcPr>
            <w:tcW w:w="993" w:type="dxa"/>
            <w:shd w:val="clear" w:color="auto" w:fill="C4EFCE"/>
            <w:noWrap/>
            <w:vAlign w:val="center"/>
            <w:hideMark/>
          </w:tcPr>
          <w:p w14:paraId="3B12DE95" w14:textId="77777777" w:rsidR="00154AD2" w:rsidRDefault="007F6BF3">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5DF1D34B" w14:textId="77777777" w:rsidR="00154AD2" w:rsidRDefault="007F6BF3">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2143C3EF" w14:textId="77777777" w:rsidR="00154AD2" w:rsidRDefault="007F6BF3">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3FC05994"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708" w:type="dxa"/>
            <w:shd w:val="clear" w:color="auto" w:fill="C4EFCE"/>
            <w:noWrap/>
            <w:vAlign w:val="center"/>
            <w:hideMark/>
          </w:tcPr>
          <w:p w14:paraId="51394D9E" w14:textId="77777777" w:rsidR="00154AD2" w:rsidRDefault="007F6BF3">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1E6391D9" w14:textId="77777777" w:rsidR="00154AD2" w:rsidRDefault="007F6BF3">
            <w:pPr>
              <w:pStyle w:val="P68B1DB1-Normal8"/>
              <w:spacing w:after="0" w:line="240" w:lineRule="auto"/>
              <w:jc w:val="both"/>
              <w:rPr>
                <w:rFonts w:eastAsia="Times New Roman" w:cs="Calibri"/>
                <w:noProof/>
              </w:rPr>
            </w:pPr>
            <w:r>
              <w:rPr>
                <w:noProof/>
              </w:rPr>
              <w:t xml:space="preserve">Οι χώροι υποδοχής επιχειρήσεων επιλέγονται στο πλαίσιο ανταγωνιστικής διαδικασίας υποβολής προσφορών. Υποβάλλεται υπογεγραμμένο δημόσιο πρωτόκολλο στην Επιτροπή, το οποίο επιβεβαιώνει ότι έχει ολοκληρωθεί η επιλογή των χώρων υποδοχής επιχειρήσεων και προσδιορίζει τους επιλεγμένους χώρους υποδοχής επιχειρήσεων. </w:t>
            </w:r>
          </w:p>
        </w:tc>
      </w:tr>
      <w:tr w:rsidR="00154AD2" w14:paraId="0512DFAB" w14:textId="77777777">
        <w:trPr>
          <w:trHeight w:val="420"/>
        </w:trPr>
        <w:tc>
          <w:tcPr>
            <w:tcW w:w="1135" w:type="dxa"/>
            <w:shd w:val="clear" w:color="auto" w:fill="C4EFCE"/>
            <w:vAlign w:val="center"/>
            <w:hideMark/>
          </w:tcPr>
          <w:p w14:paraId="40C77A13" w14:textId="77777777" w:rsidR="00154AD2" w:rsidRDefault="007F6BF3">
            <w:pPr>
              <w:pStyle w:val="P68B1DB1-Normal7"/>
              <w:spacing w:after="0" w:line="240" w:lineRule="auto"/>
              <w:jc w:val="center"/>
              <w:rPr>
                <w:rFonts w:eastAsia="Times New Roman" w:cs="Calibri"/>
                <w:noProof/>
              </w:rPr>
            </w:pPr>
            <w:r>
              <w:rPr>
                <w:noProof/>
              </w:rPr>
              <w:t>7.5</w:t>
            </w:r>
          </w:p>
        </w:tc>
        <w:tc>
          <w:tcPr>
            <w:tcW w:w="1276" w:type="dxa"/>
            <w:shd w:val="clear" w:color="auto" w:fill="C4EFCE"/>
            <w:noWrap/>
            <w:vAlign w:val="center"/>
            <w:hideMark/>
          </w:tcPr>
          <w:p w14:paraId="3FA30471" w14:textId="77777777" w:rsidR="00154AD2" w:rsidRDefault="007F6BF3">
            <w:pPr>
              <w:pStyle w:val="P68B1DB1-Normal8"/>
              <w:spacing w:after="0" w:line="240" w:lineRule="auto"/>
              <w:jc w:val="center"/>
              <w:rPr>
                <w:rFonts w:eastAsia="Times New Roman" w:cs="Calibri"/>
                <w:noProof/>
              </w:rPr>
            </w:pPr>
            <w:r>
              <w:rPr>
                <w:noProof/>
              </w:rPr>
              <w:t>RE-C07-i01</w:t>
            </w:r>
          </w:p>
        </w:tc>
        <w:tc>
          <w:tcPr>
            <w:tcW w:w="1134" w:type="dxa"/>
            <w:shd w:val="clear" w:color="auto" w:fill="C4EFCE"/>
            <w:noWrap/>
            <w:vAlign w:val="center"/>
            <w:hideMark/>
          </w:tcPr>
          <w:p w14:paraId="6BEE3F36"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DFBE47E" w14:textId="77777777" w:rsidR="00154AD2" w:rsidRDefault="007F6BF3">
            <w:pPr>
              <w:pStyle w:val="P68B1DB1-Normal8"/>
              <w:spacing w:after="0" w:line="240" w:lineRule="auto"/>
              <w:jc w:val="center"/>
              <w:rPr>
                <w:rFonts w:eastAsia="Times New Roman" w:cs="Calibri"/>
                <w:noProof/>
              </w:rPr>
            </w:pPr>
            <w:r>
              <w:rPr>
                <w:noProof/>
              </w:rPr>
              <w:t xml:space="preserve">Ολοκλήρωση παρεμβάσεων σε επιλεγμένους χώρους υποδοχής επιχειρήσεων </w:t>
            </w:r>
          </w:p>
        </w:tc>
        <w:tc>
          <w:tcPr>
            <w:tcW w:w="1275" w:type="dxa"/>
            <w:shd w:val="clear" w:color="auto" w:fill="C4EFCE"/>
            <w:noWrap/>
            <w:vAlign w:val="center"/>
            <w:hideMark/>
          </w:tcPr>
          <w:p w14:paraId="33798293"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57932235"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42943F2B" w14:textId="77777777" w:rsidR="00154AD2" w:rsidRDefault="007F6BF3">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4C482E62" w14:textId="77777777" w:rsidR="00154AD2" w:rsidRDefault="007F6BF3">
            <w:pPr>
              <w:pStyle w:val="P68B1DB1-Normal8"/>
              <w:spacing w:after="0" w:line="240" w:lineRule="auto"/>
              <w:jc w:val="center"/>
              <w:rPr>
                <w:rFonts w:eastAsia="Times New Roman" w:cs="Calibri"/>
                <w:noProof/>
              </w:rPr>
            </w:pPr>
            <w:r>
              <w:rPr>
                <w:noProof/>
              </w:rPr>
              <w:t>10</w:t>
            </w:r>
          </w:p>
        </w:tc>
        <w:tc>
          <w:tcPr>
            <w:tcW w:w="567" w:type="dxa"/>
            <w:shd w:val="clear" w:color="auto" w:fill="C4EFCE"/>
            <w:noWrap/>
            <w:vAlign w:val="center"/>
            <w:hideMark/>
          </w:tcPr>
          <w:p w14:paraId="082856AC"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0E91BBA3" w14:textId="77777777" w:rsidR="00154AD2" w:rsidRDefault="007F6BF3">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6C3A76A8" w14:textId="77777777" w:rsidR="00154AD2" w:rsidRDefault="007F6BF3">
            <w:pPr>
              <w:pStyle w:val="P68B1DB1-Normal8"/>
              <w:spacing w:after="0" w:line="240" w:lineRule="auto"/>
              <w:jc w:val="both"/>
              <w:rPr>
                <w:rFonts w:eastAsia="Times New Roman" w:cs="Calibri"/>
                <w:noProof/>
              </w:rPr>
            </w:pPr>
            <w:r>
              <w:rPr>
                <w:noProof/>
              </w:rPr>
              <w:t xml:space="preserve">Αριθμός χώρων υποδοχής επιχειρήσεων με ολοκληρωμένες εργασίες για τη βελτίωση της περιβαλλοντικής βιωσιμότητας και της ψηφιοποίησής τους. </w:t>
            </w:r>
          </w:p>
          <w:p w14:paraId="07D803B5" w14:textId="10D8E79F" w:rsidR="00154AD2" w:rsidRDefault="007F6BF3">
            <w:pPr>
              <w:pStyle w:val="P68B1DB1-Normal8"/>
              <w:spacing w:after="0" w:line="240" w:lineRule="auto"/>
              <w:jc w:val="both"/>
              <w:rPr>
                <w:rFonts w:eastAsia="Times New Roman" w:cs="Calibri"/>
                <w:noProof/>
              </w:rPr>
            </w:pPr>
            <w:r>
              <w:rPr>
                <w:noProof/>
              </w:rPr>
              <w:t>Χώροι υποδοχής επιχειρήσεων για παρέμβαση που επιλέγονται στο πλαίσιο ανταγωνιστικής διαδικασίας υποβολής προσφορών.</w:t>
            </w:r>
          </w:p>
        </w:tc>
      </w:tr>
      <w:tr w:rsidR="00154AD2" w14:paraId="10CFA4E1" w14:textId="77777777">
        <w:trPr>
          <w:trHeight w:val="420"/>
        </w:trPr>
        <w:tc>
          <w:tcPr>
            <w:tcW w:w="1135" w:type="dxa"/>
            <w:shd w:val="clear" w:color="auto" w:fill="C4EFCE"/>
            <w:vAlign w:val="center"/>
            <w:hideMark/>
          </w:tcPr>
          <w:p w14:paraId="6BA90D44" w14:textId="77777777" w:rsidR="00154AD2" w:rsidRDefault="007F6BF3">
            <w:pPr>
              <w:pStyle w:val="P68B1DB1-Normal7"/>
              <w:spacing w:after="0" w:line="240" w:lineRule="auto"/>
              <w:jc w:val="center"/>
              <w:rPr>
                <w:rFonts w:eastAsia="Times New Roman" w:cs="Calibri"/>
                <w:noProof/>
              </w:rPr>
            </w:pPr>
            <w:r>
              <w:rPr>
                <w:noProof/>
              </w:rPr>
              <w:t>7.6</w:t>
            </w:r>
          </w:p>
        </w:tc>
        <w:tc>
          <w:tcPr>
            <w:tcW w:w="1276" w:type="dxa"/>
            <w:shd w:val="clear" w:color="auto" w:fill="C4EFCE"/>
            <w:noWrap/>
            <w:vAlign w:val="center"/>
            <w:hideMark/>
          </w:tcPr>
          <w:p w14:paraId="4F6EE5A3" w14:textId="77777777" w:rsidR="00154AD2" w:rsidRDefault="007F6BF3">
            <w:pPr>
              <w:pStyle w:val="P68B1DB1-Normal8"/>
              <w:spacing w:after="0" w:line="240" w:lineRule="auto"/>
              <w:jc w:val="center"/>
              <w:rPr>
                <w:rFonts w:eastAsia="Times New Roman" w:cs="Calibri"/>
                <w:noProof/>
              </w:rPr>
            </w:pPr>
            <w:r>
              <w:rPr>
                <w:noProof/>
              </w:rPr>
              <w:t>RE-C07-i02</w:t>
            </w:r>
          </w:p>
        </w:tc>
        <w:tc>
          <w:tcPr>
            <w:tcW w:w="1134" w:type="dxa"/>
            <w:shd w:val="clear" w:color="auto" w:fill="C4EFCE"/>
            <w:noWrap/>
            <w:vAlign w:val="center"/>
            <w:hideMark/>
          </w:tcPr>
          <w:p w14:paraId="6C6C701C"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715D078" w14:textId="77777777" w:rsidR="00154AD2" w:rsidRDefault="007F6BF3">
            <w:pPr>
              <w:pStyle w:val="P68B1DB1-Normal8"/>
              <w:spacing w:after="0" w:line="240" w:lineRule="auto"/>
              <w:jc w:val="center"/>
              <w:rPr>
                <w:rFonts w:eastAsia="Times New Roman" w:cs="Calibri"/>
                <w:noProof/>
              </w:rPr>
            </w:pPr>
            <w:r>
              <w:rPr>
                <w:noProof/>
              </w:rPr>
              <w:t>Υπογραφή σύμβασης για το έργο οδοποιίας 1</w:t>
            </w:r>
          </w:p>
        </w:tc>
        <w:tc>
          <w:tcPr>
            <w:tcW w:w="1275" w:type="dxa"/>
            <w:shd w:val="clear" w:color="auto" w:fill="C4EFCE"/>
            <w:noWrap/>
            <w:vAlign w:val="center"/>
            <w:hideMark/>
          </w:tcPr>
          <w:p w14:paraId="3AEB4D75" w14:textId="77777777" w:rsidR="00154AD2" w:rsidRDefault="007F6BF3">
            <w:pPr>
              <w:pStyle w:val="P68B1DB1-Normal8"/>
              <w:spacing w:after="0" w:line="240" w:lineRule="auto"/>
              <w:jc w:val="center"/>
              <w:rPr>
                <w:rFonts w:eastAsia="Times New Roman" w:cs="Calibri"/>
                <w:noProof/>
              </w:rPr>
            </w:pPr>
            <w:r>
              <w:rPr>
                <w:noProof/>
              </w:rPr>
              <w:t>Υπογραφή σύμβασης με τον ανάδοχο του έργου οδοποιίας</w:t>
            </w:r>
          </w:p>
        </w:tc>
        <w:tc>
          <w:tcPr>
            <w:tcW w:w="993" w:type="dxa"/>
            <w:shd w:val="clear" w:color="auto" w:fill="C4EFCE"/>
            <w:noWrap/>
            <w:vAlign w:val="center"/>
            <w:hideMark/>
          </w:tcPr>
          <w:p w14:paraId="70074E61" w14:textId="77777777" w:rsidR="00154AD2" w:rsidRDefault="007F6BF3">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6356C703" w14:textId="77777777" w:rsidR="00154AD2" w:rsidRDefault="007F6BF3">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131DADF6" w14:textId="77777777" w:rsidR="00154AD2" w:rsidRDefault="007F6BF3">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74A7711C"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56AB2898" w14:textId="77777777" w:rsidR="00154AD2" w:rsidRDefault="007F6BF3">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0518505D" w14:textId="77777777" w:rsidR="00154AD2" w:rsidRDefault="007F6BF3">
            <w:pPr>
              <w:pStyle w:val="P68B1DB1-Normal8"/>
              <w:spacing w:after="0" w:line="240" w:lineRule="auto"/>
              <w:jc w:val="both"/>
              <w:rPr>
                <w:rFonts w:eastAsia="Times New Roman" w:cs="Calibri"/>
                <w:noProof/>
              </w:rPr>
            </w:pPr>
            <w:r>
              <w:rPr>
                <w:noProof/>
              </w:rPr>
              <w:t>Υπογραφή από τα μέρη του εγγράφου που διέπει τις υποχρεώσεις τους σε σχέση με την εκτέλεση των εργασιών, κατόπιν δημόσιου διαγωνισμού.</w:t>
            </w:r>
          </w:p>
        </w:tc>
      </w:tr>
      <w:tr w:rsidR="00154AD2" w14:paraId="0CFF3903" w14:textId="77777777">
        <w:trPr>
          <w:trHeight w:val="420"/>
        </w:trPr>
        <w:tc>
          <w:tcPr>
            <w:tcW w:w="1135" w:type="dxa"/>
            <w:shd w:val="clear" w:color="auto" w:fill="C4EFCE"/>
            <w:vAlign w:val="center"/>
            <w:hideMark/>
          </w:tcPr>
          <w:p w14:paraId="65D7863A" w14:textId="77777777" w:rsidR="00154AD2" w:rsidRDefault="007F6BF3">
            <w:pPr>
              <w:pStyle w:val="P68B1DB1-Normal7"/>
              <w:spacing w:after="0" w:line="240" w:lineRule="auto"/>
              <w:jc w:val="center"/>
              <w:rPr>
                <w:rFonts w:eastAsia="Times New Roman" w:cs="Calibri"/>
                <w:noProof/>
              </w:rPr>
            </w:pPr>
            <w:r>
              <w:rPr>
                <w:noProof/>
              </w:rPr>
              <w:t>7.7</w:t>
            </w:r>
          </w:p>
        </w:tc>
        <w:tc>
          <w:tcPr>
            <w:tcW w:w="1276" w:type="dxa"/>
            <w:shd w:val="clear" w:color="auto" w:fill="C4EFCE"/>
            <w:noWrap/>
            <w:vAlign w:val="center"/>
            <w:hideMark/>
          </w:tcPr>
          <w:p w14:paraId="184546E3" w14:textId="77777777" w:rsidR="00154AD2" w:rsidRDefault="007F6BF3">
            <w:pPr>
              <w:pStyle w:val="P68B1DB1-Normal8"/>
              <w:spacing w:after="0" w:line="240" w:lineRule="auto"/>
              <w:jc w:val="center"/>
              <w:rPr>
                <w:rFonts w:eastAsia="Times New Roman" w:cs="Calibri"/>
                <w:noProof/>
              </w:rPr>
            </w:pPr>
            <w:r>
              <w:rPr>
                <w:noProof/>
              </w:rPr>
              <w:t>RE-C07-i02</w:t>
            </w:r>
          </w:p>
        </w:tc>
        <w:tc>
          <w:tcPr>
            <w:tcW w:w="1134" w:type="dxa"/>
            <w:shd w:val="clear" w:color="auto" w:fill="C4EFCE"/>
            <w:noWrap/>
            <w:vAlign w:val="center"/>
            <w:hideMark/>
          </w:tcPr>
          <w:p w14:paraId="34BD2C29"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5853F57D" w14:textId="77777777" w:rsidR="00154AD2" w:rsidRDefault="007F6BF3">
            <w:pPr>
              <w:pStyle w:val="P68B1DB1-Normal8"/>
              <w:spacing w:after="0" w:line="240" w:lineRule="auto"/>
              <w:jc w:val="center"/>
              <w:rPr>
                <w:rFonts w:eastAsia="Times New Roman" w:cs="Calibri"/>
                <w:noProof/>
              </w:rPr>
            </w:pPr>
            <w:r>
              <w:rPr>
                <w:noProof/>
              </w:rPr>
              <w:t>Υπογραφή σύμβασης για 2 έργα οδοποιίας</w:t>
            </w:r>
          </w:p>
        </w:tc>
        <w:tc>
          <w:tcPr>
            <w:tcW w:w="1275" w:type="dxa"/>
            <w:shd w:val="clear" w:color="auto" w:fill="C4EFCE"/>
            <w:noWrap/>
            <w:vAlign w:val="center"/>
            <w:hideMark/>
          </w:tcPr>
          <w:p w14:paraId="27FD9906" w14:textId="77777777" w:rsidR="00154AD2" w:rsidRDefault="007F6BF3">
            <w:pPr>
              <w:pStyle w:val="P68B1DB1-Normal8"/>
              <w:spacing w:after="0" w:line="240" w:lineRule="auto"/>
              <w:jc w:val="center"/>
              <w:rPr>
                <w:rFonts w:eastAsia="Times New Roman" w:cs="Calibri"/>
                <w:noProof/>
              </w:rPr>
            </w:pPr>
            <w:r>
              <w:rPr>
                <w:noProof/>
              </w:rPr>
              <w:t>Υπογραφή σύμβασης με ανάδοχο έργων οδοποιίας</w:t>
            </w:r>
          </w:p>
        </w:tc>
        <w:tc>
          <w:tcPr>
            <w:tcW w:w="993" w:type="dxa"/>
            <w:shd w:val="clear" w:color="auto" w:fill="C4EFCE"/>
            <w:noWrap/>
            <w:vAlign w:val="center"/>
            <w:hideMark/>
          </w:tcPr>
          <w:p w14:paraId="46E44223" w14:textId="77777777" w:rsidR="00154AD2" w:rsidRDefault="007F6BF3">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3DCA1314" w14:textId="77777777" w:rsidR="00154AD2" w:rsidRDefault="007F6BF3">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0C4AC25B" w14:textId="77777777" w:rsidR="00154AD2" w:rsidRDefault="007F6BF3">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2B0ED99A"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708" w:type="dxa"/>
            <w:shd w:val="clear" w:color="auto" w:fill="C4EFCE"/>
            <w:noWrap/>
            <w:vAlign w:val="center"/>
            <w:hideMark/>
          </w:tcPr>
          <w:p w14:paraId="73BEB9CA" w14:textId="77777777" w:rsidR="00154AD2" w:rsidRDefault="007F6BF3">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1C5F3EF7" w14:textId="77777777" w:rsidR="00154AD2" w:rsidRDefault="007F6BF3">
            <w:pPr>
              <w:pStyle w:val="P68B1DB1-Normal8"/>
              <w:spacing w:after="0" w:line="240" w:lineRule="auto"/>
              <w:jc w:val="both"/>
              <w:rPr>
                <w:rFonts w:eastAsia="Times New Roman" w:cs="Calibri"/>
                <w:noProof/>
              </w:rPr>
            </w:pPr>
            <w:r>
              <w:rPr>
                <w:noProof/>
              </w:rPr>
              <w:t>Υπογραφή από τα μέρη του εγγράφου που διέπει τις υποχρεώσεις τους σε σχέση με την εκτέλεση των εργασιών, κατόπιν δημόσιου διαγωνισμού.</w:t>
            </w:r>
          </w:p>
        </w:tc>
      </w:tr>
      <w:tr w:rsidR="00154AD2" w14:paraId="265A481C" w14:textId="77777777">
        <w:trPr>
          <w:trHeight w:val="420"/>
        </w:trPr>
        <w:tc>
          <w:tcPr>
            <w:tcW w:w="1135" w:type="dxa"/>
            <w:shd w:val="clear" w:color="auto" w:fill="C4EFCE"/>
            <w:vAlign w:val="center"/>
            <w:hideMark/>
          </w:tcPr>
          <w:p w14:paraId="5CB9830A" w14:textId="77777777" w:rsidR="00154AD2" w:rsidRDefault="007F6BF3">
            <w:pPr>
              <w:pStyle w:val="P68B1DB1-Normal7"/>
              <w:spacing w:after="0" w:line="240" w:lineRule="auto"/>
              <w:jc w:val="center"/>
              <w:rPr>
                <w:rFonts w:eastAsia="Times New Roman" w:cs="Calibri"/>
                <w:noProof/>
              </w:rPr>
            </w:pPr>
            <w:r>
              <w:rPr>
                <w:noProof/>
              </w:rPr>
              <w:t>7.8</w:t>
            </w:r>
          </w:p>
        </w:tc>
        <w:tc>
          <w:tcPr>
            <w:tcW w:w="1276" w:type="dxa"/>
            <w:shd w:val="clear" w:color="auto" w:fill="C4EFCE"/>
            <w:noWrap/>
            <w:vAlign w:val="center"/>
            <w:hideMark/>
          </w:tcPr>
          <w:p w14:paraId="53E4F8B7" w14:textId="77777777" w:rsidR="00154AD2" w:rsidRDefault="007F6BF3">
            <w:pPr>
              <w:pStyle w:val="P68B1DB1-Normal8"/>
              <w:spacing w:after="0" w:line="240" w:lineRule="auto"/>
              <w:jc w:val="center"/>
              <w:rPr>
                <w:rFonts w:eastAsia="Times New Roman" w:cs="Calibri"/>
                <w:noProof/>
              </w:rPr>
            </w:pPr>
            <w:r>
              <w:rPr>
                <w:noProof/>
              </w:rPr>
              <w:t>RE-C07-i02</w:t>
            </w:r>
          </w:p>
        </w:tc>
        <w:tc>
          <w:tcPr>
            <w:tcW w:w="1134" w:type="dxa"/>
            <w:shd w:val="clear" w:color="auto" w:fill="C4EFCE"/>
            <w:noWrap/>
            <w:vAlign w:val="center"/>
            <w:hideMark/>
          </w:tcPr>
          <w:p w14:paraId="12265568"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3A730D9" w14:textId="77777777" w:rsidR="00154AD2" w:rsidRDefault="007F6BF3">
            <w:pPr>
              <w:pStyle w:val="P68B1DB1-Normal8"/>
              <w:spacing w:after="0" w:line="240" w:lineRule="auto"/>
              <w:jc w:val="center"/>
              <w:rPr>
                <w:rFonts w:eastAsia="Times New Roman" w:cs="Calibri"/>
                <w:noProof/>
              </w:rPr>
            </w:pPr>
            <w:r>
              <w:rPr>
                <w:noProof/>
              </w:rPr>
              <w:t>Οδοί που κατασκευάστηκαν ή αποκαταστάθηκαν</w:t>
            </w:r>
          </w:p>
        </w:tc>
        <w:tc>
          <w:tcPr>
            <w:tcW w:w="1275" w:type="dxa"/>
            <w:shd w:val="clear" w:color="auto" w:fill="C4EFCE"/>
            <w:noWrap/>
            <w:vAlign w:val="center"/>
            <w:hideMark/>
          </w:tcPr>
          <w:p w14:paraId="2009EC45"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7B9DB13" w14:textId="77777777" w:rsidR="00154AD2" w:rsidRDefault="007F6BF3">
            <w:pPr>
              <w:pStyle w:val="P68B1DB1-Normal8"/>
              <w:spacing w:after="0" w:line="240" w:lineRule="auto"/>
              <w:jc w:val="center"/>
              <w:rPr>
                <w:rFonts w:eastAsia="Times New Roman" w:cs="Calibri"/>
                <w:noProof/>
              </w:rPr>
            </w:pPr>
            <w:r>
              <w:rPr>
                <w:noProof/>
              </w:rPr>
              <w:t>χλμ</w:t>
            </w:r>
          </w:p>
        </w:tc>
        <w:tc>
          <w:tcPr>
            <w:tcW w:w="992" w:type="dxa"/>
            <w:shd w:val="clear" w:color="auto" w:fill="C4EFCE"/>
            <w:noWrap/>
            <w:vAlign w:val="center"/>
            <w:hideMark/>
          </w:tcPr>
          <w:p w14:paraId="701630BB" w14:textId="77777777" w:rsidR="00154AD2" w:rsidRDefault="007F6BF3">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1E58650E" w14:textId="77777777" w:rsidR="00154AD2" w:rsidRDefault="007F6BF3">
            <w:pPr>
              <w:pStyle w:val="P68B1DB1-Normal8"/>
              <w:spacing w:after="0" w:line="240" w:lineRule="auto"/>
              <w:jc w:val="center"/>
              <w:rPr>
                <w:rFonts w:eastAsia="Times New Roman" w:cs="Calibri"/>
                <w:noProof/>
              </w:rPr>
            </w:pPr>
            <w:r>
              <w:rPr>
                <w:noProof/>
              </w:rPr>
              <w:t>111</w:t>
            </w:r>
          </w:p>
        </w:tc>
        <w:tc>
          <w:tcPr>
            <w:tcW w:w="567" w:type="dxa"/>
            <w:shd w:val="clear" w:color="auto" w:fill="C4EFCE"/>
            <w:noWrap/>
            <w:vAlign w:val="center"/>
            <w:hideMark/>
          </w:tcPr>
          <w:p w14:paraId="40298BF3"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14EAB628" w14:textId="77777777" w:rsidR="00154AD2" w:rsidRDefault="007F6BF3">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38015658" w14:textId="77777777" w:rsidR="00154AD2" w:rsidRDefault="007F6BF3">
            <w:pPr>
              <w:pStyle w:val="P68B1DB1-Normal8"/>
              <w:spacing w:after="0" w:line="240" w:lineRule="auto"/>
              <w:jc w:val="both"/>
              <w:rPr>
                <w:rFonts w:eastAsia="Times New Roman" w:cs="Calibri"/>
                <w:noProof/>
              </w:rPr>
            </w:pPr>
            <w:r>
              <w:rPr>
                <w:noProof/>
              </w:rPr>
              <w:t>Χιλιόμετρα οδών που κατασκευάστηκαν ή αποκαταστάθηκαν σύμφωνα με τις τεχνικές προδιαγραφές της προσφοράς και ενσωματώνοντας πλήρως κάθε αποτέλεσμα και όρο από την εκτίμηση περιβαλλοντικών επιπτώσεων.</w:t>
            </w:r>
          </w:p>
        </w:tc>
      </w:tr>
      <w:tr w:rsidR="00154AD2" w14:paraId="2261DAAD" w14:textId="77777777">
        <w:trPr>
          <w:trHeight w:val="420"/>
        </w:trPr>
        <w:tc>
          <w:tcPr>
            <w:tcW w:w="1135" w:type="dxa"/>
            <w:shd w:val="clear" w:color="auto" w:fill="C4EFCE"/>
            <w:vAlign w:val="center"/>
            <w:hideMark/>
          </w:tcPr>
          <w:p w14:paraId="4034FC64" w14:textId="77777777" w:rsidR="00154AD2" w:rsidRDefault="007F6BF3">
            <w:pPr>
              <w:pStyle w:val="P68B1DB1-Normal7"/>
              <w:spacing w:after="0" w:line="240" w:lineRule="auto"/>
              <w:jc w:val="center"/>
              <w:rPr>
                <w:rFonts w:eastAsia="Times New Roman" w:cs="Calibri"/>
                <w:noProof/>
              </w:rPr>
            </w:pPr>
            <w:r>
              <w:rPr>
                <w:noProof/>
              </w:rPr>
              <w:t>7.13</w:t>
            </w:r>
          </w:p>
        </w:tc>
        <w:tc>
          <w:tcPr>
            <w:tcW w:w="1276" w:type="dxa"/>
            <w:shd w:val="clear" w:color="auto" w:fill="C4EFCE"/>
            <w:noWrap/>
            <w:vAlign w:val="center"/>
            <w:hideMark/>
          </w:tcPr>
          <w:p w14:paraId="4BC36517" w14:textId="77777777" w:rsidR="00154AD2" w:rsidRDefault="007F6BF3">
            <w:pPr>
              <w:pStyle w:val="P68B1DB1-Normal8"/>
              <w:spacing w:after="0" w:line="240" w:lineRule="auto"/>
              <w:jc w:val="center"/>
              <w:rPr>
                <w:rFonts w:eastAsia="Times New Roman" w:cs="Calibri"/>
                <w:noProof/>
              </w:rPr>
            </w:pPr>
            <w:r>
              <w:rPr>
                <w:noProof/>
              </w:rPr>
              <w:t>RE-C07-i05-RAA</w:t>
            </w:r>
          </w:p>
        </w:tc>
        <w:tc>
          <w:tcPr>
            <w:tcW w:w="1134" w:type="dxa"/>
            <w:shd w:val="clear" w:color="auto" w:fill="C4EFCE"/>
            <w:noWrap/>
            <w:vAlign w:val="center"/>
            <w:hideMark/>
          </w:tcPr>
          <w:p w14:paraId="2209F840"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7385815E" w14:textId="77777777" w:rsidR="00154AD2" w:rsidRDefault="007F6BF3">
            <w:pPr>
              <w:pStyle w:val="P68B1DB1-Normal8"/>
              <w:spacing w:after="0" w:line="240" w:lineRule="auto"/>
              <w:jc w:val="center"/>
              <w:rPr>
                <w:rFonts w:eastAsia="Times New Roman" w:cs="Calibri"/>
                <w:noProof/>
              </w:rPr>
            </w:pPr>
            <w:r>
              <w:rPr>
                <w:noProof/>
              </w:rPr>
              <w:t>Υπογραφή σύμβασης για 2 έργα οδοποιίας</w:t>
            </w:r>
          </w:p>
        </w:tc>
        <w:tc>
          <w:tcPr>
            <w:tcW w:w="1275" w:type="dxa"/>
            <w:shd w:val="clear" w:color="auto" w:fill="C4EFCE"/>
            <w:noWrap/>
            <w:vAlign w:val="center"/>
            <w:hideMark/>
          </w:tcPr>
          <w:p w14:paraId="63C0F659" w14:textId="77777777" w:rsidR="00154AD2" w:rsidRDefault="007F6BF3">
            <w:pPr>
              <w:pStyle w:val="P68B1DB1-Normal8"/>
              <w:spacing w:after="0" w:line="240" w:lineRule="auto"/>
              <w:jc w:val="center"/>
              <w:rPr>
                <w:rFonts w:eastAsia="Times New Roman" w:cs="Calibri"/>
                <w:noProof/>
              </w:rPr>
            </w:pPr>
            <w:r>
              <w:rPr>
                <w:noProof/>
              </w:rPr>
              <w:t xml:space="preserve">Υπογραφή σύμβασης με τον ανάδοχο των έργων οδοποιίας </w:t>
            </w:r>
          </w:p>
        </w:tc>
        <w:tc>
          <w:tcPr>
            <w:tcW w:w="993" w:type="dxa"/>
            <w:shd w:val="clear" w:color="auto" w:fill="C4EFCE"/>
            <w:noWrap/>
            <w:vAlign w:val="center"/>
            <w:hideMark/>
          </w:tcPr>
          <w:p w14:paraId="7CB79044" w14:textId="77777777" w:rsidR="00154AD2" w:rsidRDefault="007F6BF3">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29267C09" w14:textId="77777777" w:rsidR="00154AD2" w:rsidRDefault="007F6BF3">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44713E82" w14:textId="77777777" w:rsidR="00154AD2" w:rsidRDefault="007F6BF3">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4777E7E1"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5E0776BB" w14:textId="77777777" w:rsidR="00154AD2" w:rsidRDefault="007F6BF3">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6DA65D9A" w14:textId="77777777" w:rsidR="00154AD2" w:rsidRDefault="007F6BF3">
            <w:pPr>
              <w:pStyle w:val="P68B1DB1-Normal8"/>
              <w:spacing w:after="0" w:line="240" w:lineRule="auto"/>
              <w:jc w:val="both"/>
              <w:rPr>
                <w:rFonts w:eastAsia="Times New Roman" w:cs="Calibri"/>
                <w:noProof/>
              </w:rPr>
            </w:pPr>
            <w:r>
              <w:rPr>
                <w:noProof/>
              </w:rPr>
              <w:t>Υπογραφή από τα μέρη του εγγράφου που διέπει τις υποχρεώσεις τους σε σχέση με την εκτέλεση των εργασιών, σε τιμή, κατόπιν δημόσιου διαγωνισμού.</w:t>
            </w:r>
          </w:p>
        </w:tc>
      </w:tr>
      <w:tr w:rsidR="00154AD2" w14:paraId="0682BEE4" w14:textId="77777777">
        <w:trPr>
          <w:trHeight w:val="401"/>
        </w:trPr>
        <w:tc>
          <w:tcPr>
            <w:tcW w:w="1135" w:type="dxa"/>
            <w:shd w:val="clear" w:color="auto" w:fill="C4EFCE"/>
            <w:vAlign w:val="center"/>
            <w:hideMark/>
          </w:tcPr>
          <w:p w14:paraId="1CA58A5D" w14:textId="77777777" w:rsidR="00154AD2" w:rsidRDefault="007F6BF3">
            <w:pPr>
              <w:pStyle w:val="P68B1DB1-Normal7"/>
              <w:spacing w:after="0" w:line="240" w:lineRule="auto"/>
              <w:jc w:val="center"/>
              <w:rPr>
                <w:rFonts w:eastAsia="Times New Roman" w:cs="Calibri"/>
                <w:noProof/>
              </w:rPr>
            </w:pPr>
            <w:r>
              <w:rPr>
                <w:noProof/>
              </w:rPr>
              <w:t>7.14</w:t>
            </w:r>
          </w:p>
        </w:tc>
        <w:tc>
          <w:tcPr>
            <w:tcW w:w="1276" w:type="dxa"/>
            <w:shd w:val="clear" w:color="auto" w:fill="C4EFCE"/>
            <w:noWrap/>
            <w:vAlign w:val="center"/>
            <w:hideMark/>
          </w:tcPr>
          <w:p w14:paraId="15B9C650" w14:textId="77777777" w:rsidR="00154AD2" w:rsidRDefault="007F6BF3">
            <w:pPr>
              <w:pStyle w:val="P68B1DB1-Normal8"/>
              <w:spacing w:after="0" w:line="240" w:lineRule="auto"/>
              <w:jc w:val="center"/>
              <w:rPr>
                <w:rFonts w:eastAsia="Times New Roman" w:cs="Calibri"/>
                <w:noProof/>
              </w:rPr>
            </w:pPr>
            <w:r>
              <w:rPr>
                <w:noProof/>
              </w:rPr>
              <w:t>RE-C07-i05-RAA</w:t>
            </w:r>
          </w:p>
        </w:tc>
        <w:tc>
          <w:tcPr>
            <w:tcW w:w="1134" w:type="dxa"/>
            <w:shd w:val="clear" w:color="auto" w:fill="C4EFCE"/>
            <w:noWrap/>
            <w:vAlign w:val="center"/>
            <w:hideMark/>
          </w:tcPr>
          <w:p w14:paraId="12F9B6B5"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0E2EC1A" w14:textId="77777777" w:rsidR="00154AD2" w:rsidRDefault="007F6BF3">
            <w:pPr>
              <w:pStyle w:val="P68B1DB1-Normal8"/>
              <w:spacing w:after="0" w:line="240" w:lineRule="auto"/>
              <w:jc w:val="center"/>
              <w:rPr>
                <w:rFonts w:eastAsia="Times New Roman" w:cs="Calibri"/>
                <w:noProof/>
              </w:rPr>
            </w:pPr>
            <w:r>
              <w:rPr>
                <w:noProof/>
              </w:rPr>
              <w:t>Υπογραφή σύμβασης για 8 έργα οδοποιίας</w:t>
            </w:r>
          </w:p>
        </w:tc>
        <w:tc>
          <w:tcPr>
            <w:tcW w:w="1275" w:type="dxa"/>
            <w:shd w:val="clear" w:color="auto" w:fill="C4EFCE"/>
            <w:noWrap/>
            <w:vAlign w:val="center"/>
            <w:hideMark/>
          </w:tcPr>
          <w:p w14:paraId="6C884EF6" w14:textId="77777777" w:rsidR="00154AD2" w:rsidRDefault="007F6BF3">
            <w:pPr>
              <w:pStyle w:val="P68B1DB1-Normal8"/>
              <w:spacing w:after="0" w:line="240" w:lineRule="auto"/>
              <w:jc w:val="center"/>
              <w:rPr>
                <w:rFonts w:eastAsia="Times New Roman" w:cs="Calibri"/>
                <w:noProof/>
              </w:rPr>
            </w:pPr>
            <w:r>
              <w:rPr>
                <w:noProof/>
              </w:rPr>
              <w:t xml:space="preserve">Υπογραφή σύμβασης με τον ανάδοχο των έργων οδοποιίας </w:t>
            </w:r>
          </w:p>
        </w:tc>
        <w:tc>
          <w:tcPr>
            <w:tcW w:w="993" w:type="dxa"/>
            <w:shd w:val="clear" w:color="auto" w:fill="C4EFCE"/>
            <w:noWrap/>
            <w:vAlign w:val="center"/>
            <w:hideMark/>
          </w:tcPr>
          <w:p w14:paraId="444A2DB0" w14:textId="77777777" w:rsidR="00154AD2" w:rsidRDefault="007F6BF3">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6CC793F9" w14:textId="77777777" w:rsidR="00154AD2" w:rsidRDefault="007F6BF3">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3F84ABE5" w14:textId="77777777" w:rsidR="00154AD2" w:rsidRDefault="007F6BF3">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5FC35485" w14:textId="1E6AD43C"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638E5478" w14:textId="77777777" w:rsidR="00154AD2" w:rsidRDefault="007F6BF3">
            <w:pPr>
              <w:pStyle w:val="P68B1DB1-Normal8"/>
              <w:spacing w:after="0" w:line="240" w:lineRule="auto"/>
              <w:jc w:val="center"/>
              <w:rPr>
                <w:rFonts w:eastAsia="Times New Roman" w:cs="Calibri"/>
                <w:noProof/>
              </w:rPr>
            </w:pPr>
            <w:r>
              <w:rPr>
                <w:noProof/>
              </w:rPr>
              <w:t>2023</w:t>
            </w:r>
          </w:p>
        </w:tc>
        <w:tc>
          <w:tcPr>
            <w:tcW w:w="3969" w:type="dxa"/>
            <w:shd w:val="clear" w:color="auto" w:fill="C4EFCE"/>
            <w:vAlign w:val="center"/>
            <w:hideMark/>
          </w:tcPr>
          <w:p w14:paraId="7927CA24" w14:textId="1065D024" w:rsidR="00154AD2" w:rsidRDefault="007F6BF3">
            <w:pPr>
              <w:pStyle w:val="P68B1DB1-Normal8"/>
              <w:spacing w:after="0" w:line="240" w:lineRule="auto"/>
              <w:jc w:val="both"/>
              <w:rPr>
                <w:rFonts w:eastAsia="Times New Roman" w:cs="Calibri"/>
                <w:noProof/>
              </w:rPr>
            </w:pPr>
            <w:r>
              <w:rPr>
                <w:noProof/>
              </w:rPr>
              <w:t xml:space="preserve">Υπογραφή από τα μέρη του εγγράφου που διέπει τις υποχρεώσεις τους σε σχέση με την εκτέλεση των εργασιών, σε τιμή, κατόπιν δημόσιου διαγωνισμού. </w:t>
            </w:r>
          </w:p>
        </w:tc>
      </w:tr>
      <w:tr w:rsidR="00154AD2" w14:paraId="7B5B5CC1" w14:textId="77777777">
        <w:trPr>
          <w:trHeight w:val="420"/>
        </w:trPr>
        <w:tc>
          <w:tcPr>
            <w:tcW w:w="1135" w:type="dxa"/>
            <w:shd w:val="clear" w:color="auto" w:fill="C4EFCE"/>
            <w:vAlign w:val="center"/>
            <w:hideMark/>
          </w:tcPr>
          <w:p w14:paraId="700C397C" w14:textId="77777777" w:rsidR="00154AD2" w:rsidRDefault="007F6BF3">
            <w:pPr>
              <w:pStyle w:val="P68B1DB1-Normal7"/>
              <w:spacing w:after="0" w:line="240" w:lineRule="auto"/>
              <w:jc w:val="center"/>
              <w:rPr>
                <w:rFonts w:eastAsia="Times New Roman" w:cs="Calibri"/>
                <w:noProof/>
              </w:rPr>
            </w:pPr>
            <w:r>
              <w:rPr>
                <w:noProof/>
              </w:rPr>
              <w:t>7.15</w:t>
            </w:r>
          </w:p>
        </w:tc>
        <w:tc>
          <w:tcPr>
            <w:tcW w:w="1276" w:type="dxa"/>
            <w:shd w:val="clear" w:color="auto" w:fill="C4EFCE"/>
            <w:noWrap/>
            <w:vAlign w:val="center"/>
            <w:hideMark/>
          </w:tcPr>
          <w:p w14:paraId="20063F9D" w14:textId="77777777" w:rsidR="00154AD2" w:rsidRDefault="007F6BF3">
            <w:pPr>
              <w:pStyle w:val="P68B1DB1-Normal8"/>
              <w:spacing w:after="0" w:line="240" w:lineRule="auto"/>
              <w:jc w:val="center"/>
              <w:rPr>
                <w:rFonts w:eastAsia="Times New Roman" w:cs="Calibri"/>
                <w:noProof/>
              </w:rPr>
            </w:pPr>
            <w:r>
              <w:rPr>
                <w:noProof/>
              </w:rPr>
              <w:t>RE-C07-i05-RAA</w:t>
            </w:r>
          </w:p>
        </w:tc>
        <w:tc>
          <w:tcPr>
            <w:tcW w:w="1134" w:type="dxa"/>
            <w:shd w:val="clear" w:color="auto" w:fill="C4EFCE"/>
            <w:noWrap/>
            <w:vAlign w:val="center"/>
            <w:hideMark/>
          </w:tcPr>
          <w:p w14:paraId="2AC31D5D"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A4A3C86" w14:textId="77777777" w:rsidR="00154AD2" w:rsidRDefault="007F6BF3">
            <w:pPr>
              <w:pStyle w:val="P68B1DB1-Normal8"/>
              <w:spacing w:after="0" w:line="240" w:lineRule="auto"/>
              <w:jc w:val="center"/>
              <w:rPr>
                <w:rFonts w:eastAsia="Times New Roman" w:cs="Calibri"/>
                <w:noProof/>
              </w:rPr>
            </w:pPr>
            <w:r>
              <w:rPr>
                <w:noProof/>
              </w:rPr>
              <w:t>Οδοί που κατασκευάστηκαν ή αποκαταστάθηκαν</w:t>
            </w:r>
          </w:p>
        </w:tc>
        <w:tc>
          <w:tcPr>
            <w:tcW w:w="1275" w:type="dxa"/>
            <w:shd w:val="clear" w:color="auto" w:fill="C4EFCE"/>
            <w:noWrap/>
            <w:vAlign w:val="center"/>
            <w:hideMark/>
          </w:tcPr>
          <w:p w14:paraId="2D009BF3"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0B6B86C2" w14:textId="77777777" w:rsidR="00154AD2" w:rsidRDefault="007F6BF3">
            <w:pPr>
              <w:pStyle w:val="P68B1DB1-Normal8"/>
              <w:spacing w:after="0" w:line="240" w:lineRule="auto"/>
              <w:jc w:val="center"/>
              <w:rPr>
                <w:rFonts w:eastAsia="Times New Roman" w:cs="Calibri"/>
                <w:noProof/>
              </w:rPr>
            </w:pPr>
            <w:r>
              <w:rPr>
                <w:noProof/>
              </w:rPr>
              <w:t>χλμ</w:t>
            </w:r>
          </w:p>
        </w:tc>
        <w:tc>
          <w:tcPr>
            <w:tcW w:w="992" w:type="dxa"/>
            <w:shd w:val="clear" w:color="auto" w:fill="C4EFCE"/>
            <w:noWrap/>
            <w:vAlign w:val="center"/>
            <w:hideMark/>
          </w:tcPr>
          <w:p w14:paraId="371D6CE9" w14:textId="77777777" w:rsidR="00154AD2" w:rsidRDefault="007F6BF3">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7EE7F577" w14:textId="77777777" w:rsidR="00154AD2" w:rsidRDefault="007F6BF3">
            <w:pPr>
              <w:pStyle w:val="P68B1DB1-Normal8"/>
              <w:spacing w:after="0" w:line="240" w:lineRule="auto"/>
              <w:jc w:val="center"/>
              <w:rPr>
                <w:rFonts w:eastAsia="Times New Roman" w:cs="Calibri"/>
                <w:noProof/>
              </w:rPr>
            </w:pPr>
            <w:r>
              <w:rPr>
                <w:noProof/>
              </w:rPr>
              <w:t>34.38</w:t>
            </w:r>
          </w:p>
        </w:tc>
        <w:tc>
          <w:tcPr>
            <w:tcW w:w="567" w:type="dxa"/>
            <w:shd w:val="clear" w:color="auto" w:fill="C4EFCE"/>
            <w:noWrap/>
            <w:vAlign w:val="center"/>
            <w:hideMark/>
          </w:tcPr>
          <w:p w14:paraId="23C0D9BB" w14:textId="035CC7DC" w:rsidR="00154AD2" w:rsidRDefault="007F6BF3">
            <w:pPr>
              <w:pStyle w:val="P68B1DB1-Normal8"/>
              <w:spacing w:after="0" w:line="240" w:lineRule="auto"/>
              <w:jc w:val="center"/>
              <w:rPr>
                <w:rFonts w:eastAsia="Times New Roman" w:cs="Calibri"/>
                <w:noProof/>
              </w:rPr>
            </w:pPr>
            <w:r>
              <w:rPr>
                <w:noProof/>
              </w:rPr>
              <w:t>ΤΡΊΜΗΝΟ 2</w:t>
            </w:r>
          </w:p>
        </w:tc>
        <w:tc>
          <w:tcPr>
            <w:tcW w:w="708" w:type="dxa"/>
            <w:shd w:val="clear" w:color="auto" w:fill="C4EFCE"/>
            <w:noWrap/>
            <w:vAlign w:val="center"/>
            <w:hideMark/>
          </w:tcPr>
          <w:p w14:paraId="386DAC62" w14:textId="196BF008" w:rsidR="00154AD2" w:rsidRDefault="007F6BF3">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21595695" w14:textId="77777777" w:rsidR="00154AD2" w:rsidRDefault="007F6BF3">
            <w:pPr>
              <w:pStyle w:val="P68B1DB1-Normal8"/>
              <w:spacing w:after="0" w:line="240" w:lineRule="auto"/>
              <w:jc w:val="both"/>
              <w:rPr>
                <w:rFonts w:eastAsia="Times New Roman" w:cs="Calibri"/>
                <w:noProof/>
              </w:rPr>
            </w:pPr>
            <w:r>
              <w:rPr>
                <w:noProof/>
              </w:rPr>
              <w:t>Χιλιόμετρα οδών που κατασκευάστηκαν ή αποκαταστάθηκαν σύμφωνα με τις τεχνικές προδιαγραφές της προσφοράς και ενσωματώνοντας πλήρως κάθε αποτέλεσμα και όρο από την εκτίμηση περιβαλλοντικών επιπτώσεων.</w:t>
            </w:r>
          </w:p>
        </w:tc>
      </w:tr>
    </w:tbl>
    <w:p w14:paraId="215FEBDE" w14:textId="77777777" w:rsidR="00154AD2" w:rsidRDefault="00154AD2">
      <w:pPr>
        <w:keepNext/>
        <w:spacing w:before="40" w:after="0" w:line="259" w:lineRule="auto"/>
        <w:ind w:left="130" w:firstLine="720"/>
        <w:jc w:val="both"/>
        <w:outlineLvl w:val="2"/>
        <w:rPr>
          <w:rFonts w:ascii="Times New Roman" w:eastAsiaTheme="minorEastAsia" w:hAnsi="Times New Roman" w:cs="Times New Roman"/>
          <w:b/>
          <w:noProof/>
          <w:sz w:val="24"/>
          <w:u w:val="single"/>
        </w:rPr>
        <w:sectPr w:rsidR="00154AD2" w:rsidSect="00E00EDD">
          <w:headerReference w:type="even" r:id="rId150"/>
          <w:headerReference w:type="default" r:id="rId151"/>
          <w:footerReference w:type="even" r:id="rId152"/>
          <w:footerReference w:type="default" r:id="rId153"/>
          <w:headerReference w:type="first" r:id="rId154"/>
          <w:footerReference w:type="first" r:id="rId155"/>
          <w:pgSz w:w="16839" w:h="11907" w:orient="landscape"/>
          <w:pgMar w:top="1134" w:right="1134" w:bottom="1134" w:left="1134" w:header="567" w:footer="567" w:gutter="0"/>
          <w:cols w:space="720"/>
          <w:docGrid w:linePitch="360"/>
        </w:sectPr>
      </w:pPr>
    </w:p>
    <w:p w14:paraId="5FFBA500" w14:textId="77777777" w:rsidR="00154AD2" w:rsidRDefault="007F6BF3">
      <w:pPr>
        <w:pStyle w:val="P68B1DB1-Normal3"/>
        <w:keepNext/>
        <w:spacing w:before="240" w:after="0" w:line="259" w:lineRule="auto"/>
        <w:ind w:left="851"/>
        <w:jc w:val="both"/>
        <w:outlineLvl w:val="3"/>
        <w:rPr>
          <w:rFonts w:eastAsiaTheme="minorEastAsia" w:cs="Times New Roman"/>
          <w:noProof/>
        </w:rPr>
      </w:pPr>
      <w:r>
        <w:rPr>
          <w:noProof/>
        </w:rPr>
        <w:t>Η.3. Περιγραφή των μεταρρυθμίσεων και των επενδύσεων που συνδέονται με τη λήψη δανείου</w:t>
      </w:r>
    </w:p>
    <w:p w14:paraId="5DC9AA23"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Επένδυση RE-C07-i03: Διασυνοριακές συνδέσεις</w:t>
      </w:r>
    </w:p>
    <w:p w14:paraId="1C90E8F1" w14:textId="77777777" w:rsidR="00154AD2" w:rsidRDefault="007F6BF3">
      <w:pPr>
        <w:pStyle w:val="P68B1DB1-Normal4"/>
        <w:keepNext/>
        <w:spacing w:before="40" w:after="0" w:line="259" w:lineRule="auto"/>
        <w:jc w:val="both"/>
        <w:rPr>
          <w:rFonts w:eastAsiaTheme="minorEastAsia" w:cs="Times New Roman"/>
          <w:noProof/>
        </w:rPr>
      </w:pPr>
      <w:r>
        <w:rPr>
          <w:noProof/>
        </w:rPr>
        <w:t>Οι στόχοι του μέτρου είναι η μόχλευση της ανάπτυξης της διασυνοριακής κινητικότητας και η βελτίωση της ανταγωνιστικότητας των επιχειρήσεων, όπως μέσω της προώθησης της κινητικότητας του εργατικού δυναμικού. Η ενίσχυση των διαδρόμων υψηλής χωρητικότητας αποσκοπεί επίσης να καταστήσει δυνατή την κοινή χρήση των υποδομών, όπως η σιδηροδρομική γραμμή υψηλών ταχυτήτων στη Sanabria ή το αεροδρόμιο Bragança, και να βελτιώσει την οδική ασφάλεια.</w:t>
      </w:r>
    </w:p>
    <w:p w14:paraId="7E45326C"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επένδυση συνίσταται στη δημιουργία και αναβάθμιση οδικών υποδομών για την ενίσχυση των διασυνοριακών συνδέσεων με την Ισπανία. </w:t>
      </w:r>
    </w:p>
    <w:p w14:paraId="3FAC6760"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Αναμένεται ότι το μέτρο αυτό δεν θα βλάψει σημαντικά τους περιβαλλοντικούς στόχους κατά την έννοια του άρθρου 17 του κανονισμού (ΕΕ) 2020/852, λαμβάνοντας υπόψη την περιγραφή του μέτρου και τα μέτρα μετριασμού που προβλέπονται στο σχέδιο ανάκαμψης και ανθεκτικότητας σύμφωνα με τις τεχνικές κατευθυντήριες γραμμές του DNSH (2021/C58/01). Ειδικότερα, η συμμόρφωση με την αρχή της μη πρόκλησης σημαντικής βλάβης διασφαλίζεται μέσω της επένδυσης C07-I0 (επέκταση του δικτύου φόρτισης ηλεκτρικών οχημάτων) ως συνοδευτικό μέτρο. Κάθε οδικό έργο που ενδέχεται να έχει σημαντικές αρνητικές επιπτώσεις στο περιβάλλον υπόκειται σε εκτίμηση περιβαλλοντικών επιπτώσεων (ΕΠΕ) σύμφωνα με την οδηγία 2011/92/ΕΕ, ώστε να διασφαλίζεται ότι η συμμόρφωση με την αρχή της μη πρόκλησης σημαντικής βλάβης ενσωματώνεται στο έργο και τηρείται αυστηρά κατά τα στάδια της κατασκευής, της λειτουργίας και του παροπλισμού της υποδομής. </w:t>
      </w:r>
    </w:p>
    <w:p w14:paraId="54069761" w14:textId="73841A5B" w:rsidR="00154AD2" w:rsidRDefault="007F6BF3">
      <w:pPr>
        <w:pStyle w:val="P68B1DB1-Normal4"/>
        <w:keepNext/>
        <w:spacing w:before="40" w:after="0" w:line="259" w:lineRule="auto"/>
        <w:jc w:val="both"/>
        <w:rPr>
          <w:rFonts w:eastAsiaTheme="minorEastAsia" w:cs="Times New Roman"/>
          <w:noProof/>
        </w:rPr>
      </w:pPr>
      <w:r>
        <w:rPr>
          <w:noProof/>
        </w:rPr>
        <w:t>Από τις αναφερόμενες οδούς, 30 χιλιόμετρα κατασκευάζονται ή αναβαθμίζονται:</w:t>
      </w:r>
    </w:p>
    <w:p w14:paraId="1BEA4559" w14:textId="77777777" w:rsidR="00154AD2" w:rsidRDefault="007F6BF3">
      <w:pPr>
        <w:pStyle w:val="P68B1DB1-Normal4"/>
        <w:keepNext/>
        <w:numPr>
          <w:ilvl w:val="0"/>
          <w:numId w:val="23"/>
        </w:numPr>
        <w:spacing w:before="40" w:after="160" w:line="259" w:lineRule="auto"/>
        <w:contextualSpacing/>
        <w:jc w:val="both"/>
        <w:rPr>
          <w:rFonts w:eastAsiaTheme="minorEastAsia" w:cs="Times New Roman"/>
          <w:noProof/>
        </w:rPr>
      </w:pPr>
      <w:r>
        <w:rPr>
          <w:noProof/>
        </w:rPr>
        <w:t>EN103: Vinhais/Bragança (παράκαμψη)·</w:t>
      </w:r>
    </w:p>
    <w:p w14:paraId="05732A66" w14:textId="77777777" w:rsidR="00154AD2" w:rsidRDefault="007F6BF3">
      <w:pPr>
        <w:pStyle w:val="P68B1DB1-Normal4"/>
        <w:keepNext/>
        <w:numPr>
          <w:ilvl w:val="0"/>
          <w:numId w:val="23"/>
        </w:numPr>
        <w:spacing w:before="40" w:after="160" w:line="259" w:lineRule="auto"/>
        <w:contextualSpacing/>
        <w:jc w:val="both"/>
        <w:rPr>
          <w:rFonts w:eastAsiaTheme="minorEastAsia" w:cs="Times New Roman"/>
          <w:noProof/>
        </w:rPr>
      </w:pPr>
      <w:r>
        <w:rPr>
          <w:noProof/>
        </w:rPr>
        <w:t>Σύνδεση από την Bragança με το Puebla de Sanabria (Ισπανία)·</w:t>
      </w:r>
    </w:p>
    <w:p w14:paraId="2E2E2DF9" w14:textId="77777777" w:rsidR="00154AD2" w:rsidRDefault="007F6BF3">
      <w:pPr>
        <w:pStyle w:val="P68B1DB1-Normal4"/>
        <w:keepNext/>
        <w:numPr>
          <w:ilvl w:val="0"/>
          <w:numId w:val="23"/>
        </w:numPr>
        <w:spacing w:before="40" w:after="160" w:line="259" w:lineRule="auto"/>
        <w:contextualSpacing/>
        <w:jc w:val="both"/>
        <w:rPr>
          <w:rFonts w:eastAsiaTheme="minorEastAsia" w:cs="Times New Roman"/>
          <w:noProof/>
        </w:rPr>
      </w:pPr>
      <w:r>
        <w:rPr>
          <w:noProof/>
        </w:rPr>
        <w:t>Διεθνής γέφυρα πάνω από τον ποταμό Sever·</w:t>
      </w:r>
    </w:p>
    <w:p w14:paraId="3CA675A9" w14:textId="77777777" w:rsidR="00154AD2" w:rsidRDefault="007F6BF3">
      <w:pPr>
        <w:pStyle w:val="P68B1DB1-Normal4"/>
        <w:keepNext/>
        <w:numPr>
          <w:ilvl w:val="0"/>
          <w:numId w:val="23"/>
        </w:numPr>
        <w:spacing w:before="40" w:after="160" w:line="259" w:lineRule="auto"/>
        <w:contextualSpacing/>
        <w:jc w:val="both"/>
        <w:rPr>
          <w:rFonts w:eastAsiaTheme="minorEastAsia" w:cs="Times New Roman"/>
          <w:noProof/>
        </w:rPr>
      </w:pPr>
      <w:r>
        <w:rPr>
          <w:noProof/>
        </w:rPr>
        <w:t>Γέφυρα Alcoutim — Saluncar de Guadiana (Ισπανία).</w:t>
      </w:r>
    </w:p>
    <w:p w14:paraId="58FCA3D1" w14:textId="77777777" w:rsidR="00154AD2" w:rsidRDefault="007F6BF3">
      <w:pPr>
        <w:pStyle w:val="P68B1DB1-Normal4"/>
        <w:keepNext/>
        <w:spacing w:before="40" w:after="0" w:line="259" w:lineRule="auto"/>
        <w:jc w:val="both"/>
        <w:rPr>
          <w:rFonts w:eastAsiaTheme="minorEastAsia" w:cs="Times New Roman"/>
          <w:noProof/>
        </w:rPr>
      </w:pPr>
      <w:r>
        <w:rPr>
          <w:noProof/>
        </w:rPr>
        <w:t>Η υλοποίηση της επένδυσης θα ολοκληρωθεί έως τις 31 Δεκεμβρίου 2025.</w:t>
      </w:r>
    </w:p>
    <w:p w14:paraId="6F257771"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Επένδυση RE-C07-i04: Χώροι υποδοχής επιχειρήσεων — Οδική προσβασιμότητα</w:t>
      </w:r>
    </w:p>
    <w:p w14:paraId="0B64272F" w14:textId="77777777" w:rsidR="00154AD2" w:rsidRDefault="007F6BF3">
      <w:pPr>
        <w:pStyle w:val="P68B1DB1-Normal4"/>
        <w:keepNext/>
        <w:spacing w:before="40" w:after="0" w:line="259" w:lineRule="auto"/>
        <w:jc w:val="both"/>
        <w:rPr>
          <w:rFonts w:eastAsiaTheme="minorEastAsia" w:cs="Times New Roman"/>
          <w:noProof/>
        </w:rPr>
      </w:pPr>
      <w:r>
        <w:rPr>
          <w:noProof/>
        </w:rPr>
        <w:t>Στόχος των μέτρων είναι η βελτίωση της ανταγωνιστικότητας των επιχειρηματικών πάρκων μέσω της βελτίωσης της συνδεσιμότητας του οδικού δικτύου τους, συμβάλλοντας στην επανεκβιομηχάνιση των αγροτικών περιοχών.</w:t>
      </w:r>
    </w:p>
    <w:p w14:paraId="1C3FF6BD"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επένδυση συνίσταται σε επενδύσεις για την επέκταση και την αναβάθμιση των οδικών υποδομών. Συμπληρώνει την επένδυση RE-CCT-C7-I1, η οποία αποσκοπεί στον εκσυγχρονισμό των επιχειρηματικών πάρκων. </w:t>
      </w:r>
    </w:p>
    <w:p w14:paraId="5CE98122"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Αναμένεται ότι το μέτρο αυτό δεν θα βλάψει σημαντικά τους περιβαλλοντικούς στόχους κατά την έννοια του άρθρου 17 του κανονισμού (ΕΕ) 2020/852, λαμβάνοντας υπόψη την περιγραφή του μέτρου και τα μέτρα μετριασμού που προβλέπονται στο σχέδιο ανάκαμψης και ανθεκτικότητας σύμφωνα με τις τεχνικές κατευθυντήριες γραμμές του DNSH (2021/C58/01). Ειδικότερα, η συμμόρφωση με την αρχή της μη πρόκλησης σημαντικής βλάβης διασφαλίζεται μέσω της επένδυσης C07-I0 (επέκταση του δικτύου φόρτισης ηλεκτρικών οχημάτων) ως συνοδευτικό μέτρο. Κάθε οδικό έργο που ενδέχεται να έχει σημαντικές αρνητικές επιπτώσεις στο περιβάλλον υπόκειται σε εκτίμηση περιβαλλοντικών επιπτώσεων (ΕΠΕ) σύμφωνα με την οδηγία 2011/92/ΕΕ, ώστε να διασφαλίζεται ότι η συμμόρφωση με την αρχή της μη πρόκλησης σημαντικής βλάβης ενσωματώνεται στο έργο και τηρείται αυστηρά κατά τα στάδια της κατασκευής, της λειτουργίας και του παροπλισμού της υποδομής. </w:t>
      </w:r>
    </w:p>
    <w:p w14:paraId="050BD257" w14:textId="4CB0EAD2" w:rsidR="00154AD2" w:rsidRDefault="007F6BF3">
      <w:pPr>
        <w:pStyle w:val="P68B1DB1-Normal4"/>
        <w:keepNext/>
        <w:spacing w:before="40" w:after="0" w:line="259" w:lineRule="auto"/>
        <w:jc w:val="both"/>
        <w:rPr>
          <w:rFonts w:eastAsiaTheme="minorEastAsia" w:cs="Times New Roman"/>
          <w:noProof/>
        </w:rPr>
      </w:pPr>
      <w:r>
        <w:rPr>
          <w:noProof/>
        </w:rPr>
        <w:t>Από τις αναφερόμενες οδούς, 42 χιλιόμετρα κατασκευάζονται ή αναβαθμίζονται:</w:t>
      </w:r>
    </w:p>
    <w:p w14:paraId="3191170B" w14:textId="77777777" w:rsidR="00154AD2" w:rsidRDefault="007F6BF3">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Σύνδεση με το βιομηχανικό πάρκο του Mundão: άρση περιορισμών στο πρότυπο EN229 Viseu/Sátão· </w:t>
      </w:r>
    </w:p>
    <w:p w14:paraId="262DC6C2" w14:textId="77777777" w:rsidR="00154AD2" w:rsidRDefault="007F6BF3">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Σύνδεση με το βιομηχανικό πάρκο του Mundão: EN229 — ex-IP5/Mundão βιομηχανικό πάρκο· </w:t>
      </w:r>
    </w:p>
    <w:p w14:paraId="452EB813" w14:textId="77777777" w:rsidR="00154AD2" w:rsidRDefault="007F6BF3">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Προσβασιμότητα στη βιομηχανική ζώνη Riachos· </w:t>
      </w:r>
    </w:p>
    <w:p w14:paraId="2C588233" w14:textId="77777777" w:rsidR="00154AD2" w:rsidRDefault="007F6BF3">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Πρόσβαση του IC8 (Ansião) στο επιχειρηματικό πάρκο Camporês· </w:t>
      </w:r>
    </w:p>
    <w:p w14:paraId="5A87BB70" w14:textId="77777777" w:rsidR="00154AD2" w:rsidRDefault="007F6BF3">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EN10-4: Setúbal/Mitrena· </w:t>
      </w:r>
    </w:p>
    <w:p w14:paraId="242E9A85" w14:textId="77777777" w:rsidR="00154AD2" w:rsidRDefault="007F6BF3">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Σύνδεση με το βιομηχανικό πάρκο Fontiscos και αποκατάσταση του κόμβου Ermida (Santo Tirso)· </w:t>
      </w:r>
    </w:p>
    <w:p w14:paraId="2AEAAA33" w14:textId="77777777" w:rsidR="00154AD2" w:rsidRDefault="007F6BF3">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Σύνδεση του Α8 με το βιομηχανικό πάρκο Palhagueiras στο Torres Vedras· </w:t>
      </w:r>
    </w:p>
    <w:p w14:paraId="07901DC1" w14:textId="77777777" w:rsidR="00154AD2" w:rsidRDefault="007F6BF3">
      <w:pPr>
        <w:pStyle w:val="P68B1DB1-Normal4"/>
        <w:keepNext/>
        <w:numPr>
          <w:ilvl w:val="0"/>
          <w:numId w:val="24"/>
        </w:numPr>
        <w:spacing w:before="40" w:after="160" w:line="259" w:lineRule="auto"/>
        <w:contextualSpacing/>
        <w:jc w:val="both"/>
        <w:rPr>
          <w:rFonts w:eastAsiaTheme="minorEastAsia" w:cs="Times New Roman"/>
          <w:noProof/>
        </w:rPr>
      </w:pPr>
      <w:r>
        <w:rPr>
          <w:noProof/>
        </w:rPr>
        <w:t>Σύνδεση του A11 με τη βιομηχανική ζώνη Cabeça de Porca (Felgueiras)·</w:t>
      </w:r>
    </w:p>
    <w:p w14:paraId="3ED22392" w14:textId="77777777" w:rsidR="00154AD2" w:rsidRDefault="007F6BF3">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Σύνδεση του προτύπου EN114 με τη βιομηχανική ζώνη του Ρίο Maior· </w:t>
      </w:r>
    </w:p>
    <w:p w14:paraId="1EAB6332" w14:textId="77777777" w:rsidR="00154AD2" w:rsidRDefault="007F6BF3">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Βελτίωση της πρόσβασης στην περιοχή επιχειρηματικής εγκατάστασης Lavagueiras (Castelo de Paiva)· </w:t>
      </w:r>
    </w:p>
    <w:p w14:paraId="30092FC2" w14:textId="77777777" w:rsidR="00154AD2" w:rsidRDefault="007F6BF3">
      <w:pPr>
        <w:pStyle w:val="P68B1DB1-Normal4"/>
        <w:keepNext/>
        <w:numPr>
          <w:ilvl w:val="0"/>
          <w:numId w:val="24"/>
        </w:numPr>
        <w:spacing w:before="40" w:after="160" w:line="259" w:lineRule="auto"/>
        <w:contextualSpacing/>
        <w:jc w:val="both"/>
        <w:rPr>
          <w:rFonts w:eastAsiaTheme="minorEastAsia" w:cs="Times New Roman"/>
          <w:noProof/>
        </w:rPr>
      </w:pPr>
      <w:r>
        <w:rPr>
          <w:noProof/>
        </w:rPr>
        <w:t>Βελτίωση της προσβασιμότητας στη βιομηχανική περιοχή Campo Maior·</w:t>
      </w:r>
    </w:p>
    <w:p w14:paraId="6B7A00F6" w14:textId="77777777" w:rsidR="00154AD2" w:rsidRDefault="007F6BF3">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Παράκαμψη EN248 (Arruda dos Vinhos)· </w:t>
      </w:r>
    </w:p>
    <w:p w14:paraId="4283D541" w14:textId="77777777" w:rsidR="00154AD2" w:rsidRDefault="007F6BF3">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Παράκαμψη Aljustrel — Βελτίωση της πρόσβασης στην περιοχή εξόρυξης και στην περιοχή επιχειρηματικής εγκατάστασης· </w:t>
      </w:r>
    </w:p>
    <w:p w14:paraId="5698EA11" w14:textId="77777777" w:rsidR="00154AD2" w:rsidRDefault="007F6BF3">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Via do Tâmega της παρακαμπτήριας οδού EN210 (Celorico de Basto)· </w:t>
      </w:r>
    </w:p>
    <w:p w14:paraId="435864A5" w14:textId="77777777" w:rsidR="00154AD2" w:rsidRDefault="007F6BF3">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Σύνδεση του IC2 με το βιομηχανικό πάρκο Casarão· </w:t>
      </w:r>
    </w:p>
    <w:p w14:paraId="3119D8F2" w14:textId="77777777" w:rsidR="00154AD2" w:rsidRDefault="007F6BF3">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Νέα διέλευση Rio Lima μεταξύ EN203 — Deocriste και EN202 — Nogueira· </w:t>
      </w:r>
    </w:p>
    <w:p w14:paraId="47A48EEF" w14:textId="77777777" w:rsidR="00154AD2" w:rsidRDefault="007F6BF3">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Συζήτηση στρογγυλής τραπέζης στο EN246 για την πρόσβαση στη βιομηχανική ζώνη Portalegre· </w:t>
      </w:r>
    </w:p>
    <w:p w14:paraId="0F0C4A8F" w14:textId="77777777" w:rsidR="00154AD2" w:rsidRDefault="007F6BF3">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Πρόσβαση στο Avepark — Επιστημονικό και Τεχνολογικό Πάρκο Ταϊπάς (Guimarães)· </w:t>
      </w:r>
    </w:p>
    <w:p w14:paraId="6594FA5B" w14:textId="77777777" w:rsidR="00154AD2" w:rsidRDefault="007F6BF3">
      <w:pPr>
        <w:pStyle w:val="P68B1DB1-Normal4"/>
        <w:keepNext/>
        <w:numPr>
          <w:ilvl w:val="0"/>
          <w:numId w:val="24"/>
        </w:numPr>
        <w:spacing w:before="40" w:after="160" w:line="259" w:lineRule="auto"/>
        <w:contextualSpacing/>
        <w:jc w:val="both"/>
        <w:rPr>
          <w:rFonts w:eastAsiaTheme="minorEastAsia" w:cs="Times New Roman"/>
          <w:noProof/>
        </w:rPr>
      </w:pPr>
      <w:r>
        <w:rPr>
          <w:noProof/>
        </w:rPr>
        <w:t>Πρόσβαση στη βιομηχανική ζώνη Vale do Neiva στον κόμβο A28.</w:t>
      </w:r>
    </w:p>
    <w:p w14:paraId="1F556DEC"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υλοποίηση της επένδυσης θα ολοκληρωθεί έως τις 31 Δεκεμβρίου 2025. </w:t>
      </w:r>
    </w:p>
    <w:p w14:paraId="529BEBFB"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4B27D11F"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028DDE69" w14:textId="77777777" w:rsidR="00154AD2" w:rsidRDefault="00154AD2">
      <w:pPr>
        <w:keepNext/>
        <w:spacing w:before="40" w:after="0" w:line="259" w:lineRule="auto"/>
        <w:jc w:val="both"/>
        <w:rPr>
          <w:rFonts w:ascii="Times New Roman" w:eastAsiaTheme="minorEastAsia" w:hAnsi="Times New Roman" w:cs="Times New Roman"/>
          <w:noProof/>
          <w:sz w:val="24"/>
        </w:rPr>
        <w:sectPr w:rsidR="00154AD2" w:rsidSect="00BF3640">
          <w:headerReference w:type="even" r:id="rId156"/>
          <w:headerReference w:type="default" r:id="rId157"/>
          <w:footerReference w:type="even" r:id="rId158"/>
          <w:footerReference w:type="default" r:id="rId159"/>
          <w:headerReference w:type="first" r:id="rId160"/>
          <w:footerReference w:type="first" r:id="rId161"/>
          <w:type w:val="continuous"/>
          <w:pgSz w:w="11907" w:h="16839" w:code="9"/>
          <w:pgMar w:top="1134" w:right="1134" w:bottom="1134" w:left="1134" w:header="567" w:footer="567" w:gutter="0"/>
          <w:cols w:space="720"/>
          <w:docGrid w:linePitch="360"/>
        </w:sectPr>
      </w:pPr>
    </w:p>
    <w:p w14:paraId="6299134D" w14:textId="7FD7908A" w:rsidR="00154AD2" w:rsidRDefault="007F6BF3">
      <w:pPr>
        <w:pStyle w:val="P68B1DB1-Normal3"/>
        <w:spacing w:before="40" w:after="0" w:line="259" w:lineRule="auto"/>
        <w:ind w:left="130" w:firstLine="720"/>
        <w:jc w:val="both"/>
        <w:outlineLvl w:val="2"/>
        <w:rPr>
          <w:rFonts w:eastAsiaTheme="minorEastAsia" w:cs="Times New Roman"/>
          <w:noProof/>
        </w:rPr>
      </w:pPr>
      <w:r>
        <w:rPr>
          <w:noProof/>
        </w:rPr>
        <w:t>Η.4. Ορόσημα, στόχοι, δείκτες και χρονοδιάγραμμα για την παρακολούθηση και την υλοποίηση του δανείου</w:t>
      </w:r>
    </w:p>
    <w:p w14:paraId="2F2CB9FD" w14:textId="77777777" w:rsidR="00154AD2" w:rsidRDefault="00154AD2">
      <w:pPr>
        <w:spacing w:before="40" w:after="0" w:line="259" w:lineRule="auto"/>
        <w:jc w:val="both"/>
        <w:rPr>
          <w:rFonts w:ascii="Times New Roman" w:eastAsiaTheme="minorEastAsia" w:hAnsi="Times New Roman" w:cs="Times New Roman"/>
          <w:noProof/>
          <w:sz w:val="24"/>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154AD2" w14:paraId="36A011EF" w14:textId="77777777">
        <w:trPr>
          <w:trHeight w:val="910"/>
          <w:tblHeader/>
        </w:trPr>
        <w:tc>
          <w:tcPr>
            <w:tcW w:w="1135" w:type="dxa"/>
            <w:vMerge w:val="restart"/>
            <w:shd w:val="clear" w:color="auto" w:fill="BDD6EE"/>
            <w:vAlign w:val="center"/>
            <w:hideMark/>
          </w:tcPr>
          <w:p w14:paraId="44FD47D0" w14:textId="77777777" w:rsidR="00154AD2" w:rsidRDefault="007F6BF3">
            <w:pPr>
              <w:pStyle w:val="P68B1DB1-Normal6"/>
              <w:spacing w:after="0" w:line="240" w:lineRule="auto"/>
              <w:jc w:val="center"/>
              <w:rPr>
                <w:rFonts w:eastAsia="Times New Roman" w:cs="Times New Roman"/>
                <w:noProof/>
              </w:rPr>
            </w:pPr>
            <w:r>
              <w:rPr>
                <w:noProof/>
              </w:rPr>
              <w:t>Αύξων αριθμός</w:t>
            </w:r>
          </w:p>
        </w:tc>
        <w:tc>
          <w:tcPr>
            <w:tcW w:w="1276" w:type="dxa"/>
            <w:vMerge w:val="restart"/>
            <w:shd w:val="clear" w:color="auto" w:fill="BDD6EE"/>
            <w:vAlign w:val="center"/>
            <w:hideMark/>
          </w:tcPr>
          <w:p w14:paraId="43B8D62C" w14:textId="77777777" w:rsidR="00154AD2" w:rsidRDefault="007F6BF3">
            <w:pPr>
              <w:pStyle w:val="P68B1DB1-Normal6"/>
              <w:spacing w:after="0" w:line="240" w:lineRule="auto"/>
              <w:jc w:val="center"/>
              <w:rPr>
                <w:rFonts w:eastAsia="Times New Roman" w:cs="Times New Roman"/>
                <w:noProof/>
              </w:rPr>
            </w:pPr>
            <w:r>
              <w:rPr>
                <w:noProof/>
              </w:rPr>
              <w:t>Μέτρο (Μεταρρύθμιση ή Επενδύσεις)</w:t>
            </w:r>
          </w:p>
        </w:tc>
        <w:tc>
          <w:tcPr>
            <w:tcW w:w="1134" w:type="dxa"/>
            <w:vMerge w:val="restart"/>
            <w:shd w:val="clear" w:color="auto" w:fill="BDD6EE"/>
            <w:vAlign w:val="center"/>
            <w:hideMark/>
          </w:tcPr>
          <w:p w14:paraId="24FD2722" w14:textId="77777777" w:rsidR="00154AD2" w:rsidRDefault="007F6BF3">
            <w:pPr>
              <w:pStyle w:val="P68B1DB1-Normal6"/>
              <w:spacing w:after="0" w:line="240" w:lineRule="auto"/>
              <w:jc w:val="center"/>
              <w:rPr>
                <w:rFonts w:eastAsia="Times New Roman" w:cs="Times New Roman"/>
                <w:noProof/>
              </w:rPr>
            </w:pPr>
            <w:r>
              <w:rPr>
                <w:noProof/>
              </w:rPr>
              <w:t>Ορόσημο/Στόχος</w:t>
            </w:r>
          </w:p>
        </w:tc>
        <w:tc>
          <w:tcPr>
            <w:tcW w:w="1701" w:type="dxa"/>
            <w:vMerge w:val="restart"/>
            <w:shd w:val="clear" w:color="auto" w:fill="BDD6EE"/>
            <w:vAlign w:val="center"/>
            <w:hideMark/>
          </w:tcPr>
          <w:p w14:paraId="1ED31254" w14:textId="77777777" w:rsidR="00154AD2" w:rsidRDefault="007F6BF3">
            <w:pPr>
              <w:pStyle w:val="P68B1DB1-Normal6"/>
              <w:spacing w:after="0" w:line="240" w:lineRule="auto"/>
              <w:jc w:val="center"/>
              <w:rPr>
                <w:rFonts w:eastAsia="Times New Roman" w:cs="Times New Roman"/>
                <w:noProof/>
              </w:rPr>
            </w:pPr>
            <w:r>
              <w:rPr>
                <w:noProof/>
              </w:rPr>
              <w:t>Όνομα</w:t>
            </w:r>
          </w:p>
        </w:tc>
        <w:tc>
          <w:tcPr>
            <w:tcW w:w="1275" w:type="dxa"/>
            <w:vMerge w:val="restart"/>
            <w:shd w:val="clear" w:color="auto" w:fill="BDD6EE"/>
            <w:vAlign w:val="center"/>
            <w:hideMark/>
          </w:tcPr>
          <w:p w14:paraId="2272E53A" w14:textId="77777777" w:rsidR="00154AD2" w:rsidRDefault="007F6BF3">
            <w:pPr>
              <w:pStyle w:val="P68B1DB1-Normal6"/>
              <w:spacing w:after="0" w:line="240" w:lineRule="auto"/>
              <w:jc w:val="center"/>
              <w:rPr>
                <w:rFonts w:eastAsia="Times New Roman" w:cs="Times New Roman"/>
                <w:noProof/>
              </w:rPr>
            </w:pPr>
            <w:r>
              <w:rPr>
                <w:noProof/>
              </w:rPr>
              <w:t>Ποιοτικοί δείκτες (για τα ορόσημα)</w:t>
            </w:r>
          </w:p>
        </w:tc>
        <w:tc>
          <w:tcPr>
            <w:tcW w:w="2694" w:type="dxa"/>
            <w:gridSpan w:val="3"/>
            <w:shd w:val="clear" w:color="auto" w:fill="BDD6EE"/>
            <w:vAlign w:val="center"/>
            <w:hideMark/>
          </w:tcPr>
          <w:p w14:paraId="2CD0AB34" w14:textId="77777777" w:rsidR="00154AD2" w:rsidRDefault="007F6BF3">
            <w:pPr>
              <w:pStyle w:val="P68B1DB1-Normal6"/>
              <w:spacing w:after="0" w:line="240" w:lineRule="auto"/>
              <w:jc w:val="center"/>
              <w:rPr>
                <w:rFonts w:eastAsia="Times New Roman" w:cs="Times New Roman"/>
                <w:noProof/>
              </w:rPr>
            </w:pPr>
            <w:r>
              <w:rPr>
                <w:noProof/>
              </w:rPr>
              <w:t>Ποσοτικοί δείκτες (για τους στόχους)</w:t>
            </w:r>
          </w:p>
        </w:tc>
        <w:tc>
          <w:tcPr>
            <w:tcW w:w="1275" w:type="dxa"/>
            <w:gridSpan w:val="2"/>
            <w:shd w:val="clear" w:color="auto" w:fill="BDD6EE"/>
            <w:vAlign w:val="center"/>
            <w:hideMark/>
          </w:tcPr>
          <w:p w14:paraId="5C44A828" w14:textId="77777777" w:rsidR="00154AD2" w:rsidRDefault="007F6BF3">
            <w:pPr>
              <w:pStyle w:val="P68B1DB1-Normal6"/>
              <w:spacing w:after="0" w:line="240" w:lineRule="auto"/>
              <w:jc w:val="center"/>
              <w:rPr>
                <w:rFonts w:eastAsia="Times New Roman" w:cs="Times New Roman"/>
                <w:noProof/>
              </w:rPr>
            </w:pPr>
            <w:r>
              <w:rPr>
                <w:noProof/>
              </w:rPr>
              <w:t>Ενδεικτικό χρονοδιάγραμμα ολοκλήρωσης</w:t>
            </w:r>
          </w:p>
        </w:tc>
        <w:tc>
          <w:tcPr>
            <w:tcW w:w="3969" w:type="dxa"/>
            <w:vMerge w:val="restart"/>
            <w:shd w:val="clear" w:color="auto" w:fill="BDD6EE"/>
            <w:vAlign w:val="center"/>
            <w:hideMark/>
          </w:tcPr>
          <w:p w14:paraId="50F3DE32" w14:textId="77777777" w:rsidR="00154AD2" w:rsidRDefault="007F6BF3">
            <w:pPr>
              <w:pStyle w:val="P68B1DB1-Normal6"/>
              <w:spacing w:after="0" w:line="240" w:lineRule="auto"/>
              <w:jc w:val="center"/>
              <w:rPr>
                <w:rFonts w:eastAsia="Times New Roman" w:cs="Times New Roman"/>
                <w:noProof/>
              </w:rPr>
            </w:pPr>
            <w:r>
              <w:rPr>
                <w:noProof/>
              </w:rPr>
              <w:t>Περιγραφή και σαφής ορισμός κάθε ορόσημου και στόχου</w:t>
            </w:r>
          </w:p>
        </w:tc>
      </w:tr>
      <w:tr w:rsidR="00154AD2" w14:paraId="6E3E0C94" w14:textId="77777777">
        <w:trPr>
          <w:trHeight w:val="470"/>
          <w:tblHeader/>
        </w:trPr>
        <w:tc>
          <w:tcPr>
            <w:tcW w:w="1135" w:type="dxa"/>
            <w:vMerge/>
            <w:vAlign w:val="center"/>
            <w:hideMark/>
          </w:tcPr>
          <w:p w14:paraId="35DCDBA3" w14:textId="77777777" w:rsidR="00154AD2" w:rsidRDefault="00154AD2">
            <w:pPr>
              <w:spacing w:after="0" w:line="240" w:lineRule="auto"/>
              <w:rPr>
                <w:rFonts w:ascii="Times New Roman" w:eastAsia="Times New Roman" w:hAnsi="Times New Roman" w:cs="Times New Roman"/>
                <w:b/>
                <w:noProof/>
                <w:sz w:val="18"/>
              </w:rPr>
            </w:pPr>
          </w:p>
        </w:tc>
        <w:tc>
          <w:tcPr>
            <w:tcW w:w="1276" w:type="dxa"/>
            <w:vMerge/>
            <w:vAlign w:val="center"/>
            <w:hideMark/>
          </w:tcPr>
          <w:p w14:paraId="74E2BF93" w14:textId="77777777" w:rsidR="00154AD2" w:rsidRDefault="00154AD2">
            <w:pPr>
              <w:spacing w:after="0" w:line="240" w:lineRule="auto"/>
              <w:rPr>
                <w:rFonts w:ascii="Times New Roman" w:eastAsia="Times New Roman" w:hAnsi="Times New Roman" w:cs="Times New Roman"/>
                <w:b/>
                <w:noProof/>
                <w:sz w:val="18"/>
              </w:rPr>
            </w:pPr>
          </w:p>
        </w:tc>
        <w:tc>
          <w:tcPr>
            <w:tcW w:w="1134" w:type="dxa"/>
            <w:vMerge/>
            <w:vAlign w:val="center"/>
            <w:hideMark/>
          </w:tcPr>
          <w:p w14:paraId="39DC4F8E" w14:textId="77777777" w:rsidR="00154AD2" w:rsidRDefault="00154AD2">
            <w:pPr>
              <w:spacing w:after="0" w:line="240" w:lineRule="auto"/>
              <w:jc w:val="center"/>
              <w:rPr>
                <w:rFonts w:ascii="Times New Roman" w:eastAsia="Times New Roman" w:hAnsi="Times New Roman" w:cs="Times New Roman"/>
                <w:b/>
                <w:noProof/>
                <w:sz w:val="14"/>
              </w:rPr>
            </w:pPr>
          </w:p>
        </w:tc>
        <w:tc>
          <w:tcPr>
            <w:tcW w:w="1701" w:type="dxa"/>
            <w:vMerge/>
            <w:vAlign w:val="center"/>
            <w:hideMark/>
          </w:tcPr>
          <w:p w14:paraId="53E4DCD1" w14:textId="77777777" w:rsidR="00154AD2" w:rsidRDefault="00154AD2">
            <w:pPr>
              <w:spacing w:after="0" w:line="240" w:lineRule="auto"/>
              <w:rPr>
                <w:rFonts w:ascii="Times New Roman" w:eastAsia="Times New Roman" w:hAnsi="Times New Roman" w:cs="Times New Roman"/>
                <w:b/>
                <w:noProof/>
                <w:sz w:val="18"/>
              </w:rPr>
            </w:pPr>
          </w:p>
        </w:tc>
        <w:tc>
          <w:tcPr>
            <w:tcW w:w="1275" w:type="dxa"/>
            <w:vMerge/>
            <w:vAlign w:val="center"/>
            <w:hideMark/>
          </w:tcPr>
          <w:p w14:paraId="0DF81CCA" w14:textId="77777777" w:rsidR="00154AD2" w:rsidRDefault="00154AD2">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02752337" w14:textId="77777777" w:rsidR="00154AD2" w:rsidRDefault="007F6BF3">
            <w:pPr>
              <w:pStyle w:val="P68B1DB1-Normal6"/>
              <w:spacing w:after="0" w:line="240" w:lineRule="auto"/>
              <w:jc w:val="center"/>
              <w:rPr>
                <w:rFonts w:eastAsia="Times New Roman" w:cs="Times New Roman"/>
                <w:noProof/>
              </w:rPr>
            </w:pPr>
            <w:r>
              <w:rPr>
                <w:noProof/>
              </w:rPr>
              <w:t>Μονάδα μέτρησης</w:t>
            </w:r>
          </w:p>
        </w:tc>
        <w:tc>
          <w:tcPr>
            <w:tcW w:w="992" w:type="dxa"/>
            <w:shd w:val="clear" w:color="auto" w:fill="BDD6EE"/>
            <w:vAlign w:val="center"/>
            <w:hideMark/>
          </w:tcPr>
          <w:p w14:paraId="62D4A070" w14:textId="77777777" w:rsidR="00154AD2" w:rsidRDefault="007F6BF3">
            <w:pPr>
              <w:pStyle w:val="P68B1DB1-Normal6"/>
              <w:spacing w:after="0" w:line="240" w:lineRule="auto"/>
              <w:jc w:val="center"/>
              <w:rPr>
                <w:rFonts w:eastAsia="Times New Roman" w:cs="Times New Roman"/>
                <w:noProof/>
              </w:rPr>
            </w:pPr>
            <w:r>
              <w:rPr>
                <w:noProof/>
              </w:rPr>
              <w:t>Γραμμή βάσης</w:t>
            </w:r>
          </w:p>
        </w:tc>
        <w:tc>
          <w:tcPr>
            <w:tcW w:w="709" w:type="dxa"/>
            <w:shd w:val="clear" w:color="auto" w:fill="BDD6EE"/>
            <w:vAlign w:val="center"/>
            <w:hideMark/>
          </w:tcPr>
          <w:p w14:paraId="121BD005" w14:textId="77777777" w:rsidR="00154AD2" w:rsidRDefault="007F6BF3">
            <w:pPr>
              <w:pStyle w:val="P68B1DB1-Normal6"/>
              <w:spacing w:after="0" w:line="240" w:lineRule="auto"/>
              <w:jc w:val="center"/>
              <w:rPr>
                <w:rFonts w:eastAsia="Times New Roman" w:cs="Times New Roman"/>
                <w:noProof/>
              </w:rPr>
            </w:pPr>
            <w:r>
              <w:rPr>
                <w:noProof/>
              </w:rPr>
              <w:t>Στόχοι</w:t>
            </w:r>
          </w:p>
        </w:tc>
        <w:tc>
          <w:tcPr>
            <w:tcW w:w="567" w:type="dxa"/>
            <w:shd w:val="clear" w:color="auto" w:fill="BDD6EE"/>
            <w:vAlign w:val="center"/>
            <w:hideMark/>
          </w:tcPr>
          <w:p w14:paraId="50080670" w14:textId="77777777" w:rsidR="00154AD2" w:rsidRDefault="007F6BF3">
            <w:pPr>
              <w:pStyle w:val="P68B1DB1-Normal6"/>
              <w:spacing w:after="0" w:line="240" w:lineRule="auto"/>
              <w:jc w:val="center"/>
              <w:rPr>
                <w:rFonts w:eastAsia="Times New Roman" w:cs="Times New Roman"/>
                <w:noProof/>
              </w:rPr>
            </w:pPr>
            <w:r>
              <w:rPr>
                <w:noProof/>
              </w:rPr>
              <w:t>Ε</w:t>
            </w:r>
          </w:p>
        </w:tc>
        <w:tc>
          <w:tcPr>
            <w:tcW w:w="708" w:type="dxa"/>
            <w:shd w:val="clear" w:color="auto" w:fill="BDD6EE"/>
            <w:vAlign w:val="center"/>
            <w:hideMark/>
          </w:tcPr>
          <w:p w14:paraId="5EEBE07C" w14:textId="77777777" w:rsidR="00154AD2" w:rsidRDefault="007F6BF3">
            <w:pPr>
              <w:pStyle w:val="P68B1DB1-Normal6"/>
              <w:spacing w:after="0" w:line="240" w:lineRule="auto"/>
              <w:jc w:val="center"/>
              <w:rPr>
                <w:rFonts w:eastAsia="Times New Roman" w:cs="Times New Roman"/>
                <w:noProof/>
              </w:rPr>
            </w:pPr>
            <w:r>
              <w:rPr>
                <w:noProof/>
              </w:rPr>
              <w:t>Έτος</w:t>
            </w:r>
          </w:p>
        </w:tc>
        <w:tc>
          <w:tcPr>
            <w:tcW w:w="3969" w:type="dxa"/>
            <w:vMerge/>
            <w:vAlign w:val="center"/>
            <w:hideMark/>
          </w:tcPr>
          <w:p w14:paraId="1A0FE12C" w14:textId="77777777" w:rsidR="00154AD2" w:rsidRDefault="00154AD2">
            <w:pPr>
              <w:spacing w:after="0" w:line="240" w:lineRule="auto"/>
              <w:rPr>
                <w:rFonts w:ascii="Times New Roman" w:eastAsia="Times New Roman" w:hAnsi="Times New Roman" w:cs="Times New Roman"/>
                <w:b/>
                <w:noProof/>
                <w:sz w:val="18"/>
              </w:rPr>
            </w:pPr>
          </w:p>
        </w:tc>
      </w:tr>
      <w:tr w:rsidR="00154AD2" w14:paraId="59915854" w14:textId="77777777">
        <w:trPr>
          <w:trHeight w:val="503"/>
          <w:tblHeader/>
        </w:trPr>
        <w:tc>
          <w:tcPr>
            <w:tcW w:w="1135" w:type="dxa"/>
            <w:shd w:val="clear" w:color="auto" w:fill="C4EFCE"/>
            <w:vAlign w:val="center"/>
            <w:hideMark/>
          </w:tcPr>
          <w:p w14:paraId="01EFD0C3" w14:textId="77777777" w:rsidR="00154AD2" w:rsidRDefault="007F6BF3">
            <w:pPr>
              <w:pStyle w:val="P68B1DB1-Normal7"/>
              <w:spacing w:after="0" w:line="240" w:lineRule="auto"/>
              <w:jc w:val="center"/>
              <w:rPr>
                <w:rFonts w:eastAsia="Times New Roman" w:cs="Calibri"/>
                <w:noProof/>
              </w:rPr>
            </w:pPr>
            <w:r>
              <w:rPr>
                <w:noProof/>
              </w:rPr>
              <w:t>7.9</w:t>
            </w:r>
          </w:p>
        </w:tc>
        <w:tc>
          <w:tcPr>
            <w:tcW w:w="1276" w:type="dxa"/>
            <w:shd w:val="clear" w:color="auto" w:fill="C4EFCE"/>
            <w:noWrap/>
            <w:vAlign w:val="center"/>
            <w:hideMark/>
          </w:tcPr>
          <w:p w14:paraId="68287771" w14:textId="77777777" w:rsidR="00154AD2" w:rsidRDefault="007F6BF3">
            <w:pPr>
              <w:pStyle w:val="P68B1DB1-Normal8"/>
              <w:spacing w:after="0" w:line="240" w:lineRule="auto"/>
              <w:jc w:val="center"/>
              <w:rPr>
                <w:rFonts w:eastAsia="Times New Roman" w:cs="Calibri"/>
                <w:noProof/>
              </w:rPr>
            </w:pPr>
            <w:r>
              <w:rPr>
                <w:noProof/>
              </w:rPr>
              <w:t>RE-C07-i03</w:t>
            </w:r>
          </w:p>
        </w:tc>
        <w:tc>
          <w:tcPr>
            <w:tcW w:w="1134" w:type="dxa"/>
            <w:shd w:val="clear" w:color="auto" w:fill="C4EFCE"/>
            <w:noWrap/>
            <w:vAlign w:val="center"/>
            <w:hideMark/>
          </w:tcPr>
          <w:p w14:paraId="737B2981"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56F42995" w14:textId="77777777" w:rsidR="00154AD2" w:rsidRDefault="007F6BF3">
            <w:pPr>
              <w:pStyle w:val="P68B1DB1-Normal8"/>
              <w:spacing w:after="0" w:line="240" w:lineRule="auto"/>
              <w:jc w:val="center"/>
              <w:rPr>
                <w:rFonts w:eastAsia="Times New Roman" w:cs="Calibri"/>
                <w:noProof/>
              </w:rPr>
            </w:pPr>
            <w:r>
              <w:rPr>
                <w:noProof/>
              </w:rPr>
              <w:t>Ολοκλήρωση της πρώτης εκτίμησης περιβαλλοντικών επιπτώσεων</w:t>
            </w:r>
          </w:p>
        </w:tc>
        <w:tc>
          <w:tcPr>
            <w:tcW w:w="1275" w:type="dxa"/>
            <w:shd w:val="clear" w:color="auto" w:fill="C4EFCE"/>
            <w:noWrap/>
            <w:vAlign w:val="center"/>
            <w:hideMark/>
          </w:tcPr>
          <w:p w14:paraId="6FEC0C5F" w14:textId="77777777" w:rsidR="00154AD2" w:rsidRDefault="007F6BF3">
            <w:pPr>
              <w:pStyle w:val="P68B1DB1-Normal8"/>
              <w:spacing w:after="0" w:line="240" w:lineRule="auto"/>
              <w:jc w:val="center"/>
              <w:rPr>
                <w:rFonts w:eastAsia="Times New Roman" w:cs="Calibri"/>
                <w:noProof/>
              </w:rPr>
            </w:pPr>
            <w:r>
              <w:rPr>
                <w:noProof/>
              </w:rPr>
              <w:t>Ολοκλήρωση της Εκτίμησης Περιβαλλοντικών Επιπτώσεων</w:t>
            </w:r>
          </w:p>
        </w:tc>
        <w:tc>
          <w:tcPr>
            <w:tcW w:w="993" w:type="dxa"/>
            <w:shd w:val="clear" w:color="auto" w:fill="C4EFCE"/>
            <w:noWrap/>
            <w:vAlign w:val="center"/>
            <w:hideMark/>
          </w:tcPr>
          <w:p w14:paraId="4DA39125" w14:textId="77777777" w:rsidR="00154AD2" w:rsidRDefault="007F6BF3">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1704235E" w14:textId="77777777" w:rsidR="00154AD2" w:rsidRDefault="007F6BF3">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14CD8858" w14:textId="77777777" w:rsidR="00154AD2" w:rsidRDefault="007F6BF3">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2BF45E7A"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708" w:type="dxa"/>
            <w:shd w:val="clear" w:color="auto" w:fill="C4EFCE"/>
            <w:noWrap/>
            <w:vAlign w:val="center"/>
            <w:hideMark/>
          </w:tcPr>
          <w:p w14:paraId="58D9453C" w14:textId="77777777" w:rsidR="00154AD2" w:rsidRDefault="007F6BF3">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2242039D" w14:textId="77777777" w:rsidR="00154AD2" w:rsidRDefault="007F6BF3">
            <w:pPr>
              <w:pStyle w:val="P68B1DB1-Normal8"/>
              <w:spacing w:after="0" w:line="240" w:lineRule="auto"/>
              <w:jc w:val="both"/>
              <w:rPr>
                <w:rFonts w:eastAsia="Times New Roman" w:cs="Calibri"/>
                <w:noProof/>
              </w:rPr>
            </w:pPr>
            <w:r>
              <w:rPr>
                <w:noProof/>
              </w:rPr>
              <w:t>Έχει ολοκληρωθεί η εκτίμηση περιβαλλοντικών επιπτώσεων ενός οδικού έργου.</w:t>
            </w:r>
          </w:p>
        </w:tc>
      </w:tr>
      <w:tr w:rsidR="00154AD2" w14:paraId="18BA168D" w14:textId="77777777">
        <w:trPr>
          <w:trHeight w:val="420"/>
          <w:tblHeader/>
        </w:trPr>
        <w:tc>
          <w:tcPr>
            <w:tcW w:w="1135" w:type="dxa"/>
            <w:shd w:val="clear" w:color="auto" w:fill="C4EFCE"/>
            <w:vAlign w:val="center"/>
            <w:hideMark/>
          </w:tcPr>
          <w:p w14:paraId="37F6747E" w14:textId="77777777" w:rsidR="00154AD2" w:rsidRDefault="007F6BF3">
            <w:pPr>
              <w:pStyle w:val="P68B1DB1-Normal7"/>
              <w:spacing w:after="0" w:line="240" w:lineRule="auto"/>
              <w:jc w:val="center"/>
              <w:rPr>
                <w:rFonts w:eastAsia="Times New Roman" w:cs="Calibri"/>
                <w:noProof/>
              </w:rPr>
            </w:pPr>
            <w:r>
              <w:rPr>
                <w:noProof/>
              </w:rPr>
              <w:t>7.10</w:t>
            </w:r>
          </w:p>
        </w:tc>
        <w:tc>
          <w:tcPr>
            <w:tcW w:w="1276" w:type="dxa"/>
            <w:shd w:val="clear" w:color="auto" w:fill="C4EFCE"/>
            <w:noWrap/>
            <w:vAlign w:val="center"/>
            <w:hideMark/>
          </w:tcPr>
          <w:p w14:paraId="04DFE7C9" w14:textId="77777777" w:rsidR="00154AD2" w:rsidRDefault="007F6BF3">
            <w:pPr>
              <w:pStyle w:val="P68B1DB1-Normal8"/>
              <w:spacing w:after="0" w:line="240" w:lineRule="auto"/>
              <w:jc w:val="center"/>
              <w:rPr>
                <w:rFonts w:eastAsia="Times New Roman" w:cs="Calibri"/>
                <w:noProof/>
              </w:rPr>
            </w:pPr>
            <w:r>
              <w:rPr>
                <w:noProof/>
              </w:rPr>
              <w:t>RE-C07-i03</w:t>
            </w:r>
          </w:p>
        </w:tc>
        <w:tc>
          <w:tcPr>
            <w:tcW w:w="1134" w:type="dxa"/>
            <w:shd w:val="clear" w:color="auto" w:fill="C4EFCE"/>
            <w:noWrap/>
            <w:vAlign w:val="center"/>
            <w:hideMark/>
          </w:tcPr>
          <w:p w14:paraId="1CCBAD9D"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CD01E3A" w14:textId="77777777" w:rsidR="00154AD2" w:rsidRDefault="007F6BF3">
            <w:pPr>
              <w:pStyle w:val="P68B1DB1-Normal8"/>
              <w:spacing w:after="0" w:line="240" w:lineRule="auto"/>
              <w:jc w:val="center"/>
              <w:rPr>
                <w:rFonts w:eastAsia="Times New Roman" w:cs="Calibri"/>
                <w:noProof/>
              </w:rPr>
            </w:pPr>
            <w:r>
              <w:rPr>
                <w:noProof/>
              </w:rPr>
              <w:t>Οδοί που κατασκευάστηκαν ή αποκαταστάθηκαν</w:t>
            </w:r>
          </w:p>
        </w:tc>
        <w:tc>
          <w:tcPr>
            <w:tcW w:w="1275" w:type="dxa"/>
            <w:shd w:val="clear" w:color="auto" w:fill="C4EFCE"/>
            <w:noWrap/>
            <w:vAlign w:val="center"/>
            <w:hideMark/>
          </w:tcPr>
          <w:p w14:paraId="672467C4"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AADBC17" w14:textId="77777777" w:rsidR="00154AD2" w:rsidRDefault="007F6BF3">
            <w:pPr>
              <w:pStyle w:val="P68B1DB1-Normal8"/>
              <w:spacing w:after="0" w:line="240" w:lineRule="auto"/>
              <w:jc w:val="center"/>
              <w:rPr>
                <w:rFonts w:eastAsia="Times New Roman" w:cs="Calibri"/>
                <w:noProof/>
              </w:rPr>
            </w:pPr>
            <w:r>
              <w:rPr>
                <w:noProof/>
              </w:rPr>
              <w:t>χλμ</w:t>
            </w:r>
          </w:p>
        </w:tc>
        <w:tc>
          <w:tcPr>
            <w:tcW w:w="992" w:type="dxa"/>
            <w:shd w:val="clear" w:color="auto" w:fill="C4EFCE"/>
            <w:noWrap/>
            <w:vAlign w:val="center"/>
            <w:hideMark/>
          </w:tcPr>
          <w:p w14:paraId="7615C227" w14:textId="77777777" w:rsidR="00154AD2" w:rsidRDefault="007F6BF3">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3BC63F7D" w14:textId="77777777" w:rsidR="00154AD2" w:rsidRDefault="007F6BF3">
            <w:pPr>
              <w:pStyle w:val="P68B1DB1-Normal8"/>
              <w:spacing w:after="0" w:line="240" w:lineRule="auto"/>
              <w:jc w:val="center"/>
              <w:rPr>
                <w:rFonts w:eastAsia="Times New Roman" w:cs="Calibri"/>
                <w:noProof/>
              </w:rPr>
            </w:pPr>
            <w:r>
              <w:rPr>
                <w:noProof/>
              </w:rPr>
              <w:t>30</w:t>
            </w:r>
          </w:p>
        </w:tc>
        <w:tc>
          <w:tcPr>
            <w:tcW w:w="567" w:type="dxa"/>
            <w:shd w:val="clear" w:color="auto" w:fill="C4EFCE"/>
            <w:noWrap/>
            <w:vAlign w:val="center"/>
            <w:hideMark/>
          </w:tcPr>
          <w:p w14:paraId="3F7E78D9"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71EEFFE2" w14:textId="77777777" w:rsidR="00154AD2" w:rsidRDefault="007F6BF3">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78DB863F" w14:textId="77777777" w:rsidR="00154AD2" w:rsidRDefault="007F6BF3">
            <w:pPr>
              <w:pStyle w:val="P68B1DB1-Normal8"/>
              <w:spacing w:after="0" w:line="240" w:lineRule="auto"/>
              <w:jc w:val="both"/>
              <w:rPr>
                <w:rFonts w:eastAsia="Times New Roman" w:cs="Calibri"/>
                <w:noProof/>
              </w:rPr>
            </w:pPr>
            <w:r>
              <w:rPr>
                <w:noProof/>
              </w:rPr>
              <w:t>Χιλιόμετρα οδών που κατασκευάστηκαν ή αποκαταστάθηκαν σύμφωνα με τις τεχνικές προδιαγραφές της προσφοράς και ενσωματώνοντας πλήρως κάθε αποτέλεσμα και όρο από την εκτίμηση περιβαλλοντικών επιπτώσεων.</w:t>
            </w:r>
          </w:p>
        </w:tc>
      </w:tr>
      <w:tr w:rsidR="00154AD2" w14:paraId="5BBC378C" w14:textId="77777777">
        <w:trPr>
          <w:trHeight w:val="420"/>
          <w:tblHeader/>
        </w:trPr>
        <w:tc>
          <w:tcPr>
            <w:tcW w:w="1135" w:type="dxa"/>
            <w:shd w:val="clear" w:color="auto" w:fill="C4EFCE"/>
            <w:vAlign w:val="center"/>
            <w:hideMark/>
          </w:tcPr>
          <w:p w14:paraId="35FFD5D9" w14:textId="77777777" w:rsidR="00154AD2" w:rsidRDefault="007F6BF3">
            <w:pPr>
              <w:pStyle w:val="P68B1DB1-Normal7"/>
              <w:spacing w:after="0" w:line="240" w:lineRule="auto"/>
              <w:jc w:val="center"/>
              <w:rPr>
                <w:rFonts w:eastAsia="Times New Roman" w:cs="Calibri"/>
                <w:noProof/>
              </w:rPr>
            </w:pPr>
            <w:r>
              <w:rPr>
                <w:noProof/>
              </w:rPr>
              <w:t>7.11</w:t>
            </w:r>
          </w:p>
        </w:tc>
        <w:tc>
          <w:tcPr>
            <w:tcW w:w="1276" w:type="dxa"/>
            <w:shd w:val="clear" w:color="auto" w:fill="C4EFCE"/>
            <w:noWrap/>
            <w:vAlign w:val="center"/>
            <w:hideMark/>
          </w:tcPr>
          <w:p w14:paraId="32BBA945" w14:textId="77777777" w:rsidR="00154AD2" w:rsidRDefault="007F6BF3">
            <w:pPr>
              <w:pStyle w:val="P68B1DB1-Normal8"/>
              <w:spacing w:after="0" w:line="240" w:lineRule="auto"/>
              <w:jc w:val="center"/>
              <w:rPr>
                <w:rFonts w:eastAsia="Times New Roman" w:cs="Calibri"/>
                <w:noProof/>
              </w:rPr>
            </w:pPr>
            <w:r>
              <w:rPr>
                <w:noProof/>
              </w:rPr>
              <w:t>RE-C07-i04</w:t>
            </w:r>
          </w:p>
        </w:tc>
        <w:tc>
          <w:tcPr>
            <w:tcW w:w="1134" w:type="dxa"/>
            <w:shd w:val="clear" w:color="auto" w:fill="C4EFCE"/>
            <w:noWrap/>
            <w:vAlign w:val="center"/>
            <w:hideMark/>
          </w:tcPr>
          <w:p w14:paraId="645981D3"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58D6599C" w14:textId="77777777" w:rsidR="00154AD2" w:rsidRDefault="007F6BF3">
            <w:pPr>
              <w:pStyle w:val="P68B1DB1-Normal8"/>
              <w:spacing w:after="0" w:line="240" w:lineRule="auto"/>
              <w:jc w:val="center"/>
              <w:rPr>
                <w:rFonts w:eastAsia="Times New Roman" w:cs="Calibri"/>
                <w:noProof/>
              </w:rPr>
            </w:pPr>
            <w:r>
              <w:rPr>
                <w:noProof/>
              </w:rPr>
              <w:t>Υπογραφή σύμβασης για 10 έργα οδοποιίας</w:t>
            </w:r>
          </w:p>
        </w:tc>
        <w:tc>
          <w:tcPr>
            <w:tcW w:w="1275" w:type="dxa"/>
            <w:shd w:val="clear" w:color="auto" w:fill="C4EFCE"/>
            <w:noWrap/>
            <w:vAlign w:val="center"/>
            <w:hideMark/>
          </w:tcPr>
          <w:p w14:paraId="3238AD55" w14:textId="77777777" w:rsidR="00154AD2" w:rsidRDefault="007F6BF3">
            <w:pPr>
              <w:pStyle w:val="P68B1DB1-Normal8"/>
              <w:spacing w:after="0" w:line="240" w:lineRule="auto"/>
              <w:jc w:val="center"/>
              <w:rPr>
                <w:rFonts w:eastAsia="Times New Roman" w:cs="Calibri"/>
                <w:noProof/>
              </w:rPr>
            </w:pPr>
            <w:r>
              <w:rPr>
                <w:noProof/>
              </w:rPr>
              <w:t>Υπογραφή σύμβασης με τον ανάδοχο των έργων οδοποιίας</w:t>
            </w:r>
          </w:p>
        </w:tc>
        <w:tc>
          <w:tcPr>
            <w:tcW w:w="993" w:type="dxa"/>
            <w:shd w:val="clear" w:color="auto" w:fill="C4EFCE"/>
            <w:noWrap/>
            <w:vAlign w:val="center"/>
            <w:hideMark/>
          </w:tcPr>
          <w:p w14:paraId="435E72CA" w14:textId="77777777" w:rsidR="00154AD2" w:rsidRDefault="007F6BF3">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19669237" w14:textId="77777777" w:rsidR="00154AD2" w:rsidRDefault="007F6BF3">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0F0411DD" w14:textId="77777777" w:rsidR="00154AD2" w:rsidRDefault="007F6BF3">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2A2E0282"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708" w:type="dxa"/>
            <w:shd w:val="clear" w:color="auto" w:fill="C4EFCE"/>
            <w:noWrap/>
            <w:vAlign w:val="center"/>
            <w:hideMark/>
          </w:tcPr>
          <w:p w14:paraId="42230A0C" w14:textId="77777777" w:rsidR="00154AD2" w:rsidRDefault="007F6BF3">
            <w:pPr>
              <w:pStyle w:val="P68B1DB1-Normal8"/>
              <w:spacing w:after="0" w:line="240" w:lineRule="auto"/>
              <w:jc w:val="center"/>
              <w:rPr>
                <w:rFonts w:eastAsia="Times New Roman" w:cs="Calibri"/>
                <w:noProof/>
              </w:rPr>
            </w:pPr>
            <w:r>
              <w:rPr>
                <w:noProof/>
              </w:rPr>
              <w:t>2023</w:t>
            </w:r>
          </w:p>
        </w:tc>
        <w:tc>
          <w:tcPr>
            <w:tcW w:w="3969" w:type="dxa"/>
            <w:shd w:val="clear" w:color="auto" w:fill="C4EFCE"/>
            <w:vAlign w:val="center"/>
            <w:hideMark/>
          </w:tcPr>
          <w:p w14:paraId="55453983" w14:textId="77777777" w:rsidR="00154AD2" w:rsidRDefault="007F6BF3">
            <w:pPr>
              <w:pStyle w:val="P68B1DB1-Normal8"/>
              <w:spacing w:after="0" w:line="240" w:lineRule="auto"/>
              <w:jc w:val="both"/>
              <w:rPr>
                <w:rFonts w:eastAsia="Times New Roman" w:cs="Calibri"/>
                <w:noProof/>
              </w:rPr>
            </w:pPr>
            <w:r>
              <w:rPr>
                <w:noProof/>
              </w:rPr>
              <w:t>Υπογραφή από τα μέρη του εγγράφου που διέπει τις υποχρεώσεις τους σε σχέση με την εκτέλεση των εργασιών, σε τιμή, κατόπιν δημόσιου διαγωνισμού.</w:t>
            </w:r>
          </w:p>
        </w:tc>
      </w:tr>
      <w:tr w:rsidR="00154AD2" w14:paraId="10AD745D" w14:textId="77777777">
        <w:trPr>
          <w:trHeight w:val="420"/>
          <w:tblHeader/>
        </w:trPr>
        <w:tc>
          <w:tcPr>
            <w:tcW w:w="1135" w:type="dxa"/>
            <w:shd w:val="clear" w:color="auto" w:fill="C4EFCE"/>
            <w:vAlign w:val="center"/>
            <w:hideMark/>
          </w:tcPr>
          <w:p w14:paraId="5EABD158" w14:textId="77777777" w:rsidR="00154AD2" w:rsidRDefault="007F6BF3">
            <w:pPr>
              <w:pStyle w:val="P68B1DB1-Normal7"/>
              <w:spacing w:after="0" w:line="240" w:lineRule="auto"/>
              <w:jc w:val="center"/>
              <w:rPr>
                <w:rFonts w:eastAsia="Times New Roman" w:cs="Calibri"/>
                <w:noProof/>
              </w:rPr>
            </w:pPr>
            <w:r>
              <w:rPr>
                <w:noProof/>
              </w:rPr>
              <w:t>7.12</w:t>
            </w:r>
          </w:p>
        </w:tc>
        <w:tc>
          <w:tcPr>
            <w:tcW w:w="1276" w:type="dxa"/>
            <w:shd w:val="clear" w:color="auto" w:fill="C4EFCE"/>
            <w:noWrap/>
            <w:vAlign w:val="center"/>
            <w:hideMark/>
          </w:tcPr>
          <w:p w14:paraId="008B14DC" w14:textId="77777777" w:rsidR="00154AD2" w:rsidRDefault="007F6BF3">
            <w:pPr>
              <w:pStyle w:val="P68B1DB1-Normal8"/>
              <w:spacing w:after="0" w:line="240" w:lineRule="auto"/>
              <w:jc w:val="center"/>
              <w:rPr>
                <w:rFonts w:eastAsia="Times New Roman" w:cs="Calibri"/>
                <w:noProof/>
              </w:rPr>
            </w:pPr>
            <w:r>
              <w:rPr>
                <w:noProof/>
              </w:rPr>
              <w:t>RE-C07-i04</w:t>
            </w:r>
          </w:p>
        </w:tc>
        <w:tc>
          <w:tcPr>
            <w:tcW w:w="1134" w:type="dxa"/>
            <w:shd w:val="clear" w:color="auto" w:fill="C4EFCE"/>
            <w:noWrap/>
            <w:vAlign w:val="center"/>
            <w:hideMark/>
          </w:tcPr>
          <w:p w14:paraId="72ABE102"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6E4068F" w14:textId="77777777" w:rsidR="00154AD2" w:rsidRDefault="007F6BF3">
            <w:pPr>
              <w:pStyle w:val="P68B1DB1-Normal8"/>
              <w:spacing w:after="0" w:line="240" w:lineRule="auto"/>
              <w:jc w:val="center"/>
              <w:rPr>
                <w:rFonts w:eastAsia="Times New Roman" w:cs="Calibri"/>
                <w:noProof/>
              </w:rPr>
            </w:pPr>
            <w:r>
              <w:rPr>
                <w:noProof/>
              </w:rPr>
              <w:t>Οδοί που κατασκευάστηκαν ή αποκαταστάθηκαν</w:t>
            </w:r>
          </w:p>
        </w:tc>
        <w:tc>
          <w:tcPr>
            <w:tcW w:w="1275" w:type="dxa"/>
            <w:shd w:val="clear" w:color="auto" w:fill="C4EFCE"/>
            <w:noWrap/>
            <w:vAlign w:val="center"/>
            <w:hideMark/>
          </w:tcPr>
          <w:p w14:paraId="34DC727E"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08211DC0" w14:textId="77777777" w:rsidR="00154AD2" w:rsidRDefault="007F6BF3">
            <w:pPr>
              <w:pStyle w:val="P68B1DB1-Normal8"/>
              <w:spacing w:after="0" w:line="240" w:lineRule="auto"/>
              <w:jc w:val="center"/>
              <w:rPr>
                <w:rFonts w:eastAsia="Times New Roman" w:cs="Calibri"/>
                <w:noProof/>
              </w:rPr>
            </w:pPr>
            <w:r>
              <w:rPr>
                <w:noProof/>
              </w:rPr>
              <w:t>χλμ</w:t>
            </w:r>
          </w:p>
        </w:tc>
        <w:tc>
          <w:tcPr>
            <w:tcW w:w="992" w:type="dxa"/>
            <w:shd w:val="clear" w:color="auto" w:fill="C4EFCE"/>
            <w:noWrap/>
            <w:vAlign w:val="center"/>
            <w:hideMark/>
          </w:tcPr>
          <w:p w14:paraId="797EF748" w14:textId="77777777" w:rsidR="00154AD2" w:rsidRDefault="007F6BF3">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16E18FA0" w14:textId="77777777" w:rsidR="00154AD2" w:rsidRDefault="007F6BF3">
            <w:pPr>
              <w:pStyle w:val="P68B1DB1-Normal8"/>
              <w:spacing w:after="0" w:line="240" w:lineRule="auto"/>
              <w:jc w:val="center"/>
              <w:rPr>
                <w:rFonts w:eastAsia="Times New Roman" w:cs="Calibri"/>
                <w:noProof/>
              </w:rPr>
            </w:pPr>
            <w:r>
              <w:rPr>
                <w:noProof/>
              </w:rPr>
              <w:t>42</w:t>
            </w:r>
          </w:p>
        </w:tc>
        <w:tc>
          <w:tcPr>
            <w:tcW w:w="567" w:type="dxa"/>
            <w:shd w:val="clear" w:color="auto" w:fill="C4EFCE"/>
            <w:noWrap/>
            <w:vAlign w:val="center"/>
            <w:hideMark/>
          </w:tcPr>
          <w:p w14:paraId="664FBA60"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1BADD922" w14:textId="77777777" w:rsidR="00154AD2" w:rsidRDefault="007F6BF3">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776FA22C" w14:textId="77777777" w:rsidR="00154AD2" w:rsidRDefault="007F6BF3">
            <w:pPr>
              <w:pStyle w:val="P68B1DB1-Normal8"/>
              <w:spacing w:after="0" w:line="240" w:lineRule="auto"/>
              <w:jc w:val="both"/>
              <w:rPr>
                <w:rFonts w:eastAsia="Times New Roman" w:cs="Calibri"/>
                <w:noProof/>
              </w:rPr>
            </w:pPr>
            <w:r>
              <w:rPr>
                <w:noProof/>
              </w:rPr>
              <w:t>Χιλιόμετρα οδών που κατασκευάστηκαν ή αποκαταστάθηκαν σύμφωνα με τις τεχνικές προδιαγραφές της προσφοράς και ενσωματώνοντας πλήρως κάθε αποτέλεσμα και όρο από την εκτίμηση περιβαλλοντικών επιπτώσεων.</w:t>
            </w:r>
          </w:p>
        </w:tc>
      </w:tr>
    </w:tbl>
    <w:p w14:paraId="7B849270" w14:textId="77777777" w:rsidR="00154AD2" w:rsidRDefault="00154AD2">
      <w:pPr>
        <w:spacing w:before="40" w:after="0" w:line="259" w:lineRule="auto"/>
        <w:jc w:val="both"/>
        <w:rPr>
          <w:rFonts w:ascii="Times New Roman" w:eastAsiaTheme="minorEastAsia" w:hAnsi="Times New Roman" w:cs="Times New Roman"/>
          <w:noProof/>
          <w:sz w:val="24"/>
        </w:rPr>
      </w:pPr>
    </w:p>
    <w:p w14:paraId="29354AB7" w14:textId="77777777" w:rsidR="00154AD2" w:rsidRDefault="00154AD2">
      <w:pPr>
        <w:spacing w:before="40" w:after="0" w:line="259" w:lineRule="auto"/>
        <w:jc w:val="both"/>
        <w:rPr>
          <w:rFonts w:ascii="Times New Roman" w:eastAsiaTheme="minorEastAsia" w:hAnsi="Times New Roman" w:cs="Times New Roman"/>
          <w:noProof/>
          <w:sz w:val="24"/>
        </w:rPr>
      </w:pPr>
    </w:p>
    <w:p w14:paraId="179A26C8" w14:textId="77777777" w:rsidR="00154AD2" w:rsidRDefault="00154AD2">
      <w:pPr>
        <w:spacing w:before="40" w:after="0" w:line="259" w:lineRule="auto"/>
        <w:jc w:val="both"/>
        <w:rPr>
          <w:rFonts w:ascii="Times New Roman" w:eastAsiaTheme="minorEastAsia" w:hAnsi="Times New Roman" w:cs="Times New Roman"/>
          <w:noProof/>
          <w:sz w:val="24"/>
        </w:rPr>
        <w:sectPr w:rsidR="00154AD2" w:rsidSect="00FD562E">
          <w:headerReference w:type="even" r:id="rId162"/>
          <w:headerReference w:type="default" r:id="rId163"/>
          <w:footerReference w:type="even" r:id="rId164"/>
          <w:footerReference w:type="default" r:id="rId165"/>
          <w:headerReference w:type="first" r:id="rId166"/>
          <w:footerReference w:type="first" r:id="rId167"/>
          <w:pgSz w:w="16839" w:h="11907" w:orient="landscape"/>
          <w:pgMar w:top="1134" w:right="1134" w:bottom="1134" w:left="1134" w:header="567" w:footer="567" w:gutter="0"/>
          <w:cols w:space="720"/>
          <w:docGrid w:linePitch="360"/>
        </w:sectPr>
      </w:pPr>
    </w:p>
    <w:p w14:paraId="77E856F9" w14:textId="214EB4BC" w:rsidR="00154AD2" w:rsidRDefault="007F6BF3">
      <w:pPr>
        <w:pStyle w:val="P68B1DB1-Normal3"/>
        <w:keepNext/>
        <w:spacing w:before="40" w:after="0" w:line="259" w:lineRule="auto"/>
        <w:ind w:left="130" w:firstLine="720"/>
        <w:jc w:val="both"/>
        <w:outlineLvl w:val="1"/>
        <w:rPr>
          <w:rFonts w:eastAsiaTheme="minorEastAsia" w:cs="Times New Roman"/>
          <w:noProof/>
        </w:rPr>
      </w:pPr>
      <w:r>
        <w:rPr>
          <w:noProof/>
        </w:rPr>
        <w:t>Η. ΣΥΝΙΣΤΩΤΙΚΟ 8: Δάση</w:t>
      </w:r>
    </w:p>
    <w:p w14:paraId="275D788F"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συνιστώσα αντιμετωπίζει τις ακόλουθες προκλήσεις: την κοινωνικοοικονομική και δημογραφική συρρίκνωση στις αγροτικές περιοχές, την ύπαρξη εκτεταμένων περιοχών χωρίς ενεργό διαχείριση για την πρόληψη των πυρκαγιών ή την προστασία της βιοποικιλότητας και τον ιδιαίτερα κατακερματισμένο ιδιωτικό ιδιοκτησιακό καθεστώς της γης. Η έξοδος του πληθυσμού προς τα μεγάλα αστικά κέντρα και η προοδευτική γήρανση του αγροτικού πληθυσμού οδήγησαν στην εγκατάλειψη των αγροτικών περιοχών και των παραδοσιακών πρωτογενών οικονομικών τομέων. Αυτό οδήγησε στη σταδιακή επέκταση των δασικών περιοχών, μη προγραμματισμένων και μη διαχειριζόμενων και με υψηλή συγκέντρωση φορτίου καυσίμων. Οι περιοχές αυτές είναι ιδιαίτερα εκτεθειμένες στον κίνδυνο πυρκαγιών στις αγροτικές περιοχές, γεγονός που μπορεί να έχει ως αποτέλεσμα την απώλεια ανθρώπινων ζωών, τις εκτεταμένες ζημιές σε εκτάσεις και περιουσίες, καθώς και την καταστροφή των δασών και των αγαθών και υπηρεσιών που παράγουν. Η Πορτογαλία είναι η χώρα της νότιας Ευρώπης με το μεγαλύτερο ποσοστό καμένων εκτάσεων σε αγροτικές περιοχές και τον υψηλότερο μέσο αριθμό πυρκαγιών. Σύμφωνα με το Ευρωπαϊκό Σύστημα Πληροφόρησης για τις Δασικές Πυρκαγιές (EFFIS), περίπου 169 000 εκτάρια κάηκαν κατά μέσο όρο ετησίως μεταξύ 2015 και 2019. </w:t>
      </w:r>
    </w:p>
    <w:p w14:paraId="47E6C138"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Οι στόχοι της συνιστώσας αυτής είναι οι εξής: </w:t>
      </w:r>
    </w:p>
    <w:p w14:paraId="7A8F4ED1" w14:textId="6664DD94" w:rsidR="00154AD2" w:rsidRDefault="007F6BF3">
      <w:pPr>
        <w:pStyle w:val="P68B1DB1-Normal4"/>
        <w:keepNext/>
        <w:numPr>
          <w:ilvl w:val="0"/>
          <w:numId w:val="25"/>
        </w:numPr>
        <w:spacing w:before="40" w:after="160" w:line="259" w:lineRule="auto"/>
        <w:contextualSpacing/>
        <w:jc w:val="both"/>
        <w:rPr>
          <w:rFonts w:eastAsiaTheme="minorEastAsia" w:cs="Times New Roman"/>
          <w:noProof/>
        </w:rPr>
      </w:pPr>
      <w:r>
        <w:rPr>
          <w:noProof/>
        </w:rPr>
        <w:t xml:space="preserve">προώθηση του ενεργού σχεδιασμού και της διαχείρισης ευάλωτων και υψηλής περιβαλλοντικής αξίας γεωργικών και δασικών εκτάσεων· </w:t>
      </w:r>
    </w:p>
    <w:p w14:paraId="66CFA115" w14:textId="77777777" w:rsidR="00154AD2" w:rsidRDefault="007F6BF3">
      <w:pPr>
        <w:pStyle w:val="P68B1DB1-Normal4"/>
        <w:keepNext/>
        <w:numPr>
          <w:ilvl w:val="0"/>
          <w:numId w:val="25"/>
        </w:numPr>
        <w:spacing w:before="40" w:after="160" w:line="259" w:lineRule="auto"/>
        <w:contextualSpacing/>
        <w:jc w:val="both"/>
        <w:rPr>
          <w:rFonts w:eastAsiaTheme="minorEastAsia" w:cs="Times New Roman"/>
          <w:noProof/>
        </w:rPr>
      </w:pPr>
      <w:r>
        <w:rPr>
          <w:noProof/>
        </w:rPr>
        <w:t xml:space="preserve">προστασία της βιοποικιλότητας μέσω της στήριξης της αποκατάστασης των γεωργικών και δασικών οικοσυστημάτων, ιδίως σε καμένες περιοχές· </w:t>
      </w:r>
    </w:p>
    <w:p w14:paraId="466397E4" w14:textId="77777777" w:rsidR="00154AD2" w:rsidRDefault="007F6BF3">
      <w:pPr>
        <w:pStyle w:val="P68B1DB1-Normal4"/>
        <w:keepNext/>
        <w:numPr>
          <w:ilvl w:val="0"/>
          <w:numId w:val="25"/>
        </w:numPr>
        <w:spacing w:before="40" w:after="160" w:line="259" w:lineRule="auto"/>
        <w:contextualSpacing/>
        <w:jc w:val="both"/>
        <w:rPr>
          <w:rFonts w:eastAsiaTheme="minorEastAsia" w:cs="Times New Roman"/>
          <w:noProof/>
        </w:rPr>
      </w:pPr>
      <w:r>
        <w:rPr>
          <w:noProof/>
        </w:rPr>
        <w:t xml:space="preserve">συμβολή στην εδαφική συνοχή και τη δημιουργία θέσεων εργασίας μέσω της αναζωογόνησης των οικονομικών δραστηριοτήτων των αγροτικών περιοχών· και </w:t>
      </w:r>
    </w:p>
    <w:p w14:paraId="75C6E9EE" w14:textId="77777777" w:rsidR="00154AD2" w:rsidRDefault="007F6BF3">
      <w:pPr>
        <w:pStyle w:val="P68B1DB1-Normal4"/>
        <w:keepNext/>
        <w:numPr>
          <w:ilvl w:val="0"/>
          <w:numId w:val="25"/>
        </w:numPr>
        <w:spacing w:before="40" w:after="160" w:line="259" w:lineRule="auto"/>
        <w:contextualSpacing/>
        <w:jc w:val="both"/>
        <w:rPr>
          <w:rFonts w:eastAsiaTheme="minorEastAsia" w:cs="Times New Roman"/>
          <w:noProof/>
        </w:rPr>
      </w:pPr>
      <w:r>
        <w:rPr>
          <w:noProof/>
        </w:rPr>
        <w:t>αύξηση της ανθεκτικότητας των εν λόγω περιοχών με τη μείωση του κινδύνου πυρκαγιών μέσω αποτελεσματικής και αποδοτικής πρόληψης πυρκαγιών και, σε περίπτωση πυρκαγιών, με τη μείωση των ζημιών μέσω αποτελεσματικής και αποδοτικής πυρόσβεσης.</w:t>
      </w:r>
    </w:p>
    <w:p w14:paraId="6B094313" w14:textId="77777777" w:rsidR="00154AD2" w:rsidRDefault="007F6BF3">
      <w:pPr>
        <w:pStyle w:val="P68B1DB1-Normal4"/>
        <w:keepNext/>
        <w:spacing w:before="40" w:after="0" w:line="259" w:lineRule="auto"/>
        <w:jc w:val="both"/>
        <w:rPr>
          <w:rFonts w:eastAsiaTheme="minorEastAsia" w:cs="Times New Roman"/>
          <w:noProof/>
        </w:rPr>
      </w:pPr>
      <w:r>
        <w:rPr>
          <w:noProof/>
        </w:rPr>
        <w:t>Η συνιστώσα συμβάλλει στην εφαρμογή της ειδικής ανά χώρα σύστασης για τη βελτίωση της ποιότητας των δημόσιων οικονομικών, δίνοντας προτεραιότητα στις δαπάνες που ενισχύουν την ανάπτυξη (ειδική ανά χώρα σύσταση 1 2019). Οι δημόσιες δαπάνες που συνδέονται με την αναβάθμιση του μητρώου αγροτικών ακινήτων θα προωθήσουν την κατάλληλη διαχείρισή τους και, ενδεχομένως, θα καταστήσουν πιο δυναμική την οικονομική δραστηριότητα στις αγροτικές περιοχές. Επιπλέον, η συνιστώσα συμβάλλει σημαντικά στην εφαρμογή των ειδικών ανά χώρα συστάσεων για την εστίαση των επενδύσεων στην πράσινη και την ψηφιακή μετάβαση, λαμβάνοντας υπόψη τις περιφερειακές ανισότητες (ειδική ανά χώρα σύσταση 3 2019 και ειδική ανά χώρα σύσταση 3 2020).</w:t>
      </w:r>
    </w:p>
    <w:p w14:paraId="5D5F143B" w14:textId="77777777" w:rsidR="00154AD2" w:rsidRDefault="007F6BF3">
      <w:pPr>
        <w:pStyle w:val="P68B1DB1-Normal4"/>
        <w:keepNext/>
        <w:spacing w:before="40" w:after="0" w:line="259" w:lineRule="auto"/>
        <w:jc w:val="both"/>
        <w:rPr>
          <w:rFonts w:eastAsiaTheme="minorEastAsia" w:cs="Times New Roman"/>
          <w:noProof/>
        </w:rPr>
      </w:pPr>
      <w:r>
        <w:rPr>
          <w:noProof/>
        </w:rPr>
        <w:t>Η συνιστώσα αυτή αναμένεται να συμβάλει τόσο στην πράσινη όσο και στην ψηφιακή μετάβαση. Όσον αφορά την πράσινη διάσταση, η συνιστώσα συμβάλλει άμεσα στην προσαρμογή στην κλιματική αλλαγή, καθώς αποσκοπεί στην αύξηση της ανθεκτικότητας των αγροτικών περιοχών στις πυρκαγιές. Επιπλέον, η ενεργός βιώσιμη διαχείριση των εν λόγω εδαφών συμβάλλει στην πρόληψη της διάβρωσης του εδάφους, στον έλεγχο των χωροκατακτητικών ειδών και των επιβλαβών οργανισμών και στην παγίδευση του άνθρακα από τα δάση. Τέλος, όσον αφορά την ψηφιακή διάσταση, επισημαίνονται τα προβλεπόμενα μέτρα για το κτηματολόγιο ιδιοκτησίας, το σύστημα παρακολούθησης κάλυψης γης (SMOS), συμπεριλαμβανομένου του LiDAR (Light Detection and Ranging) και των δορυφορικών εικόνων υψηλής ευκρίνειας, καθώς προωθούν την ηλεκτρονική διακυβέρνηση και τις ψηφιακές δημόσιες υπηρεσίες.</w:t>
      </w:r>
    </w:p>
    <w:p w14:paraId="2397FDAB" w14:textId="5B73F43F" w:rsidR="00154AD2" w:rsidRDefault="007F6BF3">
      <w:pPr>
        <w:pStyle w:val="P68B1DB1-Normal4"/>
        <w:keepNext/>
        <w:spacing w:before="40" w:after="0" w:line="259" w:lineRule="auto"/>
        <w:jc w:val="both"/>
        <w:rPr>
          <w:rFonts w:eastAsiaTheme="minorEastAsia" w:cs="Times New Roman"/>
          <w:noProof/>
        </w:rPr>
      </w:pPr>
      <w:r>
        <w:rPr>
          <w:noProof/>
        </w:rPr>
        <w:t xml:space="preserve">Αναμένεται ότι κανένα μέτρο στη συνιστώσα αυτή δεν βλάπτει σημαντικά τους περιβαλλοντικούς στόχους κατά την έννοια του άρθρου 17 του κανονισμού (ΕΕ) 2020/852, λαμβανομένης υπόψη της περιγραφής των μέτρων και των μέτρων μετριασμού που ορίζονται στο σχέδιο σύμφωνα με την τεχνική καθοδήγηση σχετικά με την αρχή της μη πρόκλησης σημαντικής βλάβης (2021/C58/01). </w:t>
      </w:r>
    </w:p>
    <w:p w14:paraId="0A6E08A8" w14:textId="3A4EBA7F" w:rsidR="00154AD2" w:rsidRDefault="00154AD2">
      <w:pPr>
        <w:keepNext/>
        <w:spacing w:before="40" w:after="0" w:line="259" w:lineRule="auto"/>
        <w:jc w:val="both"/>
        <w:rPr>
          <w:rFonts w:ascii="Times New Roman" w:eastAsiaTheme="minorEastAsia" w:hAnsi="Times New Roman" w:cs="Times New Roman"/>
          <w:noProof/>
          <w:sz w:val="24"/>
        </w:rPr>
      </w:pPr>
    </w:p>
    <w:p w14:paraId="79556D14" w14:textId="5D469B64" w:rsidR="00154AD2" w:rsidRDefault="00154AD2">
      <w:pPr>
        <w:keepNext/>
        <w:spacing w:before="40" w:after="0" w:line="259" w:lineRule="auto"/>
        <w:jc w:val="both"/>
        <w:rPr>
          <w:rFonts w:ascii="Times New Roman" w:eastAsiaTheme="minorEastAsia" w:hAnsi="Times New Roman" w:cs="Times New Roman"/>
          <w:noProof/>
          <w:sz w:val="24"/>
        </w:rPr>
      </w:pPr>
    </w:p>
    <w:p w14:paraId="78C4205E"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18EB419F"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14412298" w14:textId="77777777" w:rsidR="00154AD2" w:rsidRDefault="007F6BF3">
      <w:pPr>
        <w:pStyle w:val="P68B1DB1-Normal3"/>
        <w:keepNext/>
        <w:spacing w:before="40" w:after="0" w:line="259" w:lineRule="auto"/>
        <w:ind w:left="130" w:firstLine="720"/>
        <w:jc w:val="both"/>
        <w:outlineLvl w:val="2"/>
        <w:rPr>
          <w:rFonts w:eastAsiaTheme="minorEastAsia" w:cs="Times New Roman"/>
          <w:noProof/>
        </w:rPr>
      </w:pPr>
      <w:r>
        <w:rPr>
          <w:noProof/>
        </w:rPr>
        <w:t>Η.1. Περιγραφή των μεταρρυθμίσεων και των επενδύσεων που είναι επιλέξιμες για λήψη μη επιστρεπτέας χρηματοδοτικής στήριξης</w:t>
      </w:r>
    </w:p>
    <w:p w14:paraId="21D8CCAE"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 xml:space="preserve">Μεταρρύθμιση RE-r19: Μετασχηματισμός τοπίου σε ευπαθείς δασικές περιοχές </w:t>
      </w:r>
    </w:p>
    <w:p w14:paraId="1530F02D"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Στόχος του μέτρου αυτού είναι ο μετασχηματισμός του τοπίου των ευάλωτων δασικών περιοχών με εκτεταμένες περιοχές μη διαχειριζόμενων μονοκαλλιεργειών και υψηλούς κινδύνους πυρκαγιών, με σκοπό την πρόληψη των πυρκαγιών στις αγροτικές περιοχές και την αύξηση της κλιματικής και οικονομικής ανθεκτικότητας. </w:t>
      </w:r>
    </w:p>
    <w:p w14:paraId="117AB455"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μεταρρύθμιση αυτή θα υλοποιηθεί μέσω της επένδυσης RE-C08-i01 (Μετασχηματισμός τοπίου σε ευάλωτες δασικές περιοχές). Η μεταρρύθμιση αποτελείται από τέσσερα μέτρα που αλληλοσυμπληρώνονται και περιγράφονται κατωτέρω: </w:t>
      </w:r>
    </w:p>
    <w:p w14:paraId="2B64ED62" w14:textId="2E148AA3" w:rsidR="00154AD2" w:rsidRDefault="007F6BF3">
      <w:pPr>
        <w:pStyle w:val="P68B1DB1-Normal4"/>
        <w:keepNext/>
        <w:numPr>
          <w:ilvl w:val="0"/>
          <w:numId w:val="26"/>
        </w:numPr>
        <w:spacing w:before="40" w:after="160" w:line="259" w:lineRule="auto"/>
        <w:contextualSpacing/>
        <w:jc w:val="both"/>
        <w:rPr>
          <w:rFonts w:eastAsiaTheme="minorEastAsia" w:cs="Times New Roman"/>
          <w:noProof/>
        </w:rPr>
      </w:pPr>
      <w:r>
        <w:rPr>
          <w:noProof/>
        </w:rPr>
        <w:t xml:space="preserve">τα Προγράμματα Σχεδιασμού και Διαχείρισης (PRGP)· </w:t>
      </w:r>
    </w:p>
    <w:p w14:paraId="59F38D89" w14:textId="240A2AF0" w:rsidR="00154AD2" w:rsidRDefault="007F6BF3">
      <w:pPr>
        <w:pStyle w:val="P68B1DB1-Normal4"/>
        <w:keepNext/>
        <w:numPr>
          <w:ilvl w:val="0"/>
          <w:numId w:val="26"/>
        </w:numPr>
        <w:spacing w:before="40" w:after="160" w:line="259" w:lineRule="auto"/>
        <w:contextualSpacing/>
        <w:jc w:val="both"/>
        <w:rPr>
          <w:rFonts w:eastAsiaTheme="minorEastAsia" w:cs="Times New Roman"/>
          <w:noProof/>
        </w:rPr>
      </w:pPr>
      <w:r>
        <w:rPr>
          <w:noProof/>
        </w:rPr>
        <w:t>η περιοχή ολοκληρωμένης διαχείρισης τοπίου (AIGP)·</w:t>
      </w:r>
    </w:p>
    <w:p w14:paraId="6F899ECD" w14:textId="77777777" w:rsidR="00154AD2" w:rsidRDefault="007F6BF3">
      <w:pPr>
        <w:pStyle w:val="P68B1DB1-Normal4"/>
        <w:keepNext/>
        <w:numPr>
          <w:ilvl w:val="0"/>
          <w:numId w:val="26"/>
        </w:numPr>
        <w:spacing w:before="40" w:after="160" w:line="259" w:lineRule="auto"/>
        <w:contextualSpacing/>
        <w:jc w:val="both"/>
        <w:rPr>
          <w:rFonts w:eastAsiaTheme="minorEastAsia" w:cs="Times New Roman"/>
          <w:noProof/>
        </w:rPr>
      </w:pPr>
      <w:r>
        <w:rPr>
          <w:noProof/>
        </w:rPr>
        <w:t xml:space="preserve">ολοκληρωμένο πρόγραμμα στήριξης για αγροτικά χωριά που βρίσκονται σε δασικές περιοχές (κοινότητα χωριών)· και </w:t>
      </w:r>
    </w:p>
    <w:p w14:paraId="0D9E1D1B" w14:textId="77777777" w:rsidR="00154AD2" w:rsidRDefault="007F6BF3">
      <w:pPr>
        <w:pStyle w:val="P68B1DB1-Normal4"/>
        <w:keepNext/>
        <w:numPr>
          <w:ilvl w:val="0"/>
          <w:numId w:val="26"/>
        </w:numPr>
        <w:spacing w:before="40" w:after="160" w:line="259" w:lineRule="auto"/>
        <w:contextualSpacing/>
        <w:jc w:val="both"/>
        <w:rPr>
          <w:rFonts w:eastAsiaTheme="minorEastAsia" w:cs="Times New Roman"/>
          <w:noProof/>
        </w:rPr>
      </w:pPr>
      <w:r>
        <w:rPr>
          <w:noProof/>
        </w:rPr>
        <w:t xml:space="preserve">το </w:t>
      </w:r>
      <w:r>
        <w:rPr>
          <w:i/>
          <w:noProof/>
        </w:rPr>
        <w:t>πρόγραμμα Emparcelar para</w:t>
      </w:r>
      <w:r>
        <w:rPr>
          <w:noProof/>
        </w:rPr>
        <w:t xml:space="preserve"> Ordenar. </w:t>
      </w:r>
    </w:p>
    <w:p w14:paraId="05CF4764" w14:textId="77777777" w:rsidR="00154AD2" w:rsidRDefault="007F6BF3">
      <w:pPr>
        <w:pStyle w:val="P68B1DB1-Normal4"/>
        <w:keepNext/>
        <w:spacing w:before="40" w:after="0" w:line="259" w:lineRule="auto"/>
        <w:jc w:val="both"/>
        <w:rPr>
          <w:rFonts w:eastAsiaTheme="minorEastAsia" w:cs="Times New Roman"/>
          <w:noProof/>
        </w:rPr>
      </w:pPr>
      <w:r>
        <w:rPr>
          <w:noProof/>
        </w:rPr>
        <w:t>Η μεταρρύθμιση βασίζεται και υποστηρίζει το πρόγραμμα μετασχηματισμού τοπίου (</w:t>
      </w:r>
      <w:r>
        <w:rPr>
          <w:i/>
          <w:noProof/>
        </w:rPr>
        <w:t>Programa de Transformação da paisagem</w:t>
      </w:r>
      <w:r>
        <w:rPr>
          <w:noProof/>
        </w:rPr>
        <w:t xml:space="preserve"> — PTP) με το αναγκαίο νομικό πλαίσιο. Το εν λόγω νομικό πλαίσιο περιλαμβάνει τουλάχιστον τη νομοθεσία για τη μετατροπή των τοπίων μέσω προγραμμάτων σχεδιασμού και διαχείρισης τοπίου (PRGP) και ολοκληρωμένων περιοχών διαχείρισης τοπίου (AIGP), τη νομοθεσία που αποσκοπεί στην έγκριση της οριοθέτησης των ευάλωτων περιοχών στις οποίες μπορούν να εφαρμόζονται προγράμματα χωροταξίας και διαχείρισης τοπίου και περιοχές ολοκληρωμένης διαχείρισης τοπίου, καθώς και τη νομοθεσία για την υποχρεωτική κατοχή αγροτικών εκτάσεων σε δασικές περιοχές.</w:t>
      </w:r>
    </w:p>
    <w:p w14:paraId="7BF26BBD" w14:textId="77777777" w:rsidR="00154AD2" w:rsidRDefault="007F6BF3">
      <w:pPr>
        <w:pStyle w:val="P68B1DB1-Normal4"/>
        <w:keepNext/>
        <w:spacing w:after="0" w:line="259" w:lineRule="auto"/>
        <w:jc w:val="both"/>
        <w:rPr>
          <w:rFonts w:eastAsiaTheme="minorEastAsia" w:cs="Times New Roman"/>
          <w:noProof/>
        </w:rPr>
      </w:pPr>
      <w:r>
        <w:rPr>
          <w:noProof/>
        </w:rPr>
        <w:t xml:space="preserve">Η εφαρμογή της μεταρρύθμισης ολοκληρώνεται έως τις 30 Σεπτεμβρίου 2021. </w:t>
      </w:r>
    </w:p>
    <w:p w14:paraId="1E1C3C81"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Μεταρρύθμιση RE-r20: Αναδιοργάνωση του συστήματος κτηματολογίου και του συστήματος παρακολούθησης της κάλυψης του εδάφους</w:t>
      </w:r>
    </w:p>
    <w:p w14:paraId="3C49EAAB" w14:textId="77777777" w:rsidR="00154AD2" w:rsidRDefault="007F6BF3">
      <w:pPr>
        <w:pStyle w:val="P68B1DB1-Normal4"/>
        <w:keepNext/>
        <w:spacing w:before="40" w:after="0" w:line="259" w:lineRule="auto"/>
        <w:jc w:val="both"/>
        <w:rPr>
          <w:rFonts w:eastAsiaTheme="minorEastAsia" w:cs="Times New Roman"/>
          <w:noProof/>
        </w:rPr>
      </w:pPr>
      <w:r>
        <w:rPr>
          <w:noProof/>
        </w:rPr>
        <w:t>Στόχος του μέτρου αυτού είναι να ξεπεραστεί η απουσία πολυλειτουργικού κτηματολογίου με την εισαγωγή και την ανάπτυξη ενός συστήματος για τον προσδιορισμό και την επαλήθευση των ορίων ιδιοκτησίας γης και την επακόλουθη καταχώριση της κυριότητας γης. Αυτό θα επιτρέψει μια συνεκτική, επικαιροποιημένη και ολιστική θεώρηση της περιοχής, η οποία θα ενισχύσει την αξία της γης για τους ιδιοκτήτες της και θα επιτρέψει στο κράτος να αναπτύξει συγκεκριμένες, βιώσιμες και πολυτομεακές δημόσιες πολιτικές.</w:t>
      </w:r>
    </w:p>
    <w:p w14:paraId="7ABC78BC" w14:textId="760D1E29" w:rsidR="00154AD2" w:rsidRDefault="007F6BF3">
      <w:pPr>
        <w:pStyle w:val="P68B1DB1-Normal4"/>
        <w:keepNext/>
        <w:spacing w:before="40" w:after="0" w:line="259" w:lineRule="auto"/>
        <w:jc w:val="both"/>
        <w:rPr>
          <w:rFonts w:eastAsiaTheme="minorEastAsia" w:cs="Times New Roman"/>
          <w:noProof/>
        </w:rPr>
      </w:pPr>
      <w:r>
        <w:rPr>
          <w:noProof/>
        </w:rPr>
        <w:t>Η μεταρρύθμιση συνίσταται στην έναρξη λειτουργίας του Συστήματος Παρακολούθησης Κάλυψης (SMOS) και στην ανάπτυξη της πλατφόρμας BUPi (Ψηφιακό Κτηματολόγιο), ενός φυσικού και εικονικού μετρητή με πληροφορίες γεωαναφοράς για ακίνητα, ο οποίος συγκεντρώνει τις απαραίτητες πληροφορίες για την καταχώρισή τους και διευκολύνει την αλληλεπίδραση των πολιτών με τη δημόσια διοίκηση εντός του πεδίου εφαρμογής του κτηματολογίου. Η μεταρρύθμιση θεσπίζει επίσης το αναγκαίο νομικό πλαίσιο για την επιχειρησιακή υλοποίηση των επενδύσεων RE-C08-i02: Αγροτικό κτηματολόγιο και σύστημα παρακολούθησης της κάλυψης γης. Η μεταρρύθμιση περιλαμβάνει:</w:t>
      </w:r>
    </w:p>
    <w:p w14:paraId="2B70C39A" w14:textId="77777777" w:rsidR="00154AD2" w:rsidRDefault="007F6BF3">
      <w:pPr>
        <w:pStyle w:val="P68B1DB1-Normal4"/>
        <w:keepNext/>
        <w:numPr>
          <w:ilvl w:val="0"/>
          <w:numId w:val="40"/>
        </w:numPr>
        <w:spacing w:before="40" w:after="160" w:line="259" w:lineRule="auto"/>
        <w:contextualSpacing/>
        <w:jc w:val="both"/>
        <w:rPr>
          <w:rFonts w:eastAsiaTheme="minorEastAsia" w:cs="Times New Roman"/>
          <w:noProof/>
        </w:rPr>
      </w:pPr>
      <w:r>
        <w:rPr>
          <w:noProof/>
        </w:rPr>
        <w:t xml:space="preserve">θέσπιση νόμου για τη δημιουργία της δομής αποστολής για την επέκταση του απλουστευμένου συστήματος πληροφοριών του κτηματολογίου, ενός δημόσιου φορέα που θα παρακολουθεί την επέκταση του απλουστευμένου εθνικού συστήματος κτηματολογικών πληροφοριών και την ανάπτυξη της πλατφόρμας BUPi· </w:t>
      </w:r>
    </w:p>
    <w:p w14:paraId="200CB5CD" w14:textId="77777777" w:rsidR="00154AD2" w:rsidRDefault="007F6BF3">
      <w:pPr>
        <w:pStyle w:val="P68B1DB1-Normal4"/>
        <w:keepNext/>
        <w:numPr>
          <w:ilvl w:val="0"/>
          <w:numId w:val="40"/>
        </w:numPr>
        <w:spacing w:before="40" w:after="160" w:line="259" w:lineRule="auto"/>
        <w:contextualSpacing/>
        <w:jc w:val="both"/>
        <w:rPr>
          <w:rFonts w:eastAsiaTheme="minorEastAsia" w:cs="Times New Roman"/>
          <w:noProof/>
        </w:rPr>
      </w:pPr>
      <w:r>
        <w:rPr>
          <w:noProof/>
        </w:rPr>
        <w:t xml:space="preserve">την έκδοση πράξης για τη θέσπιση του συστήματος λειτουργίας και χρηματοδότησης του υποδείγματος οργάνωσης και ανάπτυξης του απλουστευμένου συστήματος κτηματολογικών πληροφοριών· </w:t>
      </w:r>
    </w:p>
    <w:p w14:paraId="22A73E8F" w14:textId="704AFECE" w:rsidR="00154AD2" w:rsidRDefault="007F6BF3">
      <w:pPr>
        <w:pStyle w:val="P68B1DB1-Normal4"/>
        <w:keepNext/>
        <w:numPr>
          <w:ilvl w:val="0"/>
          <w:numId w:val="40"/>
        </w:numPr>
        <w:spacing w:before="40" w:after="160" w:line="259" w:lineRule="auto"/>
        <w:contextualSpacing/>
        <w:jc w:val="both"/>
        <w:rPr>
          <w:rFonts w:eastAsiaTheme="minorEastAsia" w:cs="Times New Roman"/>
          <w:noProof/>
        </w:rPr>
      </w:pPr>
      <w:r>
        <w:rPr>
          <w:noProof/>
        </w:rPr>
        <w:t>την έκδοση νόμου για την έγκριση του νομικού καθεστώτος του κτηματολογίου, τη θέσπιση του Εθνικού Συστήματος Κτηματολογικών Πληροφοριών, σε συνδυασμό με το απλουστευμένο σύστημα κτηματολογικών πληροφοριών και την κατοχύρωση του Κτηματολογικού Χάρτη ως εθνικού χάρτη γης που υπάγεται στο κτηματολόγιο·</w:t>
      </w:r>
    </w:p>
    <w:p w14:paraId="0517B990" w14:textId="77777777" w:rsidR="00154AD2" w:rsidRDefault="007F6BF3">
      <w:pPr>
        <w:pStyle w:val="P68B1DB1-Normal4"/>
        <w:keepNext/>
        <w:numPr>
          <w:ilvl w:val="0"/>
          <w:numId w:val="40"/>
        </w:numPr>
        <w:spacing w:before="40" w:after="160" w:line="259" w:lineRule="auto"/>
        <w:contextualSpacing/>
        <w:jc w:val="both"/>
        <w:rPr>
          <w:rFonts w:eastAsiaTheme="minorEastAsia" w:cs="Times New Roman"/>
          <w:noProof/>
        </w:rPr>
      </w:pPr>
      <w:r>
        <w:rPr>
          <w:noProof/>
        </w:rPr>
        <w:t>την έκδοση νομικής πράξης για την τροποποίηση του κανονιστικού διατάγματος αριθ. 9-A/2017 της 3 Νοεμβρίου,</w:t>
      </w:r>
      <w:r>
        <w:rPr>
          <w:noProof/>
        </w:rPr>
        <w:footnoteReference w:id="39"/>
      </w:r>
      <w:r>
        <w:rPr>
          <w:noProof/>
        </w:rPr>
        <w:t xml:space="preserve"> η οποία αποσαφηνίζει τη λειτουργία του απλουστευμένου συστήματος κτηματολογικών πληροφοριών και της πλατφόρμας BUPi, με τη θέσπιση μέτρων για τον άμεσο προσδιορισμό της δομής της γης και της ιδιοκτησίας γεωργικών και μεικτών εκτάσεων· και</w:t>
      </w:r>
    </w:p>
    <w:p w14:paraId="15E59400" w14:textId="77777777" w:rsidR="00154AD2" w:rsidRDefault="007F6BF3">
      <w:pPr>
        <w:pStyle w:val="P68B1DB1-Normal4"/>
        <w:keepNext/>
        <w:numPr>
          <w:ilvl w:val="0"/>
          <w:numId w:val="40"/>
        </w:numPr>
        <w:spacing w:before="40" w:after="160" w:line="259" w:lineRule="auto"/>
        <w:contextualSpacing/>
        <w:jc w:val="both"/>
        <w:rPr>
          <w:rFonts w:eastAsiaTheme="minorEastAsia" w:cs="Times New Roman"/>
          <w:noProof/>
        </w:rPr>
      </w:pPr>
      <w:r>
        <w:rPr>
          <w:noProof/>
        </w:rPr>
        <w:t>τη σύνταξη πρότασης νόμου για τη θέσπιση έκτακτου συστήματος καταχώρισης αγροτικών εκτάσεων και την τροποποίηση του Κώδικα Κτηματολογίου (CRP).</w:t>
      </w:r>
    </w:p>
    <w:p w14:paraId="236B79E0" w14:textId="77777777" w:rsidR="00154AD2" w:rsidRDefault="007F6BF3">
      <w:pPr>
        <w:pStyle w:val="P68B1DB1-Normal4"/>
        <w:keepNext/>
        <w:spacing w:before="40" w:after="0" w:line="259" w:lineRule="auto"/>
        <w:jc w:val="both"/>
        <w:rPr>
          <w:rFonts w:eastAsiaTheme="minorEastAsia" w:cs="Times New Roman"/>
          <w:noProof/>
        </w:rPr>
      </w:pPr>
      <w:r>
        <w:rPr>
          <w:noProof/>
        </w:rPr>
        <w:t>Η εφαρμογή της μεταρρύθμισης ολοκληρώνεται έως τις 31 Δεκεμβρίου 2022.</w:t>
      </w:r>
    </w:p>
    <w:p w14:paraId="6D2F50DA"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Μεταρρύθμιση RE-r21: Πρόληψη και καταπολέμηση των πυρκαγιών στις αγροτικές περιοχές</w:t>
      </w:r>
    </w:p>
    <w:p w14:paraId="4B3DAA2A"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Οι στόχοι του μέτρου αυτού είναι η αύξηση της πρόληψης και η βελτίωση της καταπολέμησης των πυρκαγιών στις αγροτικές περιοχές μέσω της δημιουργίας ενός κύριου δικτύου διακοπών στη διαχείριση καυσίμων και της ενίσχυσης των φορέων που είναι υπεύθυνοι για τη διαχείριση και την προστασία από τις πυρκαγιές στις αγροτικές περιοχές. </w:t>
      </w:r>
    </w:p>
    <w:p w14:paraId="17B5E78D"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μεταρρύθμιση συνίσταται στα εξής:  </w:t>
      </w:r>
    </w:p>
    <w:p w14:paraId="3880BAFB" w14:textId="77777777" w:rsidR="00154AD2" w:rsidRDefault="007F6BF3">
      <w:pPr>
        <w:pStyle w:val="P68B1DB1-Normal4"/>
        <w:keepNext/>
        <w:numPr>
          <w:ilvl w:val="0"/>
          <w:numId w:val="40"/>
        </w:numPr>
        <w:spacing w:before="40" w:after="160" w:line="259" w:lineRule="auto"/>
        <w:contextualSpacing/>
        <w:jc w:val="both"/>
        <w:rPr>
          <w:rFonts w:eastAsiaTheme="minorEastAsia" w:cs="Times New Roman"/>
          <w:noProof/>
        </w:rPr>
      </w:pPr>
      <w:r>
        <w:rPr>
          <w:noProof/>
        </w:rPr>
        <w:t xml:space="preserve">έκδοση πράξης έγκρισης του Εθνικού Σχεδίου Ολοκληρωμένης Διαχείρισης Αγροτικών Πυρών (PNGIFR). </w:t>
      </w:r>
    </w:p>
    <w:p w14:paraId="3D91EFD9" w14:textId="77777777" w:rsidR="00154AD2" w:rsidRDefault="007F6BF3">
      <w:pPr>
        <w:pStyle w:val="P68B1DB1-Normal4"/>
        <w:keepNext/>
        <w:numPr>
          <w:ilvl w:val="0"/>
          <w:numId w:val="40"/>
        </w:numPr>
        <w:spacing w:before="40" w:after="160" w:line="259" w:lineRule="auto"/>
        <w:contextualSpacing/>
        <w:jc w:val="both"/>
        <w:rPr>
          <w:rFonts w:eastAsiaTheme="minorEastAsia" w:cs="Times New Roman"/>
          <w:noProof/>
        </w:rPr>
      </w:pPr>
      <w:r>
        <w:rPr>
          <w:noProof/>
        </w:rPr>
        <w:t xml:space="preserve">θέσπιση νόμου για τη θέσπιση ολοκληρωμένου συστήματος διαχείρισης των πυρκαγιών στις αγροτικές περιοχές (SIGIFR)· και </w:t>
      </w:r>
    </w:p>
    <w:p w14:paraId="22AB284F" w14:textId="77777777" w:rsidR="00154AD2" w:rsidRDefault="007F6BF3">
      <w:pPr>
        <w:pStyle w:val="P68B1DB1-Normal4"/>
        <w:keepNext/>
        <w:numPr>
          <w:ilvl w:val="0"/>
          <w:numId w:val="40"/>
        </w:numPr>
        <w:spacing w:before="40" w:after="160" w:line="259" w:lineRule="auto"/>
        <w:contextualSpacing/>
        <w:jc w:val="both"/>
        <w:rPr>
          <w:rFonts w:eastAsiaTheme="minorEastAsia" w:cs="Times New Roman"/>
          <w:noProof/>
        </w:rPr>
      </w:pPr>
      <w:r>
        <w:rPr>
          <w:noProof/>
        </w:rPr>
        <w:t xml:space="preserve">έκδοση πράξης έγκρισης του Εθνικού Προγράμματος Δράσης του Εθνικού Σχεδίου Ολοκληρωμένης Διαχείρισης Αγροτικών Πυρών. </w:t>
      </w:r>
    </w:p>
    <w:p w14:paraId="1B361553" w14:textId="49B20966" w:rsidR="00154AD2" w:rsidRDefault="007F6BF3">
      <w:pPr>
        <w:pStyle w:val="P68B1DB1-Normal4"/>
        <w:keepNext/>
        <w:spacing w:before="40" w:after="0" w:line="259" w:lineRule="auto"/>
        <w:jc w:val="both"/>
        <w:rPr>
          <w:rFonts w:eastAsiaTheme="minorEastAsia" w:cs="Times New Roman"/>
          <w:noProof/>
        </w:rPr>
      </w:pPr>
      <w:r>
        <w:rPr>
          <w:noProof/>
        </w:rPr>
        <w:t xml:space="preserve">Το ολοκληρωμένο σύστημα διαχείρισης των πυρκαγιών στις αγροτικές περιοχές (SIGIFR) παρέχει, σε εθνικό επίπεδο, μακροπολιτικές και στρατηγικές κατευθυντήριες γραμμές που συμβάλλουν στη μείωση του κινδύνου πυρκαγιών στις αγροτικές περιοχές και στην αλλαγή της συμπεριφοράς των ιδιοκτητών, των χρηστών και των άμεσων και έμμεσων δικαιούχων της αγροτικής περιοχής. Το σύστημα καθορίζει διυπουργικά μοντέλα συντονισμού, οριοθετώντας τις αρμοδιότητες και το πεδίο δράσης κάθε οντότητας στο πλαίσιο της SIGIFR, με μεγαλύτερη λογοδοσία για τους διάφορους παράγοντες της διαδικασίας λήψης αποφάσεων. Καθορίζει ένα μοντέλο διακυβέρνησης, παρακολούθησης και αξιολόγησης, το οποίο συμβάλλει στη συνεχή βελτίωση των δημόσιων πολιτικών και προγραμμάτων. </w:t>
      </w:r>
    </w:p>
    <w:p w14:paraId="04DCD497" w14:textId="77777777" w:rsidR="00154AD2" w:rsidRDefault="007F6BF3">
      <w:pPr>
        <w:pStyle w:val="P68B1DB1-Normal4"/>
        <w:keepNext/>
        <w:spacing w:before="40" w:after="0" w:line="259" w:lineRule="auto"/>
        <w:jc w:val="both"/>
        <w:rPr>
          <w:rFonts w:eastAsiaTheme="minorEastAsia" w:cs="Times New Roman"/>
          <w:noProof/>
        </w:rPr>
      </w:pPr>
      <w:r>
        <w:rPr>
          <w:noProof/>
        </w:rPr>
        <w:t>Δημιουργείται σύστημα πληροφοριών για την πυρκαγιά σε αγροτικό περιβάλλον με σκοπό τη συγκέντρωση και τη διάδοση όλων των σχετικών τεχνικών πληροφοριών από το SIGIFR. Επιπλέον, καθορίζει ένα μοντέλο που βασίζεται στην πρόληψη και την ελαχιστοποίηση των κινδύνων, είτε μέσω δραστηριοτήτων ευαισθητοποίησης είτε μέσω της δημιουργίας περιφερειακών αμυντικών δικτύων, στα οποία η διαχείριση καυσίμων διαδραματίζει ηγετικό ρόλο στο καθεστώς επιβολής κυρώσεων.</w:t>
      </w:r>
    </w:p>
    <w:p w14:paraId="26D46A9E" w14:textId="77777777" w:rsidR="00154AD2" w:rsidRDefault="007F6BF3">
      <w:pPr>
        <w:pStyle w:val="P68B1DB1-Normal4"/>
        <w:keepNext/>
        <w:spacing w:before="40" w:after="0" w:line="259" w:lineRule="auto"/>
        <w:jc w:val="both"/>
        <w:rPr>
          <w:rFonts w:eastAsiaTheme="minorEastAsia" w:cs="Times New Roman"/>
          <w:noProof/>
        </w:rPr>
      </w:pPr>
      <w:r>
        <w:rPr>
          <w:noProof/>
        </w:rPr>
        <w:t>Η εφαρμογή της μεταρρύθμισης ολοκληρώνεται έως τις 30 Σεπτεμβρίου 2021.</w:t>
      </w:r>
    </w:p>
    <w:p w14:paraId="3E0AE6FF"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Επένδυση RE-C08-i01: Μετασχηματισμός τοπίου σε ευπαθείς δασικές περιοχές</w:t>
      </w:r>
    </w:p>
    <w:p w14:paraId="434C95EF" w14:textId="77777777" w:rsidR="00154AD2" w:rsidRDefault="007F6BF3">
      <w:pPr>
        <w:pStyle w:val="P68B1DB1-Normal4"/>
        <w:keepNext/>
        <w:spacing w:before="40" w:after="0" w:line="259" w:lineRule="auto"/>
        <w:jc w:val="both"/>
        <w:rPr>
          <w:rFonts w:eastAsiaTheme="minorEastAsia" w:cs="Times New Roman"/>
          <w:noProof/>
        </w:rPr>
      </w:pPr>
      <w:r>
        <w:rPr>
          <w:noProof/>
        </w:rPr>
        <w:t>Οι στόχοι του μέτρου αυτού είναι η αύξηση της ανθεκτικότητας των ευάλωτων περιοχών έναντι των κινδύνων που συνδέονται με την κλιματική αλλαγή, ιδίως των πυρκαγιών στις αγροτικές περιοχές και της απώλειας βιοποικιλότητας, και η προώθηση της βιώσιμης ανάπτυξης και της εδαφικής συνοχής. Οι στόχοι αυτοί επιτυγχάνονται μέσω του μετασχηματισμού του τοπίου, της αύξησης του μέσου μεγέθους των γεωργικών ακινήτων, της αλλαγής στη χρήση γης και του σχεδιασμού νέων οικονομικών δραστηριοτήτων.</w:t>
      </w:r>
    </w:p>
    <w:p w14:paraId="6C20CEBC"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επένδυση αυτή αποτελείται από τα ακόλουθα προγράμματα: </w:t>
      </w:r>
    </w:p>
    <w:p w14:paraId="41A7E521" w14:textId="77777777" w:rsidR="00154AD2" w:rsidRDefault="007F6BF3">
      <w:pPr>
        <w:pStyle w:val="P68B1DB1-Normal4"/>
        <w:keepNext/>
        <w:numPr>
          <w:ilvl w:val="0"/>
          <w:numId w:val="36"/>
        </w:numPr>
        <w:spacing w:before="40" w:after="160" w:line="259" w:lineRule="auto"/>
        <w:contextualSpacing/>
        <w:jc w:val="both"/>
        <w:rPr>
          <w:rFonts w:eastAsiaTheme="minorEastAsia" w:cs="Times New Roman"/>
          <w:noProof/>
        </w:rPr>
      </w:pPr>
      <w:r>
        <w:rPr>
          <w:noProof/>
        </w:rPr>
        <w:t xml:space="preserve">τα προγράμματα σχεδιασμού και διαχείρισης τοπίου (PRGP) που σχεδιάζουν το επιθυμητό τοπίο και καθορίζουν έναν πίνακα μετάβασης μεσοπρόθεσμα και μακροπρόθεσμα υποστηριζόμενο από ένα μοντέλο χρηματοδότησης που διασφαλίζει την εφαρμογή του· </w:t>
      </w:r>
    </w:p>
    <w:p w14:paraId="2E501077" w14:textId="077FC262" w:rsidR="00154AD2" w:rsidRDefault="007F6BF3">
      <w:pPr>
        <w:pStyle w:val="P68B1DB1-Normal4"/>
        <w:keepNext/>
        <w:numPr>
          <w:ilvl w:val="0"/>
          <w:numId w:val="36"/>
        </w:numPr>
        <w:spacing w:before="40" w:after="160" w:line="259" w:lineRule="auto"/>
        <w:contextualSpacing/>
        <w:jc w:val="both"/>
        <w:rPr>
          <w:rFonts w:eastAsiaTheme="minorEastAsia" w:cs="Times New Roman"/>
          <w:noProof/>
        </w:rPr>
      </w:pPr>
      <w:r>
        <w:rPr>
          <w:noProof/>
        </w:rPr>
        <w:t xml:space="preserve">τις Ολοκληρωμένες Περιοχές Διαχείρισης του τοπίου (AIGP) που αυξάνουν το μέγεθος της διαχειριζόμενης δασικής έκτασης, δημιουργούν ασυνέχεια σε εκτεταμένες περιοχές θαλάσσιων μονοπτέρυγων και ευκαλύπτου και προβλέπουν την αντικατάσταση των περιοχών ευκάλυπτου από άλλα είδη, ιδίως αυτόχθονα είδη, ώστε να επιτευχθεί κλίμακα που προάγει την ανθεκτικότητα στις πυρκαγιές και την αξιοποίηση του φυσικού κεφαλαίου και δημιουργεί τις απαραίτητες συνθήκες για την ανάπτυξη των δράσεων ολοκληρωμένης διαχείρισης τοπίου (ΟΓΠΕ), οι οποίες καθορίζουν τον προγραμματισμό των παρεμβάσεων, το μοντέλο λειτουργίας, τους χρηματοδοτικούς πόρους που θα διατεθούν και το σύστημα διαχείρισης και παρακολούθησης· </w:t>
      </w:r>
    </w:p>
    <w:p w14:paraId="6E47BE1A" w14:textId="77777777" w:rsidR="00154AD2" w:rsidRDefault="007F6BF3">
      <w:pPr>
        <w:pStyle w:val="P68B1DB1-Normal4"/>
        <w:keepNext/>
        <w:numPr>
          <w:ilvl w:val="0"/>
          <w:numId w:val="36"/>
        </w:numPr>
        <w:spacing w:before="40" w:after="160" w:line="259" w:lineRule="auto"/>
        <w:contextualSpacing/>
        <w:jc w:val="both"/>
        <w:rPr>
          <w:rFonts w:eastAsiaTheme="minorEastAsia" w:cs="Times New Roman"/>
          <w:noProof/>
        </w:rPr>
      </w:pPr>
      <w:r>
        <w:rPr>
          <w:noProof/>
        </w:rPr>
        <w:t>το ολοκληρωμένο πρόγραμμα στήριξης για τα αγροτικά χωριά που βρίσκονται σε δασικές περιοχές, το οποίο στηρίζει μια σειρά δράσεων για τη διασφάλιση της αλλαγής στη χρήση και την κατοχή γης και τη διαχείριση καυσίμων γύρω από αγροτικά χωριά· και</w:t>
      </w:r>
    </w:p>
    <w:p w14:paraId="5154E281" w14:textId="7B63E210" w:rsidR="00154AD2" w:rsidRDefault="007F6BF3">
      <w:pPr>
        <w:pStyle w:val="P68B1DB1-Normal4"/>
        <w:keepNext/>
        <w:numPr>
          <w:ilvl w:val="0"/>
          <w:numId w:val="36"/>
        </w:numPr>
        <w:spacing w:before="40" w:after="160" w:line="259" w:lineRule="auto"/>
        <w:contextualSpacing/>
        <w:jc w:val="both"/>
        <w:rPr>
          <w:rFonts w:eastAsiaTheme="minorEastAsia" w:cs="Times New Roman"/>
          <w:noProof/>
        </w:rPr>
      </w:pPr>
      <w:r>
        <w:rPr>
          <w:noProof/>
        </w:rPr>
        <w:t xml:space="preserve">το </w:t>
      </w:r>
      <w:r>
        <w:rPr>
          <w:i/>
          <w:noProof/>
        </w:rPr>
        <w:t>πρόγραμμα Emparcelar para</w:t>
      </w:r>
      <w:r>
        <w:rPr>
          <w:noProof/>
        </w:rPr>
        <w:t xml:space="preserve"> Ordenar που θα αυξήσει το μέσο μέγεθος της αγροτικής ιδιοκτησίας και, ως εκ τούτου, θα συμβάλει στη βιωσιμότητα και την οικονομική βιωσιμότητα των γεωργικών εκμεταλλεύσεων που εγκαθίστανται ή θα εγκατασταθούν εκεί.</w:t>
      </w:r>
    </w:p>
    <w:p w14:paraId="408260D4"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υλοποίηση της επένδυσης θα ολοκληρωθεί έως τις 30 Σεπτεμβρίου 2025. </w:t>
      </w:r>
    </w:p>
    <w:p w14:paraId="64C9896B"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Επένδυση RE-C08-i02: Αγροτικό κτηματολόγιο και σύστημα παρακολούθησης της κάλυψης γης</w:t>
      </w:r>
    </w:p>
    <w:p w14:paraId="22A9B6FF" w14:textId="77777777" w:rsidR="00154AD2" w:rsidRDefault="007F6BF3">
      <w:pPr>
        <w:pStyle w:val="P68B1DB1-Normal4"/>
        <w:keepNext/>
        <w:spacing w:before="40" w:after="0" w:line="259" w:lineRule="auto"/>
        <w:jc w:val="both"/>
        <w:rPr>
          <w:rFonts w:eastAsiaTheme="minorEastAsia" w:cs="Times New Roman"/>
          <w:noProof/>
        </w:rPr>
      </w:pPr>
      <w:r>
        <w:rPr>
          <w:noProof/>
        </w:rPr>
        <w:t>Στόχος του μέτρου αυτού είναι να παράσχει στο πορτογαλικό κράτος μια βάση γνώσεων</w:t>
      </w:r>
      <w:r>
        <w:rPr>
          <w:noProof/>
          <w:bdr w:val="none" w:sz="0" w:space="0" w:color="auto" w:frame="1"/>
        </w:rPr>
        <w:t xml:space="preserve">σχετικά με την περιοχή, ιδίως όσον αφορά τον τύπο και τα όρια των αγροτικών ακινήτων, καθιστώντας δυνατή την ταυτοποίηση των ιδιοκτητών γης. Αυτό είναι απαραίτητο για τον σχεδιασμό, τη διαχείριση και την υποστήριξη των αποφάσεων σχετικά με το επάγγελμα και τη χρήση της περιοχής. </w:t>
      </w:r>
    </w:p>
    <w:p w14:paraId="63DE2868" w14:textId="6BEEED40" w:rsidR="00154AD2" w:rsidRDefault="007F6BF3">
      <w:pPr>
        <w:pStyle w:val="P68B1DB1-Normal4"/>
        <w:keepNext/>
        <w:spacing w:before="40" w:after="0" w:line="259" w:lineRule="auto"/>
        <w:jc w:val="both"/>
        <w:rPr>
          <w:rFonts w:eastAsiaTheme="minorEastAsia" w:cs="Times New Roman"/>
          <w:noProof/>
        </w:rPr>
      </w:pPr>
      <w:r>
        <w:rPr>
          <w:noProof/>
        </w:rPr>
        <w:t xml:space="preserve">Η επένδυση αυτή συνίσταται στην ανάπτυξη της πλατφόρμας BUPi και στην παραγωγή χαρτογράφησης αναφοράς για το Σύστημα Παρακολούθησης Κάλυψης Γης (SMOS), συμπεριλαμβανομένης ψηφιακής 3-D αναπαράστασης της γης μέσω κάλυψης Light Detection and Ranging (Light Detection and Ranging — LiDAR), χαρτών βλάστησης, χαρτών όγκου βιομάζας και ξυλείας, χαρτών κάλυψης και χρήσης γης και κάλυψης δορυφορικών εικόνων. Τα μέτρα αυτά αλληλοσυμπληρώνονται και καθιστούν δυνατή την πλήρη επιχειρησιακή λειτουργία της πλατφόρμας BUPi, διασφαλίζοντας παράλληλα τη διαλειτουργικότητα όλων των διαφορετικών συστημάτων πληροφοριών που εφαρμόζονται σε σχέση με την κτηματολογική γεωμετρία, το κτηματολόγιο και τους φορολογικούς πίνακες που διαχειρίζονται επί του παρόντος διάφορες αρχές, συμπεριλαμβανομένης της Τριτοβάθμιας και Τελωνειακής Αρχής, του Ινστιτούτου Εγγραφής και Συμβολαιογραφικών Υποθέσεων και της Γενικής Διεύθυνσης Εδαφών. Οι πολίτες, οι επιχειρήσεις και όλες οι δημόσιες αρχές αποκτούν έναν μοναδικό αριθμό αναγνώρισης (ΕΕΠ) για τις ιδιότητές τους, συμπεριλαμβανομένων πληροφοριών σχετικά με τα όρια και τα χαρακτηριστικά τους. Για τη διασφάλιση της επιτυχούς εφαρμογής των προαναφερόμενων μέτρων, η επένδυση θα περιλαμβάνει και δραστηριότητες κατάρτισης για το εξουσιοδοτημένο τεχνικό προσωπικό των Δήμων, τους γραμματείς και τους υπαλλήλους των φορολογικών αρχών. </w:t>
      </w:r>
    </w:p>
    <w:p w14:paraId="5CC0FA77"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υλοποίηση της επένδυσης θα ολοκληρωθεί έως τις 31 Μαρτίου 2025. </w:t>
      </w:r>
    </w:p>
    <w:p w14:paraId="72559B84"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Επένδυση RE-C08-i03: Διακοπές στη διαχείριση καυσίμων — πρωτεύον δίκτυο</w:t>
      </w:r>
    </w:p>
    <w:p w14:paraId="593C138F"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Στόχος του μέτρου αυτού είναι η δημιουργία οριζόντιων διακοπών στο τοπίο μέσω ενός κύριου δικτύου διακοπών στη διαχείριση καυσίμων (RPFGC). Το δίκτυο αυτό απομονώνει τις εστίες πυρκαγιών, προστατεύει τις οδούς επικοινωνίας, τις κοινωνικές υποδομές και τον εξοπλισμό, μειώνει τη μέση έκταση που καταστρέφεται από πυρκαγιές με τη στεγανοποίηση του τοπίου, διευκολύνει τις ενέργειες πυρόσβεσης και διασφαλίζει την ασφάλεια των πυροσβεστών με τη δημιουργία οδών διαφυγής. </w:t>
      </w:r>
    </w:p>
    <w:p w14:paraId="70C7317C"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επένδυση περιλαμβάνει τα ακόλουθα μέτρα: </w:t>
      </w:r>
    </w:p>
    <w:p w14:paraId="24C24867" w14:textId="045052BF" w:rsidR="00154AD2" w:rsidRDefault="007F6BF3">
      <w:pPr>
        <w:pStyle w:val="P68B1DB1-Normal4"/>
        <w:keepNext/>
        <w:numPr>
          <w:ilvl w:val="0"/>
          <w:numId w:val="37"/>
        </w:numPr>
        <w:spacing w:before="40" w:after="160" w:line="259" w:lineRule="auto"/>
        <w:contextualSpacing/>
        <w:jc w:val="both"/>
        <w:rPr>
          <w:rFonts w:eastAsiaTheme="minorEastAsia" w:cs="Times New Roman"/>
          <w:noProof/>
        </w:rPr>
      </w:pPr>
      <w:r>
        <w:rPr>
          <w:noProof/>
        </w:rPr>
        <w:t>χαρτογράφηση και αξιολόγηση της χρήσης γης γης που περιλαμβάνεται στο δίκτυο διάρθρωσης της διαχείρισης πρωτογενών καυσίμων·</w:t>
      </w:r>
    </w:p>
    <w:p w14:paraId="7E5F956F" w14:textId="1DA906D0" w:rsidR="00154AD2" w:rsidRDefault="007F6BF3">
      <w:pPr>
        <w:pStyle w:val="P68B1DB1-Normal4"/>
        <w:keepNext/>
        <w:numPr>
          <w:ilvl w:val="0"/>
          <w:numId w:val="37"/>
        </w:numPr>
        <w:spacing w:before="40" w:after="160" w:line="259" w:lineRule="auto"/>
        <w:contextualSpacing/>
        <w:jc w:val="both"/>
        <w:rPr>
          <w:rFonts w:eastAsiaTheme="minorEastAsia" w:cs="Times New Roman"/>
          <w:noProof/>
        </w:rPr>
      </w:pPr>
      <w:r>
        <w:rPr>
          <w:noProof/>
        </w:rPr>
        <w:t>προσδιορισμός των ιδιοκτητών, αξιολόγηση και υπολογισμός του επιπέδου της αντιστάθμισης και άλλα στοιχεία που οδηγούν στη δήλωση κοινοποίησης κοινής ωφελείας στους ιδιοκτήτες γης, στη σύναψη συμφωνιών και στην καταβολή των σχετικών αποζημιώσεων</w:t>
      </w:r>
    </w:p>
    <w:p w14:paraId="25DDFC97" w14:textId="481096AD" w:rsidR="00154AD2" w:rsidRDefault="007F6BF3">
      <w:pPr>
        <w:pStyle w:val="P68B1DB1-Normal4"/>
        <w:keepNext/>
        <w:numPr>
          <w:ilvl w:val="0"/>
          <w:numId w:val="37"/>
        </w:numPr>
        <w:spacing w:before="40" w:after="160" w:line="259" w:lineRule="auto"/>
        <w:contextualSpacing/>
        <w:jc w:val="both"/>
        <w:rPr>
          <w:rFonts w:eastAsiaTheme="minorEastAsia" w:cs="Times New Roman"/>
          <w:noProof/>
        </w:rPr>
      </w:pPr>
      <w:r>
        <w:rPr>
          <w:noProof/>
        </w:rPr>
        <w:t>ένταξη στην πλατφόρμα BUPi της γραφικής αναπαράστασης της αγροτικής γης που περιλαμβάνεται στη δημιουργία της περιοχής δουλείας, προκειμένου να καταστούν δυνατές οι επακόλουθες ειδικές διαδικασίες καταχώρισης· και</w:t>
      </w:r>
    </w:p>
    <w:p w14:paraId="502FE4AD" w14:textId="77777777" w:rsidR="00154AD2" w:rsidRDefault="007F6BF3">
      <w:pPr>
        <w:pStyle w:val="P68B1DB1-Normal4"/>
        <w:keepNext/>
        <w:numPr>
          <w:ilvl w:val="0"/>
          <w:numId w:val="37"/>
        </w:numPr>
        <w:spacing w:before="40" w:after="160" w:line="259" w:lineRule="auto"/>
        <w:contextualSpacing/>
        <w:jc w:val="both"/>
        <w:rPr>
          <w:rFonts w:eastAsiaTheme="minorEastAsia" w:cs="Times New Roman"/>
          <w:noProof/>
        </w:rPr>
      </w:pPr>
      <w:r>
        <w:rPr>
          <w:noProof/>
        </w:rPr>
        <w:t>υλοποίηση του κύριου δικτύου διαχείρισης καυσίμων σε εθνικό επίπεδο.</w:t>
      </w:r>
    </w:p>
    <w:p w14:paraId="5864A70C" w14:textId="76764FD1" w:rsidR="00154AD2" w:rsidRDefault="00154AD2">
      <w:pPr>
        <w:keepNext/>
        <w:spacing w:before="40" w:after="0" w:line="259" w:lineRule="auto"/>
        <w:jc w:val="both"/>
        <w:rPr>
          <w:rFonts w:ascii="Times New Roman" w:eastAsiaTheme="minorEastAsia" w:hAnsi="Times New Roman" w:cs="Times New Roman"/>
          <w:noProof/>
          <w:sz w:val="24"/>
        </w:rPr>
      </w:pPr>
    </w:p>
    <w:p w14:paraId="28696E46"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υλοποίηση της επένδυσης θα ολοκληρωθεί έως τις 31 Δεκεμβρίου 2025. </w:t>
      </w:r>
    </w:p>
    <w:p w14:paraId="6FB83105"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Επένδυση RE-C08-i04: Μέσα πρόληψης και καταπολέμησης των πυρκαγιών στις αγροτικές περιοχές</w:t>
      </w:r>
    </w:p>
    <w:p w14:paraId="083D727F" w14:textId="5A761AE0" w:rsidR="00154AD2" w:rsidRDefault="007F6BF3">
      <w:pPr>
        <w:pStyle w:val="P68B1DB1-Normal4"/>
        <w:keepNext/>
        <w:spacing w:before="40" w:after="0" w:line="259" w:lineRule="auto"/>
        <w:jc w:val="both"/>
        <w:rPr>
          <w:rFonts w:eastAsiaTheme="minorEastAsia" w:cs="Times New Roman"/>
          <w:noProof/>
        </w:rPr>
      </w:pPr>
      <w:r>
        <w:rPr>
          <w:noProof/>
        </w:rPr>
        <w:t xml:space="preserve">Στόχος του μέτρου αυτού είναι η ενίσχυση των κρατικών φορέων που εμπλέκονται στην πρόληψη και την καταπολέμηση των πυρκαγιών στις αγροτικές περιοχές. Ειδικότερα, το μέτρο αυτό θα αξιοποιήσει την ικανότητα, όσον αφορά τις υποδομές και τον εξοπλισμό, της πορτογαλικής αεροπορίας και του Ινστιτούτου Προστασίας της Φύσης και των Δασών (ICNF), προκειμένου να αυξηθεί η αποτελεσματικότητα και η αποδοτικότητά τους όσον αφορά την πρόληψη και την καταπολέμηση των πυρκαγιών στις αγροτικές περιοχές. Επιπλέον, το μέτρο αυτό θα βελτιώσει την εκτίμηση κινδύνου μέσω της τυποποίησης και της επικαιροποίησης του δικτύου ραντάρ του πορτογαλικού Ινστιτούτου Θάλασσας και Ατμοσφαίρας (IPMA). </w:t>
      </w:r>
    </w:p>
    <w:p w14:paraId="385E3858" w14:textId="14B08B85" w:rsidR="00154AD2" w:rsidRDefault="007F6BF3">
      <w:pPr>
        <w:pStyle w:val="P68B1DB1-Normal4"/>
        <w:keepNext/>
        <w:spacing w:before="40" w:after="0" w:line="259" w:lineRule="auto"/>
        <w:jc w:val="both"/>
        <w:rPr>
          <w:rFonts w:eastAsiaTheme="minorEastAsia" w:cs="Times New Roman"/>
          <w:noProof/>
        </w:rPr>
      </w:pPr>
      <w:r>
        <w:rPr>
          <w:noProof/>
        </w:rPr>
        <w:t xml:space="preserve">Η επένδυση αυτή περιλαμβάνει την αγορά δύο ελαφρών και εννέα πυροσβεστικών ελικοπτέρων μεσαίου μεγέθους, την κατασκευή νέων και την ανακαίνιση υφιστάμενων κτιρίων (επιχειρησιακό κέντρο και υπόστεγα συντήρησης), την αγορά οχημάτων, μηχανημάτων και εξοπλισμού που είναι αναγκαία για την αντιμετώπιση της πυρόσβεσης, όπως εξοπλισμός ατομικής προστασίας, πυροσβεστικά οχήματα, μπουλντόζες και ελκυστήρες, και την τυποποίηση και αναβάθμιση του μετεωρολογικού δικτύου ραντάρ. </w:t>
      </w:r>
    </w:p>
    <w:p w14:paraId="11A46961" w14:textId="77777777" w:rsidR="00154AD2" w:rsidRDefault="007F6BF3">
      <w:pPr>
        <w:pStyle w:val="P68B1DB1-Normal4"/>
        <w:keepNext/>
        <w:spacing w:before="40" w:after="0" w:line="259" w:lineRule="auto"/>
        <w:jc w:val="both"/>
        <w:rPr>
          <w:rFonts w:eastAsiaTheme="minorEastAsia" w:cs="Times New Roman"/>
          <w:noProof/>
        </w:rPr>
      </w:pPr>
      <w:r>
        <w:rPr>
          <w:noProof/>
        </w:rPr>
        <w:t>Αναμένεται ότι το μέτρο αυτό δεν θα βλάψει σημαντικά τους περιβαλλοντικούς στόχους κατά την έννοια του άρθρου 17 του κανονισμού (ΕΕ) 2020/852, λαμβάνοντας υπόψη την περιγραφή του μέτρου και τα μέτρα μετριασμού που προβλέπονται στο σχέδιο ανάκαμψης και ανθεκτικότητας σύμφωνα με τις τεχνικές κατευθυντήριες γραμμές του DNSH (2021/C58/01). Ειδικότερα, για να διασφαλιστεί η συμμόρφωση με την τεχνική καθοδήγηση «μη πρόκλησης σημαντικής βλάβης» (2021/C58/01), τα οχήματα, τα μηχανήματα και ο εξοπλισμός που πρόκειται να αγοραστούν είναι μηδενικών εκπομπών. Όταν δεν υπάρχουν εναλλακτικές λύσεις μηδενικών εκπομπών, τα οχήματα, τα μηχανήματα και ο εξοπλισμός που πρόκειται να αγοραστούν αντιπροσωπεύουν τα βέλτιστα διαθέσιμα επίπεδα περιβαλλοντικών επιδόσεων στον τομέα.</w:t>
      </w:r>
    </w:p>
    <w:p w14:paraId="6B6B66CF"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υλοποίηση της επένδυσης θα ολοκληρωθεί έως τις 31 Δεκεμβρίου 2025. </w:t>
      </w:r>
    </w:p>
    <w:p w14:paraId="1253F25C"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Επένδυση RE-C08-i05: Πρόγραμμα για περισσότερα δάση</w:t>
      </w:r>
    </w:p>
    <w:p w14:paraId="39858146" w14:textId="591325CE" w:rsidR="00154AD2" w:rsidRDefault="007F6BF3">
      <w:pPr>
        <w:pStyle w:val="P68B1DB1-Normal4"/>
        <w:keepNext/>
        <w:spacing w:before="40" w:after="0" w:line="259" w:lineRule="auto"/>
        <w:jc w:val="both"/>
        <w:rPr>
          <w:rFonts w:eastAsiaTheme="minorEastAsia" w:cs="Times New Roman"/>
          <w:noProof/>
        </w:rPr>
      </w:pPr>
      <w:r>
        <w:rPr>
          <w:noProof/>
        </w:rPr>
        <w:t xml:space="preserve">Στόχος του μέτρου είναι η αναβάθμιση του συστήματος πρόληψης και πυρόσβεσης, η μετάβαση από το μοντέλο της καταπολέμησης των πυρκαγιών στο μοντέλο πρόληψης και η ενίσχυση των δράσεων των οργανώσεων δασικών παραγωγών (OPF) και των κέντρων ικανοτήτων στον δασικό τομέα, με τη συμμετοχή ειδικών και την ενίσχυση των τεχνικών προσόντων όλων των σχετικών φορέων των εν λόγω οντοτήτων. </w:t>
      </w:r>
    </w:p>
    <w:p w14:paraId="51BD29B4" w14:textId="77777777" w:rsidR="00154AD2" w:rsidRDefault="007F6BF3">
      <w:pPr>
        <w:pStyle w:val="P68B1DB1-Normal4"/>
        <w:keepNext/>
        <w:spacing w:before="40" w:after="0" w:line="259" w:lineRule="auto"/>
        <w:jc w:val="both"/>
        <w:rPr>
          <w:rFonts w:eastAsiaTheme="minorEastAsia" w:cs="Times New Roman"/>
          <w:noProof/>
        </w:rPr>
      </w:pPr>
      <w:r>
        <w:rPr>
          <w:noProof/>
        </w:rPr>
        <w:t>Η επένδυση αυτή συνίσταται στα ακόλουθα μέτρα:</w:t>
      </w:r>
    </w:p>
    <w:p w14:paraId="60F5BEF9" w14:textId="77777777" w:rsidR="00154AD2" w:rsidRDefault="007F6BF3">
      <w:pPr>
        <w:pStyle w:val="P68B1DB1-Normal4"/>
        <w:keepNext/>
        <w:numPr>
          <w:ilvl w:val="0"/>
          <w:numId w:val="27"/>
        </w:numPr>
        <w:spacing w:before="40" w:after="160" w:line="259" w:lineRule="auto"/>
        <w:contextualSpacing/>
        <w:jc w:val="both"/>
        <w:rPr>
          <w:rFonts w:eastAsiaTheme="minorEastAsia" w:cs="Times New Roman"/>
          <w:noProof/>
        </w:rPr>
      </w:pPr>
      <w:r>
        <w:rPr>
          <w:noProof/>
        </w:rPr>
        <w:t xml:space="preserve">επέκταση των προγραμμάτων «Ασφαλές Χωριό» και «Ασφαλείς Άνθρωποι» με στόχο την προώθηση δράσεων ευαισθητοποίησης για την πρόληψη επικίνδυνης συμπεριφοράς του πληθυσμού, μέτρα αυτοπροστασίας και προσομοιώσεις σχεδίων εκκένωσης, σε συνεργασία με τις τοπικές αρχές· </w:t>
      </w:r>
    </w:p>
    <w:p w14:paraId="4EAC3577" w14:textId="313E43B8" w:rsidR="00154AD2" w:rsidRDefault="007F6BF3">
      <w:pPr>
        <w:pStyle w:val="P68B1DB1-Normal4"/>
        <w:keepNext/>
        <w:numPr>
          <w:ilvl w:val="0"/>
          <w:numId w:val="27"/>
        </w:numPr>
        <w:spacing w:before="40" w:after="160" w:line="259" w:lineRule="auto"/>
        <w:contextualSpacing/>
        <w:jc w:val="both"/>
        <w:rPr>
          <w:rFonts w:eastAsiaTheme="minorEastAsia" w:cs="Times New Roman"/>
          <w:noProof/>
        </w:rPr>
      </w:pPr>
      <w:r>
        <w:rPr>
          <w:noProof/>
        </w:rPr>
        <w:t>ενίσχυση της επιχειρησιακής ικανότητας αντίδρασης της Εθνικής Αρχής Έκτακτης Ανάγκης και Πολιτικής Προστασίας (ANEPC) και της Εθνικής Χωροφυλακής (GNR) στην καταπολέμηση των πυρκαγιών στην ύπαιθρο, ιδίως μέσω της αγοράς οχημάτων και εξοπλισμού ατομικής προστασίας, της ανακαίνισης των υφιστάμενων υποδομών και της δημιουργίας νέων περιφερειακών και υποπεριφερειακών δομών της ANEPC·</w:t>
      </w:r>
    </w:p>
    <w:p w14:paraId="3F8BFC5C" w14:textId="77777777" w:rsidR="00154AD2" w:rsidRDefault="007F6BF3">
      <w:pPr>
        <w:pStyle w:val="P68B1DB1-Normal4"/>
        <w:keepNext/>
        <w:numPr>
          <w:ilvl w:val="0"/>
          <w:numId w:val="27"/>
        </w:numPr>
        <w:spacing w:before="40" w:after="160" w:line="259" w:lineRule="auto"/>
        <w:contextualSpacing/>
        <w:jc w:val="both"/>
        <w:rPr>
          <w:rFonts w:eastAsiaTheme="minorEastAsia" w:cs="Times New Roman"/>
          <w:noProof/>
        </w:rPr>
      </w:pPr>
      <w:r>
        <w:rPr>
          <w:noProof/>
        </w:rPr>
        <w:t xml:space="preserve">παροχή κατάρτισης και προσόντων στο επιχειρησιακό προσωπικό που συμμετέχει στην πυρόσβεση και στους τεχνικούς του OPF· και </w:t>
      </w:r>
    </w:p>
    <w:p w14:paraId="785D1F00" w14:textId="6F05047A" w:rsidR="00154AD2" w:rsidRDefault="007F6BF3">
      <w:pPr>
        <w:pStyle w:val="P68B1DB1-Normal4"/>
        <w:keepNext/>
        <w:numPr>
          <w:ilvl w:val="0"/>
          <w:numId w:val="27"/>
        </w:numPr>
        <w:spacing w:before="40" w:after="160" w:line="259" w:lineRule="auto"/>
        <w:contextualSpacing/>
        <w:jc w:val="both"/>
        <w:rPr>
          <w:rFonts w:eastAsiaTheme="minorEastAsia" w:cs="Times New Roman"/>
          <w:noProof/>
        </w:rPr>
      </w:pPr>
      <w:r>
        <w:rPr>
          <w:noProof/>
        </w:rPr>
        <w:t>ενίσχυση των οργανώσεων ιδιοκτητών δασών και των κέντρων ικανοτήτων σε περιοχές που είναι απαραίτητες για τη βιωσιμότητα των δασικών πόρων.</w:t>
      </w:r>
    </w:p>
    <w:p w14:paraId="277B2B14" w14:textId="06CF270D" w:rsidR="00154AD2" w:rsidRDefault="007F6BF3">
      <w:pPr>
        <w:pStyle w:val="P68B1DB1-Normal4"/>
        <w:keepNext/>
        <w:spacing w:before="40" w:after="0" w:line="259" w:lineRule="auto"/>
        <w:jc w:val="both"/>
        <w:rPr>
          <w:rFonts w:eastAsiaTheme="minorEastAsia" w:cs="Times New Roman"/>
          <w:noProof/>
        </w:rPr>
      </w:pPr>
      <w:r>
        <w:rPr>
          <w:noProof/>
        </w:rPr>
        <w:t>Η υλοποίηση της επένδυσης θα ολοκληρωθεί έως τις 31 Δεκεμβρίου 2025.</w:t>
      </w:r>
    </w:p>
    <w:p w14:paraId="469B9600" w14:textId="77777777" w:rsidR="00154AD2" w:rsidRDefault="007F6BF3">
      <w:pPr>
        <w:pStyle w:val="P68B1DB1-Normal4"/>
        <w:keepNext/>
        <w:spacing w:before="40" w:after="0" w:line="259" w:lineRule="auto"/>
        <w:jc w:val="both"/>
        <w:rPr>
          <w:rFonts w:eastAsiaTheme="minorEastAsia" w:cs="Times New Roman"/>
          <w:noProof/>
        </w:rPr>
        <w:sectPr w:rsidR="00154AD2" w:rsidSect="00E00EDD">
          <w:headerReference w:type="even" r:id="rId168"/>
          <w:headerReference w:type="default" r:id="rId169"/>
          <w:footerReference w:type="even" r:id="rId170"/>
          <w:footerReference w:type="default" r:id="rId171"/>
          <w:headerReference w:type="first" r:id="rId172"/>
          <w:footerReference w:type="first" r:id="rId173"/>
          <w:pgSz w:w="11907" w:h="16839"/>
          <w:pgMar w:top="1134" w:right="1134" w:bottom="1134" w:left="1134" w:header="567" w:footer="567" w:gutter="0"/>
          <w:cols w:space="720"/>
          <w:docGrid w:linePitch="360"/>
        </w:sectPr>
      </w:pPr>
      <w:r>
        <w:rPr>
          <w:noProof/>
        </w:rPr>
        <w:t xml:space="preserve"> </w:t>
      </w:r>
    </w:p>
    <w:p w14:paraId="6A15D49E" w14:textId="77777777" w:rsidR="00154AD2" w:rsidRDefault="007F6BF3">
      <w:pPr>
        <w:pStyle w:val="P68B1DB1-Normal3"/>
        <w:keepNext/>
        <w:spacing w:before="40" w:after="0" w:line="259" w:lineRule="auto"/>
        <w:ind w:left="130" w:firstLine="720"/>
        <w:jc w:val="both"/>
        <w:outlineLvl w:val="2"/>
        <w:rPr>
          <w:rFonts w:eastAsiaTheme="minorEastAsia" w:cs="Times New Roman"/>
          <w:noProof/>
        </w:rPr>
      </w:pPr>
      <w:r>
        <w:rPr>
          <w:noProof/>
        </w:rPr>
        <w:t>Η.2. Ορόσημα, στόχοι, δείκτες και χρονοδιάγραμμα για την παρακολούθηση και την υλοποίηση της μη επιστρεπτέας χρηματοδοτικής στήριξης</w:t>
      </w:r>
    </w:p>
    <w:p w14:paraId="628AB07A" w14:textId="77777777" w:rsidR="00154AD2" w:rsidRDefault="00154AD2">
      <w:pPr>
        <w:keepNext/>
        <w:spacing w:before="40" w:after="0" w:line="259" w:lineRule="auto"/>
        <w:jc w:val="both"/>
        <w:rPr>
          <w:rFonts w:ascii="Times New Roman" w:eastAsiaTheme="minorEastAsia" w:hAnsi="Times New Roman" w:cs="Times New Roman"/>
          <w:noProof/>
          <w:sz w:val="24"/>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1245"/>
        <w:gridCol w:w="1107"/>
        <w:gridCol w:w="1658"/>
        <w:gridCol w:w="1244"/>
        <w:gridCol w:w="971"/>
        <w:gridCol w:w="970"/>
        <w:gridCol w:w="603"/>
        <w:gridCol w:w="649"/>
        <w:gridCol w:w="694"/>
        <w:gridCol w:w="4204"/>
      </w:tblGrid>
      <w:tr w:rsidR="00154AD2" w14:paraId="23FD5241" w14:textId="77777777">
        <w:trPr>
          <w:trHeight w:val="910"/>
          <w:tblHeader/>
          <w:jc w:val="center"/>
        </w:trPr>
        <w:tc>
          <w:tcPr>
            <w:tcW w:w="1114" w:type="dxa"/>
            <w:vMerge w:val="restart"/>
            <w:shd w:val="clear" w:color="auto" w:fill="BDD6EE"/>
            <w:vAlign w:val="center"/>
            <w:hideMark/>
          </w:tcPr>
          <w:p w14:paraId="7DA1148E" w14:textId="77777777" w:rsidR="00154AD2" w:rsidRDefault="007F6BF3">
            <w:pPr>
              <w:pStyle w:val="P68B1DB1-Normal6"/>
              <w:spacing w:after="0" w:line="240" w:lineRule="auto"/>
              <w:jc w:val="center"/>
              <w:rPr>
                <w:rFonts w:eastAsia="Times New Roman" w:cs="Times New Roman"/>
                <w:noProof/>
              </w:rPr>
            </w:pPr>
            <w:r>
              <w:rPr>
                <w:noProof/>
              </w:rPr>
              <w:t>Αύξων αριθμός</w:t>
            </w:r>
          </w:p>
        </w:tc>
        <w:tc>
          <w:tcPr>
            <w:tcW w:w="1245" w:type="dxa"/>
            <w:vMerge w:val="restart"/>
            <w:shd w:val="clear" w:color="auto" w:fill="BDD6EE"/>
            <w:vAlign w:val="center"/>
            <w:hideMark/>
          </w:tcPr>
          <w:p w14:paraId="279E7C6E" w14:textId="77777777" w:rsidR="00154AD2" w:rsidRDefault="007F6BF3">
            <w:pPr>
              <w:pStyle w:val="P68B1DB1-Normal6"/>
              <w:spacing w:after="0" w:line="240" w:lineRule="auto"/>
              <w:jc w:val="center"/>
              <w:rPr>
                <w:rFonts w:eastAsia="Times New Roman" w:cs="Times New Roman"/>
                <w:noProof/>
              </w:rPr>
            </w:pPr>
            <w:r>
              <w:rPr>
                <w:noProof/>
              </w:rPr>
              <w:t>Μέτρο (Μεταρρύθμιση ή Επενδύσεις)</w:t>
            </w:r>
          </w:p>
        </w:tc>
        <w:tc>
          <w:tcPr>
            <w:tcW w:w="1107" w:type="dxa"/>
            <w:vMerge w:val="restart"/>
            <w:shd w:val="clear" w:color="auto" w:fill="BDD6EE"/>
            <w:vAlign w:val="center"/>
            <w:hideMark/>
          </w:tcPr>
          <w:p w14:paraId="061850B8" w14:textId="5E5DB946" w:rsidR="00154AD2" w:rsidRDefault="007F6BF3">
            <w:pPr>
              <w:pStyle w:val="P68B1DB1-Normal6"/>
              <w:spacing w:after="0" w:line="240" w:lineRule="auto"/>
              <w:jc w:val="center"/>
              <w:rPr>
                <w:rFonts w:eastAsia="Times New Roman" w:cs="Times New Roman"/>
                <w:noProof/>
                <w:sz w:val="14"/>
              </w:rPr>
            </w:pPr>
            <w:r>
              <w:rPr>
                <w:noProof/>
              </w:rPr>
              <w:t>Milestone/Στόχος</w:t>
            </w:r>
          </w:p>
        </w:tc>
        <w:tc>
          <w:tcPr>
            <w:tcW w:w="1658" w:type="dxa"/>
            <w:vMerge w:val="restart"/>
            <w:shd w:val="clear" w:color="auto" w:fill="BDD6EE"/>
            <w:vAlign w:val="center"/>
            <w:hideMark/>
          </w:tcPr>
          <w:p w14:paraId="6DDD64A1" w14:textId="77777777" w:rsidR="00154AD2" w:rsidRDefault="007F6BF3">
            <w:pPr>
              <w:pStyle w:val="P68B1DB1-Normal6"/>
              <w:spacing w:after="0" w:line="240" w:lineRule="auto"/>
              <w:jc w:val="center"/>
              <w:rPr>
                <w:rFonts w:eastAsia="Times New Roman" w:cs="Times New Roman"/>
                <w:noProof/>
              </w:rPr>
            </w:pPr>
            <w:r>
              <w:rPr>
                <w:noProof/>
              </w:rPr>
              <w:t>Όνομα</w:t>
            </w:r>
          </w:p>
        </w:tc>
        <w:tc>
          <w:tcPr>
            <w:tcW w:w="1244" w:type="dxa"/>
            <w:vMerge w:val="restart"/>
            <w:shd w:val="clear" w:color="auto" w:fill="BDD6EE"/>
            <w:vAlign w:val="center"/>
            <w:hideMark/>
          </w:tcPr>
          <w:p w14:paraId="616A60C2" w14:textId="77777777" w:rsidR="00154AD2" w:rsidRDefault="007F6BF3">
            <w:pPr>
              <w:pStyle w:val="P68B1DB1-Normal6"/>
              <w:spacing w:after="0" w:line="240" w:lineRule="auto"/>
              <w:jc w:val="center"/>
              <w:rPr>
                <w:rFonts w:eastAsia="Times New Roman" w:cs="Times New Roman"/>
                <w:noProof/>
              </w:rPr>
            </w:pPr>
            <w:r>
              <w:rPr>
                <w:noProof/>
              </w:rPr>
              <w:t>Ποιοτικοί δείκτες (για τα ορόσημα)</w:t>
            </w:r>
          </w:p>
        </w:tc>
        <w:tc>
          <w:tcPr>
            <w:tcW w:w="2544" w:type="dxa"/>
            <w:gridSpan w:val="3"/>
            <w:shd w:val="clear" w:color="auto" w:fill="BDD6EE"/>
            <w:vAlign w:val="center"/>
            <w:hideMark/>
          </w:tcPr>
          <w:p w14:paraId="490EDE73" w14:textId="77777777" w:rsidR="00154AD2" w:rsidRDefault="007F6BF3">
            <w:pPr>
              <w:pStyle w:val="P68B1DB1-Normal6"/>
              <w:spacing w:after="0" w:line="240" w:lineRule="auto"/>
              <w:jc w:val="center"/>
              <w:rPr>
                <w:rFonts w:eastAsia="Times New Roman" w:cs="Times New Roman"/>
                <w:noProof/>
              </w:rPr>
            </w:pPr>
            <w:r>
              <w:rPr>
                <w:noProof/>
              </w:rPr>
              <w:t>Ποσοτικοί δείκτες (για τους στόχους)</w:t>
            </w:r>
          </w:p>
        </w:tc>
        <w:tc>
          <w:tcPr>
            <w:tcW w:w="1343" w:type="dxa"/>
            <w:gridSpan w:val="2"/>
            <w:shd w:val="clear" w:color="auto" w:fill="BDD6EE"/>
            <w:vAlign w:val="center"/>
            <w:hideMark/>
          </w:tcPr>
          <w:p w14:paraId="5A78B1CD" w14:textId="77777777" w:rsidR="00154AD2" w:rsidRDefault="007F6BF3">
            <w:pPr>
              <w:pStyle w:val="P68B1DB1-Normal6"/>
              <w:spacing w:after="0" w:line="240" w:lineRule="auto"/>
              <w:jc w:val="center"/>
              <w:rPr>
                <w:rFonts w:eastAsia="Times New Roman" w:cs="Times New Roman"/>
                <w:noProof/>
              </w:rPr>
            </w:pPr>
            <w:r>
              <w:rPr>
                <w:noProof/>
              </w:rPr>
              <w:t>Ενδεικτικό χρονοδιάγραμμα ολοκλήρωσης</w:t>
            </w:r>
          </w:p>
        </w:tc>
        <w:tc>
          <w:tcPr>
            <w:tcW w:w="4204" w:type="dxa"/>
            <w:vMerge w:val="restart"/>
            <w:shd w:val="clear" w:color="auto" w:fill="BDD6EE"/>
            <w:vAlign w:val="center"/>
            <w:hideMark/>
          </w:tcPr>
          <w:p w14:paraId="6349DF03" w14:textId="77777777" w:rsidR="00154AD2" w:rsidRDefault="007F6BF3">
            <w:pPr>
              <w:pStyle w:val="P68B1DB1-Normal6"/>
              <w:spacing w:after="0" w:line="240" w:lineRule="auto"/>
              <w:jc w:val="center"/>
              <w:rPr>
                <w:rFonts w:eastAsia="Times New Roman" w:cs="Times New Roman"/>
                <w:noProof/>
              </w:rPr>
            </w:pPr>
            <w:r>
              <w:rPr>
                <w:noProof/>
              </w:rPr>
              <w:t>Περιγραφή και σαφής ορισμός κάθε ορόσημου και στόχου</w:t>
            </w:r>
          </w:p>
        </w:tc>
      </w:tr>
      <w:tr w:rsidR="00154AD2" w14:paraId="2A0BDCBA" w14:textId="77777777">
        <w:trPr>
          <w:trHeight w:val="470"/>
          <w:tblHeader/>
          <w:jc w:val="center"/>
        </w:trPr>
        <w:tc>
          <w:tcPr>
            <w:tcW w:w="1114" w:type="dxa"/>
            <w:vMerge/>
            <w:vAlign w:val="center"/>
            <w:hideMark/>
          </w:tcPr>
          <w:p w14:paraId="48494B20" w14:textId="77777777" w:rsidR="00154AD2" w:rsidRDefault="00154AD2">
            <w:pPr>
              <w:spacing w:after="0" w:line="240" w:lineRule="auto"/>
              <w:rPr>
                <w:rFonts w:ascii="Times New Roman" w:eastAsia="Times New Roman" w:hAnsi="Times New Roman" w:cs="Times New Roman"/>
                <w:b/>
                <w:noProof/>
                <w:sz w:val="18"/>
              </w:rPr>
            </w:pPr>
          </w:p>
        </w:tc>
        <w:tc>
          <w:tcPr>
            <w:tcW w:w="1245" w:type="dxa"/>
            <w:vMerge/>
            <w:vAlign w:val="center"/>
            <w:hideMark/>
          </w:tcPr>
          <w:p w14:paraId="3ED3D75A" w14:textId="77777777" w:rsidR="00154AD2" w:rsidRDefault="00154AD2">
            <w:pPr>
              <w:spacing w:after="0" w:line="240" w:lineRule="auto"/>
              <w:rPr>
                <w:rFonts w:ascii="Times New Roman" w:eastAsia="Times New Roman" w:hAnsi="Times New Roman" w:cs="Times New Roman"/>
                <w:b/>
                <w:noProof/>
                <w:sz w:val="18"/>
              </w:rPr>
            </w:pPr>
          </w:p>
        </w:tc>
        <w:tc>
          <w:tcPr>
            <w:tcW w:w="1107" w:type="dxa"/>
            <w:vMerge/>
            <w:vAlign w:val="center"/>
            <w:hideMark/>
          </w:tcPr>
          <w:p w14:paraId="5FF97188" w14:textId="3E0237B4" w:rsidR="00154AD2" w:rsidRDefault="00154AD2">
            <w:pPr>
              <w:spacing w:after="0" w:line="240" w:lineRule="auto"/>
              <w:jc w:val="center"/>
              <w:rPr>
                <w:rFonts w:ascii="Times New Roman" w:eastAsia="Times New Roman" w:hAnsi="Times New Roman" w:cs="Times New Roman"/>
                <w:b/>
                <w:noProof/>
                <w:sz w:val="14"/>
              </w:rPr>
            </w:pPr>
          </w:p>
        </w:tc>
        <w:tc>
          <w:tcPr>
            <w:tcW w:w="1658" w:type="dxa"/>
            <w:vMerge/>
            <w:vAlign w:val="center"/>
            <w:hideMark/>
          </w:tcPr>
          <w:p w14:paraId="7F856670" w14:textId="77777777" w:rsidR="00154AD2" w:rsidRDefault="00154AD2">
            <w:pPr>
              <w:spacing w:after="0" w:line="240" w:lineRule="auto"/>
              <w:rPr>
                <w:rFonts w:ascii="Times New Roman" w:eastAsia="Times New Roman" w:hAnsi="Times New Roman" w:cs="Times New Roman"/>
                <w:b/>
                <w:noProof/>
                <w:sz w:val="18"/>
              </w:rPr>
            </w:pPr>
          </w:p>
        </w:tc>
        <w:tc>
          <w:tcPr>
            <w:tcW w:w="1244" w:type="dxa"/>
            <w:vMerge/>
            <w:vAlign w:val="center"/>
            <w:hideMark/>
          </w:tcPr>
          <w:p w14:paraId="3BB7D671" w14:textId="77777777" w:rsidR="00154AD2" w:rsidRDefault="00154AD2">
            <w:pPr>
              <w:spacing w:after="0" w:line="240" w:lineRule="auto"/>
              <w:rPr>
                <w:rFonts w:ascii="Times New Roman" w:eastAsia="Times New Roman" w:hAnsi="Times New Roman" w:cs="Times New Roman"/>
                <w:b/>
                <w:noProof/>
                <w:sz w:val="18"/>
              </w:rPr>
            </w:pPr>
          </w:p>
        </w:tc>
        <w:tc>
          <w:tcPr>
            <w:tcW w:w="971" w:type="dxa"/>
            <w:shd w:val="clear" w:color="auto" w:fill="BDD6EE"/>
            <w:vAlign w:val="center"/>
            <w:hideMark/>
          </w:tcPr>
          <w:p w14:paraId="16AA7B5B" w14:textId="77777777" w:rsidR="00154AD2" w:rsidRDefault="007F6BF3">
            <w:pPr>
              <w:pStyle w:val="P68B1DB1-Normal6"/>
              <w:spacing w:after="0" w:line="240" w:lineRule="auto"/>
              <w:jc w:val="center"/>
              <w:rPr>
                <w:rFonts w:eastAsia="Times New Roman" w:cs="Times New Roman"/>
                <w:noProof/>
              </w:rPr>
            </w:pPr>
            <w:r>
              <w:rPr>
                <w:noProof/>
              </w:rPr>
              <w:t>Μονάδα μέτρησης</w:t>
            </w:r>
          </w:p>
        </w:tc>
        <w:tc>
          <w:tcPr>
            <w:tcW w:w="970" w:type="dxa"/>
            <w:shd w:val="clear" w:color="auto" w:fill="BDD6EE"/>
            <w:vAlign w:val="center"/>
            <w:hideMark/>
          </w:tcPr>
          <w:p w14:paraId="254AFE6B" w14:textId="77777777" w:rsidR="00154AD2" w:rsidRDefault="007F6BF3">
            <w:pPr>
              <w:pStyle w:val="P68B1DB1-Normal6"/>
              <w:spacing w:after="0" w:line="240" w:lineRule="auto"/>
              <w:jc w:val="center"/>
              <w:rPr>
                <w:rFonts w:eastAsia="Times New Roman" w:cs="Times New Roman"/>
                <w:noProof/>
              </w:rPr>
            </w:pPr>
            <w:r>
              <w:rPr>
                <w:noProof/>
              </w:rPr>
              <w:t>Γραμμή βάσης</w:t>
            </w:r>
          </w:p>
        </w:tc>
        <w:tc>
          <w:tcPr>
            <w:tcW w:w="603" w:type="dxa"/>
            <w:shd w:val="clear" w:color="auto" w:fill="BDD6EE"/>
            <w:vAlign w:val="center"/>
            <w:hideMark/>
          </w:tcPr>
          <w:p w14:paraId="490F16BA" w14:textId="77777777" w:rsidR="00154AD2" w:rsidRDefault="007F6BF3">
            <w:pPr>
              <w:pStyle w:val="P68B1DB1-Normal6"/>
              <w:spacing w:after="0" w:line="240" w:lineRule="auto"/>
              <w:jc w:val="center"/>
              <w:rPr>
                <w:rFonts w:eastAsia="Times New Roman" w:cs="Times New Roman"/>
                <w:noProof/>
              </w:rPr>
            </w:pPr>
            <w:r>
              <w:rPr>
                <w:noProof/>
              </w:rPr>
              <w:t>Στόχοι</w:t>
            </w:r>
          </w:p>
        </w:tc>
        <w:tc>
          <w:tcPr>
            <w:tcW w:w="649" w:type="dxa"/>
            <w:shd w:val="clear" w:color="auto" w:fill="BDD6EE"/>
            <w:vAlign w:val="center"/>
            <w:hideMark/>
          </w:tcPr>
          <w:p w14:paraId="62E7BED3" w14:textId="77777777" w:rsidR="00154AD2" w:rsidRDefault="007F6BF3">
            <w:pPr>
              <w:pStyle w:val="P68B1DB1-Normal6"/>
              <w:spacing w:after="0" w:line="240" w:lineRule="auto"/>
              <w:jc w:val="center"/>
              <w:rPr>
                <w:rFonts w:eastAsia="Times New Roman" w:cs="Times New Roman"/>
                <w:noProof/>
              </w:rPr>
            </w:pPr>
            <w:r>
              <w:rPr>
                <w:noProof/>
              </w:rPr>
              <w:t>Ε</w:t>
            </w:r>
          </w:p>
        </w:tc>
        <w:tc>
          <w:tcPr>
            <w:tcW w:w="694" w:type="dxa"/>
            <w:shd w:val="clear" w:color="auto" w:fill="BDD6EE"/>
            <w:vAlign w:val="center"/>
            <w:hideMark/>
          </w:tcPr>
          <w:p w14:paraId="6F909C03" w14:textId="77777777" w:rsidR="00154AD2" w:rsidRDefault="007F6BF3">
            <w:pPr>
              <w:pStyle w:val="P68B1DB1-Normal6"/>
              <w:spacing w:after="0" w:line="240" w:lineRule="auto"/>
              <w:jc w:val="center"/>
              <w:rPr>
                <w:rFonts w:eastAsia="Times New Roman" w:cs="Times New Roman"/>
                <w:noProof/>
              </w:rPr>
            </w:pPr>
            <w:r>
              <w:rPr>
                <w:noProof/>
              </w:rPr>
              <w:t>Έτος</w:t>
            </w:r>
          </w:p>
        </w:tc>
        <w:tc>
          <w:tcPr>
            <w:tcW w:w="4204" w:type="dxa"/>
            <w:vMerge/>
            <w:vAlign w:val="center"/>
            <w:hideMark/>
          </w:tcPr>
          <w:p w14:paraId="19BE067E" w14:textId="77777777" w:rsidR="00154AD2" w:rsidRDefault="00154AD2">
            <w:pPr>
              <w:spacing w:after="0" w:line="240" w:lineRule="auto"/>
              <w:rPr>
                <w:rFonts w:ascii="Times New Roman" w:eastAsia="Times New Roman" w:hAnsi="Times New Roman" w:cs="Times New Roman"/>
                <w:b/>
                <w:noProof/>
                <w:sz w:val="18"/>
              </w:rPr>
            </w:pPr>
          </w:p>
        </w:tc>
      </w:tr>
      <w:tr w:rsidR="00154AD2" w14:paraId="6DA303CE" w14:textId="77777777">
        <w:trPr>
          <w:trHeight w:val="640"/>
          <w:jc w:val="center"/>
        </w:trPr>
        <w:tc>
          <w:tcPr>
            <w:tcW w:w="1114" w:type="dxa"/>
            <w:shd w:val="clear" w:color="auto" w:fill="C4EFCE"/>
            <w:vAlign w:val="center"/>
            <w:hideMark/>
          </w:tcPr>
          <w:p w14:paraId="241F93F4" w14:textId="77777777" w:rsidR="00154AD2" w:rsidRDefault="007F6BF3">
            <w:pPr>
              <w:pStyle w:val="P68B1DB1-Normal7"/>
              <w:spacing w:after="0" w:line="240" w:lineRule="auto"/>
              <w:jc w:val="center"/>
              <w:rPr>
                <w:rFonts w:eastAsia="Times New Roman" w:cs="Calibri"/>
                <w:noProof/>
              </w:rPr>
            </w:pPr>
            <w:r>
              <w:rPr>
                <w:noProof/>
              </w:rPr>
              <w:t>8.1</w:t>
            </w:r>
          </w:p>
        </w:tc>
        <w:tc>
          <w:tcPr>
            <w:tcW w:w="1245" w:type="dxa"/>
            <w:shd w:val="clear" w:color="auto" w:fill="C4EFCE"/>
            <w:noWrap/>
            <w:vAlign w:val="center"/>
            <w:hideMark/>
          </w:tcPr>
          <w:p w14:paraId="6A7BBCF2" w14:textId="77777777" w:rsidR="00154AD2" w:rsidRDefault="007F6BF3">
            <w:pPr>
              <w:pStyle w:val="P68B1DB1-Normal8"/>
              <w:spacing w:after="0" w:line="240" w:lineRule="auto"/>
              <w:jc w:val="center"/>
              <w:rPr>
                <w:rFonts w:eastAsia="Times New Roman" w:cs="Calibri"/>
                <w:noProof/>
              </w:rPr>
            </w:pPr>
            <w:r>
              <w:rPr>
                <w:noProof/>
              </w:rPr>
              <w:t>RE-C08-i01</w:t>
            </w:r>
          </w:p>
        </w:tc>
        <w:tc>
          <w:tcPr>
            <w:tcW w:w="1107" w:type="dxa"/>
            <w:shd w:val="clear" w:color="auto" w:fill="C4EFCE"/>
            <w:noWrap/>
            <w:vAlign w:val="center"/>
            <w:hideMark/>
          </w:tcPr>
          <w:p w14:paraId="280C90CB" w14:textId="77777777" w:rsidR="00154AD2" w:rsidRDefault="007F6BF3">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051B7F69" w14:textId="382A7EDD" w:rsidR="00154AD2" w:rsidRDefault="007F6BF3">
            <w:pPr>
              <w:pStyle w:val="P68B1DB1-Normal8"/>
              <w:spacing w:after="0" w:line="240" w:lineRule="auto"/>
              <w:jc w:val="center"/>
              <w:rPr>
                <w:rFonts w:eastAsia="Times New Roman" w:cs="Calibri"/>
                <w:noProof/>
              </w:rPr>
            </w:pPr>
            <w:r>
              <w:rPr>
                <w:noProof/>
              </w:rPr>
              <w:t>Ανάπτυξη προγραμμάτων σχεδιασμού και διαχείρισης τοπίου (PRGP) στις περιοχές που χαρακτηρίζονται ως ευάλωτες.</w:t>
            </w:r>
          </w:p>
        </w:tc>
        <w:tc>
          <w:tcPr>
            <w:tcW w:w="1244" w:type="dxa"/>
            <w:shd w:val="clear" w:color="auto" w:fill="C4EFCE"/>
            <w:noWrap/>
            <w:vAlign w:val="center"/>
            <w:hideMark/>
          </w:tcPr>
          <w:p w14:paraId="0AF39373" w14:textId="77777777" w:rsidR="00154AD2" w:rsidRDefault="007F6BF3">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3D6C4E03" w14:textId="77777777" w:rsidR="00154AD2" w:rsidRDefault="007F6BF3">
            <w:pPr>
              <w:pStyle w:val="P68B1DB1-Normal8"/>
              <w:spacing w:after="0" w:line="240" w:lineRule="auto"/>
              <w:jc w:val="center"/>
              <w:rPr>
                <w:rFonts w:eastAsia="Times New Roman" w:cs="Calibri"/>
                <w:noProof/>
              </w:rPr>
            </w:pPr>
            <w:r>
              <w:rPr>
                <w:noProof/>
              </w:rPr>
              <w:t xml:space="preserve"> Αριθμός</w:t>
            </w:r>
          </w:p>
        </w:tc>
        <w:tc>
          <w:tcPr>
            <w:tcW w:w="970" w:type="dxa"/>
            <w:shd w:val="clear" w:color="auto" w:fill="C4EFCE"/>
            <w:noWrap/>
            <w:vAlign w:val="center"/>
            <w:hideMark/>
          </w:tcPr>
          <w:p w14:paraId="7EF99B82" w14:textId="77777777" w:rsidR="00154AD2" w:rsidRDefault="007F6BF3">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48CFC2F0" w14:textId="77777777" w:rsidR="00154AD2" w:rsidRDefault="007F6BF3">
            <w:pPr>
              <w:pStyle w:val="P68B1DB1-Normal8"/>
              <w:spacing w:after="0" w:line="240" w:lineRule="auto"/>
              <w:jc w:val="center"/>
              <w:rPr>
                <w:rFonts w:eastAsia="Times New Roman" w:cs="Calibri"/>
                <w:noProof/>
              </w:rPr>
            </w:pPr>
            <w:r>
              <w:rPr>
                <w:noProof/>
              </w:rPr>
              <w:t>20</w:t>
            </w:r>
          </w:p>
        </w:tc>
        <w:tc>
          <w:tcPr>
            <w:tcW w:w="649" w:type="dxa"/>
            <w:shd w:val="clear" w:color="auto" w:fill="C4EFCE"/>
            <w:noWrap/>
            <w:vAlign w:val="center"/>
            <w:hideMark/>
          </w:tcPr>
          <w:p w14:paraId="65763CA3"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694" w:type="dxa"/>
            <w:shd w:val="clear" w:color="auto" w:fill="C4EFCE"/>
            <w:noWrap/>
            <w:vAlign w:val="center"/>
            <w:hideMark/>
          </w:tcPr>
          <w:p w14:paraId="0401360D" w14:textId="77777777" w:rsidR="00154AD2" w:rsidRDefault="007F6BF3">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3D83355D" w14:textId="03A571B2" w:rsidR="00154AD2" w:rsidRDefault="007F6BF3">
            <w:pPr>
              <w:pStyle w:val="P68B1DB1-Normal8"/>
              <w:spacing w:after="0" w:line="240" w:lineRule="auto"/>
              <w:rPr>
                <w:rFonts w:eastAsia="Times New Roman" w:cs="Calibri"/>
                <w:noProof/>
              </w:rPr>
            </w:pPr>
            <w:r>
              <w:rPr>
                <w:noProof/>
              </w:rPr>
              <w:t>Έγκριση από την κυβέρνηση προγραμμάτων σχεδιασμού και διαχείρισης τοπίου (PRGP) για 20 ομοιογενείς ευάλωτες περιοχές ή περιοχές που επλήγησαν από μεγάλες πυρκαγιές, λαμβάνοντας υπόψη τον Χάρτη των μονάδων τοπίου της ηπειρωτικής Πορτογαλίας και το εδαφικό μοντέλο του Εθνικού Προγράμματος για την Πολιτική Χωροταξικού Σχεδιασμού.</w:t>
            </w:r>
          </w:p>
        </w:tc>
      </w:tr>
      <w:tr w:rsidR="00154AD2" w14:paraId="08B19252" w14:textId="77777777">
        <w:trPr>
          <w:trHeight w:val="640"/>
          <w:jc w:val="center"/>
        </w:trPr>
        <w:tc>
          <w:tcPr>
            <w:tcW w:w="1114" w:type="dxa"/>
            <w:shd w:val="clear" w:color="auto" w:fill="C4EFCE"/>
            <w:vAlign w:val="center"/>
            <w:hideMark/>
          </w:tcPr>
          <w:p w14:paraId="21D5D991" w14:textId="77777777" w:rsidR="00154AD2" w:rsidRDefault="007F6BF3">
            <w:pPr>
              <w:pStyle w:val="P68B1DB1-Normal7"/>
              <w:spacing w:after="0" w:line="240" w:lineRule="auto"/>
              <w:jc w:val="center"/>
              <w:rPr>
                <w:rFonts w:eastAsia="Times New Roman" w:cs="Calibri"/>
                <w:noProof/>
              </w:rPr>
            </w:pPr>
            <w:r>
              <w:rPr>
                <w:noProof/>
              </w:rPr>
              <w:t>8.2</w:t>
            </w:r>
          </w:p>
        </w:tc>
        <w:tc>
          <w:tcPr>
            <w:tcW w:w="1245" w:type="dxa"/>
            <w:shd w:val="clear" w:color="auto" w:fill="C4EFCE"/>
            <w:noWrap/>
            <w:vAlign w:val="center"/>
            <w:hideMark/>
          </w:tcPr>
          <w:p w14:paraId="24086087" w14:textId="77777777" w:rsidR="00154AD2" w:rsidRDefault="007F6BF3">
            <w:pPr>
              <w:pStyle w:val="P68B1DB1-Normal8"/>
              <w:spacing w:after="0" w:line="240" w:lineRule="auto"/>
              <w:jc w:val="center"/>
              <w:rPr>
                <w:rFonts w:eastAsia="Times New Roman" w:cs="Calibri"/>
                <w:noProof/>
              </w:rPr>
            </w:pPr>
            <w:r>
              <w:rPr>
                <w:noProof/>
              </w:rPr>
              <w:t>RE-C08-i01</w:t>
            </w:r>
          </w:p>
        </w:tc>
        <w:tc>
          <w:tcPr>
            <w:tcW w:w="1107" w:type="dxa"/>
            <w:shd w:val="clear" w:color="auto" w:fill="C4EFCE"/>
            <w:noWrap/>
            <w:vAlign w:val="center"/>
            <w:hideMark/>
          </w:tcPr>
          <w:p w14:paraId="706BCE24" w14:textId="77777777" w:rsidR="00154AD2" w:rsidRDefault="007F6BF3">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72D036A2" w14:textId="77777777" w:rsidR="00154AD2" w:rsidRDefault="007F6BF3">
            <w:pPr>
              <w:pStyle w:val="P68B1DB1-Normal8"/>
              <w:spacing w:after="0" w:line="240" w:lineRule="auto"/>
              <w:jc w:val="center"/>
              <w:rPr>
                <w:rFonts w:eastAsia="Times New Roman" w:cs="Calibri"/>
                <w:noProof/>
              </w:rPr>
            </w:pPr>
            <w:r>
              <w:rPr>
                <w:noProof/>
              </w:rPr>
              <w:t xml:space="preserve"> Δημοσίευση των ολοκληρωμένων επιχειρήσεων διαχείρισης τοπίου (OIGP) στο Diário da Republica</w:t>
            </w:r>
          </w:p>
        </w:tc>
        <w:tc>
          <w:tcPr>
            <w:tcW w:w="1244" w:type="dxa"/>
            <w:shd w:val="clear" w:color="auto" w:fill="C4EFCE"/>
            <w:noWrap/>
            <w:vAlign w:val="center"/>
            <w:hideMark/>
          </w:tcPr>
          <w:p w14:paraId="38CCD2EC" w14:textId="77777777" w:rsidR="00154AD2" w:rsidRDefault="007F6BF3">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24C47B22" w14:textId="77777777" w:rsidR="00154AD2" w:rsidRDefault="007F6BF3">
            <w:pPr>
              <w:pStyle w:val="P68B1DB1-Normal8"/>
              <w:spacing w:after="0" w:line="240" w:lineRule="auto"/>
              <w:jc w:val="center"/>
              <w:rPr>
                <w:rFonts w:eastAsia="Times New Roman" w:cs="Calibri"/>
                <w:noProof/>
              </w:rPr>
            </w:pPr>
            <w:r>
              <w:rPr>
                <w:noProof/>
              </w:rPr>
              <w:t xml:space="preserve">Αριθμός </w:t>
            </w:r>
          </w:p>
        </w:tc>
        <w:tc>
          <w:tcPr>
            <w:tcW w:w="970" w:type="dxa"/>
            <w:shd w:val="clear" w:color="auto" w:fill="C4EFCE"/>
            <w:noWrap/>
            <w:vAlign w:val="center"/>
            <w:hideMark/>
          </w:tcPr>
          <w:p w14:paraId="20B48133" w14:textId="77777777" w:rsidR="00154AD2" w:rsidRDefault="007F6BF3">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47CD3DB2" w14:textId="77777777" w:rsidR="00154AD2" w:rsidRDefault="007F6BF3">
            <w:pPr>
              <w:pStyle w:val="P68B1DB1-Normal8"/>
              <w:spacing w:after="0" w:line="240" w:lineRule="auto"/>
              <w:jc w:val="center"/>
              <w:rPr>
                <w:rFonts w:eastAsia="Times New Roman" w:cs="Calibri"/>
                <w:noProof/>
              </w:rPr>
            </w:pPr>
            <w:r>
              <w:rPr>
                <w:noProof/>
              </w:rPr>
              <w:t>60</w:t>
            </w:r>
          </w:p>
        </w:tc>
        <w:tc>
          <w:tcPr>
            <w:tcW w:w="649" w:type="dxa"/>
            <w:shd w:val="clear" w:color="auto" w:fill="C4EFCE"/>
            <w:noWrap/>
            <w:vAlign w:val="center"/>
            <w:hideMark/>
          </w:tcPr>
          <w:p w14:paraId="27C4AA09"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694" w:type="dxa"/>
            <w:shd w:val="clear" w:color="auto" w:fill="C4EFCE"/>
            <w:noWrap/>
            <w:vAlign w:val="center"/>
            <w:hideMark/>
          </w:tcPr>
          <w:p w14:paraId="3EBBE2FA" w14:textId="77777777" w:rsidR="00154AD2" w:rsidRDefault="007F6BF3">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48FF6424" w14:textId="6CE9F794" w:rsidR="00154AD2" w:rsidRDefault="007F6BF3">
            <w:pPr>
              <w:pStyle w:val="P68B1DB1-Normal8"/>
              <w:spacing w:after="0" w:line="240" w:lineRule="auto"/>
              <w:jc w:val="both"/>
              <w:rPr>
                <w:rFonts w:eastAsia="Times New Roman" w:cs="Calibri"/>
                <w:noProof/>
              </w:rPr>
            </w:pPr>
            <w:r>
              <w:rPr>
                <w:noProof/>
              </w:rPr>
              <w:t>Έγκριση και δημοσίευση στο Diário da Republica 60 ολοκληρωμένων επιχειρήσεων διαχείρισης τοπίου (OIGP), οι οποίες καθορίζουν τον προγραμματισμό των παρεμβάσεων, το μοντέλο λειτουργίας, τους χρηματοδοτικούς πόρους που θα διατεθούν και το σύστημα διαχείρισης και παρακολούθησης.</w:t>
            </w:r>
          </w:p>
        </w:tc>
      </w:tr>
      <w:tr w:rsidR="00154AD2" w14:paraId="329EC401" w14:textId="77777777">
        <w:trPr>
          <w:trHeight w:val="640"/>
          <w:jc w:val="center"/>
        </w:trPr>
        <w:tc>
          <w:tcPr>
            <w:tcW w:w="1114" w:type="dxa"/>
            <w:shd w:val="clear" w:color="auto" w:fill="C4EFCE"/>
            <w:vAlign w:val="center"/>
          </w:tcPr>
          <w:p w14:paraId="53F8B0D6" w14:textId="3B182909" w:rsidR="00154AD2" w:rsidRDefault="007F6BF3">
            <w:pPr>
              <w:pStyle w:val="P68B1DB1-Normal7"/>
              <w:spacing w:after="0" w:line="240" w:lineRule="auto"/>
              <w:jc w:val="center"/>
              <w:rPr>
                <w:rFonts w:eastAsia="Times New Roman" w:cs="Calibri"/>
                <w:noProof/>
              </w:rPr>
            </w:pPr>
            <w:r>
              <w:rPr>
                <w:noProof/>
              </w:rPr>
              <w:t>8.3</w:t>
            </w:r>
          </w:p>
        </w:tc>
        <w:tc>
          <w:tcPr>
            <w:tcW w:w="1245" w:type="dxa"/>
            <w:shd w:val="clear" w:color="auto" w:fill="C4EFCE"/>
            <w:noWrap/>
            <w:vAlign w:val="center"/>
          </w:tcPr>
          <w:p w14:paraId="06A4D24B" w14:textId="4C714727" w:rsidR="00154AD2" w:rsidRDefault="007F6BF3">
            <w:pPr>
              <w:pStyle w:val="P68B1DB1-Normal8"/>
              <w:spacing w:after="0" w:line="240" w:lineRule="auto"/>
              <w:jc w:val="center"/>
              <w:rPr>
                <w:rFonts w:eastAsia="Times New Roman" w:cs="Calibri"/>
                <w:noProof/>
              </w:rPr>
            </w:pPr>
            <w:r>
              <w:rPr>
                <w:noProof/>
              </w:rPr>
              <w:t>RE-C08-i01</w:t>
            </w:r>
          </w:p>
        </w:tc>
        <w:tc>
          <w:tcPr>
            <w:tcW w:w="1107" w:type="dxa"/>
            <w:shd w:val="clear" w:color="auto" w:fill="C4EFCE"/>
            <w:noWrap/>
            <w:vAlign w:val="center"/>
          </w:tcPr>
          <w:p w14:paraId="7C2444D5" w14:textId="2C0F19C6" w:rsidR="00154AD2" w:rsidRDefault="007F6BF3">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tcPr>
          <w:p w14:paraId="1671AB6C" w14:textId="1A1E7B04" w:rsidR="00154AD2" w:rsidRDefault="007F6BF3">
            <w:pPr>
              <w:pStyle w:val="P68B1DB1-Normal8"/>
              <w:spacing w:after="0" w:line="240" w:lineRule="auto"/>
              <w:jc w:val="center"/>
              <w:rPr>
                <w:rFonts w:eastAsia="Times New Roman" w:cs="Calibri"/>
                <w:noProof/>
              </w:rPr>
            </w:pPr>
            <w:r>
              <w:rPr>
                <w:noProof/>
              </w:rPr>
              <w:t>Χωριά με έργα διαχείρισης καυσίμων</w:t>
            </w:r>
          </w:p>
        </w:tc>
        <w:tc>
          <w:tcPr>
            <w:tcW w:w="1244" w:type="dxa"/>
            <w:shd w:val="clear" w:color="auto" w:fill="C4EFCE"/>
            <w:noWrap/>
            <w:vAlign w:val="center"/>
          </w:tcPr>
          <w:p w14:paraId="21CA1472" w14:textId="77777777" w:rsidR="00154AD2" w:rsidRDefault="00154AD2">
            <w:pPr>
              <w:spacing w:after="0" w:line="240" w:lineRule="auto"/>
              <w:jc w:val="center"/>
              <w:rPr>
                <w:rFonts w:ascii="Calibri" w:eastAsia="Times New Roman" w:hAnsi="Calibri" w:cs="Calibri"/>
                <w:noProof/>
                <w:sz w:val="16"/>
              </w:rPr>
            </w:pPr>
          </w:p>
        </w:tc>
        <w:tc>
          <w:tcPr>
            <w:tcW w:w="971" w:type="dxa"/>
            <w:shd w:val="clear" w:color="auto" w:fill="C4EFCE"/>
            <w:noWrap/>
            <w:vAlign w:val="center"/>
          </w:tcPr>
          <w:p w14:paraId="607F1475" w14:textId="08DA1B44" w:rsidR="00154AD2" w:rsidRDefault="007F6BF3">
            <w:pPr>
              <w:pStyle w:val="P68B1DB1-Normal8"/>
              <w:spacing w:after="0" w:line="240" w:lineRule="auto"/>
              <w:jc w:val="center"/>
              <w:rPr>
                <w:rFonts w:eastAsia="Times New Roman" w:cs="Calibri"/>
                <w:noProof/>
              </w:rPr>
            </w:pPr>
            <w:r>
              <w:rPr>
                <w:noProof/>
              </w:rPr>
              <w:t>Αριθμός</w:t>
            </w:r>
          </w:p>
        </w:tc>
        <w:tc>
          <w:tcPr>
            <w:tcW w:w="970" w:type="dxa"/>
            <w:shd w:val="clear" w:color="auto" w:fill="C4EFCE"/>
            <w:noWrap/>
            <w:vAlign w:val="center"/>
          </w:tcPr>
          <w:p w14:paraId="0640AB71" w14:textId="57A5038A" w:rsidR="00154AD2" w:rsidRDefault="007F6BF3">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tcPr>
          <w:p w14:paraId="79FDC6D8" w14:textId="763F7A06" w:rsidR="00154AD2" w:rsidRDefault="007F6BF3">
            <w:pPr>
              <w:pStyle w:val="P68B1DB1-Normal8"/>
              <w:spacing w:after="0" w:line="240" w:lineRule="auto"/>
              <w:jc w:val="center"/>
              <w:rPr>
                <w:rFonts w:eastAsia="Times New Roman" w:cs="Calibri"/>
                <w:noProof/>
              </w:rPr>
            </w:pPr>
            <w:r>
              <w:rPr>
                <w:noProof/>
              </w:rPr>
              <w:t>800</w:t>
            </w:r>
          </w:p>
        </w:tc>
        <w:tc>
          <w:tcPr>
            <w:tcW w:w="649" w:type="dxa"/>
            <w:shd w:val="clear" w:color="auto" w:fill="C4EFCE"/>
            <w:noWrap/>
            <w:vAlign w:val="center"/>
          </w:tcPr>
          <w:p w14:paraId="17C24089" w14:textId="3F46E358" w:rsidR="00154AD2" w:rsidRDefault="007F6BF3">
            <w:pPr>
              <w:pStyle w:val="P68B1DB1-Normal8"/>
              <w:spacing w:after="0" w:line="240" w:lineRule="auto"/>
              <w:jc w:val="center"/>
              <w:rPr>
                <w:rFonts w:eastAsia="Times New Roman" w:cs="Calibri"/>
                <w:noProof/>
              </w:rPr>
            </w:pPr>
            <w:r>
              <w:rPr>
                <w:noProof/>
              </w:rPr>
              <w:t>ΤΡΊΜΗΝΟ 3</w:t>
            </w:r>
          </w:p>
        </w:tc>
        <w:tc>
          <w:tcPr>
            <w:tcW w:w="694" w:type="dxa"/>
            <w:shd w:val="clear" w:color="auto" w:fill="C4EFCE"/>
            <w:noWrap/>
            <w:vAlign w:val="center"/>
          </w:tcPr>
          <w:p w14:paraId="1232892F" w14:textId="34EB17F1" w:rsidR="00154AD2" w:rsidRDefault="007F6BF3">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tcPr>
          <w:p w14:paraId="37C59981" w14:textId="3E460BC7" w:rsidR="00154AD2" w:rsidRDefault="007F6BF3">
            <w:pPr>
              <w:pStyle w:val="P68B1DB1-Normal8"/>
              <w:spacing w:after="0" w:line="240" w:lineRule="auto"/>
              <w:jc w:val="both"/>
              <w:rPr>
                <w:rFonts w:eastAsia="Times New Roman" w:cs="Calibri"/>
                <w:noProof/>
              </w:rPr>
            </w:pPr>
            <w:r>
              <w:rPr>
                <w:noProof/>
              </w:rPr>
              <w:t>Σύναψη συμβάσεων που καθορίζουν τους ειδικούς όρους για τη χρηματοδότηση έργων διαχείρισης καυσίμων μεταξύ του Ταμείου Περιβάλλοντος και των δικαιούχων (δήμοι, διαδημοτικές κοινότητες, ενώσεις τοπικής ανάπτυξης) σε τουλάχιστον 800 αγροτικά χωριά που βρίσκονται σε δασικές περιοχές (κοινότητες χωριών).</w:t>
            </w:r>
          </w:p>
        </w:tc>
      </w:tr>
      <w:tr w:rsidR="00154AD2" w14:paraId="2D19B3CD" w14:textId="77777777">
        <w:trPr>
          <w:trHeight w:val="1071"/>
          <w:jc w:val="center"/>
        </w:trPr>
        <w:tc>
          <w:tcPr>
            <w:tcW w:w="1114" w:type="dxa"/>
            <w:shd w:val="clear" w:color="auto" w:fill="C4EFCE"/>
            <w:vAlign w:val="center"/>
            <w:hideMark/>
          </w:tcPr>
          <w:p w14:paraId="77EE0E64" w14:textId="2B83FFE6" w:rsidR="00154AD2" w:rsidRDefault="007F6BF3">
            <w:pPr>
              <w:pStyle w:val="P68B1DB1-Normal7"/>
              <w:spacing w:line="240" w:lineRule="auto"/>
              <w:jc w:val="center"/>
              <w:rPr>
                <w:rFonts w:eastAsia="Times New Roman" w:cs="Calibri"/>
                <w:noProof/>
              </w:rPr>
            </w:pPr>
            <w:r>
              <w:rPr>
                <w:noProof/>
              </w:rPr>
              <w:t>8.20</w:t>
            </w:r>
          </w:p>
        </w:tc>
        <w:tc>
          <w:tcPr>
            <w:tcW w:w="1245" w:type="dxa"/>
            <w:shd w:val="clear" w:color="auto" w:fill="C4EFCE"/>
            <w:noWrap/>
            <w:vAlign w:val="center"/>
            <w:hideMark/>
          </w:tcPr>
          <w:p w14:paraId="12596242" w14:textId="4917A96D" w:rsidR="00154AD2" w:rsidRDefault="007F6BF3">
            <w:pPr>
              <w:pStyle w:val="P68B1DB1-Normal8"/>
              <w:spacing w:line="240" w:lineRule="auto"/>
              <w:jc w:val="center"/>
              <w:rPr>
                <w:rFonts w:eastAsia="Times New Roman" w:cs="Calibri"/>
                <w:noProof/>
              </w:rPr>
            </w:pPr>
            <w:r>
              <w:rPr>
                <w:noProof/>
              </w:rPr>
              <w:t xml:space="preserve">RE-C08-i01  </w:t>
            </w:r>
          </w:p>
        </w:tc>
        <w:tc>
          <w:tcPr>
            <w:tcW w:w="1107" w:type="dxa"/>
            <w:shd w:val="clear" w:color="auto" w:fill="C4EFCE"/>
            <w:noWrap/>
            <w:vAlign w:val="center"/>
            <w:hideMark/>
          </w:tcPr>
          <w:p w14:paraId="09B3E4E1" w14:textId="791D055D" w:rsidR="00154AD2" w:rsidRDefault="007F6BF3">
            <w:pPr>
              <w:pStyle w:val="P68B1DB1-Normal8"/>
              <w:spacing w:line="240" w:lineRule="auto"/>
              <w:jc w:val="center"/>
              <w:rPr>
                <w:rFonts w:eastAsia="Times New Roman" w:cs="Calibri"/>
                <w:noProof/>
              </w:rPr>
            </w:pPr>
            <w:r>
              <w:rPr>
                <w:noProof/>
              </w:rPr>
              <w:t>T</w:t>
            </w:r>
          </w:p>
        </w:tc>
        <w:tc>
          <w:tcPr>
            <w:tcW w:w="1658" w:type="dxa"/>
            <w:shd w:val="clear" w:color="auto" w:fill="C4EFCE"/>
            <w:noWrap/>
            <w:vAlign w:val="center"/>
            <w:hideMark/>
          </w:tcPr>
          <w:p w14:paraId="750617A0" w14:textId="59CDDFE4" w:rsidR="00154AD2" w:rsidRDefault="007F6BF3">
            <w:pPr>
              <w:pStyle w:val="P68B1DB1-Normal8"/>
              <w:spacing w:line="240" w:lineRule="auto"/>
              <w:jc w:val="center"/>
              <w:rPr>
                <w:rFonts w:eastAsia="Times New Roman" w:cs="Calibri"/>
                <w:noProof/>
              </w:rPr>
            </w:pPr>
            <w:r>
              <w:rPr>
                <w:noProof/>
              </w:rPr>
              <w:t>Εφαρμογή μέτρων αναδασμού Προγράμματα «Emparcelar para Ordenar»</w:t>
            </w:r>
          </w:p>
        </w:tc>
        <w:tc>
          <w:tcPr>
            <w:tcW w:w="1244" w:type="dxa"/>
            <w:shd w:val="clear" w:color="auto" w:fill="C4EFCE"/>
            <w:noWrap/>
            <w:vAlign w:val="center"/>
            <w:hideMark/>
          </w:tcPr>
          <w:p w14:paraId="2D5E51B8" w14:textId="4EF5F8CD" w:rsidR="00154AD2" w:rsidRDefault="00154AD2">
            <w:pPr>
              <w:spacing w:line="240" w:lineRule="auto"/>
              <w:jc w:val="center"/>
              <w:rPr>
                <w:rFonts w:ascii="Calibri" w:eastAsia="Times New Roman" w:hAnsi="Calibri" w:cs="Calibri"/>
                <w:noProof/>
                <w:sz w:val="16"/>
              </w:rPr>
            </w:pPr>
          </w:p>
        </w:tc>
        <w:tc>
          <w:tcPr>
            <w:tcW w:w="971" w:type="dxa"/>
            <w:shd w:val="clear" w:color="auto" w:fill="C4EFCE"/>
            <w:noWrap/>
            <w:vAlign w:val="center"/>
            <w:hideMark/>
          </w:tcPr>
          <w:p w14:paraId="2B246C1B" w14:textId="4F4C8370" w:rsidR="00154AD2" w:rsidRDefault="007F6BF3">
            <w:pPr>
              <w:pStyle w:val="P68B1DB1-Normal8"/>
              <w:spacing w:line="240" w:lineRule="auto"/>
              <w:jc w:val="center"/>
              <w:rPr>
                <w:rFonts w:eastAsia="Times New Roman" w:cs="Calibri"/>
                <w:noProof/>
              </w:rPr>
            </w:pPr>
            <w:r>
              <w:rPr>
                <w:noProof/>
              </w:rPr>
              <w:t>Αριθμός</w:t>
            </w:r>
          </w:p>
        </w:tc>
        <w:tc>
          <w:tcPr>
            <w:tcW w:w="970" w:type="dxa"/>
            <w:shd w:val="clear" w:color="auto" w:fill="C4EFCE"/>
            <w:noWrap/>
            <w:vAlign w:val="center"/>
            <w:hideMark/>
          </w:tcPr>
          <w:p w14:paraId="74A9FCD5" w14:textId="23127662" w:rsidR="00154AD2" w:rsidRDefault="007F6BF3">
            <w:pPr>
              <w:pStyle w:val="P68B1DB1-Normal8"/>
              <w:spacing w:line="240" w:lineRule="auto"/>
              <w:jc w:val="center"/>
              <w:rPr>
                <w:rFonts w:eastAsia="Times New Roman" w:cs="Calibri"/>
                <w:noProof/>
              </w:rPr>
            </w:pPr>
            <w:r>
              <w:rPr>
                <w:noProof/>
              </w:rPr>
              <w:t>0</w:t>
            </w:r>
          </w:p>
        </w:tc>
        <w:tc>
          <w:tcPr>
            <w:tcW w:w="603" w:type="dxa"/>
            <w:shd w:val="clear" w:color="auto" w:fill="C4EFCE"/>
            <w:noWrap/>
            <w:vAlign w:val="center"/>
            <w:hideMark/>
          </w:tcPr>
          <w:p w14:paraId="6F1E20D5" w14:textId="263A4976" w:rsidR="00154AD2" w:rsidRDefault="007F6BF3">
            <w:pPr>
              <w:pStyle w:val="P68B1DB1-Normal8"/>
              <w:spacing w:line="240" w:lineRule="auto"/>
              <w:jc w:val="center"/>
              <w:rPr>
                <w:rFonts w:eastAsia="Times New Roman" w:cs="Calibri"/>
                <w:noProof/>
              </w:rPr>
            </w:pPr>
            <w:r>
              <w:rPr>
                <w:noProof/>
              </w:rPr>
              <w:t>2 000</w:t>
            </w:r>
          </w:p>
        </w:tc>
        <w:tc>
          <w:tcPr>
            <w:tcW w:w="649" w:type="dxa"/>
            <w:shd w:val="clear" w:color="auto" w:fill="C4EFCE"/>
            <w:noWrap/>
            <w:vAlign w:val="center"/>
            <w:hideMark/>
          </w:tcPr>
          <w:p w14:paraId="56EBFD99" w14:textId="3CBB469F" w:rsidR="00154AD2" w:rsidRDefault="007F6BF3">
            <w:pPr>
              <w:pStyle w:val="P68B1DB1-Normal8"/>
              <w:spacing w:line="240" w:lineRule="auto"/>
              <w:jc w:val="center"/>
              <w:rPr>
                <w:rFonts w:eastAsia="Calibri" w:cs="Calibri"/>
                <w:noProof/>
              </w:rPr>
            </w:pPr>
            <w:r>
              <w:rPr>
                <w:noProof/>
              </w:rPr>
              <w:t>ΤΡΊΜΗΝΟ 3</w:t>
            </w:r>
          </w:p>
        </w:tc>
        <w:tc>
          <w:tcPr>
            <w:tcW w:w="694" w:type="dxa"/>
            <w:shd w:val="clear" w:color="auto" w:fill="C4EFCE"/>
            <w:noWrap/>
            <w:vAlign w:val="center"/>
            <w:hideMark/>
          </w:tcPr>
          <w:p w14:paraId="692AA7BC" w14:textId="77912856" w:rsidR="00154AD2" w:rsidRDefault="007F6BF3">
            <w:pPr>
              <w:pStyle w:val="P68B1DB1-Normal8"/>
              <w:spacing w:line="240" w:lineRule="auto"/>
              <w:jc w:val="center"/>
              <w:rPr>
                <w:rFonts w:eastAsia="Calibri" w:cs="Calibri"/>
                <w:noProof/>
              </w:rPr>
            </w:pPr>
            <w:r>
              <w:rPr>
                <w:noProof/>
              </w:rPr>
              <w:t>2025</w:t>
            </w:r>
          </w:p>
        </w:tc>
        <w:tc>
          <w:tcPr>
            <w:tcW w:w="4204" w:type="dxa"/>
            <w:shd w:val="clear" w:color="auto" w:fill="C4EFCE"/>
            <w:vAlign w:val="center"/>
            <w:hideMark/>
          </w:tcPr>
          <w:p w14:paraId="2CE69ECE" w14:textId="4E9E3716" w:rsidR="00154AD2" w:rsidRDefault="007F6BF3">
            <w:pPr>
              <w:pStyle w:val="P68B1DB1-Normal8"/>
              <w:spacing w:line="240" w:lineRule="auto"/>
              <w:jc w:val="both"/>
              <w:rPr>
                <w:rFonts w:eastAsia="Times New Roman" w:cs="Calibri"/>
                <w:noProof/>
              </w:rPr>
            </w:pPr>
            <w:r>
              <w:rPr>
                <w:noProof/>
              </w:rPr>
              <w:t>2 000 εκτάρια αγροτικής γης σε ευάλωτες περιοχές θα αναδιαρθρωθούν στο πλαίσιο του προγράμματος «Emparcelar para Ordenar»</w:t>
            </w:r>
          </w:p>
        </w:tc>
      </w:tr>
      <w:tr w:rsidR="00154AD2" w14:paraId="166CE461" w14:textId="77777777">
        <w:trPr>
          <w:trHeight w:val="1393"/>
          <w:jc w:val="center"/>
        </w:trPr>
        <w:tc>
          <w:tcPr>
            <w:tcW w:w="1114" w:type="dxa"/>
            <w:shd w:val="clear" w:color="auto" w:fill="C4EFCE"/>
            <w:vAlign w:val="center"/>
            <w:hideMark/>
          </w:tcPr>
          <w:p w14:paraId="22FEDCD3" w14:textId="77777777" w:rsidR="00154AD2" w:rsidRDefault="007F6BF3">
            <w:pPr>
              <w:pStyle w:val="P68B1DB1-Normal7"/>
              <w:spacing w:after="0" w:line="240" w:lineRule="auto"/>
              <w:jc w:val="center"/>
              <w:rPr>
                <w:rFonts w:eastAsia="Times New Roman" w:cs="Calibri"/>
                <w:noProof/>
              </w:rPr>
            </w:pPr>
            <w:r>
              <w:rPr>
                <w:noProof/>
              </w:rPr>
              <w:t>8.4</w:t>
            </w:r>
          </w:p>
        </w:tc>
        <w:tc>
          <w:tcPr>
            <w:tcW w:w="1245" w:type="dxa"/>
            <w:shd w:val="clear" w:color="auto" w:fill="C4EFCE"/>
            <w:noWrap/>
            <w:vAlign w:val="center"/>
            <w:hideMark/>
          </w:tcPr>
          <w:p w14:paraId="266A4745" w14:textId="77777777" w:rsidR="00154AD2" w:rsidRDefault="007F6BF3">
            <w:pPr>
              <w:pStyle w:val="P68B1DB1-Normal8"/>
              <w:spacing w:after="0" w:line="240" w:lineRule="auto"/>
              <w:jc w:val="center"/>
              <w:rPr>
                <w:rFonts w:eastAsia="Times New Roman" w:cs="Calibri"/>
                <w:noProof/>
              </w:rPr>
            </w:pPr>
            <w:r>
              <w:rPr>
                <w:noProof/>
              </w:rPr>
              <w:t>RE-C08-i02</w:t>
            </w:r>
          </w:p>
        </w:tc>
        <w:tc>
          <w:tcPr>
            <w:tcW w:w="1107" w:type="dxa"/>
            <w:shd w:val="clear" w:color="auto" w:fill="C4EFCE"/>
            <w:noWrap/>
            <w:vAlign w:val="center"/>
            <w:hideMark/>
          </w:tcPr>
          <w:p w14:paraId="563CF9E2" w14:textId="77777777" w:rsidR="00154AD2" w:rsidRDefault="007F6BF3">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7C4B2871" w14:textId="77777777" w:rsidR="00154AD2" w:rsidRDefault="007F6BF3">
            <w:pPr>
              <w:pStyle w:val="P68B1DB1-Normal8"/>
              <w:spacing w:after="0" w:line="240" w:lineRule="auto"/>
              <w:jc w:val="center"/>
              <w:rPr>
                <w:rFonts w:eastAsia="Times New Roman" w:cs="Calibri"/>
                <w:noProof/>
              </w:rPr>
            </w:pPr>
            <w:r>
              <w:rPr>
                <w:noProof/>
              </w:rPr>
              <w:t>Πορεία προς μια πλατφόρμα BUPi 2.0</w:t>
            </w:r>
          </w:p>
        </w:tc>
        <w:tc>
          <w:tcPr>
            <w:tcW w:w="1244" w:type="dxa"/>
            <w:shd w:val="clear" w:color="auto" w:fill="C4EFCE"/>
            <w:noWrap/>
            <w:vAlign w:val="center"/>
            <w:hideMark/>
          </w:tcPr>
          <w:p w14:paraId="6A5B72FB" w14:textId="77777777" w:rsidR="00154AD2" w:rsidRDefault="007F6BF3">
            <w:pPr>
              <w:pStyle w:val="P68B1DB1-Normal8"/>
              <w:spacing w:after="0" w:line="240" w:lineRule="auto"/>
              <w:jc w:val="center"/>
              <w:rPr>
                <w:rFonts w:eastAsia="Times New Roman" w:cs="Calibri"/>
                <w:noProof/>
              </w:rPr>
            </w:pPr>
            <w:r>
              <w:rPr>
                <w:noProof/>
              </w:rPr>
              <w:t>Έναρξη παραγωγής της πλατφόρμας BUPi 2.0</w:t>
            </w:r>
          </w:p>
        </w:tc>
        <w:tc>
          <w:tcPr>
            <w:tcW w:w="971" w:type="dxa"/>
            <w:shd w:val="clear" w:color="auto" w:fill="C4EFCE"/>
            <w:noWrap/>
            <w:vAlign w:val="center"/>
            <w:hideMark/>
          </w:tcPr>
          <w:p w14:paraId="5156F1CE" w14:textId="77777777" w:rsidR="00154AD2" w:rsidRDefault="007F6BF3">
            <w:pPr>
              <w:pStyle w:val="P68B1DB1-Normal8"/>
              <w:spacing w:after="0" w:line="240" w:lineRule="auto"/>
              <w:jc w:val="center"/>
              <w:rPr>
                <w:rFonts w:eastAsia="Times New Roman" w:cs="Calibri"/>
                <w:noProof/>
              </w:rPr>
            </w:pPr>
            <w:r>
              <w:rPr>
                <w:noProof/>
              </w:rPr>
              <w:t> </w:t>
            </w:r>
          </w:p>
        </w:tc>
        <w:tc>
          <w:tcPr>
            <w:tcW w:w="970" w:type="dxa"/>
            <w:shd w:val="clear" w:color="auto" w:fill="C4EFCE"/>
            <w:noWrap/>
            <w:vAlign w:val="center"/>
            <w:hideMark/>
          </w:tcPr>
          <w:p w14:paraId="0F8757E3" w14:textId="77777777" w:rsidR="00154AD2" w:rsidRDefault="007F6BF3">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56435018" w14:textId="77777777" w:rsidR="00154AD2" w:rsidRDefault="007F6BF3">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6F647E22"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694" w:type="dxa"/>
            <w:shd w:val="clear" w:color="auto" w:fill="C4EFCE"/>
            <w:noWrap/>
            <w:vAlign w:val="center"/>
            <w:hideMark/>
          </w:tcPr>
          <w:p w14:paraId="7D47E13F" w14:textId="77777777" w:rsidR="00154AD2" w:rsidRDefault="007F6BF3">
            <w:pPr>
              <w:pStyle w:val="P68B1DB1-Normal8"/>
              <w:spacing w:after="0" w:line="240" w:lineRule="auto"/>
              <w:jc w:val="center"/>
              <w:rPr>
                <w:rFonts w:eastAsia="Times New Roman" w:cs="Calibri"/>
                <w:noProof/>
              </w:rPr>
            </w:pPr>
            <w:r>
              <w:rPr>
                <w:noProof/>
              </w:rPr>
              <w:t>2022</w:t>
            </w:r>
          </w:p>
        </w:tc>
        <w:tc>
          <w:tcPr>
            <w:tcW w:w="4204" w:type="dxa"/>
            <w:shd w:val="clear" w:color="auto" w:fill="C4EFCE"/>
            <w:vAlign w:val="center"/>
            <w:hideMark/>
          </w:tcPr>
          <w:p w14:paraId="49993AAD" w14:textId="77777777" w:rsidR="00154AD2" w:rsidRDefault="007F6BF3">
            <w:pPr>
              <w:pStyle w:val="P68B1DB1-Normal8"/>
              <w:spacing w:after="0" w:line="240" w:lineRule="auto"/>
              <w:jc w:val="both"/>
              <w:rPr>
                <w:rFonts w:eastAsia="Times New Roman" w:cs="Calibri"/>
                <w:noProof/>
              </w:rPr>
            </w:pPr>
            <w:r>
              <w:rPr>
                <w:noProof/>
              </w:rPr>
              <w:t xml:space="preserve">Παροχή της πλατφόρμας BUPi 2.0 με βάση το υπολογιστικό νέφος, η οποία θα αναβαθμίσει και θα επεκτείνει τις λειτουργίες που ήδη υπάρχουν στο πιλοτικό έργο BUPi. Το BUPi 2.0 διασφαλίζει την κάλυψη σε εθνικό επίπεδο και τη διαλειτουργικότητα των διαφόρων συστημάτων που διαχειρίζονται επί του παρόντος διάφορες αρχές, συμπεριλαμβανομένων των φορολογικών και τελωνειακών αρχών. Το BUPi 2.0 επιτρέπει τη σταδιακή εφαρμογή μοναδικών αριθμών αναγνώρισης περιουσιακών στοιχείων (ΕΣΕ). </w:t>
            </w:r>
          </w:p>
        </w:tc>
      </w:tr>
      <w:tr w:rsidR="00154AD2" w14:paraId="4E3E25CA" w14:textId="77777777">
        <w:trPr>
          <w:trHeight w:val="640"/>
          <w:jc w:val="center"/>
        </w:trPr>
        <w:tc>
          <w:tcPr>
            <w:tcW w:w="1114" w:type="dxa"/>
            <w:shd w:val="clear" w:color="auto" w:fill="C4EFCE"/>
            <w:vAlign w:val="center"/>
            <w:hideMark/>
          </w:tcPr>
          <w:p w14:paraId="6A82156F" w14:textId="77777777" w:rsidR="00154AD2" w:rsidRDefault="007F6BF3">
            <w:pPr>
              <w:pStyle w:val="P68B1DB1-Normal7"/>
              <w:spacing w:after="0" w:line="240" w:lineRule="auto"/>
              <w:jc w:val="center"/>
              <w:rPr>
                <w:rFonts w:eastAsia="Times New Roman" w:cs="Calibri"/>
                <w:noProof/>
              </w:rPr>
            </w:pPr>
            <w:r>
              <w:rPr>
                <w:noProof/>
              </w:rPr>
              <w:t>8.5</w:t>
            </w:r>
          </w:p>
        </w:tc>
        <w:tc>
          <w:tcPr>
            <w:tcW w:w="1245" w:type="dxa"/>
            <w:shd w:val="clear" w:color="auto" w:fill="C4EFCE"/>
            <w:noWrap/>
            <w:vAlign w:val="center"/>
            <w:hideMark/>
          </w:tcPr>
          <w:p w14:paraId="1B7D2602" w14:textId="77777777" w:rsidR="00154AD2" w:rsidRDefault="007F6BF3">
            <w:pPr>
              <w:pStyle w:val="P68B1DB1-Normal8"/>
              <w:spacing w:after="0" w:line="240" w:lineRule="auto"/>
              <w:jc w:val="center"/>
              <w:rPr>
                <w:rFonts w:eastAsia="Times New Roman" w:cs="Calibri"/>
                <w:noProof/>
              </w:rPr>
            </w:pPr>
            <w:r>
              <w:rPr>
                <w:noProof/>
              </w:rPr>
              <w:t>RE-C08-i02</w:t>
            </w:r>
          </w:p>
        </w:tc>
        <w:tc>
          <w:tcPr>
            <w:tcW w:w="1107" w:type="dxa"/>
            <w:shd w:val="clear" w:color="auto" w:fill="C4EFCE"/>
            <w:noWrap/>
            <w:vAlign w:val="center"/>
            <w:hideMark/>
          </w:tcPr>
          <w:p w14:paraId="2B27D6AC" w14:textId="77777777" w:rsidR="00154AD2" w:rsidRDefault="007F6BF3">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326343F3" w14:textId="77777777" w:rsidR="00154AD2" w:rsidRDefault="007F6BF3">
            <w:pPr>
              <w:pStyle w:val="P68B1DB1-Normal8"/>
              <w:spacing w:after="0" w:line="240" w:lineRule="auto"/>
              <w:jc w:val="center"/>
              <w:rPr>
                <w:rFonts w:eastAsia="Times New Roman" w:cs="Calibri"/>
                <w:noProof/>
              </w:rPr>
            </w:pPr>
            <w:r>
              <w:rPr>
                <w:noProof/>
              </w:rPr>
              <w:t xml:space="preserve">Κατάρτιση σχετικά με το BUPi </w:t>
            </w:r>
          </w:p>
        </w:tc>
        <w:tc>
          <w:tcPr>
            <w:tcW w:w="1244" w:type="dxa"/>
            <w:shd w:val="clear" w:color="auto" w:fill="C4EFCE"/>
            <w:noWrap/>
            <w:vAlign w:val="center"/>
            <w:hideMark/>
          </w:tcPr>
          <w:p w14:paraId="25329559" w14:textId="77777777" w:rsidR="00154AD2" w:rsidRDefault="007F6BF3">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20984988" w14:textId="77777777" w:rsidR="00154AD2" w:rsidRDefault="007F6BF3">
            <w:pPr>
              <w:pStyle w:val="P68B1DB1-Normal8"/>
              <w:spacing w:after="0" w:line="240" w:lineRule="auto"/>
              <w:jc w:val="center"/>
              <w:rPr>
                <w:rFonts w:eastAsia="Times New Roman" w:cs="Calibri"/>
                <w:noProof/>
              </w:rPr>
            </w:pPr>
            <w:r>
              <w:rPr>
                <w:noProof/>
              </w:rPr>
              <w:t xml:space="preserve"> Αριθμός</w:t>
            </w:r>
          </w:p>
        </w:tc>
        <w:tc>
          <w:tcPr>
            <w:tcW w:w="970" w:type="dxa"/>
            <w:shd w:val="clear" w:color="auto" w:fill="C4EFCE"/>
            <w:noWrap/>
            <w:vAlign w:val="center"/>
            <w:hideMark/>
          </w:tcPr>
          <w:p w14:paraId="0D49A3DA" w14:textId="77777777" w:rsidR="00154AD2" w:rsidRDefault="007F6BF3">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5D1F9392" w14:textId="77777777" w:rsidR="00154AD2" w:rsidRDefault="007F6BF3">
            <w:pPr>
              <w:pStyle w:val="P68B1DB1-Normal8"/>
              <w:spacing w:after="0" w:line="240" w:lineRule="auto"/>
              <w:jc w:val="center"/>
              <w:rPr>
                <w:rFonts w:eastAsia="Times New Roman" w:cs="Calibri"/>
                <w:noProof/>
              </w:rPr>
            </w:pPr>
            <w:r>
              <w:rPr>
                <w:noProof/>
              </w:rPr>
              <w:t>10</w:t>
            </w:r>
          </w:p>
        </w:tc>
        <w:tc>
          <w:tcPr>
            <w:tcW w:w="649" w:type="dxa"/>
            <w:shd w:val="clear" w:color="auto" w:fill="C4EFCE"/>
            <w:noWrap/>
            <w:vAlign w:val="center"/>
            <w:hideMark/>
          </w:tcPr>
          <w:p w14:paraId="1F6D3CC8"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94" w:type="dxa"/>
            <w:shd w:val="clear" w:color="auto" w:fill="C4EFCE"/>
            <w:noWrap/>
            <w:vAlign w:val="center"/>
            <w:hideMark/>
          </w:tcPr>
          <w:p w14:paraId="3CC177FC" w14:textId="77777777" w:rsidR="00154AD2" w:rsidRDefault="007F6BF3">
            <w:pPr>
              <w:pStyle w:val="P68B1DB1-Normal8"/>
              <w:spacing w:after="0" w:line="240" w:lineRule="auto"/>
              <w:jc w:val="center"/>
              <w:rPr>
                <w:rFonts w:eastAsia="Times New Roman" w:cs="Calibri"/>
                <w:noProof/>
              </w:rPr>
            </w:pPr>
            <w:r>
              <w:rPr>
                <w:noProof/>
              </w:rPr>
              <w:t>2023</w:t>
            </w:r>
          </w:p>
        </w:tc>
        <w:tc>
          <w:tcPr>
            <w:tcW w:w="4204" w:type="dxa"/>
            <w:shd w:val="clear" w:color="auto" w:fill="C4EFCE"/>
            <w:vAlign w:val="center"/>
            <w:hideMark/>
          </w:tcPr>
          <w:p w14:paraId="6E9D6ED2" w14:textId="26B42C5F" w:rsidR="00154AD2" w:rsidRDefault="007F6BF3">
            <w:pPr>
              <w:pStyle w:val="P68B1DB1-Normal8"/>
              <w:spacing w:after="0" w:line="240" w:lineRule="auto"/>
              <w:jc w:val="both"/>
              <w:rPr>
                <w:rFonts w:eastAsia="Times New Roman" w:cs="Calibri"/>
                <w:noProof/>
              </w:rPr>
            </w:pPr>
            <w:r>
              <w:rPr>
                <w:noProof/>
              </w:rPr>
              <w:t xml:space="preserve">Αριθμός τριμηνιαίων προγραμμάτων κατάρτισης που παρέχονται σχετικά με το BUPi στους ειδικευμένους σε εθνικό επίπεδο τεχνικούς που εκτελούν διαδικασίες γραφικής αναπαράστασης (RGG), στο προσωπικό του Ινστιτούτου Μητρώων και Συμβολαιογράφων (IRN), στους εκπροσώπους των φορολογικών αρχών, στους τεχνικούς κτηματολογίου και στους τεχνικούς της Γενικής Διεύθυνσης </w:t>
            </w:r>
          </w:p>
          <w:p w14:paraId="6524C248" w14:textId="33C64846" w:rsidR="00154AD2" w:rsidRDefault="007F6BF3">
            <w:pPr>
              <w:pStyle w:val="P68B1DB1-Normal8"/>
              <w:spacing w:after="0" w:line="240" w:lineRule="auto"/>
              <w:jc w:val="both"/>
              <w:rPr>
                <w:rFonts w:eastAsia="Times New Roman" w:cs="Calibri"/>
                <w:noProof/>
              </w:rPr>
            </w:pPr>
            <w:r>
              <w:rPr>
                <w:noProof/>
              </w:rPr>
              <w:t xml:space="preserve">Το έδαφος και οι υπάλληλοι του μητρώου. </w:t>
            </w:r>
          </w:p>
        </w:tc>
      </w:tr>
      <w:tr w:rsidR="00154AD2" w14:paraId="0E25F039" w14:textId="77777777">
        <w:trPr>
          <w:trHeight w:val="640"/>
          <w:jc w:val="center"/>
        </w:trPr>
        <w:tc>
          <w:tcPr>
            <w:tcW w:w="1114" w:type="dxa"/>
            <w:shd w:val="clear" w:color="auto" w:fill="C4EFCE"/>
            <w:vAlign w:val="center"/>
            <w:hideMark/>
          </w:tcPr>
          <w:p w14:paraId="413C83DC" w14:textId="77777777" w:rsidR="00154AD2" w:rsidRDefault="007F6BF3">
            <w:pPr>
              <w:pStyle w:val="P68B1DB1-Normal7"/>
              <w:spacing w:after="0" w:line="240" w:lineRule="auto"/>
              <w:jc w:val="center"/>
              <w:rPr>
                <w:rFonts w:eastAsia="Times New Roman" w:cs="Calibri"/>
                <w:noProof/>
              </w:rPr>
            </w:pPr>
            <w:r>
              <w:rPr>
                <w:noProof/>
              </w:rPr>
              <w:t>8.6</w:t>
            </w:r>
          </w:p>
        </w:tc>
        <w:tc>
          <w:tcPr>
            <w:tcW w:w="1245" w:type="dxa"/>
            <w:shd w:val="clear" w:color="auto" w:fill="C4EFCE"/>
            <w:noWrap/>
            <w:vAlign w:val="center"/>
            <w:hideMark/>
          </w:tcPr>
          <w:p w14:paraId="499B61B8" w14:textId="77777777" w:rsidR="00154AD2" w:rsidRDefault="007F6BF3">
            <w:pPr>
              <w:pStyle w:val="P68B1DB1-Normal8"/>
              <w:spacing w:after="0" w:line="240" w:lineRule="auto"/>
              <w:jc w:val="center"/>
              <w:rPr>
                <w:rFonts w:eastAsia="Times New Roman" w:cs="Calibri"/>
                <w:noProof/>
              </w:rPr>
            </w:pPr>
            <w:r>
              <w:rPr>
                <w:noProof/>
              </w:rPr>
              <w:t>RE-C08-i02</w:t>
            </w:r>
          </w:p>
        </w:tc>
        <w:tc>
          <w:tcPr>
            <w:tcW w:w="1107" w:type="dxa"/>
            <w:shd w:val="clear" w:color="auto" w:fill="C4EFCE"/>
            <w:noWrap/>
            <w:vAlign w:val="center"/>
            <w:hideMark/>
          </w:tcPr>
          <w:p w14:paraId="69009EAB" w14:textId="77777777" w:rsidR="00154AD2" w:rsidRDefault="007F6BF3">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57D3E341" w14:textId="2C7A5E6B" w:rsidR="00154AD2" w:rsidRDefault="007F6BF3">
            <w:pPr>
              <w:pStyle w:val="P68B1DB1-Normal8"/>
              <w:spacing w:after="0" w:line="240" w:lineRule="auto"/>
              <w:jc w:val="center"/>
              <w:rPr>
                <w:rFonts w:eastAsia="Times New Roman" w:cs="Calibri"/>
                <w:noProof/>
              </w:rPr>
            </w:pPr>
            <w:r>
              <w:rPr>
                <w:noProof/>
              </w:rPr>
              <w:t>Εκπόνηση χαρτογράφησης αναφοράς για το σύστημα παρακολούθησης κάλυψης γης (SMOS)</w:t>
            </w:r>
          </w:p>
        </w:tc>
        <w:tc>
          <w:tcPr>
            <w:tcW w:w="1244" w:type="dxa"/>
            <w:shd w:val="clear" w:color="auto" w:fill="C4EFCE"/>
            <w:noWrap/>
            <w:vAlign w:val="center"/>
            <w:hideMark/>
          </w:tcPr>
          <w:p w14:paraId="76C22C58" w14:textId="6D8505C9" w:rsidR="00154AD2" w:rsidRDefault="007F6BF3">
            <w:pPr>
              <w:pStyle w:val="P68B1DB1-Normal8"/>
              <w:spacing w:after="0" w:line="240" w:lineRule="auto"/>
              <w:jc w:val="center"/>
              <w:rPr>
                <w:rFonts w:eastAsia="Times New Roman" w:cs="Calibri"/>
                <w:noProof/>
              </w:rPr>
            </w:pPr>
            <w:r>
              <w:rPr>
                <w:noProof/>
              </w:rPr>
              <w:t>Εκπόνηση χαρτογράφησης αναφοράς για το σύστημα παρακολούθησης κάλυψης γης (SMOS)</w:t>
            </w:r>
          </w:p>
        </w:tc>
        <w:tc>
          <w:tcPr>
            <w:tcW w:w="971" w:type="dxa"/>
            <w:shd w:val="clear" w:color="auto" w:fill="C4EFCE"/>
            <w:noWrap/>
            <w:vAlign w:val="center"/>
            <w:hideMark/>
          </w:tcPr>
          <w:p w14:paraId="122C3637" w14:textId="77777777" w:rsidR="00154AD2" w:rsidRDefault="007F6BF3">
            <w:pPr>
              <w:pStyle w:val="P68B1DB1-Normal8"/>
              <w:spacing w:after="0" w:line="240" w:lineRule="auto"/>
              <w:jc w:val="center"/>
              <w:rPr>
                <w:rFonts w:eastAsia="Times New Roman" w:cs="Calibri"/>
                <w:noProof/>
              </w:rPr>
            </w:pPr>
            <w:r>
              <w:rPr>
                <w:noProof/>
              </w:rPr>
              <w:t xml:space="preserve"> </w:t>
            </w:r>
          </w:p>
        </w:tc>
        <w:tc>
          <w:tcPr>
            <w:tcW w:w="970" w:type="dxa"/>
            <w:shd w:val="clear" w:color="auto" w:fill="C4EFCE"/>
            <w:noWrap/>
            <w:vAlign w:val="center"/>
            <w:hideMark/>
          </w:tcPr>
          <w:p w14:paraId="45289467" w14:textId="77777777" w:rsidR="00154AD2" w:rsidRDefault="007F6BF3">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40D204A4" w14:textId="77777777" w:rsidR="00154AD2" w:rsidRDefault="007F6BF3">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5408DD85"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694" w:type="dxa"/>
            <w:shd w:val="clear" w:color="auto" w:fill="C4EFCE"/>
            <w:noWrap/>
            <w:vAlign w:val="center"/>
            <w:hideMark/>
          </w:tcPr>
          <w:p w14:paraId="73271E44" w14:textId="77777777" w:rsidR="00154AD2" w:rsidRDefault="007F6BF3">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3EC10692" w14:textId="1DF93F1F" w:rsidR="00154AD2" w:rsidRDefault="007F6BF3">
            <w:pPr>
              <w:pStyle w:val="P68B1DB1-Normal8"/>
              <w:spacing w:after="0" w:line="240" w:lineRule="auto"/>
              <w:jc w:val="both"/>
              <w:rPr>
                <w:rFonts w:eastAsia="Times New Roman" w:cs="Calibri"/>
                <w:noProof/>
              </w:rPr>
            </w:pPr>
            <w:r>
              <w:rPr>
                <w:noProof/>
              </w:rPr>
              <w:t>Εκπόνηση χαρτογράφησης αναφοράς για το σύστημα παρακολούθησης κάλυψης γης (SMOS), η οποία περιλαμβάνει (i) τη δημοσίευση των χαρτών κάλυψης και χρήσης γης (COS) 2023, με βάση πληροφορίες επικυρωμένες από τις αρμόδιες αρχές, οι οποίες απεικονίζουν γεωγραφική αναπαράσταση της χώρας και παρέχουν πληροφορίες σχετικά με τη χρήση και την κατοχή γης, καθώς και σχετικά με τους τύπους καλλιεργειών και δάσωσης, (ii) την ψηφιακή 3-D αναπαράσταση της γης μέσω κάλυψης από ελαφρύ εντοπισμό και κλίση (LiDAR), (iii) χάρτες βλάστησης, (iv) χάρτες βιομάζας και όγκου ξυλείας και (v) δορυφορική κάλυψη.</w:t>
            </w:r>
          </w:p>
        </w:tc>
      </w:tr>
      <w:tr w:rsidR="00154AD2" w14:paraId="3C27D691" w14:textId="77777777">
        <w:trPr>
          <w:trHeight w:val="640"/>
          <w:jc w:val="center"/>
        </w:trPr>
        <w:tc>
          <w:tcPr>
            <w:tcW w:w="1114" w:type="dxa"/>
            <w:shd w:val="clear" w:color="auto" w:fill="C4EFCE"/>
            <w:vAlign w:val="center"/>
            <w:hideMark/>
          </w:tcPr>
          <w:p w14:paraId="607D84BC" w14:textId="77777777" w:rsidR="00154AD2" w:rsidRDefault="007F6BF3">
            <w:pPr>
              <w:pStyle w:val="P68B1DB1-Normal7"/>
              <w:spacing w:after="0" w:line="240" w:lineRule="auto"/>
              <w:jc w:val="center"/>
              <w:rPr>
                <w:rFonts w:eastAsia="Times New Roman" w:cs="Calibri"/>
                <w:noProof/>
              </w:rPr>
            </w:pPr>
            <w:r>
              <w:rPr>
                <w:noProof/>
              </w:rPr>
              <w:t>8.7</w:t>
            </w:r>
          </w:p>
        </w:tc>
        <w:tc>
          <w:tcPr>
            <w:tcW w:w="1245" w:type="dxa"/>
            <w:shd w:val="clear" w:color="auto" w:fill="C4EFCE"/>
            <w:noWrap/>
            <w:vAlign w:val="center"/>
            <w:hideMark/>
          </w:tcPr>
          <w:p w14:paraId="4A5A0BD2" w14:textId="77777777" w:rsidR="00154AD2" w:rsidRDefault="007F6BF3">
            <w:pPr>
              <w:pStyle w:val="P68B1DB1-Normal8"/>
              <w:spacing w:after="0" w:line="240" w:lineRule="auto"/>
              <w:jc w:val="center"/>
              <w:rPr>
                <w:rFonts w:eastAsia="Times New Roman" w:cs="Calibri"/>
                <w:noProof/>
              </w:rPr>
            </w:pPr>
            <w:r>
              <w:rPr>
                <w:noProof/>
              </w:rPr>
              <w:t>RE-C08-i03</w:t>
            </w:r>
          </w:p>
        </w:tc>
        <w:tc>
          <w:tcPr>
            <w:tcW w:w="1107" w:type="dxa"/>
            <w:shd w:val="clear" w:color="auto" w:fill="C4EFCE"/>
            <w:noWrap/>
            <w:vAlign w:val="center"/>
            <w:hideMark/>
          </w:tcPr>
          <w:p w14:paraId="7B8443DD" w14:textId="77777777" w:rsidR="00154AD2" w:rsidRDefault="007F6BF3">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1C2C678E" w14:textId="799E37C6" w:rsidR="00154AD2" w:rsidRDefault="007F6BF3">
            <w:pPr>
              <w:pStyle w:val="P68B1DB1-Normal8"/>
              <w:spacing w:after="0" w:line="240" w:lineRule="auto"/>
              <w:jc w:val="center"/>
              <w:rPr>
                <w:rFonts w:eastAsia="Times New Roman" w:cs="Calibri"/>
                <w:noProof/>
              </w:rPr>
            </w:pPr>
            <w:r>
              <w:rPr>
                <w:noProof/>
              </w:rPr>
              <w:t>Δημοσίευση της σύμβασης του Δικτύου Δομήσεων Διαχείρισης Πρωτογενών Καυσίμων (RPFGC)</w:t>
            </w:r>
          </w:p>
        </w:tc>
        <w:tc>
          <w:tcPr>
            <w:tcW w:w="1244" w:type="dxa"/>
            <w:shd w:val="clear" w:color="auto" w:fill="C4EFCE"/>
            <w:noWrap/>
            <w:vAlign w:val="center"/>
            <w:hideMark/>
          </w:tcPr>
          <w:p w14:paraId="6E8D6636" w14:textId="1EBD3616" w:rsidR="00154AD2" w:rsidRDefault="007F6BF3">
            <w:pPr>
              <w:pStyle w:val="P68B1DB1-Normal8"/>
              <w:spacing w:after="0" w:line="240" w:lineRule="auto"/>
              <w:jc w:val="center"/>
              <w:rPr>
                <w:rFonts w:eastAsia="Times New Roman" w:cs="Calibri"/>
                <w:noProof/>
              </w:rPr>
            </w:pPr>
            <w:r>
              <w:rPr>
                <w:noProof/>
              </w:rPr>
              <w:t xml:space="preserve">Δημοσίευση της σύμβασης για το Δίκτυο Δομήσεων Διαχείρισης Πρωτογενών Καυσίμων (RPFGC) στην BASE.gov </w:t>
            </w:r>
          </w:p>
        </w:tc>
        <w:tc>
          <w:tcPr>
            <w:tcW w:w="971" w:type="dxa"/>
            <w:shd w:val="clear" w:color="auto" w:fill="C4EFCE"/>
            <w:noWrap/>
            <w:vAlign w:val="center"/>
            <w:hideMark/>
          </w:tcPr>
          <w:p w14:paraId="4197053A" w14:textId="77777777" w:rsidR="00154AD2" w:rsidRDefault="007F6BF3">
            <w:pPr>
              <w:pStyle w:val="P68B1DB1-Normal8"/>
              <w:spacing w:after="0" w:line="240" w:lineRule="auto"/>
              <w:jc w:val="center"/>
              <w:rPr>
                <w:rFonts w:eastAsia="Times New Roman" w:cs="Calibri"/>
                <w:noProof/>
              </w:rPr>
            </w:pPr>
            <w:r>
              <w:rPr>
                <w:noProof/>
              </w:rPr>
              <w:t> </w:t>
            </w:r>
          </w:p>
        </w:tc>
        <w:tc>
          <w:tcPr>
            <w:tcW w:w="970" w:type="dxa"/>
            <w:shd w:val="clear" w:color="auto" w:fill="C4EFCE"/>
            <w:noWrap/>
            <w:vAlign w:val="center"/>
            <w:hideMark/>
          </w:tcPr>
          <w:p w14:paraId="59B05337" w14:textId="77777777" w:rsidR="00154AD2" w:rsidRDefault="007F6BF3">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5C755A51" w14:textId="77777777" w:rsidR="00154AD2" w:rsidRDefault="007F6BF3">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1D16C080"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694" w:type="dxa"/>
            <w:shd w:val="clear" w:color="auto" w:fill="C4EFCE"/>
            <w:noWrap/>
            <w:vAlign w:val="center"/>
            <w:hideMark/>
          </w:tcPr>
          <w:p w14:paraId="0CE3B7A2" w14:textId="77777777" w:rsidR="00154AD2" w:rsidRDefault="007F6BF3">
            <w:pPr>
              <w:pStyle w:val="P68B1DB1-Normal8"/>
              <w:spacing w:after="0" w:line="240" w:lineRule="auto"/>
              <w:jc w:val="center"/>
              <w:rPr>
                <w:rFonts w:eastAsia="Times New Roman" w:cs="Calibri"/>
                <w:noProof/>
              </w:rPr>
            </w:pPr>
            <w:r>
              <w:rPr>
                <w:noProof/>
              </w:rPr>
              <w:t>2022</w:t>
            </w:r>
          </w:p>
        </w:tc>
        <w:tc>
          <w:tcPr>
            <w:tcW w:w="4204" w:type="dxa"/>
            <w:shd w:val="clear" w:color="auto" w:fill="C4EFCE"/>
            <w:vAlign w:val="center"/>
            <w:hideMark/>
          </w:tcPr>
          <w:p w14:paraId="1708801F" w14:textId="314FDF93" w:rsidR="00154AD2" w:rsidRDefault="007F6BF3">
            <w:pPr>
              <w:pStyle w:val="P68B1DB1-Normal8"/>
              <w:spacing w:after="0" w:line="240" w:lineRule="auto"/>
              <w:jc w:val="both"/>
              <w:rPr>
                <w:rFonts w:eastAsia="Times New Roman" w:cs="Calibri"/>
                <w:noProof/>
              </w:rPr>
            </w:pPr>
            <w:r>
              <w:rPr>
                <w:noProof/>
              </w:rPr>
              <w:t xml:space="preserve">Ανάθεση από την αρμόδια αρχή της σύμβασης για την υλοποίηση του Δικτύου Δομήσεων Διαχείρισης Πρωτογενών Καυσίμων (RPFGC) για τη δημιουργία οριζόντιων διακοπών στο τοπίο για την απομόνωση των εστιών πυρκαγιάς. </w:t>
            </w:r>
          </w:p>
        </w:tc>
      </w:tr>
      <w:tr w:rsidR="00154AD2" w14:paraId="2117A862" w14:textId="77777777">
        <w:trPr>
          <w:trHeight w:val="300"/>
          <w:jc w:val="center"/>
        </w:trPr>
        <w:tc>
          <w:tcPr>
            <w:tcW w:w="1114" w:type="dxa"/>
            <w:shd w:val="clear" w:color="auto" w:fill="C4EFCE"/>
            <w:vAlign w:val="center"/>
            <w:hideMark/>
          </w:tcPr>
          <w:p w14:paraId="5F5F4015" w14:textId="77777777" w:rsidR="00154AD2" w:rsidRDefault="007F6BF3">
            <w:pPr>
              <w:pStyle w:val="P68B1DB1-Normal7"/>
              <w:spacing w:after="0" w:line="240" w:lineRule="auto"/>
              <w:jc w:val="center"/>
              <w:rPr>
                <w:rFonts w:eastAsia="Times New Roman" w:cs="Calibri"/>
                <w:noProof/>
              </w:rPr>
            </w:pPr>
            <w:r>
              <w:rPr>
                <w:noProof/>
              </w:rPr>
              <w:t>8.8</w:t>
            </w:r>
          </w:p>
        </w:tc>
        <w:tc>
          <w:tcPr>
            <w:tcW w:w="1245" w:type="dxa"/>
            <w:shd w:val="clear" w:color="auto" w:fill="C4EFCE"/>
            <w:noWrap/>
            <w:vAlign w:val="center"/>
            <w:hideMark/>
          </w:tcPr>
          <w:p w14:paraId="642A4370" w14:textId="77777777" w:rsidR="00154AD2" w:rsidRDefault="007F6BF3">
            <w:pPr>
              <w:pStyle w:val="P68B1DB1-Normal8"/>
              <w:spacing w:after="0" w:line="240" w:lineRule="auto"/>
              <w:jc w:val="center"/>
              <w:rPr>
                <w:rFonts w:eastAsia="Times New Roman" w:cs="Calibri"/>
                <w:noProof/>
              </w:rPr>
            </w:pPr>
            <w:r>
              <w:rPr>
                <w:noProof/>
              </w:rPr>
              <w:t>RE-C08-i03</w:t>
            </w:r>
          </w:p>
        </w:tc>
        <w:tc>
          <w:tcPr>
            <w:tcW w:w="1107" w:type="dxa"/>
            <w:shd w:val="clear" w:color="auto" w:fill="C4EFCE"/>
            <w:noWrap/>
            <w:vAlign w:val="center"/>
            <w:hideMark/>
          </w:tcPr>
          <w:p w14:paraId="446A0969" w14:textId="77777777" w:rsidR="00154AD2" w:rsidRDefault="007F6BF3">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32F7E64D" w14:textId="77777777" w:rsidR="00154AD2" w:rsidRDefault="007F6BF3">
            <w:pPr>
              <w:pStyle w:val="P68B1DB1-Normal8"/>
              <w:spacing w:after="0" w:line="240" w:lineRule="auto"/>
              <w:jc w:val="center"/>
              <w:rPr>
                <w:rFonts w:eastAsia="Times New Roman" w:cs="Calibri"/>
                <w:noProof/>
              </w:rPr>
            </w:pPr>
            <w:r>
              <w:rPr>
                <w:noProof/>
              </w:rPr>
              <w:t>Καθιερωμένη έκταση δουλείας</w:t>
            </w:r>
          </w:p>
        </w:tc>
        <w:tc>
          <w:tcPr>
            <w:tcW w:w="1244" w:type="dxa"/>
            <w:shd w:val="clear" w:color="auto" w:fill="C4EFCE"/>
            <w:noWrap/>
            <w:vAlign w:val="center"/>
            <w:hideMark/>
          </w:tcPr>
          <w:p w14:paraId="6B4AD3B0" w14:textId="77777777" w:rsidR="00154AD2" w:rsidRDefault="007F6BF3">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30A7FE39" w14:textId="77777777" w:rsidR="00154AD2" w:rsidRDefault="007F6BF3">
            <w:pPr>
              <w:pStyle w:val="P68B1DB1-Normal8"/>
              <w:spacing w:after="0" w:line="240" w:lineRule="auto"/>
              <w:jc w:val="center"/>
              <w:rPr>
                <w:rFonts w:eastAsia="Times New Roman" w:cs="Calibri"/>
                <w:noProof/>
              </w:rPr>
            </w:pPr>
            <w:r>
              <w:rPr>
                <w:noProof/>
              </w:rPr>
              <w:t>εκτάρια</w:t>
            </w:r>
          </w:p>
        </w:tc>
        <w:tc>
          <w:tcPr>
            <w:tcW w:w="970" w:type="dxa"/>
            <w:shd w:val="clear" w:color="auto" w:fill="C4EFCE"/>
            <w:noWrap/>
            <w:vAlign w:val="center"/>
            <w:hideMark/>
          </w:tcPr>
          <w:p w14:paraId="37D0B124" w14:textId="77777777" w:rsidR="00154AD2" w:rsidRDefault="007F6BF3">
            <w:pPr>
              <w:pStyle w:val="P68B1DB1-Normal8"/>
              <w:spacing w:after="0" w:line="240" w:lineRule="auto"/>
              <w:jc w:val="center"/>
              <w:rPr>
                <w:rFonts w:eastAsia="Times New Roman" w:cs="Calibri"/>
                <w:noProof/>
              </w:rPr>
            </w:pPr>
            <w:r>
              <w:rPr>
                <w:noProof/>
              </w:rPr>
              <w:t> 0</w:t>
            </w:r>
          </w:p>
        </w:tc>
        <w:tc>
          <w:tcPr>
            <w:tcW w:w="603" w:type="dxa"/>
            <w:shd w:val="clear" w:color="auto" w:fill="C4EFCE"/>
            <w:noWrap/>
            <w:vAlign w:val="center"/>
            <w:hideMark/>
          </w:tcPr>
          <w:p w14:paraId="5C288326" w14:textId="77777777" w:rsidR="00154AD2" w:rsidRDefault="007F6BF3">
            <w:pPr>
              <w:pStyle w:val="P68B1DB1-Normal8"/>
              <w:spacing w:after="0" w:line="240" w:lineRule="auto"/>
              <w:jc w:val="center"/>
              <w:rPr>
                <w:rFonts w:eastAsia="Times New Roman" w:cs="Calibri"/>
                <w:noProof/>
              </w:rPr>
            </w:pPr>
            <w:r>
              <w:rPr>
                <w:noProof/>
              </w:rPr>
              <w:t>21 727</w:t>
            </w:r>
          </w:p>
        </w:tc>
        <w:tc>
          <w:tcPr>
            <w:tcW w:w="649" w:type="dxa"/>
            <w:shd w:val="clear" w:color="auto" w:fill="C4EFCE"/>
            <w:noWrap/>
            <w:vAlign w:val="center"/>
            <w:hideMark/>
          </w:tcPr>
          <w:p w14:paraId="193C372D"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694" w:type="dxa"/>
            <w:shd w:val="clear" w:color="auto" w:fill="C4EFCE"/>
            <w:noWrap/>
            <w:vAlign w:val="center"/>
            <w:hideMark/>
          </w:tcPr>
          <w:p w14:paraId="361D822E" w14:textId="50E1ABB3" w:rsidR="00154AD2" w:rsidRDefault="007F6BF3">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050DA219" w14:textId="1156CC5A" w:rsidR="00154AD2" w:rsidRDefault="007F6BF3">
            <w:pPr>
              <w:pStyle w:val="P68B1DB1-Normal8"/>
              <w:spacing w:after="0" w:line="240" w:lineRule="auto"/>
              <w:jc w:val="both"/>
              <w:rPr>
                <w:rFonts w:eastAsia="Times New Roman" w:cs="Calibri"/>
                <w:noProof/>
              </w:rPr>
            </w:pPr>
            <w:r>
              <w:rPr>
                <w:noProof/>
              </w:rPr>
              <w:t>Περιοχή δουλείας που σχηματίστηκε σε πρωτεύον δίκτυο διαλειμμάτων διαχείρισης καυσίμων (RPFGC)</w:t>
            </w:r>
          </w:p>
          <w:p w14:paraId="2517E778" w14:textId="6DC1028B" w:rsidR="00154AD2" w:rsidRDefault="007F6BF3">
            <w:pPr>
              <w:pStyle w:val="P68B1DB1-Normal8"/>
              <w:spacing w:after="0" w:line="240" w:lineRule="auto"/>
              <w:jc w:val="both"/>
              <w:rPr>
                <w:rFonts w:eastAsia="Times New Roman" w:cs="Calibri"/>
                <w:noProof/>
              </w:rPr>
            </w:pPr>
            <w:r>
              <w:rPr>
                <w:noProof/>
              </w:rPr>
              <w:t>Η έκταση αυτή θα συμπεριληφθεί στην πλατφόρμα BUPi ώστε να καταστεί δυνατή η επακόλουθη ειδική διαδικασία καταχώρισης.</w:t>
            </w:r>
          </w:p>
        </w:tc>
      </w:tr>
      <w:tr w:rsidR="00154AD2" w14:paraId="392C2D5D" w14:textId="77777777">
        <w:trPr>
          <w:trHeight w:val="430"/>
          <w:jc w:val="center"/>
        </w:trPr>
        <w:tc>
          <w:tcPr>
            <w:tcW w:w="1114" w:type="dxa"/>
            <w:shd w:val="clear" w:color="auto" w:fill="C4EFCE"/>
            <w:vAlign w:val="center"/>
            <w:hideMark/>
          </w:tcPr>
          <w:p w14:paraId="23A37D83" w14:textId="77777777" w:rsidR="00154AD2" w:rsidRDefault="007F6BF3">
            <w:pPr>
              <w:pStyle w:val="P68B1DB1-Normal7"/>
              <w:spacing w:after="0" w:line="240" w:lineRule="auto"/>
              <w:jc w:val="center"/>
              <w:rPr>
                <w:rFonts w:eastAsia="Times New Roman" w:cs="Calibri"/>
                <w:noProof/>
              </w:rPr>
            </w:pPr>
            <w:r>
              <w:rPr>
                <w:noProof/>
              </w:rPr>
              <w:t>8.9</w:t>
            </w:r>
          </w:p>
        </w:tc>
        <w:tc>
          <w:tcPr>
            <w:tcW w:w="1245" w:type="dxa"/>
            <w:shd w:val="clear" w:color="auto" w:fill="C4EFCE"/>
            <w:noWrap/>
            <w:vAlign w:val="center"/>
            <w:hideMark/>
          </w:tcPr>
          <w:p w14:paraId="5212D01F" w14:textId="77777777" w:rsidR="00154AD2" w:rsidRDefault="007F6BF3">
            <w:pPr>
              <w:pStyle w:val="P68B1DB1-Normal8"/>
              <w:spacing w:after="0" w:line="240" w:lineRule="auto"/>
              <w:jc w:val="center"/>
              <w:rPr>
                <w:rFonts w:eastAsia="Times New Roman" w:cs="Calibri"/>
                <w:noProof/>
              </w:rPr>
            </w:pPr>
            <w:r>
              <w:rPr>
                <w:noProof/>
              </w:rPr>
              <w:t>RE-C08-i03</w:t>
            </w:r>
          </w:p>
        </w:tc>
        <w:tc>
          <w:tcPr>
            <w:tcW w:w="1107" w:type="dxa"/>
            <w:shd w:val="clear" w:color="auto" w:fill="C4EFCE"/>
            <w:noWrap/>
            <w:vAlign w:val="center"/>
            <w:hideMark/>
          </w:tcPr>
          <w:p w14:paraId="36C724AE" w14:textId="77777777" w:rsidR="00154AD2" w:rsidRDefault="007F6BF3">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10D704E0" w14:textId="17A8A212" w:rsidR="00154AD2" w:rsidRDefault="007F6BF3">
            <w:pPr>
              <w:pStyle w:val="P68B1DB1-Normal8"/>
              <w:spacing w:after="0" w:line="240" w:lineRule="auto"/>
              <w:jc w:val="center"/>
              <w:rPr>
                <w:rFonts w:eastAsia="Times New Roman" w:cs="Calibri"/>
                <w:noProof/>
              </w:rPr>
            </w:pPr>
            <w:r>
              <w:rPr>
                <w:noProof/>
              </w:rPr>
              <w:t>Υλοποίηση του Δικτύου Δομής Αποβλημάτων Διαχείρισης Πρωτογενών Καυσίμων (RPFGC)</w:t>
            </w:r>
          </w:p>
        </w:tc>
        <w:tc>
          <w:tcPr>
            <w:tcW w:w="1244" w:type="dxa"/>
            <w:shd w:val="clear" w:color="auto" w:fill="C4EFCE"/>
            <w:noWrap/>
            <w:vAlign w:val="center"/>
            <w:hideMark/>
          </w:tcPr>
          <w:p w14:paraId="23E2BACD" w14:textId="77777777" w:rsidR="00154AD2" w:rsidRDefault="007F6BF3">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4C251181"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70" w:type="dxa"/>
            <w:shd w:val="clear" w:color="auto" w:fill="C4EFCE"/>
            <w:noWrap/>
            <w:vAlign w:val="center"/>
            <w:hideMark/>
          </w:tcPr>
          <w:p w14:paraId="451D6332" w14:textId="77777777" w:rsidR="00154AD2" w:rsidRDefault="007F6BF3">
            <w:pPr>
              <w:pStyle w:val="P68B1DB1-Normal8"/>
              <w:spacing w:after="0" w:line="240" w:lineRule="auto"/>
              <w:jc w:val="center"/>
              <w:rPr>
                <w:rFonts w:eastAsia="Times New Roman" w:cs="Calibri"/>
                <w:noProof/>
              </w:rPr>
            </w:pPr>
            <w:r>
              <w:rPr>
                <w:noProof/>
              </w:rPr>
              <w:t>0 </w:t>
            </w:r>
          </w:p>
        </w:tc>
        <w:tc>
          <w:tcPr>
            <w:tcW w:w="603" w:type="dxa"/>
            <w:shd w:val="clear" w:color="auto" w:fill="C4EFCE"/>
            <w:noWrap/>
            <w:vAlign w:val="center"/>
            <w:hideMark/>
          </w:tcPr>
          <w:p w14:paraId="13734D22" w14:textId="77777777" w:rsidR="00154AD2" w:rsidRDefault="007F6BF3">
            <w:pPr>
              <w:pStyle w:val="P68B1DB1-Normal8"/>
              <w:spacing w:after="0" w:line="240" w:lineRule="auto"/>
              <w:jc w:val="center"/>
              <w:rPr>
                <w:rFonts w:eastAsia="Times New Roman" w:cs="Calibri"/>
                <w:noProof/>
              </w:rPr>
            </w:pPr>
            <w:r>
              <w:rPr>
                <w:noProof/>
              </w:rPr>
              <w:t>37 500</w:t>
            </w:r>
          </w:p>
        </w:tc>
        <w:tc>
          <w:tcPr>
            <w:tcW w:w="649" w:type="dxa"/>
            <w:shd w:val="clear" w:color="auto" w:fill="C4EFCE"/>
            <w:noWrap/>
            <w:vAlign w:val="center"/>
            <w:hideMark/>
          </w:tcPr>
          <w:p w14:paraId="4962CE45"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94" w:type="dxa"/>
            <w:shd w:val="clear" w:color="auto" w:fill="C4EFCE"/>
            <w:noWrap/>
            <w:vAlign w:val="center"/>
            <w:hideMark/>
          </w:tcPr>
          <w:p w14:paraId="6E8FFA64" w14:textId="77777777" w:rsidR="00154AD2" w:rsidRDefault="007F6BF3">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2485B98D" w14:textId="3D8CF93E" w:rsidR="00154AD2" w:rsidRDefault="007F6BF3">
            <w:pPr>
              <w:pStyle w:val="P68B1DB1-Normal8"/>
              <w:spacing w:after="0" w:line="240" w:lineRule="auto"/>
              <w:jc w:val="both"/>
              <w:rPr>
                <w:rFonts w:eastAsia="Times New Roman" w:cs="Calibri"/>
                <w:noProof/>
              </w:rPr>
            </w:pPr>
            <w:r>
              <w:rPr>
                <w:noProof/>
              </w:rPr>
              <w:t>Υλοποιηθείσα έκταση (σε ha) του κύριου δικτύου διαλειμμάτων διαχείρισης καυσίμων (RPFGC) — δημιουργία οριζόντιων διακοπών (ζώνες διαχείρισης καυσίμων) στο τοπίο για την απομόνωση των εστιών πυρκαγιάς.</w:t>
            </w:r>
          </w:p>
        </w:tc>
      </w:tr>
      <w:tr w:rsidR="00154AD2" w14:paraId="13D047D8" w14:textId="77777777">
        <w:trPr>
          <w:trHeight w:val="430"/>
          <w:jc w:val="center"/>
        </w:trPr>
        <w:tc>
          <w:tcPr>
            <w:tcW w:w="1114" w:type="dxa"/>
            <w:shd w:val="clear" w:color="auto" w:fill="C4EFCE"/>
            <w:vAlign w:val="center"/>
            <w:hideMark/>
          </w:tcPr>
          <w:p w14:paraId="6ED52C23" w14:textId="77777777" w:rsidR="00154AD2" w:rsidRDefault="007F6BF3">
            <w:pPr>
              <w:pStyle w:val="P68B1DB1-Normal7"/>
              <w:spacing w:after="0" w:line="240" w:lineRule="auto"/>
              <w:jc w:val="center"/>
              <w:rPr>
                <w:rFonts w:eastAsia="Times New Roman" w:cs="Calibri"/>
                <w:noProof/>
              </w:rPr>
            </w:pPr>
            <w:r>
              <w:rPr>
                <w:noProof/>
              </w:rPr>
              <w:t>8.10</w:t>
            </w:r>
          </w:p>
        </w:tc>
        <w:tc>
          <w:tcPr>
            <w:tcW w:w="1245" w:type="dxa"/>
            <w:shd w:val="clear" w:color="auto" w:fill="C4EFCE"/>
            <w:noWrap/>
            <w:vAlign w:val="center"/>
            <w:hideMark/>
          </w:tcPr>
          <w:p w14:paraId="030B3560" w14:textId="77777777" w:rsidR="00154AD2" w:rsidRDefault="007F6BF3">
            <w:pPr>
              <w:pStyle w:val="P68B1DB1-Normal8"/>
              <w:spacing w:after="0" w:line="240" w:lineRule="auto"/>
              <w:jc w:val="center"/>
              <w:rPr>
                <w:rFonts w:eastAsia="Times New Roman" w:cs="Calibri"/>
                <w:noProof/>
              </w:rPr>
            </w:pPr>
            <w:r>
              <w:rPr>
                <w:noProof/>
              </w:rPr>
              <w:t>RE-C08-i04</w:t>
            </w:r>
          </w:p>
        </w:tc>
        <w:tc>
          <w:tcPr>
            <w:tcW w:w="1107" w:type="dxa"/>
            <w:shd w:val="clear" w:color="auto" w:fill="C4EFCE"/>
            <w:noWrap/>
            <w:vAlign w:val="center"/>
            <w:hideMark/>
          </w:tcPr>
          <w:p w14:paraId="600B64B0" w14:textId="77777777" w:rsidR="00154AD2" w:rsidRDefault="007F6BF3">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3022925A" w14:textId="77777777" w:rsidR="00154AD2" w:rsidRDefault="007F6BF3">
            <w:pPr>
              <w:pStyle w:val="P68B1DB1-Normal8"/>
              <w:spacing w:after="0" w:line="240" w:lineRule="auto"/>
              <w:jc w:val="center"/>
              <w:rPr>
                <w:rFonts w:eastAsia="Times New Roman" w:cs="Calibri"/>
                <w:noProof/>
              </w:rPr>
            </w:pPr>
            <w:r>
              <w:rPr>
                <w:noProof/>
              </w:rPr>
              <w:t>Παράδοση οχημάτων, μηχανημάτων και εξοπλισμού</w:t>
            </w:r>
          </w:p>
        </w:tc>
        <w:tc>
          <w:tcPr>
            <w:tcW w:w="1244" w:type="dxa"/>
            <w:shd w:val="clear" w:color="auto" w:fill="C4EFCE"/>
            <w:noWrap/>
            <w:vAlign w:val="center"/>
            <w:hideMark/>
          </w:tcPr>
          <w:p w14:paraId="39554C14" w14:textId="77777777" w:rsidR="00154AD2" w:rsidRDefault="007F6BF3">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18547CC0" w14:textId="77777777" w:rsidR="00154AD2" w:rsidRDefault="007F6BF3">
            <w:pPr>
              <w:pStyle w:val="P68B1DB1-Normal8"/>
              <w:spacing w:after="0" w:line="240" w:lineRule="auto"/>
              <w:jc w:val="center"/>
              <w:rPr>
                <w:rFonts w:eastAsia="Times New Roman" w:cs="Calibri"/>
                <w:noProof/>
              </w:rPr>
            </w:pPr>
            <w:r>
              <w:rPr>
                <w:noProof/>
              </w:rPr>
              <w:t xml:space="preserve"> Αριθμός</w:t>
            </w:r>
          </w:p>
        </w:tc>
        <w:tc>
          <w:tcPr>
            <w:tcW w:w="970" w:type="dxa"/>
            <w:shd w:val="clear" w:color="auto" w:fill="C4EFCE"/>
            <w:noWrap/>
            <w:vAlign w:val="center"/>
            <w:hideMark/>
          </w:tcPr>
          <w:p w14:paraId="7C429149" w14:textId="77777777" w:rsidR="00154AD2" w:rsidRDefault="007F6BF3">
            <w:pPr>
              <w:pStyle w:val="P68B1DB1-Normal8"/>
              <w:spacing w:after="0" w:line="240" w:lineRule="auto"/>
              <w:jc w:val="center"/>
              <w:rPr>
                <w:rFonts w:eastAsia="Times New Roman" w:cs="Calibri"/>
                <w:noProof/>
              </w:rPr>
            </w:pPr>
            <w:r>
              <w:rPr>
                <w:noProof/>
              </w:rPr>
              <w:t>0 </w:t>
            </w:r>
          </w:p>
        </w:tc>
        <w:tc>
          <w:tcPr>
            <w:tcW w:w="603" w:type="dxa"/>
            <w:shd w:val="clear" w:color="auto" w:fill="C4EFCE"/>
            <w:noWrap/>
            <w:vAlign w:val="center"/>
            <w:hideMark/>
          </w:tcPr>
          <w:p w14:paraId="20CC9EEC" w14:textId="77777777" w:rsidR="00154AD2" w:rsidRDefault="007F6BF3">
            <w:pPr>
              <w:pStyle w:val="P68B1DB1-Normal8"/>
              <w:spacing w:after="0" w:line="240" w:lineRule="auto"/>
              <w:jc w:val="center"/>
              <w:rPr>
                <w:rFonts w:eastAsia="Times New Roman" w:cs="Calibri"/>
                <w:noProof/>
              </w:rPr>
            </w:pPr>
            <w:r>
              <w:rPr>
                <w:noProof/>
              </w:rPr>
              <w:t>179</w:t>
            </w:r>
          </w:p>
        </w:tc>
        <w:tc>
          <w:tcPr>
            <w:tcW w:w="649" w:type="dxa"/>
            <w:shd w:val="clear" w:color="auto" w:fill="C4EFCE"/>
            <w:noWrap/>
            <w:vAlign w:val="center"/>
            <w:hideMark/>
          </w:tcPr>
          <w:p w14:paraId="64F991E2"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694" w:type="dxa"/>
            <w:shd w:val="clear" w:color="auto" w:fill="C4EFCE"/>
            <w:noWrap/>
            <w:vAlign w:val="center"/>
            <w:hideMark/>
          </w:tcPr>
          <w:p w14:paraId="555E763F" w14:textId="77777777" w:rsidR="00154AD2" w:rsidRDefault="007F6BF3">
            <w:pPr>
              <w:pStyle w:val="P68B1DB1-Normal8"/>
              <w:spacing w:after="0" w:line="240" w:lineRule="auto"/>
              <w:jc w:val="center"/>
              <w:rPr>
                <w:rFonts w:eastAsia="Times New Roman" w:cs="Calibri"/>
                <w:noProof/>
              </w:rPr>
            </w:pPr>
            <w:r>
              <w:rPr>
                <w:noProof/>
              </w:rPr>
              <w:t>2023</w:t>
            </w:r>
          </w:p>
        </w:tc>
        <w:tc>
          <w:tcPr>
            <w:tcW w:w="4204" w:type="dxa"/>
            <w:shd w:val="clear" w:color="auto" w:fill="C4EFCE"/>
            <w:vAlign w:val="center"/>
            <w:hideMark/>
          </w:tcPr>
          <w:p w14:paraId="23EB455A" w14:textId="77777777" w:rsidR="00154AD2" w:rsidRDefault="007F6BF3">
            <w:pPr>
              <w:pStyle w:val="P68B1DB1-Normal8"/>
              <w:spacing w:after="0" w:line="240" w:lineRule="auto"/>
              <w:jc w:val="both"/>
              <w:rPr>
                <w:rFonts w:eastAsia="Times New Roman" w:cs="Calibri"/>
                <w:noProof/>
              </w:rPr>
            </w:pPr>
            <w:r>
              <w:rPr>
                <w:noProof/>
              </w:rPr>
              <w:t>Παράδοση οχημάτων, μηχανημάτων και εξοπλισμού πυρόσβεσης και πυρόσβεσης μετά από επιβεβαίωση ότι πληρούν τις τεχνικές προδιαγραφές και άλλες συμβατικές απαιτήσεις, σύμφωνα με τη διαδικασία του διαγωνισμού.</w:t>
            </w:r>
          </w:p>
        </w:tc>
      </w:tr>
      <w:tr w:rsidR="00154AD2" w14:paraId="487ADD74" w14:textId="77777777">
        <w:trPr>
          <w:trHeight w:val="1109"/>
          <w:jc w:val="center"/>
        </w:trPr>
        <w:tc>
          <w:tcPr>
            <w:tcW w:w="1114" w:type="dxa"/>
            <w:shd w:val="clear" w:color="auto" w:fill="C4EFCE"/>
            <w:vAlign w:val="center"/>
            <w:hideMark/>
          </w:tcPr>
          <w:p w14:paraId="3860DB26" w14:textId="77777777" w:rsidR="00154AD2" w:rsidRDefault="007F6BF3">
            <w:pPr>
              <w:pStyle w:val="P68B1DB1-Normal7"/>
              <w:spacing w:after="0" w:line="240" w:lineRule="auto"/>
              <w:jc w:val="center"/>
              <w:rPr>
                <w:rFonts w:eastAsia="Times New Roman" w:cs="Calibri"/>
                <w:noProof/>
              </w:rPr>
            </w:pPr>
            <w:r>
              <w:rPr>
                <w:noProof/>
              </w:rPr>
              <w:t>8.11</w:t>
            </w:r>
          </w:p>
        </w:tc>
        <w:tc>
          <w:tcPr>
            <w:tcW w:w="1245" w:type="dxa"/>
            <w:shd w:val="clear" w:color="auto" w:fill="C4EFCE"/>
            <w:noWrap/>
            <w:vAlign w:val="center"/>
            <w:hideMark/>
          </w:tcPr>
          <w:p w14:paraId="76C404B0" w14:textId="77777777" w:rsidR="00154AD2" w:rsidRDefault="007F6BF3">
            <w:pPr>
              <w:pStyle w:val="P68B1DB1-Normal8"/>
              <w:spacing w:after="0" w:line="240" w:lineRule="auto"/>
              <w:jc w:val="center"/>
              <w:rPr>
                <w:rFonts w:eastAsia="Times New Roman" w:cs="Calibri"/>
                <w:noProof/>
              </w:rPr>
            </w:pPr>
            <w:r>
              <w:rPr>
                <w:noProof/>
              </w:rPr>
              <w:t>RE-C08-i04</w:t>
            </w:r>
          </w:p>
        </w:tc>
        <w:tc>
          <w:tcPr>
            <w:tcW w:w="1107" w:type="dxa"/>
            <w:shd w:val="clear" w:color="auto" w:fill="C4EFCE"/>
            <w:noWrap/>
            <w:vAlign w:val="center"/>
            <w:hideMark/>
          </w:tcPr>
          <w:p w14:paraId="58F4C381" w14:textId="77777777" w:rsidR="00154AD2" w:rsidRDefault="007F6BF3">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40FD1789" w14:textId="77777777" w:rsidR="00154AD2" w:rsidRDefault="007F6BF3">
            <w:pPr>
              <w:pStyle w:val="P68B1DB1-Normal8"/>
              <w:spacing w:after="0" w:line="240" w:lineRule="auto"/>
              <w:jc w:val="center"/>
              <w:rPr>
                <w:rFonts w:eastAsia="Times New Roman" w:cs="Calibri"/>
                <w:noProof/>
              </w:rPr>
            </w:pPr>
            <w:r>
              <w:rPr>
                <w:noProof/>
              </w:rPr>
              <w:t>Παράδοση ελαφρών και μεσαίων πυροσβεστικών ελικοπτέρων</w:t>
            </w:r>
          </w:p>
        </w:tc>
        <w:tc>
          <w:tcPr>
            <w:tcW w:w="1244" w:type="dxa"/>
            <w:shd w:val="clear" w:color="auto" w:fill="C4EFCE"/>
            <w:noWrap/>
            <w:vAlign w:val="center"/>
            <w:hideMark/>
          </w:tcPr>
          <w:p w14:paraId="487CBD48" w14:textId="77777777" w:rsidR="00154AD2" w:rsidRDefault="007F6BF3">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74765D2D" w14:textId="77777777" w:rsidR="00154AD2" w:rsidRDefault="007F6BF3">
            <w:pPr>
              <w:pStyle w:val="P68B1DB1-Normal8"/>
              <w:spacing w:after="0" w:line="240" w:lineRule="auto"/>
              <w:jc w:val="center"/>
              <w:rPr>
                <w:rFonts w:eastAsia="Times New Roman" w:cs="Calibri"/>
                <w:noProof/>
              </w:rPr>
            </w:pPr>
            <w:r>
              <w:rPr>
                <w:noProof/>
              </w:rPr>
              <w:t xml:space="preserve"> Αριθμός</w:t>
            </w:r>
          </w:p>
        </w:tc>
        <w:tc>
          <w:tcPr>
            <w:tcW w:w="970" w:type="dxa"/>
            <w:shd w:val="clear" w:color="auto" w:fill="C4EFCE"/>
            <w:noWrap/>
            <w:vAlign w:val="center"/>
            <w:hideMark/>
          </w:tcPr>
          <w:p w14:paraId="7BE1885F" w14:textId="77777777" w:rsidR="00154AD2" w:rsidRDefault="007F6BF3">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16399CA0" w14:textId="64428CEC" w:rsidR="00154AD2" w:rsidRDefault="007F6BF3">
            <w:pPr>
              <w:pStyle w:val="P68B1DB1-Normal8"/>
              <w:spacing w:after="0" w:line="240" w:lineRule="auto"/>
              <w:jc w:val="center"/>
              <w:rPr>
                <w:rFonts w:eastAsia="Calibri" w:cs="Calibri"/>
                <w:noProof/>
              </w:rPr>
            </w:pPr>
            <w:r>
              <w:rPr>
                <w:noProof/>
              </w:rPr>
              <w:t>11</w:t>
            </w:r>
          </w:p>
        </w:tc>
        <w:tc>
          <w:tcPr>
            <w:tcW w:w="649" w:type="dxa"/>
            <w:shd w:val="clear" w:color="auto" w:fill="C4EFCE"/>
            <w:noWrap/>
            <w:vAlign w:val="center"/>
            <w:hideMark/>
          </w:tcPr>
          <w:p w14:paraId="3B3A6032"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94" w:type="dxa"/>
            <w:shd w:val="clear" w:color="auto" w:fill="C4EFCE"/>
            <w:noWrap/>
            <w:vAlign w:val="center"/>
            <w:hideMark/>
          </w:tcPr>
          <w:p w14:paraId="49892F3C" w14:textId="77777777" w:rsidR="00154AD2" w:rsidRDefault="007F6BF3">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2EE5FF2B" w14:textId="7512F60A" w:rsidR="00154AD2" w:rsidRDefault="007F6BF3">
            <w:pPr>
              <w:pStyle w:val="P68B1DB1-Normal8"/>
              <w:spacing w:after="0" w:line="240" w:lineRule="auto"/>
              <w:jc w:val="both"/>
              <w:rPr>
                <w:rFonts w:eastAsia="Times New Roman" w:cs="Calibri"/>
                <w:noProof/>
              </w:rPr>
            </w:pPr>
            <w:r>
              <w:rPr>
                <w:noProof/>
              </w:rPr>
              <w:t>Παράδοση δύο ελαφρών πυροσβεστικών ελικοπτέρων (HEBL) και εννέα ελικοπτέρων μεσαίας πυρόσβεσης (HEBM) μετά από επιβεβαίωση ότι πληρούν τις τεχνικές προδιαγραφές και άλλες συμβατικές απαιτήσεις. Ο στόχος περιλαμβάνει επίσης την κατασκευή και/ή ανακαίνιση κτιρίων και υποδομών για τη χρήση και τη συντήρηση των ελικοπτέρων.</w:t>
            </w:r>
          </w:p>
        </w:tc>
      </w:tr>
      <w:tr w:rsidR="00154AD2" w14:paraId="3D57C30A" w14:textId="77777777">
        <w:trPr>
          <w:trHeight w:val="1602"/>
          <w:jc w:val="center"/>
        </w:trPr>
        <w:tc>
          <w:tcPr>
            <w:tcW w:w="1114" w:type="dxa"/>
            <w:shd w:val="clear" w:color="auto" w:fill="C4EFCE"/>
            <w:vAlign w:val="center"/>
            <w:hideMark/>
          </w:tcPr>
          <w:p w14:paraId="2C8E73E6" w14:textId="77777777" w:rsidR="00154AD2" w:rsidRDefault="007F6BF3">
            <w:pPr>
              <w:pStyle w:val="P68B1DB1-Normal7"/>
              <w:spacing w:after="0" w:line="240" w:lineRule="auto"/>
              <w:jc w:val="center"/>
              <w:rPr>
                <w:rFonts w:eastAsia="Times New Roman" w:cs="Calibri"/>
                <w:noProof/>
              </w:rPr>
            </w:pPr>
            <w:r>
              <w:rPr>
                <w:noProof/>
              </w:rPr>
              <w:t>8.12</w:t>
            </w:r>
          </w:p>
        </w:tc>
        <w:tc>
          <w:tcPr>
            <w:tcW w:w="1245" w:type="dxa"/>
            <w:shd w:val="clear" w:color="auto" w:fill="C4EFCE"/>
            <w:noWrap/>
            <w:vAlign w:val="center"/>
            <w:hideMark/>
          </w:tcPr>
          <w:p w14:paraId="70010057" w14:textId="77777777" w:rsidR="00154AD2" w:rsidRDefault="007F6BF3">
            <w:pPr>
              <w:pStyle w:val="P68B1DB1-Normal8"/>
              <w:spacing w:after="0" w:line="240" w:lineRule="auto"/>
              <w:jc w:val="center"/>
              <w:rPr>
                <w:rFonts w:eastAsia="Times New Roman" w:cs="Calibri"/>
                <w:noProof/>
              </w:rPr>
            </w:pPr>
            <w:r>
              <w:rPr>
                <w:noProof/>
              </w:rPr>
              <w:t>RE-C08-i04</w:t>
            </w:r>
          </w:p>
        </w:tc>
        <w:tc>
          <w:tcPr>
            <w:tcW w:w="1107" w:type="dxa"/>
            <w:shd w:val="clear" w:color="auto" w:fill="C4EFCE"/>
            <w:noWrap/>
            <w:vAlign w:val="center"/>
            <w:hideMark/>
          </w:tcPr>
          <w:p w14:paraId="7176F5E0" w14:textId="77777777" w:rsidR="00154AD2" w:rsidRDefault="007F6BF3">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7BC37E58" w14:textId="77777777" w:rsidR="00154AD2" w:rsidRDefault="007F6BF3">
            <w:pPr>
              <w:pStyle w:val="P68B1DB1-Normal8"/>
              <w:spacing w:after="0" w:line="240" w:lineRule="auto"/>
              <w:jc w:val="center"/>
              <w:rPr>
                <w:rFonts w:eastAsia="Times New Roman" w:cs="Calibri"/>
                <w:noProof/>
              </w:rPr>
            </w:pPr>
            <w:r>
              <w:rPr>
                <w:noProof/>
              </w:rPr>
              <w:t xml:space="preserve">Εγκατάσταση ραντάρ διπλής πόλωσης </w:t>
            </w:r>
          </w:p>
        </w:tc>
        <w:tc>
          <w:tcPr>
            <w:tcW w:w="1244" w:type="dxa"/>
            <w:shd w:val="clear" w:color="auto" w:fill="C4EFCE"/>
            <w:noWrap/>
            <w:vAlign w:val="center"/>
            <w:hideMark/>
          </w:tcPr>
          <w:p w14:paraId="15D2EC6F" w14:textId="77777777" w:rsidR="00154AD2" w:rsidRDefault="007F6BF3">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57C5188B" w14:textId="77777777" w:rsidR="00154AD2" w:rsidRDefault="007F6BF3">
            <w:pPr>
              <w:pStyle w:val="P68B1DB1-Normal8"/>
              <w:spacing w:after="0" w:line="240" w:lineRule="auto"/>
              <w:jc w:val="center"/>
              <w:rPr>
                <w:rFonts w:eastAsia="Times New Roman" w:cs="Calibri"/>
                <w:noProof/>
              </w:rPr>
            </w:pPr>
            <w:r>
              <w:rPr>
                <w:noProof/>
              </w:rPr>
              <w:t xml:space="preserve"> Αριθμός</w:t>
            </w:r>
          </w:p>
        </w:tc>
        <w:tc>
          <w:tcPr>
            <w:tcW w:w="970" w:type="dxa"/>
            <w:shd w:val="clear" w:color="auto" w:fill="C4EFCE"/>
            <w:noWrap/>
            <w:vAlign w:val="center"/>
            <w:hideMark/>
          </w:tcPr>
          <w:p w14:paraId="3F4B6B81" w14:textId="77777777" w:rsidR="00154AD2" w:rsidRDefault="007F6BF3">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4B6819FD" w14:textId="77777777" w:rsidR="00154AD2" w:rsidRDefault="007F6BF3">
            <w:pPr>
              <w:pStyle w:val="P68B1DB1-Normal8"/>
              <w:spacing w:after="0" w:line="240" w:lineRule="auto"/>
              <w:jc w:val="center"/>
              <w:rPr>
                <w:rFonts w:eastAsia="Times New Roman" w:cs="Calibri"/>
                <w:noProof/>
              </w:rPr>
            </w:pPr>
            <w:r>
              <w:rPr>
                <w:noProof/>
              </w:rPr>
              <w:t>2</w:t>
            </w:r>
          </w:p>
        </w:tc>
        <w:tc>
          <w:tcPr>
            <w:tcW w:w="649" w:type="dxa"/>
            <w:shd w:val="clear" w:color="auto" w:fill="C4EFCE"/>
            <w:noWrap/>
            <w:vAlign w:val="center"/>
            <w:hideMark/>
          </w:tcPr>
          <w:p w14:paraId="73B9EEDA" w14:textId="7375E0C1" w:rsidR="00154AD2" w:rsidRDefault="007F6BF3">
            <w:pPr>
              <w:pStyle w:val="P68B1DB1-Normal8"/>
              <w:spacing w:after="0" w:line="240" w:lineRule="auto"/>
              <w:jc w:val="center"/>
              <w:rPr>
                <w:rFonts w:eastAsia="Times New Roman" w:cs="Calibri"/>
                <w:noProof/>
              </w:rPr>
            </w:pPr>
            <w:r>
              <w:rPr>
                <w:noProof/>
              </w:rPr>
              <w:t>ΤΡΊΜΗΝΟ 4</w:t>
            </w:r>
          </w:p>
        </w:tc>
        <w:tc>
          <w:tcPr>
            <w:tcW w:w="694" w:type="dxa"/>
            <w:shd w:val="clear" w:color="auto" w:fill="C4EFCE"/>
            <w:noWrap/>
            <w:vAlign w:val="center"/>
            <w:hideMark/>
          </w:tcPr>
          <w:p w14:paraId="3F0D0945" w14:textId="77777777" w:rsidR="00154AD2" w:rsidRDefault="007F6BF3">
            <w:pPr>
              <w:pStyle w:val="P68B1DB1-Normal8"/>
              <w:spacing w:after="0" w:line="240" w:lineRule="auto"/>
              <w:jc w:val="center"/>
              <w:rPr>
                <w:rFonts w:eastAsia="Times New Roman" w:cs="Calibri"/>
                <w:noProof/>
              </w:rPr>
            </w:pPr>
            <w:r>
              <w:rPr>
                <w:noProof/>
              </w:rPr>
              <w:t>2023</w:t>
            </w:r>
          </w:p>
        </w:tc>
        <w:tc>
          <w:tcPr>
            <w:tcW w:w="4204" w:type="dxa"/>
            <w:shd w:val="clear" w:color="auto" w:fill="C4EFCE"/>
            <w:vAlign w:val="center"/>
            <w:hideMark/>
          </w:tcPr>
          <w:p w14:paraId="72298171" w14:textId="77777777" w:rsidR="00154AD2" w:rsidRDefault="007F6BF3">
            <w:pPr>
              <w:pStyle w:val="P68B1DB1-Normal8"/>
              <w:spacing w:after="0" w:line="240" w:lineRule="auto"/>
              <w:jc w:val="both"/>
              <w:rPr>
                <w:rFonts w:eastAsia="Times New Roman" w:cs="Calibri"/>
                <w:noProof/>
              </w:rPr>
            </w:pPr>
            <w:r>
              <w:rPr>
                <w:noProof/>
              </w:rPr>
              <w:t>Εγκατάσταση δύο ραντάρ διπλής πόλωσης με το απαραίτητο σύστημα πληροφορικής και αρχειοθέτησης, δύο κεραυνικούς ανιχνευτές και δύο μετεωρολογικούς σταθμούς καιρού. Η εγκατάσταση ολοκληρώθηκε μετά από επιβεβαίωση ότι ανταποκρίνονται στις τεχνικές προδιαγραφές και άλλες συμβατικές απαιτήσεις.</w:t>
            </w:r>
          </w:p>
        </w:tc>
      </w:tr>
      <w:tr w:rsidR="00154AD2" w14:paraId="28363569" w14:textId="77777777">
        <w:trPr>
          <w:trHeight w:val="430"/>
          <w:jc w:val="center"/>
        </w:trPr>
        <w:tc>
          <w:tcPr>
            <w:tcW w:w="1114" w:type="dxa"/>
            <w:shd w:val="clear" w:color="auto" w:fill="C4EFCE"/>
            <w:vAlign w:val="center"/>
            <w:hideMark/>
          </w:tcPr>
          <w:p w14:paraId="6AE21B31" w14:textId="77777777" w:rsidR="00154AD2" w:rsidRDefault="007F6BF3">
            <w:pPr>
              <w:pStyle w:val="P68B1DB1-Normal7"/>
              <w:spacing w:after="0" w:line="240" w:lineRule="auto"/>
              <w:jc w:val="center"/>
              <w:rPr>
                <w:rFonts w:eastAsia="Times New Roman" w:cs="Calibri"/>
                <w:noProof/>
              </w:rPr>
            </w:pPr>
            <w:r>
              <w:rPr>
                <w:noProof/>
              </w:rPr>
              <w:t>8.13</w:t>
            </w:r>
          </w:p>
        </w:tc>
        <w:tc>
          <w:tcPr>
            <w:tcW w:w="1245" w:type="dxa"/>
            <w:shd w:val="clear" w:color="auto" w:fill="C4EFCE"/>
            <w:noWrap/>
            <w:vAlign w:val="center"/>
            <w:hideMark/>
          </w:tcPr>
          <w:p w14:paraId="7F3A085B" w14:textId="77777777" w:rsidR="00154AD2" w:rsidRDefault="007F6BF3">
            <w:pPr>
              <w:pStyle w:val="P68B1DB1-Normal8"/>
              <w:spacing w:after="0" w:line="240" w:lineRule="auto"/>
              <w:jc w:val="center"/>
              <w:rPr>
                <w:rFonts w:eastAsia="Times New Roman" w:cs="Calibri"/>
                <w:noProof/>
              </w:rPr>
            </w:pPr>
            <w:r>
              <w:rPr>
                <w:noProof/>
              </w:rPr>
              <w:t>RE-C08-i05</w:t>
            </w:r>
          </w:p>
        </w:tc>
        <w:tc>
          <w:tcPr>
            <w:tcW w:w="1107" w:type="dxa"/>
            <w:shd w:val="clear" w:color="auto" w:fill="C4EFCE"/>
            <w:noWrap/>
            <w:vAlign w:val="center"/>
            <w:hideMark/>
          </w:tcPr>
          <w:p w14:paraId="705F7814" w14:textId="77777777" w:rsidR="00154AD2" w:rsidRDefault="007F6BF3">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198E7C32" w14:textId="77777777" w:rsidR="00154AD2" w:rsidRDefault="007F6BF3">
            <w:pPr>
              <w:pStyle w:val="P68B1DB1-Normal8"/>
              <w:spacing w:after="0" w:line="240" w:lineRule="auto"/>
              <w:jc w:val="center"/>
              <w:rPr>
                <w:rFonts w:eastAsia="Times New Roman" w:cs="Calibri"/>
                <w:noProof/>
              </w:rPr>
            </w:pPr>
            <w:r>
              <w:rPr>
                <w:noProof/>
              </w:rPr>
              <w:t>Ενίσχυση των φορέων του Υπουργείου Εσωτερικών (MAI) με οχήματα και εξοπλισμό λειτουργίας</w:t>
            </w:r>
          </w:p>
        </w:tc>
        <w:tc>
          <w:tcPr>
            <w:tcW w:w="1244" w:type="dxa"/>
            <w:shd w:val="clear" w:color="auto" w:fill="C4EFCE"/>
            <w:noWrap/>
            <w:vAlign w:val="center"/>
            <w:hideMark/>
          </w:tcPr>
          <w:p w14:paraId="0A3F576B" w14:textId="77777777" w:rsidR="00154AD2" w:rsidRDefault="007F6BF3">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3B0961C3"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70" w:type="dxa"/>
            <w:shd w:val="clear" w:color="auto" w:fill="C4EFCE"/>
            <w:noWrap/>
            <w:vAlign w:val="center"/>
            <w:hideMark/>
          </w:tcPr>
          <w:p w14:paraId="71F85106" w14:textId="77777777" w:rsidR="00154AD2" w:rsidRDefault="007F6BF3">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5E49558E" w14:textId="77777777" w:rsidR="00154AD2" w:rsidRDefault="007F6BF3">
            <w:pPr>
              <w:pStyle w:val="P68B1DB1-Normal8"/>
              <w:spacing w:after="0" w:line="240" w:lineRule="auto"/>
              <w:jc w:val="center"/>
              <w:rPr>
                <w:rFonts w:eastAsia="Times New Roman" w:cs="Calibri"/>
                <w:noProof/>
              </w:rPr>
            </w:pPr>
            <w:r>
              <w:rPr>
                <w:noProof/>
              </w:rPr>
              <w:t>62</w:t>
            </w:r>
          </w:p>
        </w:tc>
        <w:tc>
          <w:tcPr>
            <w:tcW w:w="649" w:type="dxa"/>
            <w:shd w:val="clear" w:color="auto" w:fill="C4EFCE"/>
            <w:noWrap/>
            <w:vAlign w:val="center"/>
            <w:hideMark/>
          </w:tcPr>
          <w:p w14:paraId="3E640486"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94" w:type="dxa"/>
            <w:shd w:val="clear" w:color="auto" w:fill="C4EFCE"/>
            <w:noWrap/>
            <w:vAlign w:val="center"/>
            <w:hideMark/>
          </w:tcPr>
          <w:p w14:paraId="1E0E5DA7" w14:textId="77777777" w:rsidR="00154AD2" w:rsidRDefault="007F6BF3">
            <w:pPr>
              <w:pStyle w:val="P68B1DB1-Normal8"/>
              <w:spacing w:after="0" w:line="240" w:lineRule="auto"/>
              <w:jc w:val="center"/>
              <w:rPr>
                <w:rFonts w:eastAsia="Times New Roman" w:cs="Calibri"/>
                <w:noProof/>
              </w:rPr>
            </w:pPr>
            <w:r>
              <w:rPr>
                <w:noProof/>
              </w:rPr>
              <w:t>2024</w:t>
            </w:r>
          </w:p>
        </w:tc>
        <w:tc>
          <w:tcPr>
            <w:tcW w:w="4204" w:type="dxa"/>
            <w:shd w:val="clear" w:color="auto" w:fill="C4EFCE"/>
            <w:vAlign w:val="center"/>
            <w:hideMark/>
          </w:tcPr>
          <w:p w14:paraId="282B8265" w14:textId="17A1E554" w:rsidR="00154AD2" w:rsidRDefault="007F6BF3">
            <w:pPr>
              <w:pStyle w:val="P68B1DB1-Normal8"/>
              <w:spacing w:after="0" w:line="240" w:lineRule="auto"/>
              <w:jc w:val="both"/>
              <w:rPr>
                <w:rFonts w:eastAsia="Times New Roman" w:cs="Calibri"/>
                <w:noProof/>
              </w:rPr>
            </w:pPr>
            <w:r>
              <w:rPr>
                <w:noProof/>
              </w:rPr>
              <w:t xml:space="preserve">Ενίσχυση 62 φορέων MAI (ANEPC, GNR και πυροσβεστικές υπηρεσίες) με την παροχή κατάρτισης και προσόντων στο επιχειρησιακό προσωπικό που ασχολείται με την πυρόσβεση, τα νέα οχήματα και τον επιχειρησιακό εξοπλισμό, ύψους τουλάχιστον 35 000 000 EUR. </w:t>
            </w:r>
          </w:p>
        </w:tc>
      </w:tr>
      <w:tr w:rsidR="00154AD2" w14:paraId="57E6AB3E" w14:textId="77777777">
        <w:trPr>
          <w:trHeight w:val="430"/>
          <w:jc w:val="center"/>
        </w:trPr>
        <w:tc>
          <w:tcPr>
            <w:tcW w:w="1114" w:type="dxa"/>
            <w:shd w:val="clear" w:color="auto" w:fill="C4EFCE"/>
            <w:vAlign w:val="center"/>
            <w:hideMark/>
          </w:tcPr>
          <w:p w14:paraId="42ABB305" w14:textId="77777777" w:rsidR="00154AD2" w:rsidRDefault="007F6BF3">
            <w:pPr>
              <w:pStyle w:val="P68B1DB1-Normal7"/>
              <w:spacing w:after="0" w:line="240" w:lineRule="auto"/>
              <w:jc w:val="center"/>
              <w:rPr>
                <w:rFonts w:eastAsia="Times New Roman" w:cs="Calibri"/>
                <w:noProof/>
              </w:rPr>
            </w:pPr>
            <w:r>
              <w:rPr>
                <w:noProof/>
              </w:rPr>
              <w:t>8.14</w:t>
            </w:r>
          </w:p>
        </w:tc>
        <w:tc>
          <w:tcPr>
            <w:tcW w:w="1245" w:type="dxa"/>
            <w:shd w:val="clear" w:color="auto" w:fill="C4EFCE"/>
            <w:noWrap/>
            <w:vAlign w:val="center"/>
            <w:hideMark/>
          </w:tcPr>
          <w:p w14:paraId="4FFF914B" w14:textId="77777777" w:rsidR="00154AD2" w:rsidRDefault="007F6BF3">
            <w:pPr>
              <w:pStyle w:val="P68B1DB1-Normal8"/>
              <w:spacing w:after="0" w:line="240" w:lineRule="auto"/>
              <w:jc w:val="center"/>
              <w:rPr>
                <w:rFonts w:eastAsia="Times New Roman" w:cs="Calibri"/>
                <w:noProof/>
              </w:rPr>
            </w:pPr>
            <w:r>
              <w:rPr>
                <w:noProof/>
              </w:rPr>
              <w:t>RE-C08-i05</w:t>
            </w:r>
          </w:p>
        </w:tc>
        <w:tc>
          <w:tcPr>
            <w:tcW w:w="1107" w:type="dxa"/>
            <w:shd w:val="clear" w:color="auto" w:fill="C4EFCE"/>
            <w:noWrap/>
            <w:vAlign w:val="center"/>
            <w:hideMark/>
          </w:tcPr>
          <w:p w14:paraId="1A75D938" w14:textId="77777777" w:rsidR="00154AD2" w:rsidRDefault="007F6BF3">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361AED32" w14:textId="77777777" w:rsidR="00154AD2" w:rsidRDefault="007F6BF3">
            <w:pPr>
              <w:pStyle w:val="P68B1DB1-Normal8"/>
              <w:spacing w:after="0" w:line="240" w:lineRule="auto"/>
              <w:jc w:val="center"/>
              <w:rPr>
                <w:rFonts w:eastAsia="Times New Roman" w:cs="Calibri"/>
                <w:noProof/>
              </w:rPr>
            </w:pPr>
            <w:r>
              <w:rPr>
                <w:noProof/>
              </w:rPr>
              <w:t>Δημιουργία περιφερειακών και υποπεριφερειακών δομών της Εθνικής Αρχής Έκτακτης Ανάγκης και Πολιτικής Προστασίας (ANEPC)</w:t>
            </w:r>
          </w:p>
        </w:tc>
        <w:tc>
          <w:tcPr>
            <w:tcW w:w="1244" w:type="dxa"/>
            <w:shd w:val="clear" w:color="auto" w:fill="C4EFCE"/>
            <w:noWrap/>
            <w:vAlign w:val="center"/>
            <w:hideMark/>
          </w:tcPr>
          <w:p w14:paraId="420A6551" w14:textId="77777777" w:rsidR="00154AD2" w:rsidRDefault="007F6BF3">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23DD9936"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70" w:type="dxa"/>
            <w:shd w:val="clear" w:color="auto" w:fill="C4EFCE"/>
            <w:noWrap/>
            <w:vAlign w:val="center"/>
            <w:hideMark/>
          </w:tcPr>
          <w:p w14:paraId="074B7CB8" w14:textId="77777777" w:rsidR="00154AD2" w:rsidRDefault="007F6BF3">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75FC58FC" w14:textId="77777777" w:rsidR="00154AD2" w:rsidRDefault="007F6BF3">
            <w:pPr>
              <w:pStyle w:val="P68B1DB1-Normal8"/>
              <w:spacing w:after="0" w:line="240" w:lineRule="auto"/>
              <w:jc w:val="center"/>
              <w:rPr>
                <w:rFonts w:eastAsia="Times New Roman" w:cs="Calibri"/>
                <w:noProof/>
              </w:rPr>
            </w:pPr>
            <w:r>
              <w:rPr>
                <w:noProof/>
              </w:rPr>
              <w:t>6</w:t>
            </w:r>
          </w:p>
        </w:tc>
        <w:tc>
          <w:tcPr>
            <w:tcW w:w="649" w:type="dxa"/>
            <w:shd w:val="clear" w:color="auto" w:fill="C4EFCE"/>
            <w:noWrap/>
            <w:vAlign w:val="center"/>
            <w:hideMark/>
          </w:tcPr>
          <w:p w14:paraId="6CEEB9F3"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694" w:type="dxa"/>
            <w:shd w:val="clear" w:color="auto" w:fill="C4EFCE"/>
            <w:noWrap/>
            <w:vAlign w:val="center"/>
            <w:hideMark/>
          </w:tcPr>
          <w:p w14:paraId="1D60899A" w14:textId="77777777" w:rsidR="00154AD2" w:rsidRDefault="007F6BF3">
            <w:pPr>
              <w:pStyle w:val="P68B1DB1-Normal8"/>
              <w:spacing w:after="0" w:line="240" w:lineRule="auto"/>
              <w:jc w:val="center"/>
              <w:rPr>
                <w:rFonts w:eastAsia="Times New Roman" w:cs="Calibri"/>
                <w:noProof/>
              </w:rPr>
            </w:pPr>
            <w:r>
              <w:rPr>
                <w:noProof/>
              </w:rPr>
              <w:t>2022</w:t>
            </w:r>
          </w:p>
        </w:tc>
        <w:tc>
          <w:tcPr>
            <w:tcW w:w="4204" w:type="dxa"/>
            <w:shd w:val="clear" w:color="auto" w:fill="C4EFCE"/>
            <w:vAlign w:val="center"/>
            <w:hideMark/>
          </w:tcPr>
          <w:p w14:paraId="1B8BA932" w14:textId="77777777" w:rsidR="00154AD2" w:rsidRDefault="007F6BF3">
            <w:pPr>
              <w:pStyle w:val="P68B1DB1-Normal8"/>
              <w:spacing w:after="0" w:line="240" w:lineRule="auto"/>
              <w:jc w:val="both"/>
              <w:rPr>
                <w:rFonts w:eastAsia="Times New Roman" w:cs="Calibri"/>
                <w:noProof/>
              </w:rPr>
            </w:pPr>
            <w:r>
              <w:rPr>
                <w:noProof/>
              </w:rPr>
              <w:t>Έναρξη λειτουργίας δύο περιφερειακών και τεσσάρων υποπεριφερειακών αρχών έκτακτης ανάγκης και πολιτικής προστασίας (όπως ορίζονται στο νομοθετικό διάταγμα αριθ. 45/2019 της 1 Απριλίου 2019)</w:t>
            </w:r>
          </w:p>
        </w:tc>
      </w:tr>
      <w:tr w:rsidR="00154AD2" w14:paraId="1BD51647" w14:textId="77777777">
        <w:trPr>
          <w:trHeight w:val="430"/>
          <w:jc w:val="center"/>
        </w:trPr>
        <w:tc>
          <w:tcPr>
            <w:tcW w:w="1114" w:type="dxa"/>
            <w:shd w:val="clear" w:color="auto" w:fill="C4EFCE"/>
            <w:vAlign w:val="center"/>
          </w:tcPr>
          <w:p w14:paraId="735E7B4B" w14:textId="650A0E03" w:rsidR="00154AD2" w:rsidRDefault="007F6BF3">
            <w:pPr>
              <w:pStyle w:val="P68B1DB1-Normal7"/>
              <w:spacing w:after="0" w:line="240" w:lineRule="auto"/>
              <w:jc w:val="center"/>
              <w:rPr>
                <w:rFonts w:eastAsia="Times New Roman" w:cs="Calibri"/>
                <w:noProof/>
              </w:rPr>
            </w:pPr>
            <w:r>
              <w:rPr>
                <w:noProof/>
              </w:rPr>
              <w:t>8.21</w:t>
            </w:r>
          </w:p>
        </w:tc>
        <w:tc>
          <w:tcPr>
            <w:tcW w:w="1245" w:type="dxa"/>
            <w:shd w:val="clear" w:color="auto" w:fill="C4EFCE"/>
            <w:noWrap/>
            <w:vAlign w:val="center"/>
          </w:tcPr>
          <w:p w14:paraId="0AACDDC4" w14:textId="25407601" w:rsidR="00154AD2" w:rsidRDefault="007F6BF3">
            <w:pPr>
              <w:pStyle w:val="P68B1DB1-Normal8"/>
              <w:spacing w:after="0" w:line="240" w:lineRule="auto"/>
              <w:jc w:val="center"/>
              <w:rPr>
                <w:rFonts w:eastAsia="Times New Roman" w:cs="Calibri"/>
                <w:noProof/>
              </w:rPr>
            </w:pPr>
            <w:r>
              <w:rPr>
                <w:noProof/>
              </w:rPr>
              <w:t>RE-C08-i05</w:t>
            </w:r>
          </w:p>
        </w:tc>
        <w:tc>
          <w:tcPr>
            <w:tcW w:w="1107" w:type="dxa"/>
            <w:shd w:val="clear" w:color="auto" w:fill="C4EFCE"/>
            <w:noWrap/>
            <w:vAlign w:val="center"/>
          </w:tcPr>
          <w:p w14:paraId="24C462E0" w14:textId="4B2BBB0B" w:rsidR="00154AD2" w:rsidRDefault="007F6BF3">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tcPr>
          <w:p w14:paraId="1D11E778" w14:textId="31BAF8A5" w:rsidR="00154AD2" w:rsidRDefault="007F6BF3">
            <w:pPr>
              <w:pStyle w:val="P68B1DB1-Normal8"/>
              <w:spacing w:after="0" w:line="240" w:lineRule="auto"/>
              <w:jc w:val="center"/>
              <w:rPr>
                <w:rFonts w:eastAsia="Times New Roman" w:cs="Calibri"/>
                <w:noProof/>
              </w:rPr>
            </w:pPr>
            <w:r>
              <w:rPr>
                <w:noProof/>
              </w:rPr>
              <w:t>Ανάπτυξη εκστρατείας ευαισθητοποίησης για την πρόληψη επικίνδυνων συμπεριφορών</w:t>
            </w:r>
          </w:p>
        </w:tc>
        <w:tc>
          <w:tcPr>
            <w:tcW w:w="1244" w:type="dxa"/>
            <w:shd w:val="clear" w:color="auto" w:fill="C4EFCE"/>
            <w:noWrap/>
            <w:vAlign w:val="center"/>
          </w:tcPr>
          <w:p w14:paraId="52E9B3FE" w14:textId="580495C0" w:rsidR="00154AD2" w:rsidRDefault="007F6BF3">
            <w:pPr>
              <w:pStyle w:val="P68B1DB1-Normal8"/>
              <w:spacing w:after="0" w:line="240" w:lineRule="auto"/>
              <w:jc w:val="center"/>
              <w:rPr>
                <w:rFonts w:eastAsia="Times New Roman" w:cs="Calibri"/>
                <w:noProof/>
              </w:rPr>
            </w:pPr>
            <w:r>
              <w:rPr>
                <w:noProof/>
              </w:rPr>
              <w:t>Ολοκλήρωση της εκστρατείας ευαισθητοποίησης</w:t>
            </w:r>
          </w:p>
        </w:tc>
        <w:tc>
          <w:tcPr>
            <w:tcW w:w="971" w:type="dxa"/>
            <w:shd w:val="clear" w:color="auto" w:fill="C4EFCE"/>
            <w:noWrap/>
            <w:vAlign w:val="center"/>
          </w:tcPr>
          <w:p w14:paraId="6AAB0976" w14:textId="77777777" w:rsidR="00154AD2" w:rsidRDefault="00154AD2">
            <w:pPr>
              <w:spacing w:after="0" w:line="240" w:lineRule="auto"/>
              <w:jc w:val="center"/>
              <w:rPr>
                <w:rFonts w:ascii="Calibri" w:eastAsia="Times New Roman" w:hAnsi="Calibri" w:cs="Calibri"/>
                <w:noProof/>
                <w:sz w:val="16"/>
              </w:rPr>
            </w:pPr>
          </w:p>
        </w:tc>
        <w:tc>
          <w:tcPr>
            <w:tcW w:w="970" w:type="dxa"/>
            <w:shd w:val="clear" w:color="auto" w:fill="C4EFCE"/>
            <w:noWrap/>
            <w:vAlign w:val="center"/>
          </w:tcPr>
          <w:p w14:paraId="3E96ED2D" w14:textId="77777777" w:rsidR="00154AD2" w:rsidRDefault="00154AD2">
            <w:pPr>
              <w:spacing w:after="0" w:line="240" w:lineRule="auto"/>
              <w:jc w:val="center"/>
              <w:rPr>
                <w:rFonts w:ascii="Calibri" w:eastAsia="Times New Roman" w:hAnsi="Calibri" w:cs="Calibri"/>
                <w:noProof/>
                <w:sz w:val="16"/>
              </w:rPr>
            </w:pPr>
          </w:p>
        </w:tc>
        <w:tc>
          <w:tcPr>
            <w:tcW w:w="603" w:type="dxa"/>
            <w:shd w:val="clear" w:color="auto" w:fill="C4EFCE"/>
            <w:noWrap/>
            <w:vAlign w:val="center"/>
          </w:tcPr>
          <w:p w14:paraId="3F15B41C" w14:textId="77777777" w:rsidR="00154AD2" w:rsidRDefault="00154AD2">
            <w:pPr>
              <w:spacing w:after="0" w:line="240" w:lineRule="auto"/>
              <w:jc w:val="center"/>
              <w:rPr>
                <w:rFonts w:ascii="Calibri" w:eastAsia="Times New Roman" w:hAnsi="Calibri" w:cs="Calibri"/>
                <w:noProof/>
                <w:sz w:val="16"/>
              </w:rPr>
            </w:pPr>
          </w:p>
        </w:tc>
        <w:tc>
          <w:tcPr>
            <w:tcW w:w="649" w:type="dxa"/>
            <w:shd w:val="clear" w:color="auto" w:fill="C4EFCE"/>
            <w:noWrap/>
            <w:vAlign w:val="center"/>
          </w:tcPr>
          <w:p w14:paraId="3EAB6B11" w14:textId="1E35D20C" w:rsidR="00154AD2" w:rsidRDefault="007F6BF3">
            <w:pPr>
              <w:pStyle w:val="P68B1DB1-Normal8"/>
              <w:spacing w:after="0" w:line="240" w:lineRule="auto"/>
              <w:jc w:val="center"/>
              <w:rPr>
                <w:rFonts w:eastAsia="Times New Roman" w:cs="Calibri"/>
                <w:noProof/>
              </w:rPr>
            </w:pPr>
            <w:r>
              <w:rPr>
                <w:noProof/>
              </w:rPr>
              <w:t>ΤΡΊΜΗΝΟ 1</w:t>
            </w:r>
          </w:p>
        </w:tc>
        <w:tc>
          <w:tcPr>
            <w:tcW w:w="694" w:type="dxa"/>
            <w:shd w:val="clear" w:color="auto" w:fill="C4EFCE"/>
            <w:noWrap/>
            <w:vAlign w:val="center"/>
          </w:tcPr>
          <w:p w14:paraId="51373D4C" w14:textId="4B225C32" w:rsidR="00154AD2" w:rsidRDefault="007F6BF3">
            <w:pPr>
              <w:pStyle w:val="P68B1DB1-Normal8"/>
              <w:spacing w:after="0" w:line="240" w:lineRule="auto"/>
              <w:jc w:val="center"/>
              <w:rPr>
                <w:rFonts w:eastAsia="Times New Roman" w:cs="Calibri"/>
                <w:noProof/>
              </w:rPr>
            </w:pPr>
            <w:r>
              <w:rPr>
                <w:noProof/>
              </w:rPr>
              <w:t>2024</w:t>
            </w:r>
          </w:p>
        </w:tc>
        <w:tc>
          <w:tcPr>
            <w:tcW w:w="4204" w:type="dxa"/>
            <w:shd w:val="clear" w:color="auto" w:fill="C4EFCE"/>
            <w:vAlign w:val="center"/>
          </w:tcPr>
          <w:p w14:paraId="4F376972" w14:textId="22BF7B73" w:rsidR="00154AD2" w:rsidRDefault="007F6BF3">
            <w:pPr>
              <w:pStyle w:val="P68B1DB1-Normal8"/>
              <w:spacing w:after="0" w:line="240" w:lineRule="auto"/>
              <w:jc w:val="both"/>
              <w:rPr>
                <w:rFonts w:eastAsia="Times New Roman" w:cs="Calibri"/>
                <w:noProof/>
              </w:rPr>
            </w:pPr>
            <w:r>
              <w:rPr>
                <w:noProof/>
              </w:rPr>
              <w:t>Ανάπτυξη εκστρατειών ευαισθητοποίησης και ενημέρωσης στο πλαίσιο των προγραμμάτων «Ασφαλές χωριό» και «Ασφαλείς άνθρωποι» για την πρόληψη επικίνδυνων συμπεριφορών στον πληθυσμό</w:t>
            </w:r>
          </w:p>
        </w:tc>
      </w:tr>
      <w:tr w:rsidR="00154AD2" w14:paraId="238DE77F" w14:textId="77777777">
        <w:trPr>
          <w:trHeight w:val="509"/>
          <w:jc w:val="center"/>
        </w:trPr>
        <w:tc>
          <w:tcPr>
            <w:tcW w:w="1114" w:type="dxa"/>
            <w:shd w:val="clear" w:color="auto" w:fill="C4EFCE"/>
            <w:vAlign w:val="center"/>
            <w:hideMark/>
          </w:tcPr>
          <w:p w14:paraId="47445FAF" w14:textId="77777777" w:rsidR="00154AD2" w:rsidRDefault="007F6BF3">
            <w:pPr>
              <w:pStyle w:val="P68B1DB1-Normal7"/>
              <w:spacing w:after="0" w:line="240" w:lineRule="auto"/>
              <w:jc w:val="center"/>
              <w:rPr>
                <w:rFonts w:eastAsia="Times New Roman" w:cs="Calibri"/>
                <w:noProof/>
              </w:rPr>
            </w:pPr>
            <w:r>
              <w:rPr>
                <w:noProof/>
              </w:rPr>
              <w:t>8.15</w:t>
            </w:r>
          </w:p>
        </w:tc>
        <w:tc>
          <w:tcPr>
            <w:tcW w:w="1245" w:type="dxa"/>
            <w:shd w:val="clear" w:color="auto" w:fill="C4EFCE"/>
            <w:noWrap/>
            <w:vAlign w:val="center"/>
            <w:hideMark/>
          </w:tcPr>
          <w:p w14:paraId="2517A793" w14:textId="77777777" w:rsidR="00154AD2" w:rsidRDefault="007F6BF3">
            <w:pPr>
              <w:pStyle w:val="P68B1DB1-Normal8"/>
              <w:spacing w:after="0" w:line="240" w:lineRule="auto"/>
              <w:jc w:val="center"/>
              <w:rPr>
                <w:rFonts w:eastAsia="Times New Roman" w:cs="Calibri"/>
                <w:noProof/>
              </w:rPr>
            </w:pPr>
            <w:r>
              <w:rPr>
                <w:noProof/>
              </w:rPr>
              <w:t>RE-C08-i05</w:t>
            </w:r>
          </w:p>
        </w:tc>
        <w:tc>
          <w:tcPr>
            <w:tcW w:w="1107" w:type="dxa"/>
            <w:shd w:val="clear" w:color="auto" w:fill="C4EFCE"/>
            <w:noWrap/>
            <w:vAlign w:val="center"/>
            <w:hideMark/>
          </w:tcPr>
          <w:p w14:paraId="17847491" w14:textId="77777777" w:rsidR="00154AD2" w:rsidRDefault="007F6BF3">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4F78A110" w14:textId="38D2100B" w:rsidR="00154AD2" w:rsidRDefault="007F6BF3">
            <w:pPr>
              <w:pStyle w:val="P68B1DB1-Normal8"/>
              <w:spacing w:after="0" w:line="240" w:lineRule="auto"/>
              <w:jc w:val="center"/>
              <w:rPr>
                <w:rFonts w:eastAsia="Times New Roman" w:cs="Calibri"/>
                <w:noProof/>
              </w:rPr>
            </w:pPr>
            <w:r>
              <w:rPr>
                <w:noProof/>
              </w:rPr>
              <w:t>Δημοσίευση της αρχικής έκθεσης του Ινστιτούτου για την Προστασία της Φύσης και των Δασών, I.P</w:t>
            </w:r>
          </w:p>
        </w:tc>
        <w:tc>
          <w:tcPr>
            <w:tcW w:w="1244" w:type="dxa"/>
            <w:shd w:val="clear" w:color="auto" w:fill="C4EFCE"/>
            <w:noWrap/>
            <w:vAlign w:val="center"/>
            <w:hideMark/>
          </w:tcPr>
          <w:p w14:paraId="61C7BA1A" w14:textId="00CFABEF" w:rsidR="00154AD2" w:rsidRDefault="007F6BF3">
            <w:pPr>
              <w:pStyle w:val="P68B1DB1-Normal8"/>
              <w:spacing w:after="0" w:line="240" w:lineRule="auto"/>
              <w:jc w:val="center"/>
              <w:rPr>
                <w:rFonts w:eastAsia="Times New Roman" w:cs="Calibri"/>
                <w:noProof/>
              </w:rPr>
            </w:pPr>
            <w:r>
              <w:rPr>
                <w:noProof/>
              </w:rPr>
              <w:t xml:space="preserve"> Δημοσίευση έκθεσης σχετικά με τις προγραμματικές συμβάσεις μεταξύ του Ινστιτούτου για τη Διατήρηση της Φύσης και των Δασών, I.P. και των οργανώσεων ιδιοκτητών δασών (OPF) και των κέντρων ικανοτήτων</w:t>
            </w:r>
          </w:p>
        </w:tc>
        <w:tc>
          <w:tcPr>
            <w:tcW w:w="971" w:type="dxa"/>
            <w:shd w:val="clear" w:color="auto" w:fill="C4EFCE"/>
            <w:noWrap/>
            <w:vAlign w:val="center"/>
            <w:hideMark/>
          </w:tcPr>
          <w:p w14:paraId="463B68BD" w14:textId="77777777" w:rsidR="00154AD2" w:rsidRDefault="007F6BF3">
            <w:pPr>
              <w:pStyle w:val="P68B1DB1-Normal8"/>
              <w:spacing w:after="0" w:line="240" w:lineRule="auto"/>
              <w:jc w:val="center"/>
              <w:rPr>
                <w:rFonts w:eastAsia="Times New Roman" w:cs="Calibri"/>
                <w:noProof/>
              </w:rPr>
            </w:pPr>
            <w:r>
              <w:rPr>
                <w:noProof/>
              </w:rPr>
              <w:t> </w:t>
            </w:r>
          </w:p>
        </w:tc>
        <w:tc>
          <w:tcPr>
            <w:tcW w:w="970" w:type="dxa"/>
            <w:shd w:val="clear" w:color="auto" w:fill="C4EFCE"/>
            <w:noWrap/>
            <w:vAlign w:val="center"/>
            <w:hideMark/>
          </w:tcPr>
          <w:p w14:paraId="702DE6B6" w14:textId="77777777" w:rsidR="00154AD2" w:rsidRDefault="007F6BF3">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2BF8BBF8" w14:textId="77777777" w:rsidR="00154AD2" w:rsidRDefault="007F6BF3">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004FE9A5"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694" w:type="dxa"/>
            <w:shd w:val="clear" w:color="auto" w:fill="C4EFCE"/>
            <w:noWrap/>
            <w:vAlign w:val="center"/>
            <w:hideMark/>
          </w:tcPr>
          <w:p w14:paraId="14C31C89" w14:textId="77777777" w:rsidR="00154AD2" w:rsidRDefault="007F6BF3">
            <w:pPr>
              <w:pStyle w:val="P68B1DB1-Normal8"/>
              <w:spacing w:after="0" w:line="240" w:lineRule="auto"/>
              <w:jc w:val="center"/>
              <w:rPr>
                <w:rFonts w:eastAsia="Times New Roman" w:cs="Calibri"/>
                <w:noProof/>
              </w:rPr>
            </w:pPr>
            <w:r>
              <w:rPr>
                <w:noProof/>
              </w:rPr>
              <w:t>2022</w:t>
            </w:r>
          </w:p>
        </w:tc>
        <w:tc>
          <w:tcPr>
            <w:tcW w:w="4204" w:type="dxa"/>
            <w:shd w:val="clear" w:color="auto" w:fill="C4EFCE"/>
            <w:vAlign w:val="center"/>
            <w:hideMark/>
          </w:tcPr>
          <w:p w14:paraId="1C2A7317" w14:textId="72498C86" w:rsidR="00154AD2" w:rsidRDefault="007F6BF3">
            <w:pPr>
              <w:pStyle w:val="P68B1DB1-Normal8"/>
              <w:spacing w:after="0" w:line="240" w:lineRule="auto"/>
              <w:jc w:val="both"/>
              <w:rPr>
                <w:rFonts w:eastAsia="Times New Roman" w:cs="Calibri"/>
                <w:noProof/>
              </w:rPr>
            </w:pPr>
            <w:r>
              <w:rPr>
                <w:noProof/>
              </w:rPr>
              <w:t>Η έκθεση παρέχει λεπτομέρειες σχετικά με τις προγραμματικές συμβάσεις μεταξύ του Ινστιτούτου για τη Διατήρηση της Φύσης και των Δασών, του I.P. και των οργανώσεων ιδιοκτητών δασών (OPF) και των κέντρων ικανοτήτων, συμπεριλαμβανομένων πληροφοριών σχετικά με τους σκοπούς και τις επιδιώξεις που πρέπει να επιτευχθούν κάθε χρόνο. Μετά την αρχική έκθεση, η εφαρμογή και η πρόοδος των προγραμματικών συμβάσεων δημοσιεύονται κάθε εξάμηνο.</w:t>
            </w:r>
          </w:p>
        </w:tc>
      </w:tr>
      <w:tr w:rsidR="00154AD2" w14:paraId="306EF906" w14:textId="77777777">
        <w:trPr>
          <w:trHeight w:val="2243"/>
          <w:jc w:val="center"/>
        </w:trPr>
        <w:tc>
          <w:tcPr>
            <w:tcW w:w="1114" w:type="dxa"/>
            <w:shd w:val="clear" w:color="auto" w:fill="C4EFCE"/>
            <w:vAlign w:val="center"/>
            <w:hideMark/>
          </w:tcPr>
          <w:p w14:paraId="66DD3540" w14:textId="77777777" w:rsidR="00154AD2" w:rsidRDefault="007F6BF3">
            <w:pPr>
              <w:pStyle w:val="P68B1DB1-Normal7"/>
              <w:spacing w:after="0" w:line="240" w:lineRule="auto"/>
              <w:jc w:val="center"/>
              <w:rPr>
                <w:rFonts w:eastAsia="Times New Roman" w:cs="Calibri"/>
                <w:noProof/>
              </w:rPr>
            </w:pPr>
            <w:r>
              <w:rPr>
                <w:noProof/>
              </w:rPr>
              <w:t>8.16</w:t>
            </w:r>
          </w:p>
        </w:tc>
        <w:tc>
          <w:tcPr>
            <w:tcW w:w="1245" w:type="dxa"/>
            <w:shd w:val="clear" w:color="auto" w:fill="C4EFCE"/>
            <w:noWrap/>
            <w:vAlign w:val="center"/>
            <w:hideMark/>
          </w:tcPr>
          <w:p w14:paraId="4F50D588" w14:textId="77777777" w:rsidR="00154AD2" w:rsidRDefault="007F6BF3">
            <w:pPr>
              <w:pStyle w:val="P68B1DB1-Normal8"/>
              <w:spacing w:after="0" w:line="240" w:lineRule="auto"/>
              <w:jc w:val="center"/>
              <w:rPr>
                <w:rFonts w:eastAsia="Times New Roman" w:cs="Calibri"/>
                <w:noProof/>
              </w:rPr>
            </w:pPr>
            <w:r>
              <w:rPr>
                <w:noProof/>
              </w:rPr>
              <w:t>RE-C08-i05</w:t>
            </w:r>
          </w:p>
        </w:tc>
        <w:tc>
          <w:tcPr>
            <w:tcW w:w="1107" w:type="dxa"/>
            <w:shd w:val="clear" w:color="auto" w:fill="C4EFCE"/>
            <w:noWrap/>
            <w:vAlign w:val="center"/>
            <w:hideMark/>
          </w:tcPr>
          <w:p w14:paraId="6B1C90DB" w14:textId="77777777" w:rsidR="00154AD2" w:rsidRDefault="007F6BF3">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41EE0237" w14:textId="77777777" w:rsidR="00154AD2" w:rsidRDefault="007F6BF3">
            <w:pPr>
              <w:pStyle w:val="P68B1DB1-Normal8"/>
              <w:spacing w:after="0" w:line="240" w:lineRule="auto"/>
              <w:jc w:val="center"/>
              <w:rPr>
                <w:rFonts w:eastAsia="Times New Roman" w:cs="Calibri"/>
                <w:noProof/>
              </w:rPr>
            </w:pPr>
            <w:r>
              <w:rPr>
                <w:noProof/>
              </w:rPr>
              <w:t xml:space="preserve">Εφαρμογή εθνικού προγράμματος κατάρτισης </w:t>
            </w:r>
          </w:p>
        </w:tc>
        <w:tc>
          <w:tcPr>
            <w:tcW w:w="1244" w:type="dxa"/>
            <w:shd w:val="clear" w:color="auto" w:fill="C4EFCE"/>
            <w:noWrap/>
            <w:vAlign w:val="center"/>
            <w:hideMark/>
          </w:tcPr>
          <w:p w14:paraId="62D7DE1B" w14:textId="77777777" w:rsidR="00154AD2" w:rsidRDefault="007F6BF3">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0E70A1C1"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70" w:type="dxa"/>
            <w:shd w:val="clear" w:color="auto" w:fill="C4EFCE"/>
            <w:noWrap/>
            <w:vAlign w:val="center"/>
            <w:hideMark/>
          </w:tcPr>
          <w:p w14:paraId="11FA2AD4" w14:textId="77777777" w:rsidR="00154AD2" w:rsidRDefault="007F6BF3">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4549C5F5" w14:textId="77777777" w:rsidR="00154AD2" w:rsidRDefault="007F6BF3">
            <w:pPr>
              <w:pStyle w:val="P68B1DB1-Normal8"/>
              <w:spacing w:after="0" w:line="240" w:lineRule="auto"/>
              <w:jc w:val="center"/>
              <w:rPr>
                <w:rFonts w:eastAsia="Times New Roman" w:cs="Calibri"/>
                <w:noProof/>
              </w:rPr>
            </w:pPr>
            <w:r>
              <w:rPr>
                <w:noProof/>
              </w:rPr>
              <w:t>150</w:t>
            </w:r>
          </w:p>
        </w:tc>
        <w:tc>
          <w:tcPr>
            <w:tcW w:w="649" w:type="dxa"/>
            <w:shd w:val="clear" w:color="auto" w:fill="C4EFCE"/>
            <w:noWrap/>
            <w:vAlign w:val="center"/>
            <w:hideMark/>
          </w:tcPr>
          <w:p w14:paraId="3A3C11A9"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94" w:type="dxa"/>
            <w:shd w:val="clear" w:color="auto" w:fill="C4EFCE"/>
            <w:noWrap/>
            <w:vAlign w:val="center"/>
            <w:hideMark/>
          </w:tcPr>
          <w:p w14:paraId="2D7E4914" w14:textId="77777777" w:rsidR="00154AD2" w:rsidRDefault="007F6BF3">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60C63F15" w14:textId="2481ACA9" w:rsidR="00154AD2" w:rsidRDefault="007F6BF3">
            <w:pPr>
              <w:pStyle w:val="P68B1DB1-Normal8"/>
              <w:spacing w:after="0" w:line="240" w:lineRule="auto"/>
              <w:jc w:val="both"/>
              <w:rPr>
                <w:rFonts w:eastAsia="Times New Roman" w:cs="Calibri"/>
                <w:noProof/>
              </w:rPr>
            </w:pPr>
            <w:r>
              <w:rPr>
                <w:noProof/>
              </w:rPr>
              <w:t>150 τεχνικοί από οργανώσεις δασικών παραγωγών (OPF) λαμβάνουν κατάρτιση με διάρκεια τουλάχιστον 684 ωρών από τα μαθήματα κατάρτισης. Η κατάρτιση επικεντρώνεται στα ακόλουθα θέματα: διαχείριση της οργάνωσης, πρόληψη των πυρκαγιών στην ύπαιθρο, ελεγχόμενη εκκαθάριση πυρκαγιών, υγεία των φυτών, πιστοποίηση της βιώσιμης διαχείρισης των δασών, πολυλειτουργικότητα των δασικών περιοχών, μη ξυλώδη δασικά προϊόντα, αμοιβή για υπηρεσίες οικοσυστήματος, βιοποικιλότητα, δασικές υποδομές, δασικά έργα, δασική απογραφή ή κτηματολόγιο.</w:t>
            </w:r>
          </w:p>
        </w:tc>
      </w:tr>
      <w:tr w:rsidR="00154AD2" w14:paraId="69BDF293" w14:textId="77777777">
        <w:trPr>
          <w:trHeight w:val="840"/>
          <w:jc w:val="center"/>
        </w:trPr>
        <w:tc>
          <w:tcPr>
            <w:tcW w:w="1114" w:type="dxa"/>
            <w:shd w:val="clear" w:color="auto" w:fill="C4EFCE"/>
            <w:vAlign w:val="center"/>
            <w:hideMark/>
          </w:tcPr>
          <w:p w14:paraId="2C542057" w14:textId="77777777" w:rsidR="00154AD2" w:rsidRDefault="007F6BF3">
            <w:pPr>
              <w:pStyle w:val="P68B1DB1-Normal7"/>
              <w:spacing w:after="0" w:line="240" w:lineRule="auto"/>
              <w:jc w:val="center"/>
              <w:rPr>
                <w:rFonts w:eastAsia="Times New Roman" w:cs="Calibri"/>
                <w:noProof/>
              </w:rPr>
            </w:pPr>
            <w:r>
              <w:rPr>
                <w:noProof/>
              </w:rPr>
              <w:t>8.17</w:t>
            </w:r>
          </w:p>
        </w:tc>
        <w:tc>
          <w:tcPr>
            <w:tcW w:w="1245" w:type="dxa"/>
            <w:shd w:val="clear" w:color="auto" w:fill="C4EFCE"/>
            <w:noWrap/>
            <w:vAlign w:val="center"/>
            <w:hideMark/>
          </w:tcPr>
          <w:p w14:paraId="3269762F" w14:textId="77777777" w:rsidR="00154AD2" w:rsidRDefault="007F6BF3">
            <w:pPr>
              <w:pStyle w:val="P68B1DB1-Normal8"/>
              <w:spacing w:after="0" w:line="240" w:lineRule="auto"/>
              <w:jc w:val="center"/>
              <w:rPr>
                <w:rFonts w:eastAsia="Times New Roman" w:cs="Calibri"/>
                <w:noProof/>
              </w:rPr>
            </w:pPr>
            <w:r>
              <w:rPr>
                <w:noProof/>
              </w:rPr>
              <w:t>RE-C08-r19</w:t>
            </w:r>
          </w:p>
        </w:tc>
        <w:tc>
          <w:tcPr>
            <w:tcW w:w="1107" w:type="dxa"/>
            <w:shd w:val="clear" w:color="auto" w:fill="C4EFCE"/>
            <w:noWrap/>
            <w:vAlign w:val="center"/>
            <w:hideMark/>
          </w:tcPr>
          <w:p w14:paraId="12E7B4FB" w14:textId="77777777" w:rsidR="00154AD2" w:rsidRDefault="007F6BF3">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5E16B4BC" w14:textId="77777777" w:rsidR="00154AD2" w:rsidRDefault="007F6BF3">
            <w:pPr>
              <w:pStyle w:val="P68B1DB1-Normal8"/>
              <w:spacing w:after="0" w:line="240" w:lineRule="auto"/>
              <w:jc w:val="center"/>
              <w:rPr>
                <w:rFonts w:eastAsia="Times New Roman" w:cs="Calibri"/>
                <w:noProof/>
              </w:rPr>
            </w:pPr>
            <w:r>
              <w:rPr>
                <w:noProof/>
              </w:rPr>
              <w:t xml:space="preserve">Νομικό πλαίσιο για την υποχρεωτική ιδιοκτησία αγροτικών εκτάσεων σε δασικές περιοχές </w:t>
            </w:r>
          </w:p>
        </w:tc>
        <w:tc>
          <w:tcPr>
            <w:tcW w:w="1244" w:type="dxa"/>
            <w:shd w:val="clear" w:color="auto" w:fill="C4EFCE"/>
            <w:noWrap/>
            <w:vAlign w:val="center"/>
            <w:hideMark/>
          </w:tcPr>
          <w:p w14:paraId="7E669474" w14:textId="77777777" w:rsidR="00154AD2" w:rsidRDefault="007F6BF3">
            <w:pPr>
              <w:pStyle w:val="P68B1DB1-Normal8"/>
              <w:spacing w:after="0" w:line="240" w:lineRule="auto"/>
              <w:jc w:val="center"/>
              <w:rPr>
                <w:rFonts w:eastAsia="Times New Roman" w:cs="Calibri"/>
                <w:noProof/>
              </w:rPr>
            </w:pPr>
            <w:r>
              <w:rPr>
                <w:noProof/>
              </w:rPr>
              <w:t>Έναρξη ισχύος του νομικού πλαισίου για την υποχρεωτική ιδιοκτησία αγροτικών εκτάσεων σε δασικές περιοχές.</w:t>
            </w:r>
          </w:p>
        </w:tc>
        <w:tc>
          <w:tcPr>
            <w:tcW w:w="971" w:type="dxa"/>
            <w:shd w:val="clear" w:color="auto" w:fill="C4EFCE"/>
            <w:noWrap/>
            <w:vAlign w:val="center"/>
            <w:hideMark/>
          </w:tcPr>
          <w:p w14:paraId="405A1B1B" w14:textId="77777777" w:rsidR="00154AD2" w:rsidRDefault="007F6BF3">
            <w:pPr>
              <w:pStyle w:val="P68B1DB1-Normal8"/>
              <w:spacing w:after="0" w:line="240" w:lineRule="auto"/>
              <w:jc w:val="center"/>
              <w:rPr>
                <w:rFonts w:eastAsia="Times New Roman" w:cs="Calibri"/>
                <w:noProof/>
              </w:rPr>
            </w:pPr>
            <w:r>
              <w:rPr>
                <w:noProof/>
              </w:rPr>
              <w:t> </w:t>
            </w:r>
          </w:p>
        </w:tc>
        <w:tc>
          <w:tcPr>
            <w:tcW w:w="970" w:type="dxa"/>
            <w:shd w:val="clear" w:color="auto" w:fill="C4EFCE"/>
            <w:noWrap/>
            <w:vAlign w:val="center"/>
            <w:hideMark/>
          </w:tcPr>
          <w:p w14:paraId="5BCEA31D" w14:textId="77777777" w:rsidR="00154AD2" w:rsidRDefault="007F6BF3">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2154743E" w14:textId="77777777" w:rsidR="00154AD2" w:rsidRDefault="007F6BF3">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3FFC26CB"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694" w:type="dxa"/>
            <w:shd w:val="clear" w:color="auto" w:fill="C4EFCE"/>
            <w:noWrap/>
            <w:vAlign w:val="center"/>
            <w:hideMark/>
          </w:tcPr>
          <w:p w14:paraId="47692365" w14:textId="77777777" w:rsidR="00154AD2" w:rsidRDefault="007F6BF3">
            <w:pPr>
              <w:pStyle w:val="P68B1DB1-Normal8"/>
              <w:spacing w:after="0" w:line="240" w:lineRule="auto"/>
              <w:jc w:val="center"/>
              <w:rPr>
                <w:rFonts w:eastAsia="Times New Roman" w:cs="Calibri"/>
                <w:noProof/>
              </w:rPr>
            </w:pPr>
            <w:r>
              <w:rPr>
                <w:noProof/>
              </w:rPr>
              <w:t>2021</w:t>
            </w:r>
          </w:p>
        </w:tc>
        <w:tc>
          <w:tcPr>
            <w:tcW w:w="4204" w:type="dxa"/>
            <w:shd w:val="clear" w:color="auto" w:fill="C4EFCE"/>
            <w:vAlign w:val="center"/>
            <w:hideMark/>
          </w:tcPr>
          <w:p w14:paraId="201F1AD9" w14:textId="77777777" w:rsidR="00154AD2" w:rsidRDefault="007F6BF3">
            <w:pPr>
              <w:pStyle w:val="P68B1DB1-Normal8"/>
              <w:spacing w:after="0" w:line="240" w:lineRule="auto"/>
              <w:jc w:val="both"/>
              <w:rPr>
                <w:rFonts w:eastAsia="Times New Roman" w:cs="Calibri"/>
                <w:noProof/>
              </w:rPr>
            </w:pPr>
            <w:r>
              <w:rPr>
                <w:noProof/>
              </w:rPr>
              <w:t xml:space="preserve">Έναρξη ισχύος του νομικού πλαισίου για την εφαρμογή της υποχρεωτικής κατοχής αγροτικών εκτάσεων σε δασικές περιοχές. Η υποχρεωτική μίσθωση εφαρμόζεται αποκλειστικά εάν οι ιδιοκτήτες γης δεν εκφράσουν τη δέσμευσή τους να εκτελέσουν τις δράσεις που ορίζονται στην Ο.Γ.Π.Σ. που έχει οριστεί για την περιοχή ολοκληρωμένης διαχείρισης τοπίου (ΑΙGP), εφόσον επιθυμούν την ανεύρεση του ακινήτου τους. </w:t>
            </w:r>
          </w:p>
          <w:p w14:paraId="477BB2F7" w14:textId="77777777" w:rsidR="00154AD2" w:rsidRDefault="00154AD2">
            <w:pPr>
              <w:spacing w:after="0" w:line="240" w:lineRule="auto"/>
              <w:jc w:val="both"/>
              <w:rPr>
                <w:rFonts w:ascii="Calibri" w:eastAsia="Times New Roman" w:hAnsi="Calibri" w:cs="Calibri"/>
                <w:noProof/>
                <w:sz w:val="16"/>
              </w:rPr>
            </w:pPr>
          </w:p>
          <w:p w14:paraId="277FB7E1" w14:textId="6455B7DE" w:rsidR="00154AD2" w:rsidRDefault="007F6BF3">
            <w:pPr>
              <w:pStyle w:val="P68B1DB1-Normal8"/>
              <w:spacing w:after="0" w:line="240" w:lineRule="auto"/>
              <w:jc w:val="both"/>
              <w:rPr>
                <w:rFonts w:eastAsia="Times New Roman" w:cs="Calibri"/>
                <w:noProof/>
              </w:rPr>
            </w:pPr>
            <w:r>
              <w:rPr>
                <w:noProof/>
              </w:rPr>
              <w:t>Το νομοσχέδιο αριθ. 68/2020, της 5 Νοεμβρίου, εξουσιοδοτεί την κυβέρνηση να τροποποιήσει τον νόμο αριθ. 31/2014 της 30 Μαΐου (καθορίζει τις γενικές βάσεις για τη δημόσια τάξη στον τομέα της χωροταξίας, της χωροταξίας, προκειμένου να εγκριθεί το νομικό καθεστώς της υποχρεωτικής κατοχής.</w:t>
            </w:r>
          </w:p>
        </w:tc>
      </w:tr>
      <w:tr w:rsidR="00154AD2" w14:paraId="233038E2" w14:textId="77777777">
        <w:trPr>
          <w:trHeight w:val="2388"/>
          <w:jc w:val="center"/>
        </w:trPr>
        <w:tc>
          <w:tcPr>
            <w:tcW w:w="1114" w:type="dxa"/>
            <w:shd w:val="clear" w:color="auto" w:fill="C4EFCE"/>
            <w:vAlign w:val="center"/>
            <w:hideMark/>
          </w:tcPr>
          <w:p w14:paraId="0E2ACB3B" w14:textId="77777777" w:rsidR="00154AD2" w:rsidRDefault="007F6BF3">
            <w:pPr>
              <w:pStyle w:val="P68B1DB1-Normal7"/>
              <w:spacing w:after="0" w:line="240" w:lineRule="auto"/>
              <w:jc w:val="center"/>
              <w:rPr>
                <w:rFonts w:eastAsia="Times New Roman" w:cs="Calibri"/>
                <w:noProof/>
              </w:rPr>
            </w:pPr>
            <w:r>
              <w:rPr>
                <w:noProof/>
              </w:rPr>
              <w:t>8.18</w:t>
            </w:r>
          </w:p>
        </w:tc>
        <w:tc>
          <w:tcPr>
            <w:tcW w:w="1245" w:type="dxa"/>
            <w:shd w:val="clear" w:color="auto" w:fill="C4EFCE"/>
            <w:noWrap/>
            <w:vAlign w:val="center"/>
            <w:hideMark/>
          </w:tcPr>
          <w:p w14:paraId="1AC3438B" w14:textId="77777777" w:rsidR="00154AD2" w:rsidRDefault="007F6BF3">
            <w:pPr>
              <w:pStyle w:val="P68B1DB1-Normal8"/>
              <w:spacing w:after="0" w:line="240" w:lineRule="auto"/>
              <w:jc w:val="center"/>
              <w:rPr>
                <w:rFonts w:eastAsia="Times New Roman" w:cs="Calibri"/>
                <w:noProof/>
              </w:rPr>
            </w:pPr>
            <w:r>
              <w:rPr>
                <w:noProof/>
              </w:rPr>
              <w:t>RE-C08-r20</w:t>
            </w:r>
          </w:p>
        </w:tc>
        <w:tc>
          <w:tcPr>
            <w:tcW w:w="1107" w:type="dxa"/>
            <w:shd w:val="clear" w:color="auto" w:fill="C4EFCE"/>
            <w:noWrap/>
            <w:vAlign w:val="center"/>
            <w:hideMark/>
          </w:tcPr>
          <w:p w14:paraId="5002EC4F" w14:textId="77777777" w:rsidR="00154AD2" w:rsidRDefault="007F6BF3">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1B30711D" w14:textId="77777777" w:rsidR="00154AD2" w:rsidRDefault="007F6BF3">
            <w:pPr>
              <w:pStyle w:val="P68B1DB1-Normal8"/>
              <w:spacing w:after="0" w:line="240" w:lineRule="auto"/>
              <w:jc w:val="center"/>
              <w:rPr>
                <w:rFonts w:eastAsia="Times New Roman" w:cs="Calibri"/>
                <w:noProof/>
              </w:rPr>
            </w:pPr>
            <w:r>
              <w:rPr>
                <w:noProof/>
              </w:rPr>
              <w:t>Σύστημα παρακολούθησης κάλυψης γης (SMOS)</w:t>
            </w:r>
          </w:p>
        </w:tc>
        <w:tc>
          <w:tcPr>
            <w:tcW w:w="1244" w:type="dxa"/>
            <w:shd w:val="clear" w:color="auto" w:fill="C4EFCE"/>
            <w:noWrap/>
            <w:vAlign w:val="center"/>
            <w:hideMark/>
          </w:tcPr>
          <w:p w14:paraId="2C7013EB" w14:textId="1DC9A7AA" w:rsidR="00154AD2" w:rsidRDefault="007F6BF3">
            <w:pPr>
              <w:pStyle w:val="P68B1DB1-Normal8"/>
              <w:spacing w:after="0" w:line="240" w:lineRule="auto"/>
              <w:jc w:val="center"/>
              <w:rPr>
                <w:rFonts w:eastAsia="Times New Roman" w:cs="Calibri"/>
                <w:noProof/>
              </w:rPr>
            </w:pPr>
            <w:r>
              <w:rPr>
                <w:noProof/>
              </w:rPr>
              <w:t>Έναρξη λειτουργίας του συστήματος παρακολούθησης της κάλυψης γης (SMOS)</w:t>
            </w:r>
          </w:p>
        </w:tc>
        <w:tc>
          <w:tcPr>
            <w:tcW w:w="971" w:type="dxa"/>
            <w:shd w:val="clear" w:color="auto" w:fill="C4EFCE"/>
            <w:noWrap/>
            <w:vAlign w:val="center"/>
            <w:hideMark/>
          </w:tcPr>
          <w:p w14:paraId="62B8E28E" w14:textId="77777777" w:rsidR="00154AD2" w:rsidRDefault="007F6BF3">
            <w:pPr>
              <w:pStyle w:val="P68B1DB1-Normal8"/>
              <w:spacing w:after="0" w:line="240" w:lineRule="auto"/>
              <w:jc w:val="center"/>
              <w:rPr>
                <w:rFonts w:eastAsia="Times New Roman" w:cs="Calibri"/>
                <w:noProof/>
              </w:rPr>
            </w:pPr>
            <w:r>
              <w:rPr>
                <w:noProof/>
              </w:rPr>
              <w:t> </w:t>
            </w:r>
          </w:p>
        </w:tc>
        <w:tc>
          <w:tcPr>
            <w:tcW w:w="970" w:type="dxa"/>
            <w:shd w:val="clear" w:color="auto" w:fill="C4EFCE"/>
            <w:noWrap/>
            <w:vAlign w:val="center"/>
            <w:hideMark/>
          </w:tcPr>
          <w:p w14:paraId="69D846A9" w14:textId="77777777" w:rsidR="00154AD2" w:rsidRDefault="007F6BF3">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291BC2DF" w14:textId="77777777" w:rsidR="00154AD2" w:rsidRDefault="007F6BF3">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290FBA0F"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94" w:type="dxa"/>
            <w:shd w:val="clear" w:color="auto" w:fill="C4EFCE"/>
            <w:noWrap/>
            <w:vAlign w:val="center"/>
            <w:hideMark/>
          </w:tcPr>
          <w:p w14:paraId="5B618B25" w14:textId="77777777" w:rsidR="00154AD2" w:rsidRDefault="007F6BF3">
            <w:pPr>
              <w:pStyle w:val="P68B1DB1-Normal8"/>
              <w:spacing w:after="0" w:line="240" w:lineRule="auto"/>
              <w:jc w:val="center"/>
              <w:rPr>
                <w:rFonts w:eastAsia="Times New Roman" w:cs="Calibri"/>
                <w:noProof/>
              </w:rPr>
            </w:pPr>
            <w:r>
              <w:rPr>
                <w:noProof/>
              </w:rPr>
              <w:t>2022</w:t>
            </w:r>
          </w:p>
        </w:tc>
        <w:tc>
          <w:tcPr>
            <w:tcW w:w="4204" w:type="dxa"/>
            <w:shd w:val="clear" w:color="auto" w:fill="C4EFCE"/>
            <w:vAlign w:val="center"/>
            <w:hideMark/>
          </w:tcPr>
          <w:p w14:paraId="4823DF09" w14:textId="7F190947" w:rsidR="00154AD2" w:rsidRDefault="007F6BF3">
            <w:pPr>
              <w:pStyle w:val="P68B1DB1-Normal8"/>
              <w:spacing w:after="0" w:line="240" w:lineRule="auto"/>
              <w:jc w:val="both"/>
              <w:rPr>
                <w:rFonts w:eastAsia="Times New Roman" w:cs="Calibri"/>
                <w:noProof/>
              </w:rPr>
            </w:pPr>
            <w:r>
              <w:rPr>
                <w:noProof/>
              </w:rPr>
              <w:t xml:space="preserve">Έναρξη λειτουργίας του συστήματος παρακολούθησης της κάλυψης γης (SMOS), το οποίο περιλαμβάνει το LiDAR Coverage, το ψηφιακό μοντέλο εδάφους, το μοντέλο καλλιεργειών και βλάστησης, τους χάρτες καλλιεργειών και βλάστησης, των χαρτών κάλυψης γης και δορυφορικών εικόνων. </w:t>
            </w:r>
          </w:p>
        </w:tc>
      </w:tr>
      <w:tr w:rsidR="00154AD2" w14:paraId="538F72C3" w14:textId="77777777">
        <w:trPr>
          <w:trHeight w:val="3977"/>
          <w:jc w:val="center"/>
        </w:trPr>
        <w:tc>
          <w:tcPr>
            <w:tcW w:w="1114" w:type="dxa"/>
            <w:shd w:val="clear" w:color="auto" w:fill="C4EFCE"/>
            <w:vAlign w:val="center"/>
            <w:hideMark/>
          </w:tcPr>
          <w:p w14:paraId="0C02FD10" w14:textId="77777777" w:rsidR="00154AD2" w:rsidRDefault="007F6BF3">
            <w:pPr>
              <w:pStyle w:val="P68B1DB1-Normal7"/>
              <w:spacing w:after="0" w:line="240" w:lineRule="auto"/>
              <w:jc w:val="center"/>
              <w:rPr>
                <w:rFonts w:eastAsia="Times New Roman" w:cs="Calibri"/>
                <w:noProof/>
              </w:rPr>
            </w:pPr>
            <w:r>
              <w:rPr>
                <w:noProof/>
              </w:rPr>
              <w:t>8.19</w:t>
            </w:r>
          </w:p>
        </w:tc>
        <w:tc>
          <w:tcPr>
            <w:tcW w:w="1245" w:type="dxa"/>
            <w:shd w:val="clear" w:color="auto" w:fill="C4EFCE"/>
            <w:noWrap/>
            <w:vAlign w:val="center"/>
            <w:hideMark/>
          </w:tcPr>
          <w:p w14:paraId="69B302CF" w14:textId="77777777" w:rsidR="00154AD2" w:rsidRDefault="007F6BF3">
            <w:pPr>
              <w:pStyle w:val="P68B1DB1-Normal8"/>
              <w:spacing w:after="0" w:line="240" w:lineRule="auto"/>
              <w:jc w:val="center"/>
              <w:rPr>
                <w:rFonts w:eastAsia="Times New Roman" w:cs="Calibri"/>
                <w:noProof/>
              </w:rPr>
            </w:pPr>
            <w:r>
              <w:rPr>
                <w:noProof/>
              </w:rPr>
              <w:t>RE-C08-r21</w:t>
            </w:r>
          </w:p>
        </w:tc>
        <w:tc>
          <w:tcPr>
            <w:tcW w:w="1107" w:type="dxa"/>
            <w:shd w:val="clear" w:color="auto" w:fill="C4EFCE"/>
            <w:noWrap/>
            <w:vAlign w:val="center"/>
            <w:hideMark/>
          </w:tcPr>
          <w:p w14:paraId="137FC1A7" w14:textId="77777777" w:rsidR="00154AD2" w:rsidRDefault="007F6BF3">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2734E036" w14:textId="77777777" w:rsidR="00154AD2" w:rsidRDefault="007F6BF3">
            <w:pPr>
              <w:pStyle w:val="P68B1DB1-Normal8"/>
              <w:spacing w:after="0" w:line="240" w:lineRule="auto"/>
              <w:jc w:val="center"/>
              <w:rPr>
                <w:rFonts w:eastAsia="Times New Roman" w:cs="Calibri"/>
                <w:noProof/>
              </w:rPr>
            </w:pPr>
            <w:r>
              <w:rPr>
                <w:noProof/>
              </w:rPr>
              <w:t>Νόμος για τη θέσπιση ολοκληρωμένου συστήματος διαχείρισης των πυρκαγιών στις αγροτικές περιοχές (SGIFR)</w:t>
            </w:r>
          </w:p>
        </w:tc>
        <w:tc>
          <w:tcPr>
            <w:tcW w:w="1244" w:type="dxa"/>
            <w:shd w:val="clear" w:color="auto" w:fill="C4EFCE"/>
            <w:noWrap/>
            <w:vAlign w:val="center"/>
            <w:hideMark/>
          </w:tcPr>
          <w:p w14:paraId="328A4877" w14:textId="77777777" w:rsidR="00154AD2" w:rsidRDefault="007F6BF3">
            <w:pPr>
              <w:pStyle w:val="P68B1DB1-Normal8"/>
              <w:spacing w:after="0" w:line="240" w:lineRule="auto"/>
              <w:jc w:val="center"/>
              <w:rPr>
                <w:rFonts w:eastAsia="Times New Roman" w:cs="Calibri"/>
                <w:noProof/>
              </w:rPr>
            </w:pPr>
            <w:r>
              <w:rPr>
                <w:noProof/>
              </w:rPr>
              <w:t>Έναρξη ισχύος του νόμου για τη θέσπιση του ολοκληρωμένου συστήματος διαχείρισης των πυρκαγιών στις αγροτικές περιοχές (SIGIFR) και τον καθορισμό των κανόνων λειτουργίας του.</w:t>
            </w:r>
          </w:p>
        </w:tc>
        <w:tc>
          <w:tcPr>
            <w:tcW w:w="971" w:type="dxa"/>
            <w:shd w:val="clear" w:color="auto" w:fill="C4EFCE"/>
            <w:noWrap/>
            <w:vAlign w:val="center"/>
            <w:hideMark/>
          </w:tcPr>
          <w:p w14:paraId="7E0AD6B1" w14:textId="77777777" w:rsidR="00154AD2" w:rsidRDefault="007F6BF3">
            <w:pPr>
              <w:pStyle w:val="P68B1DB1-Normal8"/>
              <w:spacing w:after="0" w:line="240" w:lineRule="auto"/>
              <w:jc w:val="center"/>
              <w:rPr>
                <w:rFonts w:eastAsia="Times New Roman" w:cs="Calibri"/>
                <w:noProof/>
              </w:rPr>
            </w:pPr>
            <w:r>
              <w:rPr>
                <w:noProof/>
              </w:rPr>
              <w:t> </w:t>
            </w:r>
          </w:p>
        </w:tc>
        <w:tc>
          <w:tcPr>
            <w:tcW w:w="970" w:type="dxa"/>
            <w:shd w:val="clear" w:color="auto" w:fill="C4EFCE"/>
            <w:noWrap/>
            <w:vAlign w:val="center"/>
            <w:hideMark/>
          </w:tcPr>
          <w:p w14:paraId="00DB3FDD" w14:textId="77777777" w:rsidR="00154AD2" w:rsidRDefault="007F6BF3">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762DA2A0" w14:textId="77777777" w:rsidR="00154AD2" w:rsidRDefault="007F6BF3">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4FC4CDCF"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694" w:type="dxa"/>
            <w:shd w:val="clear" w:color="auto" w:fill="C4EFCE"/>
            <w:noWrap/>
            <w:vAlign w:val="center"/>
            <w:hideMark/>
          </w:tcPr>
          <w:p w14:paraId="4C1862FA" w14:textId="77777777" w:rsidR="00154AD2" w:rsidRDefault="007F6BF3">
            <w:pPr>
              <w:pStyle w:val="P68B1DB1-Normal8"/>
              <w:spacing w:after="0" w:line="240" w:lineRule="auto"/>
              <w:jc w:val="center"/>
              <w:rPr>
                <w:rFonts w:eastAsia="Times New Roman" w:cs="Calibri"/>
                <w:noProof/>
              </w:rPr>
            </w:pPr>
            <w:r>
              <w:rPr>
                <w:noProof/>
              </w:rPr>
              <w:t>2021</w:t>
            </w:r>
          </w:p>
        </w:tc>
        <w:tc>
          <w:tcPr>
            <w:tcW w:w="4204" w:type="dxa"/>
            <w:shd w:val="clear" w:color="auto" w:fill="C4EFCE"/>
            <w:vAlign w:val="center"/>
            <w:hideMark/>
          </w:tcPr>
          <w:p w14:paraId="1830D13D" w14:textId="77777777" w:rsidR="00154AD2" w:rsidRDefault="007F6BF3">
            <w:pPr>
              <w:pStyle w:val="P68B1DB1-Normal8"/>
              <w:spacing w:after="0" w:line="240" w:lineRule="auto"/>
              <w:jc w:val="both"/>
              <w:rPr>
                <w:rFonts w:eastAsia="Times New Roman" w:cs="Calibri"/>
                <w:noProof/>
              </w:rPr>
            </w:pPr>
            <w:r>
              <w:rPr>
                <w:noProof/>
              </w:rPr>
              <w:t xml:space="preserve">Το ολοκληρωμένο σύστημα διαχείρισης των πυρκαγιών στις αγροτικές περιοχές (SGIFR) παρέχει, σε εθνικό επίπεδο, μακροπολιτικές και στρατηγικές κατευθυντήριες γραμμές που συμβάλλουν στη μείωση του κινδύνου πυρκαγιών στις αγροτικές περιοχές και στην αλλαγή της συμπεριφοράς των ιδιοκτητών, των χρηστών και των άμεσων και έμμεσων δικαιούχων της αγροτικής περιοχής. Το σύστημα καθορίζει διυπουργικά μοντέλα συντονισμού, οριοθετώντας τις αρμοδιότητες και το πεδίο δράσης κάθε οντότητας στο πλαίσιο της SIGIFR. </w:t>
            </w:r>
          </w:p>
          <w:p w14:paraId="5E99F66C" w14:textId="3F1EB5CA" w:rsidR="00154AD2" w:rsidRDefault="007F6BF3">
            <w:pPr>
              <w:pStyle w:val="P68B1DB1-Normal8"/>
              <w:spacing w:after="0" w:line="240" w:lineRule="auto"/>
              <w:jc w:val="both"/>
              <w:rPr>
                <w:rFonts w:eastAsia="Times New Roman" w:cs="Calibri"/>
                <w:noProof/>
              </w:rPr>
            </w:pPr>
            <w:r>
              <w:rPr>
                <w:noProof/>
              </w:rPr>
              <w:t>Καθορίζει το περιεχόμενο των διαφόρων εργαλείων για τον ολοκληρωμένο σχεδιασμό της διαχείρισης των πυρκαγιών στην ύπαιθρο σε εθνικό, περιφερειακό, υποπεριφερειακό και δημοτικό επίπεδο. Δημιουργείται σύστημα πληροφοριών για τις πυρκαγιές στις αγροτικές περιοχές με σκοπό τη συγκέντρωση και τη διάδοση όλων των σχετικών τεχνικών πληροφοριών από το SIGIFR και υπάρχει σαφής δέσμευση για τον καθορισμό ενός μοντέλου που θα βασίζεται στην πρόληψη και την ελαχιστοποίηση των κινδύνων, είτε μέσω δραστηριοτήτων ευαισθητοποίησης είτε μέσω της δημιουργίας περιφερειακών αμυντικών δικτύων, στα οποία η διαχείριση καυσίμων διαδραματίζει ηγετικό ρόλο στο καθεστώς επιβολής κυρώσεων. Τέλος, καθορίζει ένα μοντέλο διακυβέρνησης, παρακολούθησης και αξιολόγησης, το οποίο θα συμβάλει στη συνεχή βελτίωση των δημόσιων πολιτικών και προγραμμάτων.</w:t>
            </w:r>
          </w:p>
        </w:tc>
      </w:tr>
    </w:tbl>
    <w:p w14:paraId="57422AFC"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349777E8" w14:textId="77777777" w:rsidR="00154AD2" w:rsidRDefault="00154AD2">
      <w:pPr>
        <w:keepNext/>
        <w:spacing w:before="40" w:after="0" w:line="259" w:lineRule="auto"/>
        <w:ind w:left="130" w:firstLine="720"/>
        <w:jc w:val="both"/>
        <w:outlineLvl w:val="2"/>
        <w:rPr>
          <w:rFonts w:ascii="Times New Roman" w:eastAsiaTheme="minorEastAsia" w:hAnsi="Times New Roman" w:cs="Times New Roman"/>
          <w:b/>
          <w:noProof/>
          <w:sz w:val="24"/>
          <w:u w:val="single"/>
        </w:rPr>
        <w:sectPr w:rsidR="00154AD2" w:rsidSect="00E00EDD">
          <w:headerReference w:type="even" r:id="rId174"/>
          <w:headerReference w:type="default" r:id="rId175"/>
          <w:footerReference w:type="even" r:id="rId176"/>
          <w:footerReference w:type="default" r:id="rId177"/>
          <w:headerReference w:type="first" r:id="rId178"/>
          <w:footerReference w:type="first" r:id="rId179"/>
          <w:pgSz w:w="16839" w:h="11907" w:orient="landscape"/>
          <w:pgMar w:top="1134" w:right="1134" w:bottom="1134" w:left="1134" w:header="567" w:footer="567" w:gutter="0"/>
          <w:cols w:space="720"/>
          <w:docGrid w:linePitch="360"/>
        </w:sectPr>
      </w:pPr>
    </w:p>
    <w:p w14:paraId="31DFC5DD" w14:textId="77777777" w:rsidR="00154AD2" w:rsidRDefault="007F6BF3">
      <w:pPr>
        <w:pStyle w:val="P68B1DB1-Normal3"/>
        <w:keepNext/>
        <w:spacing w:before="40" w:after="0" w:line="259" w:lineRule="auto"/>
        <w:ind w:left="130" w:firstLine="720"/>
        <w:jc w:val="both"/>
        <w:outlineLvl w:val="1"/>
        <w:rPr>
          <w:rFonts w:eastAsiaTheme="minorEastAsia" w:cs="Times New Roman"/>
          <w:noProof/>
        </w:rPr>
      </w:pPr>
      <w:r>
        <w:rPr>
          <w:noProof/>
        </w:rPr>
        <w:t>Θ. ΣΥΝΙΣΤΕΡΟΣ 9: Διαχείριση υδάτων</w:t>
      </w:r>
    </w:p>
    <w:p w14:paraId="70B68D2B" w14:textId="77777777" w:rsidR="00154AD2" w:rsidRDefault="007F6BF3">
      <w:pPr>
        <w:pStyle w:val="P68B1DB1-Normal4"/>
        <w:keepNext/>
        <w:spacing w:before="40" w:after="0" w:line="259" w:lineRule="auto"/>
        <w:jc w:val="both"/>
        <w:rPr>
          <w:rFonts w:eastAsiaTheme="minorEastAsia" w:cs="Times New Roman"/>
          <w:i/>
          <w:noProof/>
        </w:rPr>
      </w:pPr>
      <w:r>
        <w:rPr>
          <w:noProof/>
        </w:rPr>
        <w:t>Η συνιστώσα αντιμετωπίζει τις ακόλουθες προκλήσεις: αντιμετώπιση της υψηλής πίεσης στα συστήματα αποθήκευσης που παρέχουν ύδρευση και βελτίωση της αποδοτικής χρήσης του νερού για την αντιμετώπιση των περιορισμών που επιβάλλονται από την αναμενόμενη ετήσια μείωση των βροχοπτώσεων, την υψηλότερη συχνότητα ξηρασιών, την εποχικότητα και την αύξηση των διαρροών νερού</w:t>
      </w:r>
    </w:p>
    <w:p w14:paraId="26529B51"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Οι στόχοι της συνιστώσας είναι ο μετριασμός της λειψυδρίας και η διασφάλιση της ανθεκτικότητας των περιφερειών που αντιμετωπίζουν το μεγαλύτερο πρόβλημα ξηρασίας και έχουν κρίσιμη ανάγκη αποτελεσματικής παρέμβασης για τη διασφάλιση της υδροδότησης στο Algarve, στο Alentejo και στη Μαδέρα. </w:t>
      </w:r>
    </w:p>
    <w:p w14:paraId="4A1D2D18" w14:textId="77777777" w:rsidR="00154AD2" w:rsidRDefault="007F6BF3">
      <w:pPr>
        <w:pStyle w:val="P68B1DB1-Normal4"/>
        <w:keepNext/>
        <w:spacing w:before="40" w:after="0" w:line="259" w:lineRule="auto"/>
        <w:jc w:val="both"/>
        <w:rPr>
          <w:rFonts w:eastAsiaTheme="minorEastAsia" w:cs="Times New Roman"/>
          <w:noProof/>
        </w:rPr>
      </w:pPr>
      <w:r>
        <w:rPr>
          <w:noProof/>
        </w:rPr>
        <w:t>Η αυξημένη ανθεκτικότητα των υδάτων είναι υψίστης σημασίας για την ανάπτυξη αυτών των τριών περιφερειών, καθώς αποτελεί επίσης υποχρεωτική προϋπόθεση για τον τουρισμό και τα οικοσυστήματα (ιδίως στην Αλγκάρβε και τη Μαδέρα), τη γεωργία (Alentejo και Μαδέρα), την αναδιαμόρφωση της οικονομικής δραστηριότητας (Alentejo) και για την αντιμετώπιση των συνδυασμένων πιέσεων που ασκούνται από αιχμές άρδευσης και ανθρώπινης κατανάλωσης (Μαδέρα).</w:t>
      </w:r>
    </w:p>
    <w:p w14:paraId="5C57D42C"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συνιστώσα συμβάλλει στην εφαρμογή της ειδικής ανά χώρα σύστασης σχετικά με τις επενδύσεις για την κλιματική μετάβαση (ειδική ανά χώρα σύσταση 3 2020). </w:t>
      </w:r>
    </w:p>
    <w:p w14:paraId="30738FC0" w14:textId="77777777" w:rsidR="00154AD2" w:rsidRDefault="007F6BF3">
      <w:pPr>
        <w:pStyle w:val="P68B1DB1-Normal3"/>
        <w:keepNext/>
        <w:spacing w:before="40" w:after="0" w:line="259" w:lineRule="auto"/>
        <w:ind w:left="130" w:firstLine="720"/>
        <w:jc w:val="both"/>
        <w:outlineLvl w:val="2"/>
        <w:rPr>
          <w:rFonts w:eastAsiaTheme="minorEastAsia" w:cs="Times New Roman"/>
          <w:noProof/>
        </w:rPr>
      </w:pPr>
      <w:r>
        <w:rPr>
          <w:noProof/>
        </w:rPr>
        <w:t xml:space="preserve">Ι.1. </w:t>
      </w:r>
      <w:r>
        <w:rPr>
          <w:noProof/>
        </w:rPr>
        <w:tab/>
        <w:t>Περιγραφή των μεταρρυθμίσεων και των επενδύσεων που είναι επιλέξιμες για λήψη μη επιστρεπτέας χρηματοδοτικής στήριξης</w:t>
      </w:r>
    </w:p>
    <w:p w14:paraId="5C5E8493"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Επένδυση RE-C09-i01: Περιφερειακό σχέδιο για την αποδοτικότητα των υδάτων της Algarve</w:t>
      </w:r>
    </w:p>
    <w:p w14:paraId="3110F4B6"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Στόχος αυτής της επένδυσης είναι η αντιμετώπιση της λειψυδρίας στο Algarve, η οποία εξακολουθεί να επιδεινώνεται λόγω της κλιματικής αλλαγής. Απαιτείται απάντηση για τη συνέχιση και την ανάπτυξη της οικονομικής δραστηριότητας και για τη διαφοροποίηση της οικονομίας Algarve. </w:t>
      </w:r>
    </w:p>
    <w:p w14:paraId="7288C6E0" w14:textId="77777777" w:rsidR="00154AD2" w:rsidRDefault="007F6BF3">
      <w:pPr>
        <w:pStyle w:val="P68B1DB1-Normal4"/>
        <w:keepNext/>
        <w:spacing w:before="40" w:after="0" w:line="259" w:lineRule="auto"/>
        <w:jc w:val="both"/>
        <w:rPr>
          <w:rFonts w:eastAsiaTheme="minorEastAsia" w:cs="Times New Roman"/>
          <w:noProof/>
        </w:rPr>
      </w:pPr>
      <w:r>
        <w:rPr>
          <w:noProof/>
        </w:rPr>
        <w:t>Η επένδυση συνίσταται σε μέτρα για τη μείωση των απωλειών νερού στον αστικό και τον γεωργικό τομέα στο Algarve μέσω αποδοτικότερων τεχνολογιών άρδευσης, καθώς και στην προώθηση της επαναχρησιμοποίησης επεξεργασμένων λυμάτων. Σε επίπεδο εφοδιασμού, τα μέτρα εξετάζουν το ενδεχόμενο αξιοποίησης της υφιστάμενης δυναμικότητας και βελτίωσης της ανθεκτικότητας των υφιστάμενων ταμιευτήρων αυξάνοντας την εισροή στον ταμιευτήρα Odeleite μέσω άντλησης στον ποταμό Guadiana, ενίσχυσης στρατηγικών αποθεμάτων και εγκατάστασης αφαλάτη. Ειδικότερα, αυτές οι νέες πηγές νερού λειτουργούν συμπληρωματικά για την κάλυψη της υφιστάμενης χρήσης προκειμένου να αντιμετωπιστούν οι προβλέψιμες επιπτώσεις της κλιματικής αλλαγής. Περιλαμβάνει επίσης μέτρα για την εντατικοποίηση της παρακολούθησης, της αδειοδότησης και της επιβολής.</w:t>
      </w:r>
    </w:p>
    <w:p w14:paraId="04427AA3" w14:textId="77777777" w:rsidR="00154AD2" w:rsidRDefault="007F6BF3">
      <w:pPr>
        <w:pStyle w:val="P68B1DB1-Normal4"/>
        <w:keepNext/>
        <w:spacing w:before="40" w:after="0" w:line="259" w:lineRule="auto"/>
        <w:jc w:val="both"/>
        <w:rPr>
          <w:rFonts w:eastAsiaTheme="minorEastAsia" w:cs="Times New Roman"/>
          <w:noProof/>
        </w:rPr>
      </w:pPr>
      <w:r>
        <w:rPr>
          <w:noProof/>
        </w:rPr>
        <w:t>Αναμένεται ότι το μέτρο αυτό δεν θα βλάψει σημαντικά τους περιβαλλοντικούς στόχους κατά την έννοια του άρθρου 17 του κανονισμού (ΕΕ) 2020/852, λαμβάνοντας υπόψη την περιγραφή του μέτρου και τα μέτρα μετριασμού που ορίζονται στο σχέδιο ανάκαμψης και ανθεκτικότητας σύμφωνα με την τεχνική καθοδήγηση σχετικά με την αρχή της μη πρόκλησης σημαντικής βλάβης (2021/C58/01) και τα ορόσημα και τους στόχους που πρέπει να εκπληρώσει η Πορτογαλία. Ειδικότερα, όλα τα έργα που ενδέχεται να έχουν σημαντικές επιπτώσεις στο περιβάλλον υπόκεινται σε εκτίμηση περιβαλλοντικών επιπτώσεων (ΕΠΕ), η οποία ολοκληρώνεται σύμφωνα με την οδηγία 2011/92/ΕΕ του Ευρωπαϊκού Κοινοβουλίου και του Συμβουλίου, της 13 Δεκεμβρίου 2011, για την εκτίμηση των επιπτώσεων ορισμένων σχεδίων δημοσίων και ιδιωτικών έργων στο περιβάλλον, καθώς και σε σχετικές εκτιμήσεις στο πλαίσιο της οδηγίας 2000/60/ΕΚ του Ευρωπαϊκού Κοινοβουλίου και του Συμβουλίου για τη θέσπιση πλαισίου κοινοτικής δράσης στον τομέα της πολιτικής των υδάτων, ή, εν συντομία, σύμφωνα με την οδηγία-πλαίσιο της ΕΕ για τα ύδατα, συμπεριλαμβανομένης της εφαρμογής των απαιτούμενων μέτρων μετριασμού, διασφαλίζοντας τη συμμόρφωση με τις τεχνικές κατευθυντήριες γραμμές «μη πρόκλησης σημαντικής βλάβης» (2021/C58/01). Τυχόν μέτρα που προσδιορίζονται στο πλαίσιο της ΕΠΕ και της εκτίμησης βάσει της οδηγίας 2000/60/ΕΚ ως αναγκαία για τη διασφάλιση της συμμόρφωσης με την αρχή της μη πρόκλησης σημαντικής βλάβης ενσωματώνονται στο έργο και τηρούνται αυστηρά κατά τα στάδια της κατασκευής, της λειτουργίας και του παροπλισμού της υποδομής.</w:t>
      </w:r>
    </w:p>
    <w:p w14:paraId="05676B0D" w14:textId="77777777" w:rsidR="00154AD2" w:rsidRDefault="007F6BF3">
      <w:pPr>
        <w:pStyle w:val="P68B1DB1-Normal17"/>
        <w:keepNext/>
        <w:autoSpaceDE w:val="0"/>
        <w:autoSpaceDN w:val="0"/>
        <w:spacing w:before="40" w:after="40" w:line="240" w:lineRule="auto"/>
        <w:jc w:val="both"/>
        <w:rPr>
          <w:rFonts w:ascii="Times New Roman" w:eastAsia="Times New Roman" w:hAnsi="Times New Roman" w:cs="Times New Roman"/>
          <w:noProof/>
        </w:rPr>
      </w:pPr>
      <w:r>
        <w:rPr>
          <w:rFonts w:ascii="Times New Roman" w:hAnsi="Times New Roman"/>
          <w:noProof/>
        </w:rPr>
        <w:t>Σε περίπτωση άντλησης υδάτων, χορηγείται σχετική άδεια από την αρμόδια αρχή, στην οποία καθορίζονται οι όροι για την αποφυγή της υποβάθμισης και τη διασφάλιση ότι τα επηρεαζόμενα υδατικά συστήματα παραμένουν σε καλή οικολογική κατάσταση, σύμφωνα με τις απαιτήσεις της οδηγίας 2000/60/ΕΚ για τα ύδατα.</w:t>
      </w:r>
      <w:r>
        <w:rPr>
          <w:rFonts w:ascii="Segoe UI" w:hAnsi="Segoe UI"/>
          <w:noProof/>
        </w:rPr>
        <w:t xml:space="preserve"> </w:t>
      </w:r>
    </w:p>
    <w:p w14:paraId="6B828F29" w14:textId="6F5CF201" w:rsidR="00154AD2" w:rsidRDefault="007F6BF3">
      <w:pPr>
        <w:pStyle w:val="P68B1DB1-Normal4"/>
        <w:keepNext/>
        <w:autoSpaceDE w:val="0"/>
        <w:autoSpaceDN w:val="0"/>
        <w:spacing w:before="40" w:after="40" w:line="240" w:lineRule="auto"/>
        <w:jc w:val="both"/>
        <w:rPr>
          <w:rFonts w:eastAsiaTheme="minorEastAsia" w:cs="Times New Roman"/>
          <w:noProof/>
        </w:rPr>
      </w:pPr>
      <w:r>
        <w:rPr>
          <w:noProof/>
        </w:rPr>
        <w:t>Η υλοποίηση της επένδυσης θα ολοκληρωθεί έως τις 30 Ιουνίου 2026.</w:t>
      </w:r>
    </w:p>
    <w:p w14:paraId="0ABB1601" w14:textId="221BFC68"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Επένδυση RE-C09-i02: Υδραυλική επιχείρηση πολλαπλών χρήσεων του Crato, φάση σχεδιασμού</w:t>
      </w:r>
    </w:p>
    <w:p w14:paraId="5CCA52C3" w14:textId="77777777" w:rsidR="00154AD2" w:rsidRDefault="007F6BF3">
      <w:pPr>
        <w:pStyle w:val="P68B1DB1-Normal4"/>
        <w:keepNext/>
        <w:spacing w:before="40" w:after="0" w:line="259" w:lineRule="auto"/>
        <w:jc w:val="both"/>
        <w:rPr>
          <w:rFonts w:eastAsia="Times New Roman" w:cs="Times New Roman"/>
          <w:noProof/>
        </w:rPr>
      </w:pPr>
      <w:r>
        <w:rPr>
          <w:noProof/>
        </w:rPr>
        <w:t xml:space="preserve">Οι στόχοι του μέτρου αυτού είναι η εξασφάλιση της παροχής πόσιμου νερού, η αντιμετώπιση της απερήμωσης της περιοχής, η διαφοροποίηση της γεωργίας και η συμβολή στην αναδιαμόρφωση της παραγωγής ενέργειας στην περιοχή. Το μέτρο περιλαμβάνει τα ακόλουθα στάδια: κατασκευή φράγματος στην κοιλάδα του Crato για τη διασφάλιση της παροχής νερού για ανθρώπινη κατανάλωση και την αναδιαμόρφωση της γεωργίας, προσφέροντας παράλληλα προνομιακό χώρο για την εγκατάσταση πλωτών φωτοβολταϊκών συλλεκτών (που θα εγκατασταθούν στον καθρέφτη νερού με μέσα εκτός του Μηχανισμού Ανάκαμψης και Ανθεκτικότητας) και παραγωγή ηλεκτρικής ενέργειας αυτόνομα από τον προβλεπόμενο μίνι υδροηλεκτρικό σταθμό. </w:t>
      </w:r>
    </w:p>
    <w:p w14:paraId="07D1FD53" w14:textId="0A00FDE9" w:rsidR="00154AD2" w:rsidRDefault="007F6BF3">
      <w:pPr>
        <w:pStyle w:val="P68B1DB1-Normal4"/>
        <w:keepNext/>
        <w:spacing w:before="40" w:after="0" w:line="259" w:lineRule="auto"/>
        <w:jc w:val="both"/>
        <w:rPr>
          <w:rFonts w:eastAsiaTheme="minorEastAsia" w:cs="Times New Roman"/>
          <w:noProof/>
        </w:rPr>
      </w:pPr>
      <w:r>
        <w:rPr>
          <w:noProof/>
        </w:rPr>
        <w:t>Για παράδειγμα, για εγκατεστημένη ισχύ 75 MW, η φωτοβολταϊκή μονάδα θα κάλυπτε πάνω από το 60 % των σημερινών ενεργειακών αναγκών της περιοχής</w:t>
      </w:r>
    </w:p>
    <w:p w14:paraId="6FC26120" w14:textId="354A61C0" w:rsidR="00154AD2" w:rsidRDefault="007F6BF3">
      <w:pPr>
        <w:pStyle w:val="P68B1DB1-Normal4"/>
        <w:keepNext/>
        <w:spacing w:before="40" w:after="0" w:line="259" w:lineRule="auto"/>
        <w:jc w:val="both"/>
        <w:rPr>
          <w:rFonts w:eastAsia="Times New Roman" w:cs="Times New Roman"/>
          <w:noProof/>
        </w:rPr>
      </w:pPr>
      <w:r>
        <w:rPr>
          <w:noProof/>
        </w:rPr>
        <w:t>πλεονασμός της προσφοράς και μείωση των εκπομπών διοξειδίου του άνθρακα κατά περισσότερο από 80 000 τόνους/έτος. Σύμφωνα με την περιοχή της λίμνης που πρόκειται να δημιουργηθεί — 7.24</w:t>
      </w:r>
      <w:r>
        <w:rPr>
          <w:noProof/>
          <w:vertAlign w:val="superscript"/>
        </w:rPr>
        <w:t>km</w:t>
      </w:r>
      <w:r>
        <w:rPr>
          <w:noProof/>
        </w:rPr>
        <w:t xml:space="preserve"> 2 — και η μέγιστη επιφάνεια που μπορεί να χρησιμοποιηθεί για την εγκατάσταση φωτοβολταϊκών πάνελ ανέρχεται στο 20 % αυτής). </w:t>
      </w:r>
    </w:p>
    <w:p w14:paraId="4647CC73" w14:textId="7E6C724D" w:rsidR="00154AD2" w:rsidRDefault="007F6BF3">
      <w:pPr>
        <w:pStyle w:val="P68B1DB1-Normal4"/>
        <w:keepNext/>
        <w:spacing w:before="40" w:after="0" w:line="259" w:lineRule="auto"/>
        <w:jc w:val="both"/>
        <w:rPr>
          <w:rFonts w:eastAsia="Times New Roman" w:cs="Times New Roman"/>
          <w:noProof/>
        </w:rPr>
      </w:pPr>
      <w:r>
        <w:rPr>
          <w:noProof/>
        </w:rPr>
        <w:t>Συμβάλλει επίσης στη διαφοροποίηση της γεωργικής δραστηριότητας και στην προσέλκυση κατοίκων σε αυτή τη δημογραφικά υποβαθμισμένη περιοχή της χώρας, διατηρώντας παράλληλα ένα αποτελεσματικό σύστημα διαχείρισης των υδάτων.</w:t>
      </w:r>
    </w:p>
    <w:p w14:paraId="4B7B386F" w14:textId="2169FF6B" w:rsidR="00154AD2" w:rsidRDefault="007F6BF3">
      <w:pPr>
        <w:pStyle w:val="P68B1DB1-Normal4"/>
        <w:widowControl w:val="0"/>
        <w:spacing w:after="120" w:line="307" w:lineRule="exact"/>
        <w:jc w:val="both"/>
        <w:rPr>
          <w:rFonts w:eastAsia="Calibri" w:cs="Times New Roman"/>
          <w:noProof/>
        </w:rPr>
      </w:pPr>
      <w:r>
        <w:rPr>
          <w:noProof/>
        </w:rPr>
        <w:t>Το έργο βρίσκεται στη λεκάνη απορροής του Τάγου σε ζώνη κοντά στα όρια της λεκάνης απορροής του ποταμού Guadiana. Η επένδυση περιλαμβάνει τα ακόλουθα στάδια:</w:t>
      </w:r>
    </w:p>
    <w:p w14:paraId="5130E04D" w14:textId="772268AC" w:rsidR="00154AD2" w:rsidRDefault="007F6BF3">
      <w:pPr>
        <w:pStyle w:val="P68B1DB1-Normal4"/>
        <w:widowControl w:val="0"/>
        <w:numPr>
          <w:ilvl w:val="0"/>
          <w:numId w:val="28"/>
        </w:numPr>
        <w:spacing w:before="40" w:after="120" w:line="307" w:lineRule="exact"/>
        <w:ind w:left="714" w:hanging="357"/>
        <w:jc w:val="both"/>
        <w:rPr>
          <w:rFonts w:eastAsia="Calibri" w:cs="Times New Roman"/>
          <w:noProof/>
        </w:rPr>
      </w:pPr>
      <w:r>
        <w:rPr>
          <w:noProof/>
          <w:shd w:val="clear" w:color="auto" w:fill="FFFFFF"/>
        </w:rPr>
        <w:t>Φράγμα</w:t>
      </w:r>
      <w:r>
        <w:rPr>
          <w:noProof/>
        </w:rPr>
        <w:t>: Δημιουργία πλήρους ταμιευτήρα αποθήκευσης σε υψόμετρο 248 m (ύψους 48 m), με πλημμυρισμένη περιοχή 7,24 km</w:t>
      </w:r>
      <w:r>
        <w:rPr>
          <w:noProof/>
          <w:vertAlign w:val="superscript"/>
        </w:rPr>
        <w:t>2</w:t>
      </w:r>
      <w:r>
        <w:rPr>
          <w:noProof/>
        </w:rPr>
        <w:t>, χωρητικότητα αποθήκευσης 116,1 hm</w:t>
      </w:r>
      <w:r>
        <w:rPr>
          <w:noProof/>
          <w:vertAlign w:val="superscript"/>
        </w:rPr>
        <w:t xml:space="preserve">3 και ετήσιος μέσος όγκος 57,83 hm 3 </w:t>
      </w:r>
      <w:r>
        <w:rPr>
          <w:noProof/>
        </w:rPr>
        <w:t>ετησίως, επιτρέποντας 50,3 hm</w:t>
      </w:r>
      <w:r>
        <w:rPr>
          <w:noProof/>
          <w:vertAlign w:val="superscript"/>
        </w:rPr>
        <w:t>3</w:t>
      </w:r>
      <w:r>
        <w:rPr>
          <w:noProof/>
        </w:rPr>
        <w:t xml:space="preserve"> ετησίως για δημόσια παροχή νερού (δημόσια παροχή πόσιμου νερού (3.3 hm3/year) και άρδευση (47 hm3/year)), η οποία είναι απαραίτητη για την εξασφάλιση πλεονασμού στην παροχή, δηλαδή επαρκές νερό για την εξυπηρέτηση των πληθυσμών (περίπου 55 000 άτομα) των Alter do Chão, Avis, Crato, Fronteira, Gavião, Nisa, Ponte de Sor και Sousel.</w:t>
      </w:r>
    </w:p>
    <w:p w14:paraId="5B19CBFA" w14:textId="77777777" w:rsidR="00154AD2" w:rsidRDefault="007F6BF3">
      <w:pPr>
        <w:pStyle w:val="P68B1DB1-Normal4"/>
        <w:widowControl w:val="0"/>
        <w:numPr>
          <w:ilvl w:val="0"/>
          <w:numId w:val="28"/>
        </w:numPr>
        <w:spacing w:before="40" w:after="120" w:line="307" w:lineRule="exact"/>
        <w:ind w:left="714" w:hanging="357"/>
        <w:jc w:val="both"/>
        <w:rPr>
          <w:rFonts w:eastAsia="Calibri" w:cs="Times New Roman"/>
          <w:noProof/>
        </w:rPr>
      </w:pPr>
      <w:r>
        <w:rPr>
          <w:noProof/>
          <w:shd w:val="clear" w:color="auto" w:fill="FFFFFF"/>
        </w:rPr>
        <w:t>Μίνι υδροηλεκτρικός</w:t>
      </w:r>
      <w:r>
        <w:rPr>
          <w:noProof/>
        </w:rPr>
        <w:t>: Για τη χρήση ενέργειας των ροών που εκλύονται για άρδευση στην κοιλάδα κατάντη, επωφελούμενες από την πτώση που προκύπτει από το ύψος του φράγματος. Έχει εγκατεστημένη ισχύ 1,0 MW.</w:t>
      </w:r>
    </w:p>
    <w:p w14:paraId="7ECAF144" w14:textId="604696DD" w:rsidR="00154AD2" w:rsidRDefault="007F6BF3">
      <w:pPr>
        <w:pStyle w:val="P68B1DB1-Normal4"/>
        <w:widowControl w:val="0"/>
        <w:numPr>
          <w:ilvl w:val="0"/>
          <w:numId w:val="28"/>
        </w:numPr>
        <w:spacing w:before="40" w:after="0" w:line="302" w:lineRule="exact"/>
        <w:ind w:left="714" w:hanging="357"/>
        <w:jc w:val="both"/>
        <w:rPr>
          <w:rFonts w:eastAsia="Calibri" w:cs="Times New Roman"/>
          <w:noProof/>
        </w:rPr>
      </w:pPr>
      <w:r>
        <w:rPr>
          <w:noProof/>
          <w:shd w:val="clear" w:color="auto" w:fill="FFFFFF"/>
        </w:rPr>
        <w:t xml:space="preserve">Σύστημα ενίσχυσης του εφοδιασμού του φράγματος Póvoa e Meadas από το </w:t>
      </w:r>
      <w:r>
        <w:rPr>
          <w:noProof/>
        </w:rPr>
        <w:t>Pisão d</w:t>
      </w:r>
      <w:r>
        <w:rPr>
          <w:noProof/>
          <w:shd w:val="clear" w:color="auto" w:fill="FFFFFF"/>
        </w:rPr>
        <w:t>am</w:t>
      </w:r>
      <w:r>
        <w:rPr>
          <w:noProof/>
        </w:rPr>
        <w:t>: σύνδεση από τον ταμιευτήρα που πρόκειται να δημιουργηθεί με τον σταθμό επεξεργασίας υδάτων στην Póvoa e Meadas για την κάλυψη των αστικών αναγκών κατανάλωσης των δήμων Alter do Chão, Avis, Crato, Fronteira, Gavião, Nisa, Ponte de Sor και Sousel.</w:t>
      </w:r>
    </w:p>
    <w:p w14:paraId="4A96B4C4" w14:textId="77777777" w:rsidR="00154AD2" w:rsidRDefault="007F6BF3">
      <w:pPr>
        <w:pStyle w:val="P68B1DB1-Normal4"/>
        <w:widowControl w:val="0"/>
        <w:numPr>
          <w:ilvl w:val="0"/>
          <w:numId w:val="28"/>
        </w:numPr>
        <w:tabs>
          <w:tab w:val="left" w:pos="708"/>
        </w:tabs>
        <w:spacing w:before="237" w:after="131" w:line="307" w:lineRule="exact"/>
        <w:ind w:left="714" w:hanging="357"/>
        <w:jc w:val="both"/>
        <w:rPr>
          <w:rFonts w:eastAsia="Calibri" w:cs="Times New Roman"/>
          <w:noProof/>
        </w:rPr>
      </w:pPr>
      <w:r>
        <w:rPr>
          <w:noProof/>
          <w:shd w:val="clear" w:color="auto" w:fill="FFFFFF"/>
        </w:rPr>
        <w:t>Αρδευτικές υποδομές για τη στήριξη υφιστάμενων γεωργικών εκτάσεων:</w:t>
      </w:r>
      <w:r>
        <w:rPr>
          <w:b/>
          <w:noProof/>
          <w:shd w:val="clear" w:color="auto" w:fill="FFFFFF"/>
        </w:rPr>
        <w:t xml:space="preserve"> </w:t>
      </w:r>
      <w:r>
        <w:rPr>
          <w:noProof/>
        </w:rPr>
        <w:t>περιλαμβάνονται οι σταθμοί άρδευσης, οι αγωγοί, οι ταμιευτήρες εξισορρόπησης και τα δίκτυα διανομής, τα αρδευτικά δίκτυα και η βελτίωση της πρόσβασης της γεωργίας, και αναμένεται να δημιουργηθούν 5 078 εκτάρια νέων αρδευτικών μπλοκ (Alter do Chão, Avis, Crato, Fronteira και Sousel). Η περίμετρος άρδευσης διαιρείται σε παρτίδες με έκταση που δεν υπερβαίνει τα 100 εκτάρια.</w:t>
      </w:r>
    </w:p>
    <w:p w14:paraId="12A18ECF" w14:textId="58490B1B" w:rsidR="00154AD2" w:rsidRDefault="007F6BF3">
      <w:pPr>
        <w:pStyle w:val="P68B1DB1-Normal4"/>
        <w:widowControl w:val="0"/>
        <w:numPr>
          <w:ilvl w:val="0"/>
          <w:numId w:val="28"/>
        </w:numPr>
        <w:tabs>
          <w:tab w:val="left" w:pos="708"/>
        </w:tabs>
        <w:spacing w:before="237" w:after="131" w:line="307" w:lineRule="exact"/>
        <w:ind w:left="714" w:hanging="357"/>
        <w:jc w:val="both"/>
        <w:rPr>
          <w:rFonts w:eastAsia="Calibri" w:cs="Times New Roman"/>
          <w:noProof/>
        </w:rPr>
      </w:pPr>
      <w:r>
        <w:rPr>
          <w:noProof/>
          <w:shd w:val="clear" w:color="auto" w:fill="FFFFFF"/>
        </w:rPr>
        <w:t>Ηλιακός φωτοβολταϊκός</w:t>
      </w:r>
      <w:r>
        <w:rPr>
          <w:b/>
          <w:noProof/>
          <w:shd w:val="clear" w:color="auto" w:fill="FFFFFF"/>
        </w:rPr>
        <w:t xml:space="preserve"> </w:t>
      </w:r>
      <w:r>
        <w:rPr>
          <w:noProof/>
          <w:shd w:val="clear" w:color="auto" w:fill="FFFFFF"/>
        </w:rPr>
        <w:t>σταθμός ηλεκτροπαραγωγής</w:t>
      </w:r>
      <w:r>
        <w:rPr>
          <w:noProof/>
        </w:rPr>
        <w:t>(ηλιακές πλάκες, μετατροπείς, πλωτές συσκευές, καλωδίωση χαμηλής και μέσης τάσης): εγκατάσταση φωτοβολταϊκών πλαισίων στο υδρόπεδο κατόπτρου του ταμιευτήρα. Η χρηματοδότηση πραγματοποιείται εκτός του σχεδίου ανάκαμψης και ανθεκτικότητας.</w:t>
      </w:r>
    </w:p>
    <w:p w14:paraId="5AF0593D" w14:textId="7BA9A102" w:rsidR="00154AD2" w:rsidRDefault="007F6BF3">
      <w:pPr>
        <w:pStyle w:val="P68B1DB1-Normal4"/>
        <w:spacing w:before="40" w:after="0" w:line="259" w:lineRule="auto"/>
        <w:jc w:val="both"/>
        <w:rPr>
          <w:rFonts w:eastAsiaTheme="minorEastAsia" w:cs="Times New Roman"/>
          <w:noProof/>
        </w:rPr>
      </w:pPr>
      <w:r>
        <w:rPr>
          <w:noProof/>
        </w:rPr>
        <w:t xml:space="preserve">Το μέτρο αυτό δεν επιβαρύνει σημαντικά τους περιβαλλοντικούς στόχους κατά την έννοια του άρθρου 17 του κανονισμού (ΕΕ) 2020/852, λαμβάνοντας υπόψη την περιγραφή του μέτρου και τα μέτρα μετριασμού που ορίζονται στο σχέδιο ανάκαμψης και ανθεκτικότητας σύμφωνα με την τεχνική καθοδήγηση σχετικά με την αρχή της μη πρόκλησης σημαντικής βλάβης (2021/C58/01) και τα ορόσημα και τους στόχους που πρέπει να εκπληρώσει η Πορτογαλία. Αποδεικνύεται η πλήρης και ουσιαστική συμμόρφωση με τις εφαρμοστέες νομικές διατάξεις. Κατά τη δημοσίευση του σχεδίου ΕΠΕ για δημόσια διαβούλευση, περιλαμβάνει 1) τις προβλεπόμενες ροές νερού στο επηρεαζόμενο υδατικό σύστημα στο βασικό σενάριο (καμία επένδυση) καθώς και μετά την επένδυση, λαμβάνοντας πλήρως υπόψη τις δυσμενείς επιπτώσεις της κλιματικής αλλαγής με βάση τις βέλτιστες διαθέσιμες επιστημονικές προβλέψεις, συμπεριλαμβανομένου ενός πιθανού χειρότερου σεναρίου· και 2) αιτιολόγηση του σκοπού της επένδυσης σε σύγκριση με εναλλακτικές λύσεις με δυνητικά χαμηλότερες περιβαλλοντικές επιπτώσεις, τόσο όσον αφορά τους στόχους τους (έκταση της αρδευόμενης γης έναντι της βιώσιμης αγροτικής αναγέννησης) όσο και τα μέσα τους (μείωση της ζήτησης νερού και λύσεις που βασίζονται στη φύση). Ειδικότερα, όλα τα έργα που ενδέχεται να έχουν σημαντικές επιπτώσεις στο περιβάλλον υπόκεινται σε εκτίμηση περιβαλλοντικών επιπτώσεων (ΕΠΕ), η οποία ολοκληρώνεται σύμφωνα με την οδηγία 2011/92/ΕΕ, καθώς και σε σχετικές εκτιμήσεις στο πλαίσιο της οδηγίας 2000/60/ΕΚ, συμπεριλαμβανομένης της εφαρμογής των απαιτούμενων μέτρων μετριασμού, διασφαλίζοντας τη συμμόρφωση με τις τεχνικές κατευθυντήριες γραμμές «μη πρόκλησης σημαντικής βλάβης» (2021/C58/01). </w:t>
      </w:r>
    </w:p>
    <w:p w14:paraId="519C6249" w14:textId="77777777" w:rsidR="00154AD2" w:rsidRDefault="007F6BF3">
      <w:pPr>
        <w:pStyle w:val="P68B1DB1-Normal4"/>
        <w:spacing w:before="40" w:after="0" w:line="259" w:lineRule="auto"/>
        <w:jc w:val="both"/>
        <w:rPr>
          <w:rFonts w:eastAsiaTheme="minorEastAsia" w:cs="Times New Roman"/>
          <w:noProof/>
        </w:rPr>
      </w:pPr>
      <w:r>
        <w:rPr>
          <w:noProof/>
        </w:rPr>
        <w:t>Τυχόν μέτρα που προσδιορίζονται στο πλαίσιο της ΕΠΕ και της εκτίμησης βάσει της οδηγίας 2000/60/ΕΚ ως αναγκαία για τη διασφάλιση της συμμόρφωσης με την αρχή της μη πρόκλησης σημαντικής βλάβης ενσωματώνονται στο έργο και τηρούνται αυστηρά κατά τα στάδια της κατασκευής, της λειτουργίας και του παροπλισμού της υποδομής.</w:t>
      </w:r>
    </w:p>
    <w:p w14:paraId="77735E49" w14:textId="77777777" w:rsidR="00154AD2" w:rsidRDefault="007F6BF3">
      <w:pPr>
        <w:pStyle w:val="P68B1DB1-Normal4"/>
        <w:spacing w:before="40" w:after="0" w:line="259" w:lineRule="auto"/>
        <w:jc w:val="both"/>
        <w:rPr>
          <w:rFonts w:eastAsiaTheme="minorEastAsia" w:cs="Times New Roman"/>
          <w:noProof/>
        </w:rPr>
      </w:pPr>
      <w:r>
        <w:rPr>
          <w:noProof/>
        </w:rPr>
        <w:t>Η ΕΠΕ βασίζεται στα πλέον επικαιροποιημένα, πλήρη και ακριβή δεδομένα, συμπεριλαμβανομένων των δεδομένων παρακολούθησης των βιολογικών ποιοτικών στοιχείων που είναι ειδικά ευαίσθητα στις υδρομορφολογικές αλλοιώσεις, και στην αναμενόμενη κατάσταση του υδατικού συστήματος ως αποτέλεσμα των νέων δραστηριοτήτων, σε σύγκριση με την τρέχουσα. Αξιολογεί ιδίως τις σωρευτικές επιπτώσεις αυτού του νέου έργου με άλλες υφιστάμενες ή σχεδιαζόμενες υποδομές στη λεκάνη απορροής ποταμού.</w:t>
      </w:r>
    </w:p>
    <w:p w14:paraId="3A356255" w14:textId="77777777" w:rsidR="00154AD2" w:rsidRDefault="007F6BF3">
      <w:pPr>
        <w:pStyle w:val="P68B1DB1-Normal4"/>
        <w:spacing w:before="40" w:after="0" w:line="259" w:lineRule="auto"/>
        <w:jc w:val="both"/>
        <w:rPr>
          <w:rFonts w:eastAsiaTheme="minorEastAsia" w:cs="Times New Roman"/>
          <w:noProof/>
        </w:rPr>
      </w:pPr>
      <w:r>
        <w:rPr>
          <w:noProof/>
        </w:rPr>
        <w:t>Για τη συμμόρφωση με την οδηγία 2000/60/ΕΚ, αποδεικνύεται, βάσει εκτίμησης όλων των δυνητικών επιπτώσεων στην κατάσταση των υδατικών συστημάτων εντός της ίδιας λεκάνης απορροής ποταμού και στους προστατευόμενους οικοτόπους και είδη που εξαρτώνται άμεσα από τα ύδατα, λαμβάνοντας ιδίως υπόψη τις τρέχουσες πιέσεις που σχετίζονται με την άντληση υδάτων, ότι το μέτρο:</w:t>
      </w:r>
    </w:p>
    <w:p w14:paraId="4E8790D8" w14:textId="77777777" w:rsidR="00154AD2" w:rsidRDefault="007F6BF3">
      <w:pPr>
        <w:pStyle w:val="P68B1DB1-Normal4"/>
        <w:spacing w:before="40" w:after="0" w:line="259" w:lineRule="auto"/>
        <w:jc w:val="both"/>
        <w:rPr>
          <w:rFonts w:eastAsiaTheme="minorEastAsia" w:cs="Times New Roman"/>
          <w:noProof/>
        </w:rPr>
      </w:pPr>
      <w:r>
        <w:rPr>
          <w:noProof/>
        </w:rPr>
        <w:t xml:space="preserve">I) δεν έχει σημαντικές ή μη αναστρέψιμες επιπτώσεις στα υδατικά συστήματα που επηρεάζονται ούτε εμποδίζει το συγκεκριμένο υδατικό σύστημα με το οποίο σχετίζεται ούτε άλλα υδατικά συστήματα στην ίδια λεκάνη απορροής ποταμού να επιτύχει καλή κατάσταση ή δυναμικό έως το τέταρτο τρίμηνο του 4 2025· και </w:t>
      </w:r>
    </w:p>
    <w:p w14:paraId="41CC86CF" w14:textId="77777777" w:rsidR="00154AD2" w:rsidRDefault="007F6BF3">
      <w:pPr>
        <w:pStyle w:val="P68B1DB1-Normal4"/>
        <w:spacing w:before="40" w:after="0" w:line="259" w:lineRule="auto"/>
        <w:jc w:val="both"/>
        <w:rPr>
          <w:rFonts w:eastAsiaTheme="minorEastAsia" w:cs="Times New Roman"/>
          <w:noProof/>
        </w:rPr>
      </w:pPr>
      <w:r>
        <w:rPr>
          <w:noProof/>
        </w:rPr>
        <w:t>II) δεν προκαλεί σημαντικές αρνητικές επιπτώσεις σε προστατευόμενους οικοτόπους και είδη που εξαρτώνται άμεσα από τα ύδατα.</w:t>
      </w:r>
    </w:p>
    <w:p w14:paraId="5E5C92F5" w14:textId="0CA8BF50" w:rsidR="00154AD2" w:rsidRDefault="007F6BF3">
      <w:pPr>
        <w:pStyle w:val="P68B1DB1-Normal4"/>
        <w:keepNext/>
        <w:spacing w:before="40" w:after="0" w:line="259" w:lineRule="auto"/>
        <w:jc w:val="both"/>
        <w:rPr>
          <w:rFonts w:eastAsiaTheme="minorEastAsia" w:cs="Times New Roman"/>
          <w:noProof/>
        </w:rPr>
      </w:pPr>
      <w:r>
        <w:rPr>
          <w:noProof/>
        </w:rPr>
        <w:t xml:space="preserve">Χορηγείται άδεια για το έργο από την αρμόδια αρχή, στην οποία προσδιορίζονται όλα τα τεχνικώς εφικτά και συναφή από οικολογική άποψη μέτρα που εφαρμόζονται για τον μετριασμό των επιπτώσεων και τη διασφάλιση της επίτευξης καλής οικολογικής κατάστασης και δυναμικού στα επηρεαζόμενα υδατικά συστήματα έως το τέταρτο τρίμηνο του 4 2025, καθώς και για τη διασφάλιση της παρακολούθησης της αποτελεσματικότητας των εν λόγω μέτρων, σύμφωνα με τις απαιτήσεις της οδηγίας 2000/60/ΕΚ για τα ύδατα. </w:t>
      </w:r>
    </w:p>
    <w:p w14:paraId="207EA017" w14:textId="19E4EEFD" w:rsidR="00154AD2" w:rsidRDefault="007F6BF3">
      <w:pPr>
        <w:pStyle w:val="P68B1DB1-Normal4"/>
        <w:keepNext/>
        <w:spacing w:before="40" w:after="0" w:line="259" w:lineRule="auto"/>
        <w:jc w:val="both"/>
        <w:rPr>
          <w:rFonts w:eastAsiaTheme="minorEastAsia" w:cs="Times New Roman"/>
          <w:noProof/>
        </w:rPr>
      </w:pPr>
      <w:r>
        <w:rPr>
          <w:noProof/>
        </w:rPr>
        <w:t>Η υλοποίηση της επένδυσης θα ολοκληρωθεί έως τις 31 Μαρτίου 2022.</w:t>
      </w:r>
    </w:p>
    <w:p w14:paraId="34D05917" w14:textId="77777777" w:rsidR="00154AD2" w:rsidRDefault="007F6BF3">
      <w:pPr>
        <w:pStyle w:val="P68B1DB1-Normal5"/>
        <w:spacing w:before="240" w:after="0" w:line="259" w:lineRule="auto"/>
        <w:ind w:left="851"/>
        <w:jc w:val="both"/>
        <w:outlineLvl w:val="3"/>
        <w:rPr>
          <w:rFonts w:eastAsiaTheme="minorEastAsia" w:cs="Times New Roman"/>
          <w:noProof/>
        </w:rPr>
      </w:pPr>
      <w:r>
        <w:rPr>
          <w:noProof/>
        </w:rPr>
        <w:t>Επένδυση RE-C09-i03-RAM: Σχέδιο αποδοτικής χρήσης των υδάτων και ενίσχυσης των συστημάτων παροχής και άρδευσης της Μαδέρας</w:t>
      </w:r>
    </w:p>
    <w:p w14:paraId="37F68CD1" w14:textId="17F84417" w:rsidR="00154AD2" w:rsidRDefault="007F6BF3">
      <w:pPr>
        <w:pStyle w:val="P68B1DB1-Normal4"/>
        <w:spacing w:before="40" w:after="0" w:line="259" w:lineRule="auto"/>
        <w:jc w:val="both"/>
        <w:rPr>
          <w:rFonts w:eastAsiaTheme="minorEastAsia" w:cs="Times New Roman"/>
          <w:noProof/>
        </w:rPr>
      </w:pPr>
      <w:r>
        <w:rPr>
          <w:noProof/>
        </w:rPr>
        <w:t xml:space="preserve">Οι στόχοι του μέτρου είναι η αύξηση της ανθεκτικότητας των υδάτινων πόρων στα νησιά της Μαδέρας και του Porto Santo. </w:t>
      </w:r>
    </w:p>
    <w:p w14:paraId="0884F004" w14:textId="7EB121EB" w:rsidR="00154AD2" w:rsidRDefault="007F6BF3">
      <w:pPr>
        <w:pStyle w:val="P68B1DB1-Normal4"/>
        <w:spacing w:before="40" w:after="0" w:line="259" w:lineRule="auto"/>
        <w:jc w:val="both"/>
        <w:rPr>
          <w:rFonts w:eastAsiaTheme="minorEastAsia" w:cs="Times New Roman"/>
          <w:noProof/>
        </w:rPr>
      </w:pPr>
      <w:r>
        <w:rPr>
          <w:noProof/>
        </w:rPr>
        <w:t xml:space="preserve">Η επένδυση συνίσταται στη διάθεση υδάτινων πόρων μέσω της βελτιστοποίησης της χρήσης των υφιστάμενων πόρων, της άντλησης πλεοναζόντων υδάτων χωρίς επιπτώσεις στα οικοσυστήματα, της δημιουργίας και επέκτασης στρατηγικών αποθεμάτων και της διασύνδεσης των διαφόρων πηγών ύδατος. </w:t>
      </w:r>
    </w:p>
    <w:p w14:paraId="6EF884DE" w14:textId="77777777" w:rsidR="00154AD2" w:rsidRDefault="007F6BF3">
      <w:pPr>
        <w:pStyle w:val="P68B1DB1-Normal4"/>
        <w:spacing w:before="40" w:after="0" w:line="259" w:lineRule="auto"/>
        <w:jc w:val="both"/>
        <w:rPr>
          <w:rFonts w:eastAsiaTheme="minorEastAsia" w:cs="Times New Roman"/>
          <w:noProof/>
        </w:rPr>
      </w:pPr>
      <w:r>
        <w:rPr>
          <w:noProof/>
        </w:rPr>
        <w:t>Αναμένεται ότι το μέτρο αυτό δεν θα βλάψει σημαντικά τους περιβαλλοντικούς στόχους κατά την έννοια του άρθρου 17 του κανονισμού (ΕΕ) 2020/852, λαμβάνοντας υπόψη την περιγραφή του μέτρου και τα μέτρα μετριασμού που ορίζονται στο σχέδιο ανάκαμψης και ανθεκτικότητας σύμφωνα με την τεχνική καθοδήγηση σχετικά με την αρχή της μη πρόκλησης σημαντικής βλάβης (2021/C58/01) και τα ορόσημα και τους στόχους που πρέπει να εκπληρώσει η Πορτογαλία. Ειδικότερα, όλα τα έργα που ενδέχεται να έχουν σημαντικές επιπτώσεις στο περιβάλλον πρέπει απαραιτήτως να υπόκεινται σε εκτίμηση περιβαλλοντικών επιπτώσεων (ΕΠΕ) σύμφωνα με την οδηγία 2011/92/ΕΕ, καθώς και σε σχετικές εκτιμήσεις στο πλαίσιο της οδηγίας 2000/60/ΕΚ και της οδηγίας 92/43/ΕΟΚ, συμπεριλαμβανομένης της εφαρμογής των απαιτούμενων μέτρων μετριασμού.</w:t>
      </w:r>
    </w:p>
    <w:p w14:paraId="38F7BA54" w14:textId="4535BBF2" w:rsidR="00154AD2" w:rsidRDefault="007F6BF3">
      <w:pPr>
        <w:pStyle w:val="P68B1DB1-Normal4"/>
        <w:keepNext/>
        <w:spacing w:before="40" w:after="0" w:line="259" w:lineRule="auto"/>
        <w:jc w:val="both"/>
        <w:rPr>
          <w:rFonts w:eastAsiaTheme="minorEastAsia" w:cs="Times New Roman"/>
          <w:noProof/>
        </w:rPr>
        <w:sectPr w:rsidR="00154AD2" w:rsidSect="00E00EDD">
          <w:headerReference w:type="even" r:id="rId180"/>
          <w:headerReference w:type="default" r:id="rId181"/>
          <w:footerReference w:type="even" r:id="rId182"/>
          <w:footerReference w:type="default" r:id="rId183"/>
          <w:headerReference w:type="first" r:id="rId184"/>
          <w:footerReference w:type="first" r:id="rId185"/>
          <w:pgSz w:w="11907" w:h="16839"/>
          <w:pgMar w:top="1134" w:right="1134" w:bottom="1134" w:left="1134" w:header="567" w:footer="567" w:gutter="0"/>
          <w:cols w:space="720"/>
          <w:docGrid w:linePitch="360"/>
        </w:sectPr>
      </w:pPr>
      <w:r>
        <w:rPr>
          <w:noProof/>
        </w:rPr>
        <w:t>Η υλοποίηση της επένδυσης θα ολοκληρωθεί έως τις 30 Ιουνίου 2026.</w:t>
      </w:r>
    </w:p>
    <w:p w14:paraId="12B3E8CF"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1AF6FAD5"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1001889C" w14:textId="77777777" w:rsidR="00154AD2" w:rsidRDefault="007F6BF3">
      <w:pPr>
        <w:pStyle w:val="P68B1DB1-Normal3"/>
        <w:keepNext/>
        <w:spacing w:before="40" w:after="0" w:line="259" w:lineRule="auto"/>
        <w:ind w:left="130" w:firstLine="720"/>
        <w:jc w:val="both"/>
        <w:outlineLvl w:val="2"/>
        <w:rPr>
          <w:rFonts w:eastAsiaTheme="minorEastAsia" w:cs="Times New Roman"/>
          <w:noProof/>
        </w:rPr>
      </w:pPr>
      <w:r>
        <w:rPr>
          <w:noProof/>
        </w:rPr>
        <w:t>Ι.2. Ορόσημα, στόχοι, δείκτες και χρονοδιάγραμμα για την παρακολούθηση και την υλοποίηση της μη επιστρεπτέας χρηματοδοτικής στήριξης</w:t>
      </w:r>
    </w:p>
    <w:p w14:paraId="25E28A3C" w14:textId="77777777" w:rsidR="00154AD2" w:rsidRDefault="00154AD2">
      <w:pPr>
        <w:keepNext/>
        <w:spacing w:before="40" w:after="0" w:line="259" w:lineRule="auto"/>
        <w:ind w:left="130" w:firstLine="720"/>
        <w:jc w:val="both"/>
        <w:outlineLvl w:val="2"/>
        <w:rPr>
          <w:rFonts w:ascii="Times New Roman" w:eastAsiaTheme="minorEastAsia" w:hAnsi="Times New Roman" w:cs="Times New Roman"/>
          <w:b/>
          <w:noProof/>
          <w:sz w:val="24"/>
          <w:u w:val="single"/>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154AD2" w14:paraId="600C6CC3" w14:textId="77777777">
        <w:trPr>
          <w:trHeight w:val="300"/>
          <w:tblHeader/>
          <w:jc w:val="center"/>
        </w:trPr>
        <w:tc>
          <w:tcPr>
            <w:tcW w:w="1135" w:type="dxa"/>
            <w:vMerge w:val="restart"/>
            <w:shd w:val="clear" w:color="auto" w:fill="BDD6EE"/>
            <w:vAlign w:val="center"/>
            <w:hideMark/>
          </w:tcPr>
          <w:p w14:paraId="7EDDF729" w14:textId="77777777" w:rsidR="00154AD2" w:rsidRDefault="007F6BF3">
            <w:pPr>
              <w:pStyle w:val="P68B1DB1-Normal6"/>
              <w:spacing w:after="0" w:line="240" w:lineRule="auto"/>
              <w:jc w:val="center"/>
              <w:rPr>
                <w:rFonts w:eastAsia="Times New Roman" w:cs="Times New Roman"/>
                <w:noProof/>
              </w:rPr>
            </w:pPr>
            <w:r>
              <w:rPr>
                <w:noProof/>
              </w:rPr>
              <w:t>Αύξων αριθμός</w:t>
            </w:r>
          </w:p>
        </w:tc>
        <w:tc>
          <w:tcPr>
            <w:tcW w:w="1276" w:type="dxa"/>
            <w:vMerge w:val="restart"/>
            <w:shd w:val="clear" w:color="auto" w:fill="BDD6EE"/>
            <w:noWrap/>
            <w:vAlign w:val="center"/>
            <w:hideMark/>
          </w:tcPr>
          <w:p w14:paraId="245FD828" w14:textId="77777777" w:rsidR="00154AD2" w:rsidRDefault="007F6BF3">
            <w:pPr>
              <w:pStyle w:val="P68B1DB1-Normal6"/>
              <w:spacing w:after="0" w:line="240" w:lineRule="auto"/>
              <w:jc w:val="center"/>
              <w:rPr>
                <w:rFonts w:eastAsia="Times New Roman" w:cs="Times New Roman"/>
                <w:noProof/>
              </w:rPr>
            </w:pPr>
            <w:r>
              <w:rPr>
                <w:noProof/>
              </w:rPr>
              <w:t>Μέτρο (Μεταρρύθμιση ή Επενδύσεις)</w:t>
            </w:r>
          </w:p>
        </w:tc>
        <w:tc>
          <w:tcPr>
            <w:tcW w:w="1134" w:type="dxa"/>
            <w:vMerge w:val="restart"/>
            <w:shd w:val="clear" w:color="auto" w:fill="BDD6EE"/>
            <w:noWrap/>
            <w:vAlign w:val="center"/>
            <w:hideMark/>
          </w:tcPr>
          <w:p w14:paraId="0BF43E8A" w14:textId="22BCA461" w:rsidR="00154AD2" w:rsidRDefault="007F6BF3">
            <w:pPr>
              <w:pStyle w:val="P68B1DB1-Normal6"/>
              <w:spacing w:after="0" w:line="240" w:lineRule="auto"/>
              <w:jc w:val="center"/>
              <w:rPr>
                <w:rFonts w:eastAsia="Times New Roman" w:cs="Times New Roman"/>
                <w:noProof/>
              </w:rPr>
            </w:pPr>
            <w:r>
              <w:rPr>
                <w:noProof/>
              </w:rPr>
              <w:t>Ορόσημο/Στόχος</w:t>
            </w:r>
          </w:p>
        </w:tc>
        <w:tc>
          <w:tcPr>
            <w:tcW w:w="1701" w:type="dxa"/>
            <w:vMerge w:val="restart"/>
            <w:shd w:val="clear" w:color="auto" w:fill="BDD6EE"/>
            <w:noWrap/>
            <w:vAlign w:val="center"/>
            <w:hideMark/>
          </w:tcPr>
          <w:p w14:paraId="340FFCF7" w14:textId="77777777" w:rsidR="00154AD2" w:rsidRDefault="007F6BF3">
            <w:pPr>
              <w:pStyle w:val="P68B1DB1-Normal6"/>
              <w:spacing w:after="0" w:line="240" w:lineRule="auto"/>
              <w:jc w:val="center"/>
              <w:rPr>
                <w:rFonts w:eastAsia="Times New Roman" w:cs="Times New Roman"/>
                <w:noProof/>
              </w:rPr>
            </w:pPr>
            <w:r>
              <w:rPr>
                <w:noProof/>
              </w:rPr>
              <w:t>Όνομα</w:t>
            </w:r>
          </w:p>
        </w:tc>
        <w:tc>
          <w:tcPr>
            <w:tcW w:w="1275" w:type="dxa"/>
            <w:vMerge w:val="restart"/>
            <w:shd w:val="clear" w:color="auto" w:fill="BDD6EE"/>
            <w:noWrap/>
            <w:vAlign w:val="center"/>
            <w:hideMark/>
          </w:tcPr>
          <w:p w14:paraId="6468587C" w14:textId="77777777" w:rsidR="00154AD2" w:rsidRDefault="007F6BF3">
            <w:pPr>
              <w:pStyle w:val="P68B1DB1-Normal6"/>
              <w:spacing w:after="0" w:line="240" w:lineRule="auto"/>
              <w:jc w:val="center"/>
              <w:rPr>
                <w:rFonts w:eastAsia="Times New Roman" w:cs="Times New Roman"/>
                <w:noProof/>
              </w:rPr>
            </w:pPr>
            <w:r>
              <w:rPr>
                <w:noProof/>
              </w:rPr>
              <w:t>Ποιοτικοί δείκτες (για τα ορόσημα)</w:t>
            </w:r>
          </w:p>
        </w:tc>
        <w:tc>
          <w:tcPr>
            <w:tcW w:w="2694" w:type="dxa"/>
            <w:gridSpan w:val="3"/>
            <w:shd w:val="clear" w:color="auto" w:fill="BDD6EE"/>
            <w:noWrap/>
            <w:vAlign w:val="center"/>
            <w:hideMark/>
          </w:tcPr>
          <w:p w14:paraId="12177533" w14:textId="77777777" w:rsidR="00154AD2" w:rsidRDefault="007F6BF3">
            <w:pPr>
              <w:pStyle w:val="P68B1DB1-Normal6"/>
              <w:spacing w:after="0" w:line="240" w:lineRule="auto"/>
              <w:jc w:val="center"/>
              <w:rPr>
                <w:rFonts w:eastAsia="Times New Roman" w:cs="Times New Roman"/>
                <w:noProof/>
              </w:rPr>
            </w:pPr>
            <w:r>
              <w:rPr>
                <w:noProof/>
              </w:rPr>
              <w:t>Ποσοτικοί δείκτες (για τους στόχους)</w:t>
            </w:r>
          </w:p>
        </w:tc>
        <w:tc>
          <w:tcPr>
            <w:tcW w:w="1275" w:type="dxa"/>
            <w:gridSpan w:val="2"/>
            <w:shd w:val="clear" w:color="auto" w:fill="BDD6EE"/>
            <w:noWrap/>
            <w:vAlign w:val="center"/>
            <w:hideMark/>
          </w:tcPr>
          <w:p w14:paraId="28F7EB70" w14:textId="77777777" w:rsidR="00154AD2" w:rsidRDefault="007F6BF3">
            <w:pPr>
              <w:pStyle w:val="P68B1DB1-Normal6"/>
              <w:spacing w:after="0" w:line="240" w:lineRule="auto"/>
              <w:jc w:val="center"/>
              <w:rPr>
                <w:rFonts w:eastAsia="Times New Roman" w:cs="Times New Roman"/>
                <w:noProof/>
              </w:rPr>
            </w:pPr>
            <w:r>
              <w:rPr>
                <w:noProof/>
              </w:rPr>
              <w:t>Χρονοδιάγραμμα ολοκλήρωσης</w:t>
            </w:r>
          </w:p>
        </w:tc>
        <w:tc>
          <w:tcPr>
            <w:tcW w:w="3969" w:type="dxa"/>
            <w:vMerge w:val="restart"/>
            <w:shd w:val="clear" w:color="auto" w:fill="BDD6EE"/>
            <w:vAlign w:val="center"/>
            <w:hideMark/>
          </w:tcPr>
          <w:p w14:paraId="4A0FED38" w14:textId="77777777" w:rsidR="00154AD2" w:rsidRDefault="007F6BF3">
            <w:pPr>
              <w:pStyle w:val="P68B1DB1-Normal6"/>
              <w:spacing w:after="0" w:line="240" w:lineRule="auto"/>
              <w:jc w:val="center"/>
              <w:rPr>
                <w:rFonts w:eastAsia="Times New Roman" w:cs="Times New Roman"/>
                <w:noProof/>
              </w:rPr>
            </w:pPr>
            <w:r>
              <w:rPr>
                <w:noProof/>
              </w:rPr>
              <w:t>Περιγραφή και σαφής ορισμός κάθε ορόσημου και στόχου</w:t>
            </w:r>
          </w:p>
        </w:tc>
      </w:tr>
      <w:tr w:rsidR="00154AD2" w14:paraId="1E2172AA" w14:textId="77777777">
        <w:trPr>
          <w:trHeight w:val="300"/>
          <w:tblHeader/>
          <w:jc w:val="center"/>
        </w:trPr>
        <w:tc>
          <w:tcPr>
            <w:tcW w:w="1135" w:type="dxa"/>
            <w:vMerge/>
            <w:vAlign w:val="center"/>
            <w:hideMark/>
          </w:tcPr>
          <w:p w14:paraId="57B55280" w14:textId="77777777" w:rsidR="00154AD2" w:rsidRDefault="00154AD2">
            <w:pPr>
              <w:spacing w:after="0" w:line="240" w:lineRule="auto"/>
              <w:rPr>
                <w:rFonts w:ascii="Times New Roman" w:eastAsia="Times New Roman" w:hAnsi="Times New Roman" w:cs="Times New Roman"/>
                <w:b/>
                <w:noProof/>
                <w:sz w:val="18"/>
              </w:rPr>
            </w:pPr>
          </w:p>
        </w:tc>
        <w:tc>
          <w:tcPr>
            <w:tcW w:w="1276" w:type="dxa"/>
            <w:vMerge/>
            <w:vAlign w:val="center"/>
            <w:hideMark/>
          </w:tcPr>
          <w:p w14:paraId="622AD449" w14:textId="77777777" w:rsidR="00154AD2" w:rsidRDefault="00154AD2">
            <w:pPr>
              <w:spacing w:after="0" w:line="240" w:lineRule="auto"/>
              <w:rPr>
                <w:rFonts w:ascii="Times New Roman" w:eastAsia="Times New Roman" w:hAnsi="Times New Roman" w:cs="Times New Roman"/>
                <w:b/>
                <w:noProof/>
                <w:sz w:val="18"/>
              </w:rPr>
            </w:pPr>
          </w:p>
        </w:tc>
        <w:tc>
          <w:tcPr>
            <w:tcW w:w="1134" w:type="dxa"/>
            <w:vMerge/>
            <w:noWrap/>
            <w:vAlign w:val="center"/>
            <w:hideMark/>
          </w:tcPr>
          <w:p w14:paraId="201EE1EB" w14:textId="3CE9A911" w:rsidR="00154AD2" w:rsidRDefault="00154AD2">
            <w:pPr>
              <w:spacing w:after="0" w:line="240" w:lineRule="auto"/>
              <w:jc w:val="center"/>
              <w:rPr>
                <w:rFonts w:ascii="Times New Roman" w:eastAsia="Times New Roman" w:hAnsi="Times New Roman" w:cs="Times New Roman"/>
                <w:b/>
                <w:noProof/>
                <w:sz w:val="14"/>
              </w:rPr>
            </w:pPr>
          </w:p>
        </w:tc>
        <w:tc>
          <w:tcPr>
            <w:tcW w:w="1701" w:type="dxa"/>
            <w:vMerge/>
            <w:vAlign w:val="center"/>
            <w:hideMark/>
          </w:tcPr>
          <w:p w14:paraId="5BCDAF57" w14:textId="77777777" w:rsidR="00154AD2" w:rsidRDefault="00154AD2">
            <w:pPr>
              <w:spacing w:after="0" w:line="240" w:lineRule="auto"/>
              <w:rPr>
                <w:rFonts w:ascii="Times New Roman" w:eastAsia="Times New Roman" w:hAnsi="Times New Roman" w:cs="Times New Roman"/>
                <w:b/>
                <w:noProof/>
                <w:sz w:val="18"/>
              </w:rPr>
            </w:pPr>
          </w:p>
        </w:tc>
        <w:tc>
          <w:tcPr>
            <w:tcW w:w="1275" w:type="dxa"/>
            <w:vMerge/>
            <w:vAlign w:val="center"/>
            <w:hideMark/>
          </w:tcPr>
          <w:p w14:paraId="7CCC7491" w14:textId="77777777" w:rsidR="00154AD2" w:rsidRDefault="00154AD2">
            <w:pPr>
              <w:spacing w:after="0" w:line="240" w:lineRule="auto"/>
              <w:rPr>
                <w:rFonts w:ascii="Times New Roman" w:eastAsia="Times New Roman" w:hAnsi="Times New Roman" w:cs="Times New Roman"/>
                <w:b/>
                <w:noProof/>
                <w:sz w:val="18"/>
              </w:rPr>
            </w:pPr>
          </w:p>
        </w:tc>
        <w:tc>
          <w:tcPr>
            <w:tcW w:w="993" w:type="dxa"/>
            <w:shd w:val="clear" w:color="auto" w:fill="BDD6EE"/>
            <w:noWrap/>
            <w:vAlign w:val="center"/>
            <w:hideMark/>
          </w:tcPr>
          <w:p w14:paraId="4AA0E852" w14:textId="77777777" w:rsidR="00154AD2" w:rsidRDefault="007F6BF3">
            <w:pPr>
              <w:pStyle w:val="P68B1DB1-Normal6"/>
              <w:spacing w:after="0" w:line="240" w:lineRule="auto"/>
              <w:jc w:val="center"/>
              <w:rPr>
                <w:rFonts w:eastAsia="Times New Roman" w:cs="Times New Roman"/>
                <w:noProof/>
              </w:rPr>
            </w:pPr>
            <w:r>
              <w:rPr>
                <w:noProof/>
              </w:rPr>
              <w:t>Μονάδα μέτρησης</w:t>
            </w:r>
          </w:p>
        </w:tc>
        <w:tc>
          <w:tcPr>
            <w:tcW w:w="992" w:type="dxa"/>
            <w:shd w:val="clear" w:color="auto" w:fill="BDD6EE"/>
            <w:noWrap/>
            <w:vAlign w:val="center"/>
            <w:hideMark/>
          </w:tcPr>
          <w:p w14:paraId="19FD5F31" w14:textId="77777777" w:rsidR="00154AD2" w:rsidRDefault="007F6BF3">
            <w:pPr>
              <w:pStyle w:val="P68B1DB1-Normal6"/>
              <w:spacing w:after="0" w:line="240" w:lineRule="auto"/>
              <w:jc w:val="center"/>
              <w:rPr>
                <w:rFonts w:eastAsia="Times New Roman" w:cs="Times New Roman"/>
                <w:noProof/>
              </w:rPr>
            </w:pPr>
            <w:r>
              <w:rPr>
                <w:noProof/>
              </w:rPr>
              <w:t>Γραμμή βάσης</w:t>
            </w:r>
          </w:p>
        </w:tc>
        <w:tc>
          <w:tcPr>
            <w:tcW w:w="709" w:type="dxa"/>
            <w:shd w:val="clear" w:color="auto" w:fill="BDD6EE"/>
            <w:noWrap/>
            <w:vAlign w:val="center"/>
            <w:hideMark/>
          </w:tcPr>
          <w:p w14:paraId="2839A6A1" w14:textId="77777777" w:rsidR="00154AD2" w:rsidRDefault="007F6BF3">
            <w:pPr>
              <w:pStyle w:val="P68B1DB1-Normal6"/>
              <w:spacing w:after="0" w:line="240" w:lineRule="auto"/>
              <w:jc w:val="center"/>
              <w:rPr>
                <w:rFonts w:eastAsia="Times New Roman" w:cs="Times New Roman"/>
                <w:noProof/>
              </w:rPr>
            </w:pPr>
            <w:r>
              <w:rPr>
                <w:noProof/>
              </w:rPr>
              <w:t>Στόχοι</w:t>
            </w:r>
          </w:p>
        </w:tc>
        <w:tc>
          <w:tcPr>
            <w:tcW w:w="567" w:type="dxa"/>
            <w:shd w:val="clear" w:color="auto" w:fill="BDD6EE"/>
            <w:noWrap/>
            <w:vAlign w:val="center"/>
            <w:hideMark/>
          </w:tcPr>
          <w:p w14:paraId="46BA416F" w14:textId="77777777" w:rsidR="00154AD2" w:rsidRDefault="007F6BF3">
            <w:pPr>
              <w:pStyle w:val="P68B1DB1-Normal6"/>
              <w:spacing w:after="0" w:line="240" w:lineRule="auto"/>
              <w:jc w:val="center"/>
              <w:rPr>
                <w:rFonts w:eastAsia="Times New Roman" w:cs="Times New Roman"/>
                <w:noProof/>
              </w:rPr>
            </w:pPr>
            <w:r>
              <w:rPr>
                <w:noProof/>
              </w:rPr>
              <w:t>Ε</w:t>
            </w:r>
          </w:p>
        </w:tc>
        <w:tc>
          <w:tcPr>
            <w:tcW w:w="708" w:type="dxa"/>
            <w:shd w:val="clear" w:color="auto" w:fill="BDD6EE"/>
            <w:noWrap/>
            <w:vAlign w:val="center"/>
            <w:hideMark/>
          </w:tcPr>
          <w:p w14:paraId="726D1C15" w14:textId="77777777" w:rsidR="00154AD2" w:rsidRDefault="007F6BF3">
            <w:pPr>
              <w:pStyle w:val="P68B1DB1-Normal6"/>
              <w:spacing w:after="0" w:line="240" w:lineRule="auto"/>
              <w:jc w:val="center"/>
              <w:rPr>
                <w:rFonts w:eastAsia="Times New Roman" w:cs="Times New Roman"/>
                <w:noProof/>
              </w:rPr>
            </w:pPr>
            <w:r>
              <w:rPr>
                <w:noProof/>
              </w:rPr>
              <w:t>Έτος</w:t>
            </w:r>
          </w:p>
        </w:tc>
        <w:tc>
          <w:tcPr>
            <w:tcW w:w="3969" w:type="dxa"/>
            <w:vMerge/>
            <w:vAlign w:val="center"/>
            <w:hideMark/>
          </w:tcPr>
          <w:p w14:paraId="5EDB4CE2" w14:textId="77777777" w:rsidR="00154AD2" w:rsidRDefault="00154AD2">
            <w:pPr>
              <w:spacing w:after="0" w:line="240" w:lineRule="auto"/>
              <w:rPr>
                <w:rFonts w:ascii="Times New Roman" w:eastAsia="Times New Roman" w:hAnsi="Times New Roman" w:cs="Times New Roman"/>
                <w:b/>
                <w:noProof/>
                <w:sz w:val="18"/>
              </w:rPr>
            </w:pPr>
          </w:p>
        </w:tc>
      </w:tr>
      <w:tr w:rsidR="00154AD2" w14:paraId="6349FC7E" w14:textId="77777777">
        <w:trPr>
          <w:trHeight w:val="1480"/>
          <w:jc w:val="center"/>
        </w:trPr>
        <w:tc>
          <w:tcPr>
            <w:tcW w:w="1135" w:type="dxa"/>
            <w:shd w:val="clear" w:color="auto" w:fill="C5EFCE"/>
            <w:noWrap/>
            <w:vAlign w:val="center"/>
            <w:hideMark/>
          </w:tcPr>
          <w:p w14:paraId="0438A134" w14:textId="77777777" w:rsidR="00154AD2" w:rsidRDefault="007F6BF3">
            <w:pPr>
              <w:pStyle w:val="P68B1DB1-Normal7"/>
              <w:spacing w:after="0" w:line="240" w:lineRule="auto"/>
              <w:jc w:val="center"/>
              <w:rPr>
                <w:rFonts w:eastAsia="Times New Roman" w:cs="Calibri"/>
                <w:noProof/>
              </w:rPr>
            </w:pPr>
            <w:r>
              <w:rPr>
                <w:noProof/>
              </w:rPr>
              <w:t>9.1</w:t>
            </w:r>
          </w:p>
        </w:tc>
        <w:tc>
          <w:tcPr>
            <w:tcW w:w="1276" w:type="dxa"/>
            <w:shd w:val="clear" w:color="auto" w:fill="C4EFCE"/>
            <w:noWrap/>
            <w:vAlign w:val="center"/>
            <w:hideMark/>
          </w:tcPr>
          <w:p w14:paraId="0B8CF946" w14:textId="77777777" w:rsidR="00154AD2" w:rsidRDefault="007F6BF3">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3A439A71"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E88BABD" w14:textId="77777777" w:rsidR="00154AD2" w:rsidRDefault="007F6BF3">
            <w:pPr>
              <w:pStyle w:val="P68B1DB1-Normal8"/>
              <w:spacing w:after="0" w:line="240" w:lineRule="auto"/>
              <w:jc w:val="center"/>
              <w:rPr>
                <w:rFonts w:eastAsia="Times New Roman" w:cs="Calibri"/>
                <w:noProof/>
              </w:rPr>
            </w:pPr>
            <w:r>
              <w:rPr>
                <w:noProof/>
              </w:rPr>
              <w:t>Πρόσθετα σημεία παρακολούθησης των εγκατεστημένων πόρων υπόγειων υδάτων (SM3)</w:t>
            </w:r>
          </w:p>
        </w:tc>
        <w:tc>
          <w:tcPr>
            <w:tcW w:w="1275" w:type="dxa"/>
            <w:shd w:val="clear" w:color="auto" w:fill="C4EFCE"/>
            <w:noWrap/>
            <w:vAlign w:val="center"/>
            <w:hideMark/>
          </w:tcPr>
          <w:p w14:paraId="6E70CEC2" w14:textId="77777777" w:rsidR="00154AD2" w:rsidRDefault="00154AD2">
            <w:pPr>
              <w:spacing w:after="0" w:line="240" w:lineRule="auto"/>
              <w:jc w:val="center"/>
              <w:rPr>
                <w:rFonts w:ascii="Calibri" w:eastAsia="Times New Roman" w:hAnsi="Calibri" w:cs="Calibri"/>
                <w:noProof/>
                <w:sz w:val="16"/>
              </w:rPr>
            </w:pPr>
          </w:p>
        </w:tc>
        <w:tc>
          <w:tcPr>
            <w:tcW w:w="993" w:type="dxa"/>
            <w:shd w:val="clear" w:color="auto" w:fill="C4EFCE"/>
            <w:noWrap/>
            <w:vAlign w:val="center"/>
            <w:hideMark/>
          </w:tcPr>
          <w:p w14:paraId="78B8CA1B"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642E61B9" w14:textId="77777777" w:rsidR="00154AD2" w:rsidRDefault="007F6BF3">
            <w:pPr>
              <w:pStyle w:val="P68B1DB1-Normal8"/>
              <w:spacing w:after="0" w:line="240" w:lineRule="auto"/>
              <w:jc w:val="center"/>
              <w:rPr>
                <w:rFonts w:eastAsia="Times New Roman" w:cs="Calibri"/>
                <w:noProof/>
              </w:rPr>
            </w:pPr>
            <w:r>
              <w:rPr>
                <w:noProof/>
              </w:rPr>
              <w:t>32</w:t>
            </w:r>
          </w:p>
        </w:tc>
        <w:tc>
          <w:tcPr>
            <w:tcW w:w="709" w:type="dxa"/>
            <w:shd w:val="clear" w:color="auto" w:fill="C4EFCE"/>
            <w:noWrap/>
            <w:vAlign w:val="center"/>
            <w:hideMark/>
          </w:tcPr>
          <w:p w14:paraId="6267D00B" w14:textId="77777777" w:rsidR="00154AD2" w:rsidRDefault="007F6BF3">
            <w:pPr>
              <w:pStyle w:val="P68B1DB1-Normal8"/>
              <w:spacing w:after="0" w:line="240" w:lineRule="auto"/>
              <w:jc w:val="center"/>
              <w:rPr>
                <w:rFonts w:eastAsia="Times New Roman" w:cs="Calibri"/>
                <w:noProof/>
              </w:rPr>
            </w:pPr>
            <w:r>
              <w:rPr>
                <w:noProof/>
              </w:rPr>
              <w:t>82</w:t>
            </w:r>
          </w:p>
        </w:tc>
        <w:tc>
          <w:tcPr>
            <w:tcW w:w="567" w:type="dxa"/>
            <w:shd w:val="clear" w:color="auto" w:fill="C4EFCE"/>
            <w:noWrap/>
            <w:vAlign w:val="center"/>
            <w:hideMark/>
          </w:tcPr>
          <w:p w14:paraId="43A52E08" w14:textId="39780CFB"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32E3C24C" w14:textId="77777777" w:rsidR="00154AD2" w:rsidRDefault="007F6BF3">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66A1ABD5" w14:textId="77777777" w:rsidR="00154AD2" w:rsidRDefault="007F6BF3">
            <w:pPr>
              <w:pStyle w:val="P68B1DB1-Normal9"/>
              <w:spacing w:after="0" w:line="240" w:lineRule="auto"/>
              <w:jc w:val="both"/>
              <w:rPr>
                <w:rFonts w:eastAsia="Times New Roman" w:cs="Calibri"/>
                <w:noProof/>
                <w:sz w:val="16"/>
              </w:rPr>
            </w:pPr>
            <w:r>
              <w:rPr>
                <w:noProof/>
                <w:sz w:val="16"/>
              </w:rPr>
              <w:t>Εγκατάσταση σημείων παρακολούθησης και εποπτείας των υπόγειων υδάτινων πόρων (συμπεριλαμβανομένων των πιεζομέτρων και των τηλεμετρικών μετρητών). Εκτός από τα υπάρχοντα 32, εγκαθίστανται άλλα 50 πιεζόμετρα.</w:t>
            </w:r>
            <w:r>
              <w:rPr>
                <w:noProof/>
                <w:sz w:val="18"/>
              </w:rPr>
              <w:t xml:space="preserve"> </w:t>
            </w:r>
          </w:p>
        </w:tc>
      </w:tr>
      <w:tr w:rsidR="00154AD2" w14:paraId="0792A2CB" w14:textId="77777777">
        <w:trPr>
          <w:trHeight w:val="1050"/>
          <w:jc w:val="center"/>
        </w:trPr>
        <w:tc>
          <w:tcPr>
            <w:tcW w:w="1135" w:type="dxa"/>
            <w:shd w:val="clear" w:color="auto" w:fill="C4EFCE"/>
            <w:noWrap/>
            <w:vAlign w:val="center"/>
            <w:hideMark/>
          </w:tcPr>
          <w:p w14:paraId="2868601E" w14:textId="77777777" w:rsidR="00154AD2" w:rsidRDefault="007F6BF3">
            <w:pPr>
              <w:pStyle w:val="P68B1DB1-Normal7"/>
              <w:spacing w:after="0" w:line="240" w:lineRule="auto"/>
              <w:jc w:val="center"/>
              <w:rPr>
                <w:rFonts w:eastAsia="Times New Roman" w:cs="Calibri"/>
                <w:noProof/>
              </w:rPr>
            </w:pPr>
            <w:r>
              <w:rPr>
                <w:noProof/>
              </w:rPr>
              <w:t>9.2</w:t>
            </w:r>
          </w:p>
        </w:tc>
        <w:tc>
          <w:tcPr>
            <w:tcW w:w="1276" w:type="dxa"/>
            <w:shd w:val="clear" w:color="auto" w:fill="C4EFCE"/>
            <w:noWrap/>
            <w:vAlign w:val="center"/>
            <w:hideMark/>
          </w:tcPr>
          <w:p w14:paraId="473C196B" w14:textId="77777777" w:rsidR="00154AD2" w:rsidRDefault="007F6BF3">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67A7F263"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10ABBF9" w14:textId="77777777" w:rsidR="00154AD2" w:rsidRDefault="007F6BF3">
            <w:pPr>
              <w:pStyle w:val="P68B1DB1-Normal8"/>
              <w:spacing w:after="0" w:line="240" w:lineRule="auto"/>
              <w:jc w:val="center"/>
              <w:rPr>
                <w:rFonts w:eastAsia="Times New Roman" w:cs="Calibri"/>
                <w:noProof/>
              </w:rPr>
            </w:pPr>
            <w:r>
              <w:rPr>
                <w:noProof/>
              </w:rPr>
              <w:t>Ολοκλήρωση παρεμβάσεων δικτύου για τη μείωση των απωλειών νερού (SM1)</w:t>
            </w:r>
          </w:p>
        </w:tc>
        <w:tc>
          <w:tcPr>
            <w:tcW w:w="1275" w:type="dxa"/>
            <w:shd w:val="clear" w:color="auto" w:fill="C4EFCE"/>
            <w:noWrap/>
            <w:vAlign w:val="center"/>
            <w:hideMark/>
          </w:tcPr>
          <w:p w14:paraId="03DA0A8A" w14:textId="77777777" w:rsidR="00154AD2" w:rsidRDefault="00154AD2">
            <w:pPr>
              <w:spacing w:after="0" w:line="240" w:lineRule="auto"/>
              <w:jc w:val="center"/>
              <w:rPr>
                <w:rFonts w:ascii="Calibri" w:eastAsia="Times New Roman" w:hAnsi="Calibri" w:cs="Calibri"/>
                <w:noProof/>
                <w:sz w:val="16"/>
              </w:rPr>
            </w:pPr>
          </w:p>
        </w:tc>
        <w:tc>
          <w:tcPr>
            <w:tcW w:w="993" w:type="dxa"/>
            <w:shd w:val="clear" w:color="auto" w:fill="C4EFCE"/>
            <w:noWrap/>
            <w:vAlign w:val="center"/>
            <w:hideMark/>
          </w:tcPr>
          <w:p w14:paraId="5ED303C2" w14:textId="77777777" w:rsidR="00154AD2" w:rsidRDefault="007F6BF3">
            <w:pPr>
              <w:pStyle w:val="P68B1DB1-Normal8"/>
              <w:spacing w:after="0" w:line="240" w:lineRule="auto"/>
              <w:jc w:val="center"/>
              <w:rPr>
                <w:rFonts w:eastAsia="Times New Roman" w:cs="Calibri"/>
                <w:noProof/>
              </w:rPr>
            </w:pPr>
            <w:r>
              <w:rPr>
                <w:noProof/>
              </w:rPr>
              <w:t>Χλμ</w:t>
            </w:r>
          </w:p>
        </w:tc>
        <w:tc>
          <w:tcPr>
            <w:tcW w:w="992" w:type="dxa"/>
            <w:shd w:val="clear" w:color="auto" w:fill="C4EFCE"/>
            <w:noWrap/>
            <w:vAlign w:val="center"/>
            <w:hideMark/>
          </w:tcPr>
          <w:p w14:paraId="60440915" w14:textId="77777777" w:rsidR="00154AD2" w:rsidRDefault="007F6BF3">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2D1D6224" w14:textId="77777777" w:rsidR="00154AD2" w:rsidRDefault="007F6BF3">
            <w:pPr>
              <w:pStyle w:val="P68B1DB1-Normal8"/>
              <w:spacing w:after="0" w:line="240" w:lineRule="auto"/>
              <w:jc w:val="center"/>
              <w:rPr>
                <w:rFonts w:eastAsia="Times New Roman" w:cs="Calibri"/>
                <w:noProof/>
              </w:rPr>
            </w:pPr>
            <w:r>
              <w:rPr>
                <w:noProof/>
              </w:rPr>
              <w:t>125</w:t>
            </w:r>
          </w:p>
        </w:tc>
        <w:tc>
          <w:tcPr>
            <w:tcW w:w="567" w:type="dxa"/>
            <w:shd w:val="clear" w:color="auto" w:fill="C4EFCE"/>
            <w:noWrap/>
            <w:vAlign w:val="center"/>
            <w:hideMark/>
          </w:tcPr>
          <w:p w14:paraId="5B4ACE0D"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708" w:type="dxa"/>
            <w:shd w:val="clear" w:color="auto" w:fill="C4EFCE"/>
            <w:noWrap/>
            <w:vAlign w:val="center"/>
            <w:hideMark/>
          </w:tcPr>
          <w:p w14:paraId="5FCFB3CB" w14:textId="77777777" w:rsidR="00154AD2" w:rsidRDefault="007F6BF3">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3E31623D" w14:textId="77777777" w:rsidR="00154AD2" w:rsidRDefault="007F6BF3">
            <w:pPr>
              <w:pStyle w:val="P68B1DB1-Normal8"/>
              <w:spacing w:after="0" w:line="240" w:lineRule="auto"/>
              <w:jc w:val="both"/>
              <w:rPr>
                <w:rFonts w:eastAsia="Times New Roman" w:cs="Calibri"/>
                <w:noProof/>
              </w:rPr>
            </w:pPr>
            <w:r>
              <w:rPr>
                <w:noProof/>
              </w:rPr>
              <w:t>Ολοκλήρωση παρεμβάσεων δικτύου για βελτιστοποίηση της πίεσης και αποκατάσταση του δικτύου με τις ακόλουθες δράσεις: 1) βελτιστοποίηση της πίεσης και μέτρηση της ροής, 2) αποκατάσταση δικτύου σε αστικές/ιστορικές περιοχές 3) αποκατάσταση δικτύου σε αγροτικές ή μεσαίες αγροτικές περιοχές.</w:t>
            </w:r>
          </w:p>
        </w:tc>
      </w:tr>
      <w:tr w:rsidR="00154AD2" w14:paraId="470669E2" w14:textId="77777777">
        <w:trPr>
          <w:trHeight w:val="1757"/>
          <w:jc w:val="center"/>
        </w:trPr>
        <w:tc>
          <w:tcPr>
            <w:tcW w:w="1135" w:type="dxa"/>
            <w:shd w:val="clear" w:color="auto" w:fill="C5EFCE"/>
            <w:noWrap/>
            <w:vAlign w:val="center"/>
            <w:hideMark/>
          </w:tcPr>
          <w:p w14:paraId="24335E6E" w14:textId="77777777" w:rsidR="00154AD2" w:rsidRDefault="007F6BF3">
            <w:pPr>
              <w:pStyle w:val="P68B1DB1-Normal7"/>
              <w:spacing w:after="0" w:line="240" w:lineRule="auto"/>
              <w:jc w:val="center"/>
              <w:rPr>
                <w:rFonts w:eastAsia="Times New Roman" w:cs="Calibri"/>
                <w:noProof/>
              </w:rPr>
            </w:pPr>
            <w:r>
              <w:rPr>
                <w:noProof/>
              </w:rPr>
              <w:t>9.3</w:t>
            </w:r>
          </w:p>
        </w:tc>
        <w:tc>
          <w:tcPr>
            <w:tcW w:w="1276" w:type="dxa"/>
            <w:shd w:val="clear" w:color="auto" w:fill="C4EFCE"/>
            <w:noWrap/>
            <w:vAlign w:val="center"/>
            <w:hideMark/>
          </w:tcPr>
          <w:p w14:paraId="61BA6E03" w14:textId="77777777" w:rsidR="00154AD2" w:rsidRDefault="007F6BF3">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481B50F1"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AFCFDF3" w14:textId="77777777" w:rsidR="00154AD2" w:rsidRDefault="007F6BF3">
            <w:pPr>
              <w:pStyle w:val="P68B1DB1-Normal8"/>
              <w:spacing w:after="0" w:line="240" w:lineRule="auto"/>
              <w:jc w:val="center"/>
              <w:rPr>
                <w:rFonts w:eastAsia="Times New Roman" w:cs="Calibri"/>
                <w:noProof/>
              </w:rPr>
            </w:pPr>
            <w:r>
              <w:rPr>
                <w:noProof/>
              </w:rPr>
              <w:t>Εκσυγχρονισμός της έκτασης συλλογικής υδρογεωργικής χρήσης και ατομικής άρδευσης (SM2)</w:t>
            </w:r>
          </w:p>
        </w:tc>
        <w:tc>
          <w:tcPr>
            <w:tcW w:w="1275" w:type="dxa"/>
            <w:shd w:val="clear" w:color="auto" w:fill="C4EFCE"/>
            <w:noWrap/>
            <w:vAlign w:val="center"/>
            <w:hideMark/>
          </w:tcPr>
          <w:p w14:paraId="36A7294C" w14:textId="77777777" w:rsidR="00154AD2" w:rsidRDefault="00154AD2">
            <w:pPr>
              <w:spacing w:after="0" w:line="240" w:lineRule="auto"/>
              <w:jc w:val="center"/>
              <w:rPr>
                <w:rFonts w:ascii="Calibri" w:eastAsia="Times New Roman" w:hAnsi="Calibri" w:cs="Calibri"/>
                <w:noProof/>
                <w:sz w:val="16"/>
              </w:rPr>
            </w:pPr>
          </w:p>
        </w:tc>
        <w:tc>
          <w:tcPr>
            <w:tcW w:w="993" w:type="dxa"/>
            <w:shd w:val="clear" w:color="auto" w:fill="C4EFCE"/>
            <w:noWrap/>
            <w:vAlign w:val="center"/>
            <w:hideMark/>
          </w:tcPr>
          <w:p w14:paraId="45E8102A" w14:textId="77777777" w:rsidR="00154AD2" w:rsidRDefault="007F6BF3">
            <w:pPr>
              <w:pStyle w:val="P68B1DB1-Normal8"/>
              <w:spacing w:after="0" w:line="240" w:lineRule="auto"/>
              <w:jc w:val="center"/>
              <w:rPr>
                <w:rFonts w:eastAsia="Times New Roman" w:cs="Calibri"/>
                <w:noProof/>
              </w:rPr>
            </w:pPr>
            <w:r>
              <w:rPr>
                <w:noProof/>
              </w:rPr>
              <w:t>Εκτάρια</w:t>
            </w:r>
          </w:p>
        </w:tc>
        <w:tc>
          <w:tcPr>
            <w:tcW w:w="992" w:type="dxa"/>
            <w:shd w:val="clear" w:color="auto" w:fill="C4EFCE"/>
            <w:noWrap/>
            <w:vAlign w:val="center"/>
            <w:hideMark/>
          </w:tcPr>
          <w:p w14:paraId="72C10700" w14:textId="77777777" w:rsidR="00154AD2" w:rsidRDefault="007F6BF3">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723692D8" w14:textId="77777777" w:rsidR="00154AD2" w:rsidRDefault="007F6BF3">
            <w:pPr>
              <w:pStyle w:val="P68B1DB1-Normal8"/>
              <w:spacing w:after="0" w:line="240" w:lineRule="auto"/>
              <w:jc w:val="center"/>
              <w:rPr>
                <w:rFonts w:eastAsia="Times New Roman" w:cs="Calibri"/>
                <w:noProof/>
              </w:rPr>
            </w:pPr>
            <w:r>
              <w:rPr>
                <w:noProof/>
              </w:rPr>
              <w:t>10 300</w:t>
            </w:r>
          </w:p>
        </w:tc>
        <w:tc>
          <w:tcPr>
            <w:tcW w:w="567" w:type="dxa"/>
            <w:shd w:val="clear" w:color="auto" w:fill="C4EFCE"/>
            <w:noWrap/>
            <w:vAlign w:val="center"/>
            <w:hideMark/>
          </w:tcPr>
          <w:p w14:paraId="32AC4E73"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708" w:type="dxa"/>
            <w:shd w:val="clear" w:color="auto" w:fill="C4EFCE"/>
            <w:noWrap/>
            <w:vAlign w:val="center"/>
            <w:hideMark/>
          </w:tcPr>
          <w:p w14:paraId="174A4D7F" w14:textId="77777777" w:rsidR="00154AD2" w:rsidRDefault="007F6BF3">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188BD210" w14:textId="77777777" w:rsidR="00154AD2" w:rsidRDefault="007F6BF3">
            <w:pPr>
              <w:pStyle w:val="P68B1DB1-Normal8"/>
              <w:spacing w:after="0" w:line="240" w:lineRule="auto"/>
              <w:jc w:val="both"/>
              <w:rPr>
                <w:rFonts w:eastAsia="Times New Roman" w:cs="Calibri"/>
                <w:noProof/>
              </w:rPr>
            </w:pPr>
            <w:r>
              <w:rPr>
                <w:noProof/>
              </w:rPr>
              <w:t xml:space="preserve">Περιοχή την οποία αφορά η υιοθέτηση αποδοτικότερων συστημάτων διανομής, μέσω της αντικατάστασης των καναλιών από αγωγούς, της βελτίωσης της πίεσης του δικτύου, της εφαρμογής συστημάτων τηλεπισκόπησης και ελέγχου της κατανάλωσης και της εφαρμογής συστημάτων ανίχνευσης διαρροών για συλλογικές υδρογεωργικές εγκαταστάσεις και για την εγκατάσταση αποδοτικότερων και παρακολουθήσιμων συστημάτων άρδευσης σε επιμέρους άρδευση </w:t>
            </w:r>
          </w:p>
        </w:tc>
      </w:tr>
      <w:tr w:rsidR="00154AD2" w14:paraId="13208EC3" w14:textId="77777777">
        <w:trPr>
          <w:trHeight w:val="1251"/>
          <w:jc w:val="center"/>
        </w:trPr>
        <w:tc>
          <w:tcPr>
            <w:tcW w:w="1135" w:type="dxa"/>
            <w:shd w:val="clear" w:color="auto" w:fill="C5EFCE"/>
            <w:noWrap/>
            <w:vAlign w:val="center"/>
            <w:hideMark/>
          </w:tcPr>
          <w:p w14:paraId="5C18D42C" w14:textId="77777777" w:rsidR="00154AD2" w:rsidRDefault="007F6BF3">
            <w:pPr>
              <w:pStyle w:val="P68B1DB1-Normal7"/>
              <w:spacing w:after="0" w:line="240" w:lineRule="auto"/>
              <w:jc w:val="center"/>
              <w:rPr>
                <w:rFonts w:eastAsia="Times New Roman" w:cs="Calibri"/>
                <w:noProof/>
              </w:rPr>
            </w:pPr>
            <w:r>
              <w:rPr>
                <w:noProof/>
              </w:rPr>
              <w:t>9.4</w:t>
            </w:r>
          </w:p>
        </w:tc>
        <w:tc>
          <w:tcPr>
            <w:tcW w:w="1276" w:type="dxa"/>
            <w:shd w:val="clear" w:color="auto" w:fill="C4EFCE"/>
            <w:noWrap/>
            <w:vAlign w:val="center"/>
            <w:hideMark/>
          </w:tcPr>
          <w:p w14:paraId="3F908A5B" w14:textId="77777777" w:rsidR="00154AD2" w:rsidRDefault="007F6BF3">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27188DE4"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4082C95" w14:textId="77777777" w:rsidR="00154AD2" w:rsidRDefault="007F6BF3">
            <w:pPr>
              <w:pStyle w:val="P68B1DB1-Normal8"/>
              <w:spacing w:after="0" w:line="240" w:lineRule="auto"/>
              <w:jc w:val="center"/>
              <w:rPr>
                <w:rFonts w:eastAsia="Times New Roman" w:cs="Calibri"/>
                <w:noProof/>
              </w:rPr>
            </w:pPr>
            <w:r>
              <w:rPr>
                <w:noProof/>
              </w:rPr>
              <w:t>Αριθμός μονάδων επεξεργασίας για τη διασφάλιση της παραγωγής και της διύλισης επεξεργασμένων λυμάτων (SM4)</w:t>
            </w:r>
          </w:p>
        </w:tc>
        <w:tc>
          <w:tcPr>
            <w:tcW w:w="1275" w:type="dxa"/>
            <w:shd w:val="clear" w:color="auto" w:fill="C4EFCE"/>
            <w:noWrap/>
            <w:vAlign w:val="center"/>
            <w:hideMark/>
          </w:tcPr>
          <w:p w14:paraId="78A33847" w14:textId="77777777" w:rsidR="00154AD2" w:rsidRDefault="00154AD2">
            <w:pPr>
              <w:spacing w:after="0" w:line="240" w:lineRule="auto"/>
              <w:jc w:val="center"/>
              <w:rPr>
                <w:rFonts w:ascii="Calibri" w:eastAsia="Times New Roman" w:hAnsi="Calibri" w:cs="Calibri"/>
                <w:noProof/>
                <w:sz w:val="16"/>
              </w:rPr>
            </w:pPr>
          </w:p>
        </w:tc>
        <w:tc>
          <w:tcPr>
            <w:tcW w:w="993" w:type="dxa"/>
            <w:shd w:val="clear" w:color="auto" w:fill="C4EFCE"/>
            <w:noWrap/>
            <w:vAlign w:val="center"/>
            <w:hideMark/>
          </w:tcPr>
          <w:p w14:paraId="28B2E837"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72835986" w14:textId="77777777" w:rsidR="00154AD2" w:rsidRDefault="007F6BF3">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340E57D3" w14:textId="77777777" w:rsidR="00154AD2" w:rsidRDefault="007F6BF3">
            <w:pPr>
              <w:pStyle w:val="P68B1DB1-Normal8"/>
              <w:spacing w:after="0" w:line="240" w:lineRule="auto"/>
              <w:jc w:val="center"/>
              <w:rPr>
                <w:rFonts w:eastAsia="Times New Roman" w:cs="Calibri"/>
                <w:noProof/>
              </w:rPr>
            </w:pPr>
            <w:r>
              <w:rPr>
                <w:noProof/>
              </w:rPr>
              <w:t>4</w:t>
            </w:r>
          </w:p>
        </w:tc>
        <w:tc>
          <w:tcPr>
            <w:tcW w:w="567" w:type="dxa"/>
            <w:shd w:val="clear" w:color="auto" w:fill="C4EFCE"/>
            <w:noWrap/>
            <w:vAlign w:val="center"/>
            <w:hideMark/>
          </w:tcPr>
          <w:p w14:paraId="254C1418"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708" w:type="dxa"/>
            <w:shd w:val="clear" w:color="auto" w:fill="C4EFCE"/>
            <w:noWrap/>
            <w:vAlign w:val="center"/>
            <w:hideMark/>
          </w:tcPr>
          <w:p w14:paraId="72AB9968" w14:textId="77777777" w:rsidR="00154AD2" w:rsidRDefault="007F6BF3">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3C292FEE" w14:textId="77777777" w:rsidR="00154AD2" w:rsidRDefault="007F6BF3">
            <w:pPr>
              <w:pStyle w:val="P68B1DB1-Normal8"/>
              <w:spacing w:after="0" w:line="240" w:lineRule="auto"/>
              <w:jc w:val="both"/>
              <w:rPr>
                <w:rFonts w:eastAsia="Times New Roman" w:cs="Calibri"/>
                <w:noProof/>
              </w:rPr>
            </w:pPr>
            <w:r>
              <w:rPr>
                <w:noProof/>
              </w:rPr>
              <w:t>Αριθμός σταθμών επεξεργασίας που ανοίγονται για τη διασφάλιση της παραγωγής επεξεργασμένων λυμάτων έτοιμων για επαναχρησιμοποίηση</w:t>
            </w:r>
          </w:p>
        </w:tc>
      </w:tr>
      <w:tr w:rsidR="00154AD2" w14:paraId="4757E211" w14:textId="77777777">
        <w:trPr>
          <w:trHeight w:val="1050"/>
          <w:jc w:val="center"/>
        </w:trPr>
        <w:tc>
          <w:tcPr>
            <w:tcW w:w="1135" w:type="dxa"/>
            <w:shd w:val="clear" w:color="auto" w:fill="C4EFCE"/>
            <w:noWrap/>
            <w:vAlign w:val="center"/>
            <w:hideMark/>
          </w:tcPr>
          <w:p w14:paraId="63118563" w14:textId="77777777" w:rsidR="00154AD2" w:rsidRDefault="007F6BF3">
            <w:pPr>
              <w:pStyle w:val="P68B1DB1-Normal7"/>
              <w:spacing w:after="0" w:line="240" w:lineRule="auto"/>
              <w:jc w:val="center"/>
              <w:rPr>
                <w:rFonts w:eastAsia="Times New Roman" w:cs="Calibri"/>
                <w:noProof/>
              </w:rPr>
            </w:pPr>
            <w:r>
              <w:rPr>
                <w:noProof/>
              </w:rPr>
              <w:t>9.5</w:t>
            </w:r>
          </w:p>
        </w:tc>
        <w:tc>
          <w:tcPr>
            <w:tcW w:w="1276" w:type="dxa"/>
            <w:shd w:val="clear" w:color="auto" w:fill="C4EFCE"/>
            <w:noWrap/>
            <w:vAlign w:val="center"/>
            <w:hideMark/>
          </w:tcPr>
          <w:p w14:paraId="323709CC" w14:textId="77777777" w:rsidR="00154AD2" w:rsidRDefault="007F6BF3">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047FA0FE"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2F4FE77F" w14:textId="77777777" w:rsidR="00154AD2" w:rsidRDefault="007F6BF3">
            <w:pPr>
              <w:pStyle w:val="P68B1DB1-Normal8"/>
              <w:spacing w:after="0" w:line="240" w:lineRule="auto"/>
              <w:jc w:val="center"/>
              <w:rPr>
                <w:rFonts w:eastAsia="Times New Roman" w:cs="Calibri"/>
                <w:noProof/>
              </w:rPr>
            </w:pPr>
            <w:r>
              <w:rPr>
                <w:noProof/>
              </w:rPr>
              <w:t>Έγκριση επικαιροποιημένου σχεδιασμού (εφόσον απαιτείται) του μέτρου για την άντληση στη Guadiana, ο οποίος θα ενσωματώνει πλήρως κάθε αποτέλεσμα και όρο από την εκτίμηση περιβαλλοντικών επιπτώσεων (SM5)</w:t>
            </w:r>
          </w:p>
        </w:tc>
        <w:tc>
          <w:tcPr>
            <w:tcW w:w="1275" w:type="dxa"/>
            <w:shd w:val="clear" w:color="auto" w:fill="C4EFCE"/>
            <w:noWrap/>
            <w:vAlign w:val="center"/>
            <w:hideMark/>
          </w:tcPr>
          <w:p w14:paraId="2770C7F5" w14:textId="77777777" w:rsidR="00154AD2" w:rsidRDefault="007F6BF3">
            <w:pPr>
              <w:pStyle w:val="P68B1DB1-Normal8"/>
              <w:spacing w:after="0" w:line="240" w:lineRule="auto"/>
              <w:jc w:val="center"/>
              <w:rPr>
                <w:rFonts w:eastAsia="Times New Roman" w:cs="Calibri"/>
                <w:noProof/>
              </w:rPr>
            </w:pPr>
            <w:r>
              <w:rPr>
                <w:noProof/>
              </w:rPr>
              <w:t>Έγκριση του επικαιροποιημένου σχεδιασμού (εάν απαιτείται)</w:t>
            </w:r>
          </w:p>
        </w:tc>
        <w:tc>
          <w:tcPr>
            <w:tcW w:w="993" w:type="dxa"/>
            <w:shd w:val="clear" w:color="auto" w:fill="C4EFCE"/>
            <w:noWrap/>
            <w:vAlign w:val="center"/>
            <w:hideMark/>
          </w:tcPr>
          <w:p w14:paraId="2CB3CD29" w14:textId="77777777" w:rsidR="00154AD2" w:rsidRDefault="00154AD2">
            <w:pPr>
              <w:spacing w:after="0" w:line="240" w:lineRule="auto"/>
              <w:jc w:val="center"/>
              <w:rPr>
                <w:rFonts w:ascii="Calibri" w:eastAsia="Times New Roman" w:hAnsi="Calibri" w:cs="Calibri"/>
                <w:noProof/>
                <w:sz w:val="16"/>
              </w:rPr>
            </w:pPr>
          </w:p>
        </w:tc>
        <w:tc>
          <w:tcPr>
            <w:tcW w:w="992" w:type="dxa"/>
            <w:shd w:val="clear" w:color="auto" w:fill="C4EFCE"/>
            <w:noWrap/>
            <w:vAlign w:val="center"/>
            <w:hideMark/>
          </w:tcPr>
          <w:p w14:paraId="08D2587E" w14:textId="77777777" w:rsidR="00154AD2" w:rsidRDefault="00154AD2">
            <w:pPr>
              <w:spacing w:after="0" w:line="240" w:lineRule="auto"/>
              <w:jc w:val="center"/>
              <w:rPr>
                <w:rFonts w:ascii="Calibri" w:eastAsia="Times New Roman" w:hAnsi="Calibri" w:cs="Calibri"/>
                <w:noProof/>
                <w:sz w:val="16"/>
              </w:rPr>
            </w:pPr>
          </w:p>
        </w:tc>
        <w:tc>
          <w:tcPr>
            <w:tcW w:w="709" w:type="dxa"/>
            <w:shd w:val="clear" w:color="auto" w:fill="C4EFCE"/>
            <w:noWrap/>
            <w:vAlign w:val="center"/>
            <w:hideMark/>
          </w:tcPr>
          <w:p w14:paraId="08998EE7" w14:textId="77777777" w:rsidR="00154AD2" w:rsidRDefault="00154AD2">
            <w:pPr>
              <w:spacing w:after="0" w:line="240" w:lineRule="auto"/>
              <w:jc w:val="center"/>
              <w:rPr>
                <w:rFonts w:ascii="Calibri" w:eastAsia="Times New Roman" w:hAnsi="Calibri" w:cs="Calibri"/>
                <w:noProof/>
                <w:sz w:val="16"/>
              </w:rPr>
            </w:pPr>
          </w:p>
        </w:tc>
        <w:tc>
          <w:tcPr>
            <w:tcW w:w="567" w:type="dxa"/>
            <w:shd w:val="clear" w:color="auto" w:fill="C4EFCE"/>
            <w:noWrap/>
            <w:vAlign w:val="center"/>
            <w:hideMark/>
          </w:tcPr>
          <w:p w14:paraId="060BDF15" w14:textId="4D96C4DC"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1079CDB9" w14:textId="77777777" w:rsidR="00154AD2" w:rsidRDefault="007F6BF3">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73E76A50" w14:textId="77777777" w:rsidR="00154AD2" w:rsidRDefault="007F6BF3">
            <w:pPr>
              <w:pStyle w:val="P68B1DB1-Normal8"/>
              <w:spacing w:after="0" w:line="240" w:lineRule="auto"/>
              <w:jc w:val="both"/>
              <w:rPr>
                <w:rFonts w:eastAsia="Times New Roman" w:cs="Calibri"/>
                <w:noProof/>
              </w:rPr>
            </w:pPr>
            <w:r>
              <w:rPr>
                <w:noProof/>
              </w:rPr>
              <w:t xml:space="preserve">Έγκριση επικαιροποιημένου σχεδιασμού του μέτρου (εφόσον απαιτείται), ο οποίος θα ενσωματώνει πλήρως τα αναγκαία αποτελέσματα και όρους από την εκτίμηση περιβαλλοντικών επιπτώσεων, ο οποίος θα ολοκληρωθεί σύμφωνα με την οδηγία 2011/92/ΕΕ και την οδηγία 92/43/ΕΟΚ, καθώς και σχετικές αξιολογήσεις στο πλαίσιο της οδηγίας 2000/60/ΕΚ, συμπεριλαμβανομένης της εφαρμογής των απαιτούμενων μέτρων μετριασμού, διασφαλίζοντας τη συμμόρφωση με τις τεχνικές κατευθυντήριες γραμμές «μη πρόκλησης σημαντικής βλάβης» (2021/C58/01). </w:t>
            </w:r>
          </w:p>
          <w:p w14:paraId="3F1FF344" w14:textId="77777777" w:rsidR="00154AD2" w:rsidRDefault="007F6BF3">
            <w:pPr>
              <w:pStyle w:val="P68B1DB1-Normal8"/>
              <w:spacing w:after="0" w:line="240" w:lineRule="auto"/>
              <w:jc w:val="both"/>
              <w:rPr>
                <w:rFonts w:eastAsia="Times New Roman" w:cs="Calibri"/>
                <w:noProof/>
              </w:rPr>
            </w:pPr>
            <w:r>
              <w:rPr>
                <w:noProof/>
              </w:rPr>
              <w:t xml:space="preserve">Τυχόν μέτρα που προσδιορίζονται στο πλαίσιο της ΕΠΕ και της εκτίμησης βάσει της οδηγίας 2000/60/ΕΚ ως αναγκαία για τη διασφάλιση της συμμόρφωσης με την αρχή της μη πρόκλησης σημαντικής βλάβης ενσωματώνονται στο έργο και τηρούνται αυστηρά κατά τα στάδια της κατασκευής, της λειτουργίας και του παροπλισμού της υποδομής. </w:t>
            </w:r>
          </w:p>
          <w:p w14:paraId="2BD5E250" w14:textId="2C0B174C" w:rsidR="00154AD2" w:rsidRDefault="007F6BF3">
            <w:pPr>
              <w:pStyle w:val="P68B1DB1-Normal8"/>
              <w:spacing w:after="0" w:line="240" w:lineRule="auto"/>
              <w:jc w:val="both"/>
              <w:rPr>
                <w:rFonts w:eastAsia="Times New Roman" w:cs="Calibri"/>
                <w:noProof/>
              </w:rPr>
            </w:pPr>
            <w:r>
              <w:rPr>
                <w:noProof/>
              </w:rPr>
              <w:t>Σε περίπτωση άντλησης υδάτων, χορηγείται σχετική άδεια από την αρμόδια αρχή, στην οποία καθορίζονται οι όροι για την αποφυγή της υποβάθμισης και τη διασφάλιση ότι τα επηρεαζόμενα υδατικά συστήματα παραμένουν σε καλή οικολογική κατάσταση, σύμφωνα με τις απαιτήσεις της οδηγίας 2000/60/ΕΚ.</w:t>
            </w:r>
          </w:p>
        </w:tc>
      </w:tr>
      <w:tr w:rsidR="00154AD2" w14:paraId="192B3758" w14:textId="77777777">
        <w:trPr>
          <w:trHeight w:val="3160"/>
          <w:jc w:val="center"/>
        </w:trPr>
        <w:tc>
          <w:tcPr>
            <w:tcW w:w="1135" w:type="dxa"/>
            <w:shd w:val="clear" w:color="auto" w:fill="C4EFCE"/>
            <w:noWrap/>
            <w:vAlign w:val="center"/>
            <w:hideMark/>
          </w:tcPr>
          <w:p w14:paraId="2C0C5900" w14:textId="77777777" w:rsidR="00154AD2" w:rsidRDefault="007F6BF3">
            <w:pPr>
              <w:pStyle w:val="P68B1DB1-Normal7"/>
              <w:spacing w:after="0" w:line="240" w:lineRule="auto"/>
              <w:jc w:val="center"/>
              <w:rPr>
                <w:rFonts w:eastAsia="Times New Roman" w:cs="Calibri"/>
                <w:noProof/>
              </w:rPr>
            </w:pPr>
            <w:r>
              <w:rPr>
                <w:noProof/>
              </w:rPr>
              <w:t>9.6</w:t>
            </w:r>
          </w:p>
        </w:tc>
        <w:tc>
          <w:tcPr>
            <w:tcW w:w="1276" w:type="dxa"/>
            <w:shd w:val="clear" w:color="auto" w:fill="C4EFCE"/>
            <w:noWrap/>
            <w:vAlign w:val="center"/>
            <w:hideMark/>
          </w:tcPr>
          <w:p w14:paraId="70BF118A" w14:textId="77777777" w:rsidR="00154AD2" w:rsidRDefault="007F6BF3">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6D10D257"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39625382" w14:textId="77777777" w:rsidR="00154AD2" w:rsidRDefault="007F6BF3">
            <w:pPr>
              <w:pStyle w:val="P68B1DB1-Normal8"/>
              <w:spacing w:after="0" w:line="240" w:lineRule="auto"/>
              <w:jc w:val="center"/>
              <w:rPr>
                <w:rFonts w:eastAsia="Times New Roman" w:cs="Calibri"/>
                <w:noProof/>
              </w:rPr>
            </w:pPr>
            <w:r>
              <w:rPr>
                <w:noProof/>
              </w:rPr>
              <w:t>Έναρξη λειτουργίας της άντλησης στη Guadiana με πλήρη σεβασμό των αποτελεσμάτων και των όρων που καθορίζονται στην εκτίμηση περιβαλλοντικών επιπτώσεων (SM5)</w:t>
            </w:r>
          </w:p>
        </w:tc>
        <w:tc>
          <w:tcPr>
            <w:tcW w:w="1275" w:type="dxa"/>
            <w:shd w:val="clear" w:color="auto" w:fill="C4EFCE"/>
            <w:noWrap/>
            <w:vAlign w:val="center"/>
            <w:hideMark/>
          </w:tcPr>
          <w:p w14:paraId="0C2A7E77" w14:textId="77777777" w:rsidR="00154AD2" w:rsidRDefault="007F6BF3">
            <w:pPr>
              <w:pStyle w:val="P68B1DB1-Normal8"/>
              <w:spacing w:after="0" w:line="240" w:lineRule="auto"/>
              <w:jc w:val="center"/>
              <w:rPr>
                <w:rFonts w:eastAsia="Times New Roman" w:cs="Calibri"/>
                <w:noProof/>
              </w:rPr>
            </w:pPr>
            <w:r>
              <w:rPr>
                <w:noProof/>
              </w:rPr>
              <w:t>Θέση σε λειτουργία της υδροληψίας</w:t>
            </w:r>
          </w:p>
        </w:tc>
        <w:tc>
          <w:tcPr>
            <w:tcW w:w="993" w:type="dxa"/>
            <w:shd w:val="clear" w:color="auto" w:fill="C4EFCE"/>
            <w:noWrap/>
            <w:vAlign w:val="center"/>
            <w:hideMark/>
          </w:tcPr>
          <w:p w14:paraId="554265B5" w14:textId="77777777" w:rsidR="00154AD2" w:rsidRDefault="00154AD2">
            <w:pPr>
              <w:spacing w:after="0" w:line="240" w:lineRule="auto"/>
              <w:jc w:val="center"/>
              <w:rPr>
                <w:rFonts w:ascii="Calibri" w:eastAsia="Times New Roman" w:hAnsi="Calibri" w:cs="Calibri"/>
                <w:noProof/>
                <w:sz w:val="16"/>
              </w:rPr>
            </w:pPr>
          </w:p>
        </w:tc>
        <w:tc>
          <w:tcPr>
            <w:tcW w:w="992" w:type="dxa"/>
            <w:shd w:val="clear" w:color="auto" w:fill="C4EFCE"/>
            <w:noWrap/>
            <w:vAlign w:val="center"/>
            <w:hideMark/>
          </w:tcPr>
          <w:p w14:paraId="6F44BFB8" w14:textId="77777777" w:rsidR="00154AD2" w:rsidRDefault="00154AD2">
            <w:pPr>
              <w:spacing w:after="0" w:line="240" w:lineRule="auto"/>
              <w:jc w:val="center"/>
              <w:rPr>
                <w:rFonts w:ascii="Calibri" w:eastAsia="Times New Roman" w:hAnsi="Calibri" w:cs="Calibri"/>
                <w:noProof/>
                <w:sz w:val="16"/>
              </w:rPr>
            </w:pPr>
          </w:p>
        </w:tc>
        <w:tc>
          <w:tcPr>
            <w:tcW w:w="709" w:type="dxa"/>
            <w:shd w:val="clear" w:color="auto" w:fill="C4EFCE"/>
            <w:noWrap/>
            <w:vAlign w:val="center"/>
            <w:hideMark/>
          </w:tcPr>
          <w:p w14:paraId="3B7BF66C" w14:textId="77777777" w:rsidR="00154AD2" w:rsidRDefault="00154AD2">
            <w:pPr>
              <w:spacing w:after="0" w:line="240" w:lineRule="auto"/>
              <w:jc w:val="center"/>
              <w:rPr>
                <w:rFonts w:ascii="Calibri" w:eastAsia="Times New Roman" w:hAnsi="Calibri" w:cs="Calibri"/>
                <w:noProof/>
                <w:sz w:val="16"/>
              </w:rPr>
            </w:pPr>
          </w:p>
        </w:tc>
        <w:tc>
          <w:tcPr>
            <w:tcW w:w="567" w:type="dxa"/>
            <w:shd w:val="clear" w:color="auto" w:fill="C4EFCE"/>
            <w:noWrap/>
            <w:vAlign w:val="center"/>
            <w:hideMark/>
          </w:tcPr>
          <w:p w14:paraId="1DA95B63" w14:textId="40897D40" w:rsidR="00154AD2" w:rsidRDefault="007F6BF3">
            <w:pPr>
              <w:pStyle w:val="P68B1DB1-Normal8"/>
              <w:spacing w:after="0" w:line="240" w:lineRule="auto"/>
              <w:jc w:val="center"/>
              <w:rPr>
                <w:rFonts w:eastAsia="Times New Roman" w:cs="Calibri"/>
                <w:noProof/>
              </w:rPr>
            </w:pPr>
            <w:r>
              <w:rPr>
                <w:noProof/>
              </w:rPr>
              <w:t>ΤΡΊΜΗΝΟ 2</w:t>
            </w:r>
          </w:p>
        </w:tc>
        <w:tc>
          <w:tcPr>
            <w:tcW w:w="708" w:type="dxa"/>
            <w:shd w:val="clear" w:color="auto" w:fill="C4EFCE"/>
            <w:noWrap/>
            <w:vAlign w:val="center"/>
            <w:hideMark/>
          </w:tcPr>
          <w:p w14:paraId="0523A9C1" w14:textId="7596D464" w:rsidR="00154AD2" w:rsidRDefault="007F6BF3">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4433FAD9" w14:textId="696B8034" w:rsidR="00154AD2" w:rsidRDefault="007F6BF3">
            <w:pPr>
              <w:pStyle w:val="P68B1DB1-Normal8"/>
              <w:spacing w:after="0" w:line="240" w:lineRule="auto"/>
              <w:jc w:val="both"/>
              <w:rPr>
                <w:rFonts w:eastAsia="Times New Roman" w:cs="Calibri"/>
                <w:noProof/>
              </w:rPr>
            </w:pPr>
            <w:r>
              <w:rPr>
                <w:noProof/>
              </w:rPr>
              <w:t xml:space="preserve">Έναρξη λειτουργίας της άντλησης στη Guadiana, με πλήρη σεβασμό του αποτελέσματος της ΕΠΕ που θα έχει ολοκληρωθεί σύμφωνα με την οδηγία 2011/92/ΕΕ και την οδηγία 92/43/ΕΟΚ, συμπεριλαμβανομένης της εφαρμογής των απαιτούμενων μέτρων μετριασμού, διασφαλίζοντας τη συμμόρφωση με τις τεχνικές κατευθυντήριες γραμμές σχετικά με την αρχή της μη πρόκλησης σημαντικής βλάβης (2021/C58/01) </w:t>
            </w:r>
          </w:p>
        </w:tc>
      </w:tr>
      <w:tr w:rsidR="00154AD2" w14:paraId="6F9F9602" w14:textId="77777777">
        <w:trPr>
          <w:trHeight w:val="2966"/>
          <w:jc w:val="center"/>
        </w:trPr>
        <w:tc>
          <w:tcPr>
            <w:tcW w:w="1135" w:type="dxa"/>
            <w:shd w:val="clear" w:color="auto" w:fill="C4EFCE"/>
            <w:noWrap/>
            <w:vAlign w:val="center"/>
            <w:hideMark/>
          </w:tcPr>
          <w:p w14:paraId="29F6DCA6" w14:textId="77777777" w:rsidR="00154AD2" w:rsidRDefault="007F6BF3">
            <w:pPr>
              <w:pStyle w:val="P68B1DB1-Normal7"/>
              <w:spacing w:after="0" w:line="240" w:lineRule="auto"/>
              <w:jc w:val="center"/>
              <w:rPr>
                <w:rFonts w:eastAsia="Times New Roman" w:cs="Calibri"/>
                <w:noProof/>
              </w:rPr>
            </w:pPr>
            <w:r>
              <w:rPr>
                <w:noProof/>
              </w:rPr>
              <w:t>9.7</w:t>
            </w:r>
          </w:p>
        </w:tc>
        <w:tc>
          <w:tcPr>
            <w:tcW w:w="1276" w:type="dxa"/>
            <w:shd w:val="clear" w:color="auto" w:fill="C4EFCE"/>
            <w:noWrap/>
            <w:vAlign w:val="center"/>
            <w:hideMark/>
          </w:tcPr>
          <w:p w14:paraId="7E7B9030" w14:textId="77777777" w:rsidR="00154AD2" w:rsidRDefault="007F6BF3">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65577101"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66971F09" w14:textId="77777777" w:rsidR="00154AD2" w:rsidRDefault="007F6BF3">
            <w:pPr>
              <w:pStyle w:val="P68B1DB1-Normal8"/>
              <w:spacing w:after="0" w:line="240" w:lineRule="auto"/>
              <w:jc w:val="center"/>
              <w:rPr>
                <w:rFonts w:eastAsia="Times New Roman" w:cs="Calibri"/>
                <w:noProof/>
              </w:rPr>
            </w:pPr>
            <w:r>
              <w:rPr>
                <w:noProof/>
              </w:rPr>
              <w:t>Έγκριση επικαιροποιημένου σχεδιασμού (εφόσον απαιτείται) του μέτρου αφαλάτωσης, ενσωματώνοντας πλήρως κάθε αποτέλεσμα και όρο από την εκτίμηση περιβαλλοντικών επιπτώσεων (SM6)</w:t>
            </w:r>
          </w:p>
        </w:tc>
        <w:tc>
          <w:tcPr>
            <w:tcW w:w="1275" w:type="dxa"/>
            <w:shd w:val="clear" w:color="auto" w:fill="C4EFCE"/>
            <w:noWrap/>
            <w:vAlign w:val="center"/>
            <w:hideMark/>
          </w:tcPr>
          <w:p w14:paraId="4E8E76C8" w14:textId="77777777" w:rsidR="00154AD2" w:rsidRDefault="007F6BF3">
            <w:pPr>
              <w:pStyle w:val="P68B1DB1-Normal8"/>
              <w:spacing w:after="0" w:line="240" w:lineRule="auto"/>
              <w:jc w:val="center"/>
              <w:rPr>
                <w:rFonts w:eastAsia="Times New Roman" w:cs="Calibri"/>
                <w:noProof/>
              </w:rPr>
            </w:pPr>
            <w:r>
              <w:rPr>
                <w:noProof/>
              </w:rPr>
              <w:t>Έγκριση του επικαιροποιημένου σχεδιασμού (εάν απαιτείται)</w:t>
            </w:r>
          </w:p>
        </w:tc>
        <w:tc>
          <w:tcPr>
            <w:tcW w:w="993" w:type="dxa"/>
            <w:shd w:val="clear" w:color="auto" w:fill="C4EFCE"/>
            <w:noWrap/>
            <w:vAlign w:val="center"/>
            <w:hideMark/>
          </w:tcPr>
          <w:p w14:paraId="4A6FC0AE" w14:textId="77777777" w:rsidR="00154AD2" w:rsidRDefault="00154AD2">
            <w:pPr>
              <w:spacing w:after="0" w:line="240" w:lineRule="auto"/>
              <w:jc w:val="center"/>
              <w:rPr>
                <w:rFonts w:ascii="Calibri" w:eastAsia="Times New Roman" w:hAnsi="Calibri" w:cs="Calibri"/>
                <w:noProof/>
                <w:sz w:val="16"/>
              </w:rPr>
            </w:pPr>
          </w:p>
        </w:tc>
        <w:tc>
          <w:tcPr>
            <w:tcW w:w="992" w:type="dxa"/>
            <w:shd w:val="clear" w:color="auto" w:fill="C4EFCE"/>
            <w:noWrap/>
            <w:vAlign w:val="center"/>
            <w:hideMark/>
          </w:tcPr>
          <w:p w14:paraId="3C3FADE0" w14:textId="77777777" w:rsidR="00154AD2" w:rsidRDefault="00154AD2">
            <w:pPr>
              <w:spacing w:after="0" w:line="240" w:lineRule="auto"/>
              <w:jc w:val="center"/>
              <w:rPr>
                <w:rFonts w:ascii="Calibri" w:eastAsia="Times New Roman" w:hAnsi="Calibri" w:cs="Calibri"/>
                <w:noProof/>
                <w:sz w:val="16"/>
              </w:rPr>
            </w:pPr>
          </w:p>
        </w:tc>
        <w:tc>
          <w:tcPr>
            <w:tcW w:w="709" w:type="dxa"/>
            <w:shd w:val="clear" w:color="auto" w:fill="C4EFCE"/>
            <w:noWrap/>
            <w:vAlign w:val="center"/>
            <w:hideMark/>
          </w:tcPr>
          <w:p w14:paraId="71FE3BF8" w14:textId="77777777" w:rsidR="00154AD2" w:rsidRDefault="00154AD2">
            <w:pPr>
              <w:spacing w:after="0" w:line="240" w:lineRule="auto"/>
              <w:jc w:val="center"/>
              <w:rPr>
                <w:rFonts w:ascii="Calibri" w:eastAsia="Times New Roman" w:hAnsi="Calibri" w:cs="Calibri"/>
                <w:noProof/>
                <w:sz w:val="16"/>
              </w:rPr>
            </w:pPr>
          </w:p>
        </w:tc>
        <w:tc>
          <w:tcPr>
            <w:tcW w:w="567" w:type="dxa"/>
            <w:shd w:val="clear" w:color="auto" w:fill="C4EFCE"/>
            <w:noWrap/>
            <w:vAlign w:val="center"/>
            <w:hideMark/>
          </w:tcPr>
          <w:p w14:paraId="414F91E1" w14:textId="365EFFDB"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249C3716" w14:textId="0AB69983" w:rsidR="00154AD2" w:rsidRDefault="007F6BF3">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17FA125F" w14:textId="77777777" w:rsidR="00154AD2" w:rsidRDefault="007F6BF3">
            <w:pPr>
              <w:pStyle w:val="P68B1DB1-Normal8"/>
              <w:spacing w:after="0" w:line="240" w:lineRule="auto"/>
              <w:jc w:val="both"/>
              <w:rPr>
                <w:rFonts w:eastAsia="Times New Roman" w:cs="Calibri"/>
                <w:noProof/>
              </w:rPr>
            </w:pPr>
            <w:r>
              <w:rPr>
                <w:noProof/>
              </w:rPr>
              <w:t>Έγκριση επικαιροποιημένου σχεδιασμού του μέτρου αφαλάτωσης (εφόσον απαιτείται), ενσωματώνοντας πλήρως τα αναγκαία αποτελέσματα και όρους από την εκτίμηση περιβαλλοντικών επιπτώσεων, ο οποίος θα ολοκληρωθεί σύμφωνα με την οδηγία 2011/92/ΕΕ, καθώς και σχετικές αξιολογήσεις στο πλαίσιο της οδηγίας 2000/60/ΕΚ, συμπεριλαμβανομένης της εφαρμογής των απαιτούμενων μέτρων μετριασμού, διασφαλίζοντας τη συμμόρφωση με τις τεχνικές κατευθυντήριες γραμμές «μη πρόκλησης σημαντικής βλάβης» (2021/C58/01). Τυχόν μέτρα που προσδιορίζονται στο πλαίσιο της ΕΠΕ και της εκτίμησης βάσει της οδηγίας 2000/60/ΕΚ ως αναγκαία για τη διασφάλιση της συμμόρφωσης με την αρχή της μη πρόκλησης σημαντικής βλάβης ενσωματώνονται στο έργο και τηρούνται αυστηρά κατά τα στάδια της κατασκευής, της λειτουργίας και του παροπλισμού της υποδομής.</w:t>
            </w:r>
          </w:p>
        </w:tc>
      </w:tr>
      <w:tr w:rsidR="00154AD2" w14:paraId="3DA4741E" w14:textId="77777777">
        <w:trPr>
          <w:trHeight w:val="1250"/>
          <w:jc w:val="center"/>
        </w:trPr>
        <w:tc>
          <w:tcPr>
            <w:tcW w:w="1135" w:type="dxa"/>
            <w:shd w:val="clear" w:color="auto" w:fill="C4EFCE"/>
            <w:noWrap/>
            <w:vAlign w:val="center"/>
            <w:hideMark/>
          </w:tcPr>
          <w:p w14:paraId="584AC037" w14:textId="77777777" w:rsidR="00154AD2" w:rsidRDefault="007F6BF3">
            <w:pPr>
              <w:pStyle w:val="P68B1DB1-Normal7"/>
              <w:spacing w:after="0" w:line="240" w:lineRule="auto"/>
              <w:jc w:val="center"/>
              <w:rPr>
                <w:rFonts w:eastAsia="Times New Roman" w:cs="Calibri"/>
                <w:noProof/>
              </w:rPr>
            </w:pPr>
            <w:r>
              <w:rPr>
                <w:noProof/>
              </w:rPr>
              <w:t>9.8</w:t>
            </w:r>
          </w:p>
        </w:tc>
        <w:tc>
          <w:tcPr>
            <w:tcW w:w="1276" w:type="dxa"/>
            <w:shd w:val="clear" w:color="auto" w:fill="C4EFCE"/>
            <w:noWrap/>
            <w:vAlign w:val="center"/>
            <w:hideMark/>
          </w:tcPr>
          <w:p w14:paraId="46BCD0A0" w14:textId="77777777" w:rsidR="00154AD2" w:rsidRDefault="007F6BF3">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549C7160"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0B65542" w14:textId="758A5464" w:rsidR="00154AD2" w:rsidRDefault="007F6BF3">
            <w:pPr>
              <w:pStyle w:val="P68B1DB1-Normal8"/>
              <w:spacing w:after="0" w:line="240" w:lineRule="auto"/>
              <w:jc w:val="center"/>
              <w:rPr>
                <w:rFonts w:eastAsia="Times New Roman" w:cs="Calibri"/>
                <w:noProof/>
              </w:rPr>
            </w:pPr>
            <w:r>
              <w:rPr>
                <w:noProof/>
              </w:rPr>
              <w:t>Έναρξη λειτουργίας του μέτρου αφαλάτωσης, με πλήρη σεβασμό των αποτελεσμάτων και των όρων που καθορίζονται στην εκτίμηση περιβαλλοντικών επιπτώσεων (SM6)</w:t>
            </w:r>
          </w:p>
        </w:tc>
        <w:tc>
          <w:tcPr>
            <w:tcW w:w="1275" w:type="dxa"/>
            <w:shd w:val="clear" w:color="auto" w:fill="C4EFCE"/>
            <w:noWrap/>
            <w:vAlign w:val="center"/>
            <w:hideMark/>
          </w:tcPr>
          <w:p w14:paraId="3DF16F3D" w14:textId="77777777" w:rsidR="00154AD2" w:rsidRDefault="007F6BF3">
            <w:pPr>
              <w:pStyle w:val="P68B1DB1-Normal8"/>
              <w:spacing w:after="0" w:line="240" w:lineRule="auto"/>
              <w:jc w:val="center"/>
              <w:rPr>
                <w:rFonts w:eastAsia="Times New Roman" w:cs="Calibri"/>
                <w:noProof/>
              </w:rPr>
            </w:pPr>
            <w:r>
              <w:rPr>
                <w:noProof/>
              </w:rPr>
              <w:t>Θέση σε λειτουργία του αφαλάτη</w:t>
            </w:r>
          </w:p>
        </w:tc>
        <w:tc>
          <w:tcPr>
            <w:tcW w:w="993" w:type="dxa"/>
            <w:shd w:val="clear" w:color="auto" w:fill="C4EFCE"/>
            <w:noWrap/>
            <w:vAlign w:val="center"/>
            <w:hideMark/>
          </w:tcPr>
          <w:p w14:paraId="72453BB8" w14:textId="77777777" w:rsidR="00154AD2" w:rsidRDefault="00154AD2">
            <w:pPr>
              <w:spacing w:after="0" w:line="240" w:lineRule="auto"/>
              <w:jc w:val="center"/>
              <w:rPr>
                <w:rFonts w:ascii="Calibri" w:eastAsia="Times New Roman" w:hAnsi="Calibri" w:cs="Calibri"/>
                <w:noProof/>
                <w:sz w:val="16"/>
              </w:rPr>
            </w:pPr>
          </w:p>
        </w:tc>
        <w:tc>
          <w:tcPr>
            <w:tcW w:w="992" w:type="dxa"/>
            <w:shd w:val="clear" w:color="auto" w:fill="C4EFCE"/>
            <w:noWrap/>
            <w:vAlign w:val="center"/>
            <w:hideMark/>
          </w:tcPr>
          <w:p w14:paraId="6510E366" w14:textId="77777777" w:rsidR="00154AD2" w:rsidRDefault="00154AD2">
            <w:pPr>
              <w:spacing w:after="0" w:line="240" w:lineRule="auto"/>
              <w:jc w:val="center"/>
              <w:rPr>
                <w:rFonts w:ascii="Calibri" w:eastAsia="Times New Roman" w:hAnsi="Calibri" w:cs="Calibri"/>
                <w:noProof/>
                <w:sz w:val="16"/>
              </w:rPr>
            </w:pPr>
          </w:p>
        </w:tc>
        <w:tc>
          <w:tcPr>
            <w:tcW w:w="709" w:type="dxa"/>
            <w:shd w:val="clear" w:color="auto" w:fill="C4EFCE"/>
            <w:noWrap/>
            <w:vAlign w:val="center"/>
            <w:hideMark/>
          </w:tcPr>
          <w:p w14:paraId="53F0AD13" w14:textId="77777777" w:rsidR="00154AD2" w:rsidRDefault="00154AD2">
            <w:pPr>
              <w:spacing w:after="0" w:line="240" w:lineRule="auto"/>
              <w:jc w:val="center"/>
              <w:rPr>
                <w:rFonts w:ascii="Calibri" w:eastAsia="Times New Roman" w:hAnsi="Calibri" w:cs="Calibri"/>
                <w:noProof/>
                <w:sz w:val="16"/>
              </w:rPr>
            </w:pPr>
          </w:p>
        </w:tc>
        <w:tc>
          <w:tcPr>
            <w:tcW w:w="567" w:type="dxa"/>
            <w:shd w:val="clear" w:color="auto" w:fill="C4EFCE"/>
            <w:noWrap/>
            <w:vAlign w:val="center"/>
            <w:hideMark/>
          </w:tcPr>
          <w:p w14:paraId="532C96C1"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708" w:type="dxa"/>
            <w:shd w:val="clear" w:color="auto" w:fill="C4EFCE"/>
            <w:noWrap/>
            <w:vAlign w:val="center"/>
            <w:hideMark/>
          </w:tcPr>
          <w:p w14:paraId="70A056AF" w14:textId="77777777" w:rsidR="00154AD2" w:rsidRDefault="007F6BF3">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522A58FB" w14:textId="77777777" w:rsidR="00154AD2" w:rsidRDefault="007F6BF3">
            <w:pPr>
              <w:pStyle w:val="P68B1DB1-Normal8"/>
              <w:spacing w:after="0" w:line="240" w:lineRule="auto"/>
              <w:jc w:val="both"/>
              <w:rPr>
                <w:rFonts w:eastAsia="Times New Roman" w:cs="Calibri"/>
                <w:noProof/>
              </w:rPr>
            </w:pPr>
            <w:r>
              <w:rPr>
                <w:noProof/>
              </w:rPr>
              <w:t xml:space="preserve">Θέση σε λειτουργία του αφαλάτη, με πλήρη σεβασμό του αποτελέσματος της ΕΠΕ που πρέπει να έχει ολοκληρωθεί σύμφωνα με την οδηγία 2011/92/ΕΕ, συμπεριλαμβανομένης της εφαρμογής των απαιτούμενων μέτρων μετριασμού, διασφαλίζοντας τη συμμόρφωση με τις τεχνικές κατευθυντήριες γραμμές περί μη πρόκλησης σημαντικής βλάβης (2021/C58/01) </w:t>
            </w:r>
          </w:p>
        </w:tc>
      </w:tr>
      <w:tr w:rsidR="00154AD2" w14:paraId="0EE35F32" w14:textId="77777777">
        <w:trPr>
          <w:trHeight w:val="1260"/>
          <w:jc w:val="center"/>
        </w:trPr>
        <w:tc>
          <w:tcPr>
            <w:tcW w:w="1135" w:type="dxa"/>
            <w:shd w:val="clear" w:color="auto" w:fill="C4EFCE"/>
            <w:noWrap/>
            <w:vAlign w:val="center"/>
            <w:hideMark/>
          </w:tcPr>
          <w:p w14:paraId="6907820E" w14:textId="77777777" w:rsidR="00154AD2" w:rsidRDefault="007F6BF3">
            <w:pPr>
              <w:pStyle w:val="P68B1DB1-Normal7"/>
              <w:spacing w:after="0" w:line="240" w:lineRule="auto"/>
              <w:jc w:val="center"/>
              <w:rPr>
                <w:rFonts w:eastAsia="Times New Roman" w:cs="Calibri"/>
                <w:noProof/>
              </w:rPr>
            </w:pPr>
            <w:r>
              <w:rPr>
                <w:noProof/>
              </w:rPr>
              <w:t>9.9</w:t>
            </w:r>
          </w:p>
        </w:tc>
        <w:tc>
          <w:tcPr>
            <w:tcW w:w="1276" w:type="dxa"/>
            <w:shd w:val="clear" w:color="auto" w:fill="C4EFCE"/>
            <w:noWrap/>
            <w:vAlign w:val="center"/>
            <w:hideMark/>
          </w:tcPr>
          <w:p w14:paraId="60154726" w14:textId="77777777" w:rsidR="00154AD2" w:rsidRDefault="007F6BF3">
            <w:pPr>
              <w:pStyle w:val="P68B1DB1-Normal8"/>
              <w:spacing w:after="0" w:line="240" w:lineRule="auto"/>
              <w:jc w:val="center"/>
              <w:rPr>
                <w:rFonts w:eastAsia="Times New Roman" w:cs="Calibri"/>
                <w:noProof/>
              </w:rPr>
            </w:pPr>
            <w:r>
              <w:rPr>
                <w:noProof/>
              </w:rPr>
              <w:t>RE-C09-i02</w:t>
            </w:r>
          </w:p>
        </w:tc>
        <w:tc>
          <w:tcPr>
            <w:tcW w:w="1134" w:type="dxa"/>
            <w:shd w:val="clear" w:color="auto" w:fill="C4EFCE"/>
            <w:noWrap/>
            <w:vAlign w:val="center"/>
            <w:hideMark/>
          </w:tcPr>
          <w:p w14:paraId="2B576482"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52B791B0" w14:textId="77777777" w:rsidR="00154AD2" w:rsidRDefault="007F6BF3">
            <w:pPr>
              <w:pStyle w:val="P68B1DB1-Normal8"/>
              <w:spacing w:after="0" w:line="240" w:lineRule="auto"/>
              <w:jc w:val="center"/>
              <w:rPr>
                <w:rFonts w:eastAsia="Times New Roman" w:cs="Calibri"/>
                <w:noProof/>
              </w:rPr>
            </w:pPr>
            <w:r>
              <w:rPr>
                <w:noProof/>
              </w:rPr>
              <w:t xml:space="preserve">Δημοσίευση της πολεοδομικής τεκμηρίωσης του μέτρου, ενσωματώνοντας πλήρως κάθε αποτέλεσμα και όρο από την ΕΠΕ </w:t>
            </w:r>
          </w:p>
        </w:tc>
        <w:tc>
          <w:tcPr>
            <w:tcW w:w="1275" w:type="dxa"/>
            <w:shd w:val="clear" w:color="auto" w:fill="C4EFCE"/>
            <w:noWrap/>
            <w:vAlign w:val="center"/>
            <w:hideMark/>
          </w:tcPr>
          <w:p w14:paraId="675CEB32" w14:textId="77777777" w:rsidR="00154AD2" w:rsidRDefault="007F6BF3">
            <w:pPr>
              <w:pStyle w:val="P68B1DB1-Normal8"/>
              <w:spacing w:after="0" w:line="240" w:lineRule="auto"/>
              <w:jc w:val="center"/>
              <w:rPr>
                <w:rFonts w:eastAsia="Times New Roman" w:cs="Calibri"/>
                <w:noProof/>
              </w:rPr>
            </w:pPr>
            <w:r>
              <w:rPr>
                <w:noProof/>
              </w:rPr>
              <w:t>Δημοσίευση της πολεοδομικής τεκμηρίωσης του μέτρου, ενσωματώνοντας πλήρως κάθε αποτέλεσμα και όρο από την ΕΠΕ</w:t>
            </w:r>
          </w:p>
        </w:tc>
        <w:tc>
          <w:tcPr>
            <w:tcW w:w="993" w:type="dxa"/>
            <w:shd w:val="clear" w:color="auto" w:fill="C4EFCE"/>
            <w:noWrap/>
            <w:vAlign w:val="center"/>
            <w:hideMark/>
          </w:tcPr>
          <w:p w14:paraId="72B7CA55" w14:textId="77777777" w:rsidR="00154AD2" w:rsidRDefault="00154AD2">
            <w:pPr>
              <w:spacing w:after="0" w:line="240" w:lineRule="auto"/>
              <w:jc w:val="center"/>
              <w:rPr>
                <w:rFonts w:ascii="Calibri" w:eastAsia="Times New Roman" w:hAnsi="Calibri" w:cs="Calibri"/>
                <w:noProof/>
                <w:sz w:val="16"/>
              </w:rPr>
            </w:pPr>
          </w:p>
        </w:tc>
        <w:tc>
          <w:tcPr>
            <w:tcW w:w="992" w:type="dxa"/>
            <w:shd w:val="clear" w:color="auto" w:fill="C4EFCE"/>
            <w:noWrap/>
            <w:vAlign w:val="center"/>
            <w:hideMark/>
          </w:tcPr>
          <w:p w14:paraId="0FDA11AC" w14:textId="77777777" w:rsidR="00154AD2" w:rsidRDefault="00154AD2">
            <w:pPr>
              <w:spacing w:after="0" w:line="240" w:lineRule="auto"/>
              <w:jc w:val="center"/>
              <w:rPr>
                <w:rFonts w:ascii="Calibri" w:eastAsia="Times New Roman" w:hAnsi="Calibri" w:cs="Calibri"/>
                <w:noProof/>
                <w:sz w:val="16"/>
              </w:rPr>
            </w:pPr>
          </w:p>
        </w:tc>
        <w:tc>
          <w:tcPr>
            <w:tcW w:w="709" w:type="dxa"/>
            <w:shd w:val="clear" w:color="auto" w:fill="C4EFCE"/>
            <w:noWrap/>
            <w:vAlign w:val="center"/>
            <w:hideMark/>
          </w:tcPr>
          <w:p w14:paraId="3BE4B173" w14:textId="77777777" w:rsidR="00154AD2" w:rsidRDefault="00154AD2">
            <w:pPr>
              <w:spacing w:after="0" w:line="240" w:lineRule="auto"/>
              <w:jc w:val="center"/>
              <w:rPr>
                <w:rFonts w:ascii="Calibri" w:eastAsia="Times New Roman" w:hAnsi="Calibri" w:cs="Calibri"/>
                <w:noProof/>
                <w:sz w:val="16"/>
              </w:rPr>
            </w:pPr>
          </w:p>
        </w:tc>
        <w:tc>
          <w:tcPr>
            <w:tcW w:w="567" w:type="dxa"/>
            <w:shd w:val="clear" w:color="auto" w:fill="C4EFCE"/>
            <w:noWrap/>
            <w:vAlign w:val="center"/>
            <w:hideMark/>
          </w:tcPr>
          <w:p w14:paraId="4F786AEF"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708" w:type="dxa"/>
            <w:shd w:val="clear" w:color="auto" w:fill="C4EFCE"/>
            <w:noWrap/>
            <w:vAlign w:val="center"/>
            <w:hideMark/>
          </w:tcPr>
          <w:p w14:paraId="59AB2AB7" w14:textId="77777777" w:rsidR="00154AD2" w:rsidRDefault="007F6BF3">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68FDFB3C" w14:textId="77777777" w:rsidR="00154AD2" w:rsidRDefault="007F6BF3">
            <w:pPr>
              <w:pStyle w:val="P68B1DB1-Normal8"/>
              <w:spacing w:after="0" w:line="240" w:lineRule="auto"/>
              <w:jc w:val="both"/>
              <w:rPr>
                <w:rFonts w:eastAsia="Times New Roman" w:cs="Calibri"/>
                <w:noProof/>
              </w:rPr>
            </w:pPr>
            <w:r>
              <w:rPr>
                <w:noProof/>
              </w:rPr>
              <w:t xml:space="preserve">Υπό την προϋπόθεση θετικής εκτίμησης περιβαλλοντικών επιπτώσεων που έχει συμμορφωθεί πλήρως και ουσιαστικά με τα νομικά κριτήρια, δημοσίευση της τεκμηρίωσης σχεδιασμού του μέτρου, πλήρης ενσωμάτωση κάθε αποτελέσματος και όρου από την εκτίμηση περιβαλλοντικών επιπτώσεων, εφόσον απαιτείται για την επίτευξη συμμόρφωσης με τις τεχνικές κατευθυντήριες γραμμές «μη πρόκλησης σημαντικής βλάβης» (2021/C58/01). Η ΕΠΕ δημοσιεύεται και ολοκληρώνεται σύμφωνα με την οδηγία 2011/92/ΕΕ, καθώς και σχετικές εκτιμήσεις στο πλαίσιο της οδηγίας 2000/60/ΕΚ, συμπεριλαμβανομένης της εφαρμογής των απαιτούμενων μέτρων μετριασμού. </w:t>
            </w:r>
          </w:p>
          <w:p w14:paraId="16928ACC" w14:textId="62802450" w:rsidR="00154AD2" w:rsidRDefault="007F6BF3">
            <w:pPr>
              <w:pStyle w:val="P68B1DB1-Normal8"/>
              <w:spacing w:after="0" w:line="240" w:lineRule="auto"/>
              <w:jc w:val="both"/>
              <w:rPr>
                <w:rFonts w:eastAsia="Times New Roman" w:cs="Calibri"/>
                <w:noProof/>
              </w:rPr>
            </w:pPr>
            <w:r>
              <w:rPr>
                <w:noProof/>
              </w:rPr>
              <w:t>Τυχόν μέτρα που προσδιορίζονται στο πλαίσιο της ΕΠΕ και της εκτίμησης βάσει της οδηγίας 2000/60/ΕΚ ως αναγκαία για τη διασφάλιση της συμμόρφωσης με τις τεχνικές κατευθυντήριες γραμμές «μη πρόκλησης σημαντικής βλάβης» (2021/C58/01) ενσωματώνονται στο έργο και τηρούνται κατά τα στάδια της κατασκευής, της λειτουργίας και του παροπλισμού της υποδομής.</w:t>
            </w:r>
          </w:p>
        </w:tc>
      </w:tr>
      <w:tr w:rsidR="00154AD2" w14:paraId="6E7029E4" w14:textId="77777777">
        <w:trPr>
          <w:trHeight w:val="850"/>
          <w:jc w:val="center"/>
        </w:trPr>
        <w:tc>
          <w:tcPr>
            <w:tcW w:w="1135" w:type="dxa"/>
            <w:shd w:val="clear" w:color="auto" w:fill="C4EFCE"/>
            <w:noWrap/>
            <w:vAlign w:val="center"/>
            <w:hideMark/>
          </w:tcPr>
          <w:p w14:paraId="7DFAB53A" w14:textId="77777777" w:rsidR="00154AD2" w:rsidRDefault="007F6BF3">
            <w:pPr>
              <w:pStyle w:val="P68B1DB1-Normal7"/>
              <w:spacing w:after="0" w:line="240" w:lineRule="auto"/>
              <w:jc w:val="center"/>
              <w:rPr>
                <w:rFonts w:eastAsia="Times New Roman" w:cs="Calibri"/>
                <w:noProof/>
              </w:rPr>
            </w:pPr>
            <w:r>
              <w:rPr>
                <w:noProof/>
              </w:rPr>
              <w:t>9.12</w:t>
            </w:r>
          </w:p>
        </w:tc>
        <w:tc>
          <w:tcPr>
            <w:tcW w:w="1276" w:type="dxa"/>
            <w:shd w:val="clear" w:color="auto" w:fill="C4EFCE"/>
            <w:noWrap/>
            <w:vAlign w:val="center"/>
            <w:hideMark/>
          </w:tcPr>
          <w:p w14:paraId="16076ED4" w14:textId="77777777" w:rsidR="00154AD2" w:rsidRDefault="007F6BF3">
            <w:pPr>
              <w:pStyle w:val="P68B1DB1-Normal8"/>
              <w:spacing w:after="0" w:line="240" w:lineRule="auto"/>
              <w:jc w:val="center"/>
              <w:rPr>
                <w:rFonts w:eastAsia="Times New Roman" w:cs="Calibri"/>
                <w:noProof/>
              </w:rPr>
            </w:pPr>
            <w:r>
              <w:rPr>
                <w:noProof/>
              </w:rPr>
              <w:t>RE-C09-i03-RAM</w:t>
            </w:r>
          </w:p>
        </w:tc>
        <w:tc>
          <w:tcPr>
            <w:tcW w:w="1134" w:type="dxa"/>
            <w:shd w:val="clear" w:color="auto" w:fill="C4EFCE"/>
            <w:noWrap/>
            <w:vAlign w:val="center"/>
            <w:hideMark/>
          </w:tcPr>
          <w:p w14:paraId="36337F20"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0A0CCBB" w14:textId="77777777" w:rsidR="00154AD2" w:rsidRDefault="007F6BF3">
            <w:pPr>
              <w:pStyle w:val="P68B1DB1-Normal8"/>
              <w:spacing w:after="0" w:line="240" w:lineRule="auto"/>
              <w:jc w:val="center"/>
              <w:rPr>
                <w:rFonts w:eastAsia="Times New Roman" w:cs="Calibri"/>
                <w:noProof/>
              </w:rPr>
            </w:pPr>
            <w:r>
              <w:rPr>
                <w:noProof/>
              </w:rPr>
              <w:t>Πρόσθετα χιλιόμετρα αγωγών που ανακαινίστηκαν ή αποκαταστάθηκαν</w:t>
            </w:r>
          </w:p>
        </w:tc>
        <w:tc>
          <w:tcPr>
            <w:tcW w:w="1275" w:type="dxa"/>
            <w:shd w:val="clear" w:color="auto" w:fill="C4EFCE"/>
            <w:noWrap/>
            <w:vAlign w:val="center"/>
            <w:hideMark/>
          </w:tcPr>
          <w:p w14:paraId="63DB2787" w14:textId="77777777" w:rsidR="00154AD2" w:rsidRDefault="00154AD2">
            <w:pPr>
              <w:spacing w:after="0" w:line="240" w:lineRule="auto"/>
              <w:jc w:val="center"/>
              <w:rPr>
                <w:rFonts w:ascii="Calibri" w:eastAsia="Times New Roman" w:hAnsi="Calibri" w:cs="Calibri"/>
                <w:noProof/>
                <w:sz w:val="16"/>
              </w:rPr>
            </w:pPr>
          </w:p>
        </w:tc>
        <w:tc>
          <w:tcPr>
            <w:tcW w:w="993" w:type="dxa"/>
            <w:shd w:val="clear" w:color="auto" w:fill="C4EFCE"/>
            <w:noWrap/>
            <w:vAlign w:val="center"/>
            <w:hideMark/>
          </w:tcPr>
          <w:p w14:paraId="69886126" w14:textId="77777777" w:rsidR="00154AD2" w:rsidRDefault="007F6BF3">
            <w:pPr>
              <w:pStyle w:val="P68B1DB1-Normal8"/>
              <w:spacing w:after="0" w:line="240" w:lineRule="auto"/>
              <w:jc w:val="center"/>
              <w:rPr>
                <w:rFonts w:eastAsia="Times New Roman" w:cs="Calibri"/>
                <w:noProof/>
              </w:rPr>
            </w:pPr>
            <w:r>
              <w:rPr>
                <w:noProof/>
              </w:rPr>
              <w:t>χλμ</w:t>
            </w:r>
          </w:p>
        </w:tc>
        <w:tc>
          <w:tcPr>
            <w:tcW w:w="992" w:type="dxa"/>
            <w:shd w:val="clear" w:color="auto" w:fill="C4EFCE"/>
            <w:noWrap/>
            <w:vAlign w:val="center"/>
            <w:hideMark/>
          </w:tcPr>
          <w:p w14:paraId="3003D95B" w14:textId="77777777" w:rsidR="00154AD2" w:rsidRDefault="007F6BF3">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1EB636C7" w14:textId="77777777" w:rsidR="00154AD2" w:rsidRDefault="007F6BF3">
            <w:pPr>
              <w:pStyle w:val="P68B1DB1-Normal8"/>
              <w:spacing w:after="0" w:line="240" w:lineRule="auto"/>
              <w:jc w:val="center"/>
              <w:rPr>
                <w:rFonts w:eastAsia="Times New Roman" w:cs="Calibri"/>
                <w:noProof/>
              </w:rPr>
            </w:pPr>
            <w:r>
              <w:rPr>
                <w:noProof/>
              </w:rPr>
              <w:t>53</w:t>
            </w:r>
          </w:p>
        </w:tc>
        <w:tc>
          <w:tcPr>
            <w:tcW w:w="567" w:type="dxa"/>
            <w:shd w:val="clear" w:color="auto" w:fill="C4EFCE"/>
            <w:noWrap/>
            <w:vAlign w:val="center"/>
            <w:hideMark/>
          </w:tcPr>
          <w:p w14:paraId="4F60250B" w14:textId="3336C189" w:rsidR="00154AD2" w:rsidRDefault="007F6BF3">
            <w:pPr>
              <w:pStyle w:val="P68B1DB1-Normal8"/>
              <w:spacing w:after="0" w:line="240" w:lineRule="auto"/>
              <w:jc w:val="center"/>
              <w:rPr>
                <w:rFonts w:eastAsia="Times New Roman" w:cs="Calibri"/>
                <w:noProof/>
              </w:rPr>
            </w:pPr>
            <w:r>
              <w:rPr>
                <w:noProof/>
              </w:rPr>
              <w:t>ΤΡΊΜΗΝΟ 2</w:t>
            </w:r>
          </w:p>
        </w:tc>
        <w:tc>
          <w:tcPr>
            <w:tcW w:w="708" w:type="dxa"/>
            <w:shd w:val="clear" w:color="auto" w:fill="C4EFCE"/>
            <w:noWrap/>
            <w:vAlign w:val="center"/>
            <w:hideMark/>
          </w:tcPr>
          <w:p w14:paraId="3679EC0A" w14:textId="68FE60DD" w:rsidR="00154AD2" w:rsidRDefault="007F6BF3">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7E611BB0" w14:textId="096EC16F" w:rsidR="00154AD2" w:rsidRDefault="007F6BF3">
            <w:pPr>
              <w:pStyle w:val="P68B1DB1-Normal8"/>
              <w:spacing w:after="0" w:line="240" w:lineRule="auto"/>
              <w:jc w:val="both"/>
              <w:rPr>
                <w:rFonts w:eastAsia="Times New Roman" w:cs="Calibri"/>
                <w:noProof/>
              </w:rPr>
            </w:pPr>
            <w:r>
              <w:rPr>
                <w:noProof/>
              </w:rPr>
              <w:t>Μήκος, σε km, αγωγών ύδρευσης που κατασκευάστηκαν, ανακαινίστηκαν ή αποκαταστάθηκαν</w:t>
            </w:r>
          </w:p>
        </w:tc>
      </w:tr>
      <w:tr w:rsidR="00154AD2" w14:paraId="31E82792" w14:textId="77777777">
        <w:trPr>
          <w:trHeight w:val="2110"/>
          <w:jc w:val="center"/>
        </w:trPr>
        <w:tc>
          <w:tcPr>
            <w:tcW w:w="1135" w:type="dxa"/>
            <w:shd w:val="clear" w:color="auto" w:fill="C4EFCE"/>
            <w:noWrap/>
            <w:vAlign w:val="center"/>
            <w:hideMark/>
          </w:tcPr>
          <w:p w14:paraId="600412E0" w14:textId="77777777" w:rsidR="00154AD2" w:rsidRDefault="007F6BF3">
            <w:pPr>
              <w:pStyle w:val="P68B1DB1-Normal7"/>
              <w:spacing w:after="0" w:line="240" w:lineRule="auto"/>
              <w:jc w:val="center"/>
              <w:rPr>
                <w:rFonts w:eastAsia="Times New Roman" w:cs="Calibri"/>
                <w:noProof/>
              </w:rPr>
            </w:pPr>
            <w:r>
              <w:rPr>
                <w:noProof/>
              </w:rPr>
              <w:t>9.13</w:t>
            </w:r>
          </w:p>
        </w:tc>
        <w:tc>
          <w:tcPr>
            <w:tcW w:w="1276" w:type="dxa"/>
            <w:shd w:val="clear" w:color="auto" w:fill="C4EFCE"/>
            <w:noWrap/>
            <w:vAlign w:val="center"/>
            <w:hideMark/>
          </w:tcPr>
          <w:p w14:paraId="17550FBE" w14:textId="77777777" w:rsidR="00154AD2" w:rsidRDefault="007F6BF3">
            <w:pPr>
              <w:pStyle w:val="P68B1DB1-Normal8"/>
              <w:spacing w:after="0" w:line="240" w:lineRule="auto"/>
              <w:jc w:val="center"/>
              <w:rPr>
                <w:rFonts w:eastAsia="Times New Roman" w:cs="Calibri"/>
                <w:noProof/>
              </w:rPr>
            </w:pPr>
            <w:r>
              <w:rPr>
                <w:noProof/>
              </w:rPr>
              <w:t>RE-C09-i03-RAM</w:t>
            </w:r>
          </w:p>
        </w:tc>
        <w:tc>
          <w:tcPr>
            <w:tcW w:w="1134" w:type="dxa"/>
            <w:shd w:val="clear" w:color="auto" w:fill="C4EFCE"/>
            <w:noWrap/>
            <w:vAlign w:val="center"/>
            <w:hideMark/>
          </w:tcPr>
          <w:p w14:paraId="3549A2DF"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4FA1D5A" w14:textId="77777777" w:rsidR="00154AD2" w:rsidRDefault="007F6BF3">
            <w:pPr>
              <w:pStyle w:val="P68B1DB1-Normal8"/>
              <w:spacing w:after="0" w:line="240" w:lineRule="auto"/>
              <w:jc w:val="center"/>
              <w:rPr>
                <w:rFonts w:eastAsia="Times New Roman" w:cs="Calibri"/>
                <w:noProof/>
              </w:rPr>
            </w:pPr>
            <w:r>
              <w:rPr>
                <w:noProof/>
              </w:rPr>
              <w:t>Πρόσθετος όγκος νερού που διατίθεται στο νότιο τμήμα της νήσου Μαδέρας για δημόσια παροχή και άρδευση</w:t>
            </w:r>
          </w:p>
        </w:tc>
        <w:tc>
          <w:tcPr>
            <w:tcW w:w="1275" w:type="dxa"/>
            <w:shd w:val="clear" w:color="auto" w:fill="C4EFCE"/>
            <w:noWrap/>
            <w:vAlign w:val="center"/>
            <w:hideMark/>
          </w:tcPr>
          <w:p w14:paraId="6A44E574" w14:textId="77777777" w:rsidR="00154AD2" w:rsidRDefault="00154AD2">
            <w:pPr>
              <w:spacing w:after="0" w:line="240" w:lineRule="auto"/>
              <w:jc w:val="center"/>
              <w:rPr>
                <w:rFonts w:ascii="Calibri" w:eastAsia="Times New Roman" w:hAnsi="Calibri" w:cs="Calibri"/>
                <w:noProof/>
                <w:sz w:val="16"/>
              </w:rPr>
            </w:pPr>
          </w:p>
        </w:tc>
        <w:tc>
          <w:tcPr>
            <w:tcW w:w="993" w:type="dxa"/>
            <w:shd w:val="clear" w:color="auto" w:fill="C4EFCE"/>
            <w:noWrap/>
            <w:vAlign w:val="center"/>
            <w:hideMark/>
          </w:tcPr>
          <w:p w14:paraId="70237239" w14:textId="77777777" w:rsidR="00154AD2" w:rsidRDefault="007F6BF3">
            <w:pPr>
              <w:pStyle w:val="P68B1DB1-Normal8"/>
              <w:spacing w:after="0" w:line="240" w:lineRule="auto"/>
              <w:jc w:val="center"/>
              <w:rPr>
                <w:rFonts w:eastAsia="Times New Roman" w:cs="Calibri"/>
                <w:noProof/>
              </w:rPr>
            </w:pPr>
            <w:r>
              <w:rPr>
                <w:noProof/>
              </w:rPr>
              <w:t>hm3</w:t>
            </w:r>
          </w:p>
        </w:tc>
        <w:tc>
          <w:tcPr>
            <w:tcW w:w="992" w:type="dxa"/>
            <w:shd w:val="clear" w:color="auto" w:fill="C4EFCE"/>
            <w:noWrap/>
            <w:vAlign w:val="center"/>
            <w:hideMark/>
          </w:tcPr>
          <w:p w14:paraId="1AE1E1CE" w14:textId="77777777" w:rsidR="00154AD2" w:rsidRDefault="007F6BF3">
            <w:pPr>
              <w:pStyle w:val="P68B1DB1-Normal8"/>
              <w:spacing w:after="0" w:line="240" w:lineRule="auto"/>
              <w:jc w:val="center"/>
              <w:rPr>
                <w:rFonts w:eastAsia="Times New Roman" w:cs="Calibri"/>
                <w:noProof/>
              </w:rPr>
            </w:pPr>
            <w:r>
              <w:rPr>
                <w:noProof/>
              </w:rPr>
              <w:t>Α.Α.</w:t>
            </w:r>
          </w:p>
        </w:tc>
        <w:tc>
          <w:tcPr>
            <w:tcW w:w="709" w:type="dxa"/>
            <w:shd w:val="clear" w:color="auto" w:fill="C4EFCE"/>
            <w:noWrap/>
            <w:vAlign w:val="center"/>
            <w:hideMark/>
          </w:tcPr>
          <w:p w14:paraId="66A0614B" w14:textId="77777777" w:rsidR="00154AD2" w:rsidRDefault="007F6BF3">
            <w:pPr>
              <w:pStyle w:val="P68B1DB1-Normal8"/>
              <w:spacing w:after="0" w:line="240" w:lineRule="auto"/>
              <w:jc w:val="center"/>
              <w:rPr>
                <w:rFonts w:eastAsia="Times New Roman" w:cs="Calibri"/>
                <w:noProof/>
              </w:rPr>
            </w:pPr>
            <w:r>
              <w:rPr>
                <w:noProof/>
              </w:rPr>
              <w:t>4</w:t>
            </w:r>
          </w:p>
        </w:tc>
        <w:tc>
          <w:tcPr>
            <w:tcW w:w="567" w:type="dxa"/>
            <w:shd w:val="clear" w:color="auto" w:fill="C4EFCE"/>
            <w:noWrap/>
            <w:vAlign w:val="center"/>
            <w:hideMark/>
          </w:tcPr>
          <w:p w14:paraId="31C162B3"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62F42872" w14:textId="77777777" w:rsidR="00154AD2" w:rsidRDefault="007F6BF3">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4BC078D4" w14:textId="77777777" w:rsidR="00154AD2" w:rsidRDefault="007F6BF3">
            <w:pPr>
              <w:pStyle w:val="P68B1DB1-Normal8"/>
              <w:spacing w:after="0" w:line="240" w:lineRule="auto"/>
              <w:jc w:val="both"/>
              <w:rPr>
                <w:rFonts w:eastAsia="Times New Roman" w:cs="Calibri"/>
                <w:noProof/>
              </w:rPr>
            </w:pPr>
            <w:r>
              <w:rPr>
                <w:noProof/>
              </w:rPr>
              <w:t>Πρόσθετος όγκος νερού που διατίθεται για δημόσια παροχή και άρδευση· αυτό επιτυγχάνεται με την ενίσχυση, την ανακαίνιση, τη μετατροπή και την κατασκευή νέων αγωγών, καναλιών, λιμνών και ταμιευτήρων.</w:t>
            </w:r>
          </w:p>
        </w:tc>
      </w:tr>
    </w:tbl>
    <w:p w14:paraId="5E4AB6BD" w14:textId="77777777" w:rsidR="00154AD2" w:rsidRDefault="00154AD2">
      <w:pPr>
        <w:keepNext/>
        <w:spacing w:before="40" w:after="0" w:line="259" w:lineRule="auto"/>
        <w:jc w:val="both"/>
        <w:rPr>
          <w:rFonts w:ascii="Times New Roman" w:eastAsiaTheme="minorEastAsia" w:hAnsi="Times New Roman" w:cs="Times New Roman"/>
          <w:noProof/>
          <w:sz w:val="24"/>
        </w:rPr>
        <w:sectPr w:rsidR="00154AD2" w:rsidSect="00E00EDD">
          <w:headerReference w:type="even" r:id="rId186"/>
          <w:headerReference w:type="default" r:id="rId187"/>
          <w:footerReference w:type="even" r:id="rId188"/>
          <w:footerReference w:type="default" r:id="rId189"/>
          <w:headerReference w:type="first" r:id="rId190"/>
          <w:footerReference w:type="first" r:id="rId191"/>
          <w:pgSz w:w="16839" w:h="11907" w:orient="landscape"/>
          <w:pgMar w:top="1134" w:right="1134" w:bottom="1134" w:left="1134" w:header="567" w:footer="567" w:gutter="0"/>
          <w:cols w:space="720"/>
          <w:docGrid w:linePitch="360"/>
        </w:sectPr>
      </w:pPr>
    </w:p>
    <w:p w14:paraId="49EFEC21"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45C8B58D" w14:textId="293E2C82" w:rsidR="00154AD2" w:rsidRDefault="007F6BF3">
      <w:pPr>
        <w:pStyle w:val="P68B1DB1-Normal3"/>
        <w:spacing w:before="40" w:after="0" w:line="259" w:lineRule="auto"/>
        <w:ind w:left="130" w:firstLine="720"/>
        <w:jc w:val="both"/>
        <w:outlineLvl w:val="2"/>
        <w:rPr>
          <w:rFonts w:eastAsiaTheme="minorEastAsia" w:cs="Times New Roman"/>
          <w:noProof/>
        </w:rPr>
      </w:pPr>
      <w:r>
        <w:rPr>
          <w:noProof/>
        </w:rPr>
        <w:t xml:space="preserve">Ι.3. </w:t>
      </w:r>
      <w:r>
        <w:rPr>
          <w:noProof/>
        </w:rPr>
        <w:tab/>
        <w:t xml:space="preserve">Περιγραφή των μεταρρυθμίσεων και των επενδύσεων που συνδέονται με τη λήψη δανείου </w:t>
      </w:r>
    </w:p>
    <w:p w14:paraId="39E334BC" w14:textId="43A46B43"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Επένδυση RE-C09-i04: Υδραυλική επιχείρηση πολλαπλών χρήσεων του Crato, φάση κατασκευής</w:t>
      </w:r>
    </w:p>
    <w:p w14:paraId="55CAA73A" w14:textId="74061741" w:rsidR="00154AD2" w:rsidRDefault="007F6BF3">
      <w:pPr>
        <w:pStyle w:val="P68B1DB1-Normal4"/>
        <w:keepNext/>
        <w:spacing w:before="40" w:after="0" w:line="259" w:lineRule="auto"/>
        <w:jc w:val="both"/>
        <w:outlineLvl w:val="2"/>
        <w:rPr>
          <w:rFonts w:eastAsia="Times New Roman" w:cs="Times New Roman"/>
          <w:noProof/>
        </w:rPr>
      </w:pPr>
      <w:r>
        <w:rPr>
          <w:noProof/>
        </w:rPr>
        <w:t xml:space="preserve">Η επένδυση αυτή αφορά το έργο που περιγράφεται στο πλαίσιο της επένδυσης RE-C09-i02, η υδραυλική επιχείρηση πολλαπλών σκοπών του Crato, φάση σχεδιασμού. Η επένδυση αυτή περιλαμβάνει την έγκριση του επικαιροποιημένου σχεδιασμού του φράγματος (DCAPE) και την έναρξη λειτουργίας του φράγματος. </w:t>
      </w:r>
    </w:p>
    <w:p w14:paraId="0F013EA5" w14:textId="5E42A201" w:rsidR="00154AD2" w:rsidRDefault="007F6BF3">
      <w:pPr>
        <w:pStyle w:val="P68B1DB1-Normal4"/>
        <w:keepNext/>
        <w:spacing w:before="40" w:after="0" w:line="259" w:lineRule="auto"/>
        <w:jc w:val="both"/>
        <w:outlineLvl w:val="2"/>
        <w:rPr>
          <w:rFonts w:eastAsia="Times New Roman" w:cs="Times New Roman"/>
          <w:noProof/>
        </w:rPr>
      </w:pPr>
      <w:r>
        <w:rPr>
          <w:noProof/>
        </w:rPr>
        <w:t xml:space="preserve">Όλα τα άλλα στοιχεία, συμπεριλαμβανομένων των υποχρεώσεων «μη πρόκλησης σημαντικής βλάβης», είναι τα ίδια με εκείνα που προσδιορίζονται στην επένδυση RE-C09-i02 Υδραυλική επιχείρηση πολλαπλών σκοπών του Crato, φάση σχεδιασμού. </w:t>
      </w:r>
    </w:p>
    <w:p w14:paraId="0D565263" w14:textId="54DC2D99" w:rsidR="00154AD2" w:rsidRDefault="007F6BF3">
      <w:pPr>
        <w:pStyle w:val="P68B1DB1-Normal4"/>
        <w:keepNext/>
        <w:spacing w:before="40" w:after="0" w:line="259" w:lineRule="auto"/>
        <w:jc w:val="both"/>
        <w:rPr>
          <w:rFonts w:eastAsiaTheme="minorEastAsia" w:cs="Times New Roman"/>
          <w:noProof/>
        </w:rPr>
      </w:pPr>
      <w:r>
        <w:rPr>
          <w:noProof/>
        </w:rPr>
        <w:t>Η υλοποίηση της επένδυσης θα ολοκληρωθεί έως τις 30 Ιουνίου 2026.</w:t>
      </w:r>
    </w:p>
    <w:p w14:paraId="735167DE" w14:textId="77777777" w:rsidR="00154AD2" w:rsidRDefault="00154AD2">
      <w:pPr>
        <w:keepNext/>
        <w:spacing w:before="40" w:after="0" w:line="259" w:lineRule="auto"/>
        <w:ind w:left="130" w:firstLine="720"/>
        <w:jc w:val="both"/>
        <w:outlineLvl w:val="2"/>
        <w:rPr>
          <w:rFonts w:ascii="Times New Roman" w:eastAsia="Times New Roman" w:hAnsi="Times New Roman" w:cs="Times New Roman"/>
          <w:noProof/>
          <w:sz w:val="24"/>
        </w:rPr>
        <w:sectPr w:rsidR="00154AD2" w:rsidSect="009A4B20">
          <w:headerReference w:type="even" r:id="rId192"/>
          <w:headerReference w:type="default" r:id="rId193"/>
          <w:footerReference w:type="even" r:id="rId194"/>
          <w:footerReference w:type="default" r:id="rId195"/>
          <w:headerReference w:type="first" r:id="rId196"/>
          <w:footerReference w:type="first" r:id="rId197"/>
          <w:pgSz w:w="11907" w:h="16839"/>
          <w:pgMar w:top="1134" w:right="1134" w:bottom="1134" w:left="1134" w:header="567" w:footer="567" w:gutter="0"/>
          <w:cols w:space="720"/>
          <w:docGrid w:linePitch="360"/>
        </w:sectPr>
      </w:pPr>
    </w:p>
    <w:p w14:paraId="1FFCEE23" w14:textId="336170A4" w:rsidR="00154AD2" w:rsidRDefault="007F6BF3">
      <w:pPr>
        <w:pStyle w:val="P68B1DB1-Normal3"/>
        <w:keepNext/>
        <w:spacing w:before="40" w:after="0" w:line="259" w:lineRule="auto"/>
        <w:ind w:left="130" w:firstLine="720"/>
        <w:jc w:val="both"/>
        <w:outlineLvl w:val="2"/>
        <w:rPr>
          <w:rFonts w:eastAsiaTheme="minorEastAsia" w:cs="Times New Roman"/>
          <w:noProof/>
        </w:rPr>
      </w:pPr>
      <w:r>
        <w:rPr>
          <w:noProof/>
        </w:rPr>
        <w:t>Ι.4. Ορόσημα, στόχοι, δείκτες και χρονοδιάγραμμα για την παρακολούθηση και την υλοποίηση του δανείου</w:t>
      </w:r>
    </w:p>
    <w:p w14:paraId="4548674B" w14:textId="77777777" w:rsidR="00154AD2" w:rsidRDefault="00154AD2">
      <w:pPr>
        <w:keepNext/>
        <w:spacing w:before="40" w:after="0" w:line="259" w:lineRule="auto"/>
        <w:ind w:left="130" w:firstLine="720"/>
        <w:jc w:val="both"/>
        <w:outlineLvl w:val="2"/>
        <w:rPr>
          <w:rFonts w:ascii="Times New Roman" w:eastAsiaTheme="minorEastAsia" w:hAnsi="Times New Roman" w:cs="Times New Roman"/>
          <w:b/>
          <w:noProof/>
          <w:sz w:val="24"/>
          <w:u w:val="single"/>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154AD2" w14:paraId="5B622BB4" w14:textId="77777777">
        <w:trPr>
          <w:trHeight w:val="300"/>
          <w:tblHeader/>
        </w:trPr>
        <w:tc>
          <w:tcPr>
            <w:tcW w:w="1135" w:type="dxa"/>
            <w:vMerge w:val="restart"/>
            <w:shd w:val="clear" w:color="auto" w:fill="BDD6EE"/>
            <w:vAlign w:val="center"/>
            <w:hideMark/>
          </w:tcPr>
          <w:p w14:paraId="05AF7307" w14:textId="77777777" w:rsidR="00154AD2" w:rsidRDefault="007F6BF3">
            <w:pPr>
              <w:pStyle w:val="P68B1DB1-Normal6"/>
              <w:spacing w:after="0" w:line="240" w:lineRule="auto"/>
              <w:jc w:val="center"/>
              <w:rPr>
                <w:rFonts w:eastAsia="Times New Roman" w:cs="Times New Roman"/>
                <w:noProof/>
              </w:rPr>
            </w:pPr>
            <w:bookmarkStart w:id="22" w:name="_Hlk145941568"/>
            <w:r>
              <w:rPr>
                <w:noProof/>
              </w:rPr>
              <w:t>Αύξων αριθμός</w:t>
            </w:r>
          </w:p>
        </w:tc>
        <w:tc>
          <w:tcPr>
            <w:tcW w:w="1276" w:type="dxa"/>
            <w:vMerge w:val="restart"/>
            <w:shd w:val="clear" w:color="auto" w:fill="BDD6EE"/>
            <w:noWrap/>
            <w:vAlign w:val="center"/>
            <w:hideMark/>
          </w:tcPr>
          <w:p w14:paraId="36DC91A9" w14:textId="77777777" w:rsidR="00154AD2" w:rsidRDefault="007F6BF3">
            <w:pPr>
              <w:pStyle w:val="P68B1DB1-Normal6"/>
              <w:spacing w:after="0" w:line="240" w:lineRule="auto"/>
              <w:jc w:val="center"/>
              <w:rPr>
                <w:rFonts w:eastAsia="Times New Roman" w:cs="Times New Roman"/>
                <w:noProof/>
              </w:rPr>
            </w:pPr>
            <w:r>
              <w:rPr>
                <w:noProof/>
              </w:rPr>
              <w:t>Μέτρο (Μεταρρύθμιση ή Επενδύσεις)</w:t>
            </w:r>
          </w:p>
        </w:tc>
        <w:tc>
          <w:tcPr>
            <w:tcW w:w="1134" w:type="dxa"/>
            <w:vMerge w:val="restart"/>
            <w:shd w:val="clear" w:color="auto" w:fill="BDD6EE"/>
            <w:noWrap/>
            <w:vAlign w:val="center"/>
            <w:hideMark/>
          </w:tcPr>
          <w:p w14:paraId="46CCCA20" w14:textId="75056E55" w:rsidR="00154AD2" w:rsidRDefault="007F6BF3">
            <w:pPr>
              <w:pStyle w:val="P68B1DB1-Normal6"/>
              <w:spacing w:after="0" w:line="240" w:lineRule="auto"/>
              <w:jc w:val="center"/>
              <w:rPr>
                <w:rFonts w:eastAsia="Times New Roman" w:cs="Times New Roman"/>
                <w:noProof/>
              </w:rPr>
            </w:pPr>
            <w:r>
              <w:rPr>
                <w:noProof/>
              </w:rPr>
              <w:t>Ορόσημο/Στόχος</w:t>
            </w:r>
          </w:p>
        </w:tc>
        <w:tc>
          <w:tcPr>
            <w:tcW w:w="1701" w:type="dxa"/>
            <w:vMerge w:val="restart"/>
            <w:shd w:val="clear" w:color="auto" w:fill="BDD6EE"/>
            <w:noWrap/>
            <w:vAlign w:val="center"/>
            <w:hideMark/>
          </w:tcPr>
          <w:p w14:paraId="3972FD46" w14:textId="77777777" w:rsidR="00154AD2" w:rsidRDefault="007F6BF3">
            <w:pPr>
              <w:pStyle w:val="P68B1DB1-Normal6"/>
              <w:spacing w:after="0" w:line="240" w:lineRule="auto"/>
              <w:jc w:val="center"/>
              <w:rPr>
                <w:rFonts w:eastAsia="Times New Roman" w:cs="Times New Roman"/>
                <w:noProof/>
              </w:rPr>
            </w:pPr>
            <w:r>
              <w:rPr>
                <w:noProof/>
              </w:rPr>
              <w:t>Όνομα</w:t>
            </w:r>
          </w:p>
        </w:tc>
        <w:tc>
          <w:tcPr>
            <w:tcW w:w="1275" w:type="dxa"/>
            <w:vMerge w:val="restart"/>
            <w:shd w:val="clear" w:color="auto" w:fill="BDD6EE"/>
            <w:noWrap/>
            <w:vAlign w:val="center"/>
            <w:hideMark/>
          </w:tcPr>
          <w:p w14:paraId="0B6B437F" w14:textId="77777777" w:rsidR="00154AD2" w:rsidRDefault="007F6BF3">
            <w:pPr>
              <w:pStyle w:val="P68B1DB1-Normal6"/>
              <w:spacing w:after="0" w:line="240" w:lineRule="auto"/>
              <w:jc w:val="center"/>
              <w:rPr>
                <w:rFonts w:eastAsia="Times New Roman" w:cs="Times New Roman"/>
                <w:noProof/>
              </w:rPr>
            </w:pPr>
            <w:r>
              <w:rPr>
                <w:noProof/>
              </w:rPr>
              <w:t>Ποιοτικοί δείκτες (για τα ορόσημα)</w:t>
            </w:r>
          </w:p>
        </w:tc>
        <w:tc>
          <w:tcPr>
            <w:tcW w:w="2694" w:type="dxa"/>
            <w:gridSpan w:val="3"/>
            <w:shd w:val="clear" w:color="auto" w:fill="BDD6EE"/>
            <w:noWrap/>
            <w:vAlign w:val="center"/>
            <w:hideMark/>
          </w:tcPr>
          <w:p w14:paraId="2D09032E" w14:textId="77777777" w:rsidR="00154AD2" w:rsidRDefault="007F6BF3">
            <w:pPr>
              <w:pStyle w:val="P68B1DB1-Normal6"/>
              <w:spacing w:after="0" w:line="240" w:lineRule="auto"/>
              <w:jc w:val="center"/>
              <w:rPr>
                <w:rFonts w:eastAsia="Times New Roman" w:cs="Times New Roman"/>
                <w:noProof/>
              </w:rPr>
            </w:pPr>
            <w:r>
              <w:rPr>
                <w:noProof/>
              </w:rPr>
              <w:t>Ποσοτικοί δείκτες (για τους στόχους)</w:t>
            </w:r>
          </w:p>
        </w:tc>
        <w:tc>
          <w:tcPr>
            <w:tcW w:w="1275" w:type="dxa"/>
            <w:gridSpan w:val="2"/>
            <w:shd w:val="clear" w:color="auto" w:fill="BDD6EE"/>
            <w:noWrap/>
            <w:vAlign w:val="center"/>
            <w:hideMark/>
          </w:tcPr>
          <w:p w14:paraId="4DCBBD59" w14:textId="77777777" w:rsidR="00154AD2" w:rsidRDefault="007F6BF3">
            <w:pPr>
              <w:pStyle w:val="P68B1DB1-Normal6"/>
              <w:spacing w:after="0" w:line="240" w:lineRule="auto"/>
              <w:jc w:val="center"/>
              <w:rPr>
                <w:rFonts w:eastAsia="Times New Roman" w:cs="Times New Roman"/>
                <w:noProof/>
              </w:rPr>
            </w:pPr>
            <w:r>
              <w:rPr>
                <w:noProof/>
              </w:rPr>
              <w:t>Χρονοδιάγραμμα ολοκλήρωσης</w:t>
            </w:r>
          </w:p>
        </w:tc>
        <w:tc>
          <w:tcPr>
            <w:tcW w:w="3969" w:type="dxa"/>
            <w:vMerge w:val="restart"/>
            <w:shd w:val="clear" w:color="auto" w:fill="BDD6EE"/>
            <w:vAlign w:val="center"/>
            <w:hideMark/>
          </w:tcPr>
          <w:p w14:paraId="1C2BDDAB" w14:textId="77777777" w:rsidR="00154AD2" w:rsidRDefault="007F6BF3">
            <w:pPr>
              <w:pStyle w:val="P68B1DB1-Normal6"/>
              <w:spacing w:after="0" w:line="240" w:lineRule="auto"/>
              <w:jc w:val="center"/>
              <w:rPr>
                <w:rFonts w:eastAsia="Times New Roman" w:cs="Times New Roman"/>
                <w:noProof/>
              </w:rPr>
            </w:pPr>
            <w:r>
              <w:rPr>
                <w:noProof/>
              </w:rPr>
              <w:t>Περιγραφή και σαφής ορισμός κάθε ορόσημου και στόχου</w:t>
            </w:r>
          </w:p>
        </w:tc>
      </w:tr>
      <w:bookmarkEnd w:id="22"/>
      <w:tr w:rsidR="00154AD2" w14:paraId="2512663C" w14:textId="77777777">
        <w:trPr>
          <w:trHeight w:val="300"/>
          <w:tblHeader/>
        </w:trPr>
        <w:tc>
          <w:tcPr>
            <w:tcW w:w="1135" w:type="dxa"/>
            <w:vMerge/>
            <w:vAlign w:val="center"/>
            <w:hideMark/>
          </w:tcPr>
          <w:p w14:paraId="71D29AAD" w14:textId="77777777" w:rsidR="00154AD2" w:rsidRDefault="00154AD2">
            <w:pPr>
              <w:spacing w:after="0" w:line="240" w:lineRule="auto"/>
              <w:rPr>
                <w:rFonts w:ascii="Times New Roman" w:eastAsia="Times New Roman" w:hAnsi="Times New Roman" w:cs="Times New Roman"/>
                <w:b/>
                <w:noProof/>
                <w:sz w:val="18"/>
              </w:rPr>
            </w:pPr>
          </w:p>
        </w:tc>
        <w:tc>
          <w:tcPr>
            <w:tcW w:w="1276" w:type="dxa"/>
            <w:vMerge/>
            <w:vAlign w:val="center"/>
            <w:hideMark/>
          </w:tcPr>
          <w:p w14:paraId="3784C786" w14:textId="77777777" w:rsidR="00154AD2" w:rsidRDefault="00154AD2">
            <w:pPr>
              <w:spacing w:after="0" w:line="240" w:lineRule="auto"/>
              <w:rPr>
                <w:rFonts w:ascii="Times New Roman" w:eastAsia="Times New Roman" w:hAnsi="Times New Roman" w:cs="Times New Roman"/>
                <w:b/>
                <w:noProof/>
                <w:sz w:val="18"/>
              </w:rPr>
            </w:pPr>
          </w:p>
        </w:tc>
        <w:tc>
          <w:tcPr>
            <w:tcW w:w="1134" w:type="dxa"/>
            <w:vMerge/>
            <w:shd w:val="clear" w:color="auto" w:fill="BDD6EE"/>
            <w:noWrap/>
            <w:vAlign w:val="center"/>
            <w:hideMark/>
          </w:tcPr>
          <w:p w14:paraId="7BE73013" w14:textId="1244C4EB" w:rsidR="00154AD2" w:rsidRDefault="00154AD2">
            <w:pPr>
              <w:spacing w:after="0" w:line="240" w:lineRule="auto"/>
              <w:jc w:val="center"/>
              <w:rPr>
                <w:rFonts w:ascii="Times New Roman" w:eastAsia="Times New Roman" w:hAnsi="Times New Roman" w:cs="Times New Roman"/>
                <w:b/>
                <w:noProof/>
                <w:sz w:val="18"/>
              </w:rPr>
            </w:pPr>
          </w:p>
        </w:tc>
        <w:tc>
          <w:tcPr>
            <w:tcW w:w="1701" w:type="dxa"/>
            <w:vMerge/>
            <w:vAlign w:val="center"/>
            <w:hideMark/>
          </w:tcPr>
          <w:p w14:paraId="6F2C4548" w14:textId="77777777" w:rsidR="00154AD2" w:rsidRDefault="00154AD2">
            <w:pPr>
              <w:spacing w:after="0" w:line="240" w:lineRule="auto"/>
              <w:rPr>
                <w:rFonts w:ascii="Times New Roman" w:eastAsia="Times New Roman" w:hAnsi="Times New Roman" w:cs="Times New Roman"/>
                <w:b/>
                <w:noProof/>
                <w:sz w:val="18"/>
              </w:rPr>
            </w:pPr>
          </w:p>
        </w:tc>
        <w:tc>
          <w:tcPr>
            <w:tcW w:w="1275" w:type="dxa"/>
            <w:vMerge/>
            <w:vAlign w:val="center"/>
            <w:hideMark/>
          </w:tcPr>
          <w:p w14:paraId="106AC914" w14:textId="77777777" w:rsidR="00154AD2" w:rsidRDefault="00154AD2">
            <w:pPr>
              <w:spacing w:after="0" w:line="240" w:lineRule="auto"/>
              <w:rPr>
                <w:rFonts w:ascii="Times New Roman" w:eastAsia="Times New Roman" w:hAnsi="Times New Roman" w:cs="Times New Roman"/>
                <w:b/>
                <w:noProof/>
                <w:sz w:val="18"/>
              </w:rPr>
            </w:pPr>
          </w:p>
        </w:tc>
        <w:tc>
          <w:tcPr>
            <w:tcW w:w="993" w:type="dxa"/>
            <w:shd w:val="clear" w:color="auto" w:fill="BDD6EE"/>
            <w:noWrap/>
            <w:vAlign w:val="center"/>
            <w:hideMark/>
          </w:tcPr>
          <w:p w14:paraId="6BB0C9B9" w14:textId="77777777" w:rsidR="00154AD2" w:rsidRDefault="007F6BF3">
            <w:pPr>
              <w:pStyle w:val="P68B1DB1-Normal6"/>
              <w:spacing w:after="0" w:line="240" w:lineRule="auto"/>
              <w:jc w:val="center"/>
              <w:rPr>
                <w:rFonts w:eastAsia="Times New Roman" w:cs="Times New Roman"/>
                <w:noProof/>
              </w:rPr>
            </w:pPr>
            <w:r>
              <w:rPr>
                <w:noProof/>
              </w:rPr>
              <w:t>Μονάδα μέτρησης</w:t>
            </w:r>
          </w:p>
        </w:tc>
        <w:tc>
          <w:tcPr>
            <w:tcW w:w="992" w:type="dxa"/>
            <w:shd w:val="clear" w:color="auto" w:fill="BDD6EE"/>
            <w:noWrap/>
            <w:vAlign w:val="center"/>
            <w:hideMark/>
          </w:tcPr>
          <w:p w14:paraId="7837A6A7" w14:textId="77777777" w:rsidR="00154AD2" w:rsidRDefault="007F6BF3">
            <w:pPr>
              <w:pStyle w:val="P68B1DB1-Normal6"/>
              <w:spacing w:after="0" w:line="240" w:lineRule="auto"/>
              <w:jc w:val="center"/>
              <w:rPr>
                <w:rFonts w:eastAsia="Times New Roman" w:cs="Times New Roman"/>
                <w:noProof/>
              </w:rPr>
            </w:pPr>
            <w:r>
              <w:rPr>
                <w:noProof/>
              </w:rPr>
              <w:t>Γραμμή βάσης</w:t>
            </w:r>
          </w:p>
        </w:tc>
        <w:tc>
          <w:tcPr>
            <w:tcW w:w="709" w:type="dxa"/>
            <w:shd w:val="clear" w:color="auto" w:fill="BDD6EE"/>
            <w:noWrap/>
            <w:vAlign w:val="center"/>
            <w:hideMark/>
          </w:tcPr>
          <w:p w14:paraId="0A015CF7" w14:textId="77777777" w:rsidR="00154AD2" w:rsidRDefault="007F6BF3">
            <w:pPr>
              <w:pStyle w:val="P68B1DB1-Normal6"/>
              <w:spacing w:after="0" w:line="240" w:lineRule="auto"/>
              <w:jc w:val="center"/>
              <w:rPr>
                <w:rFonts w:eastAsia="Times New Roman" w:cs="Times New Roman"/>
                <w:noProof/>
              </w:rPr>
            </w:pPr>
            <w:r>
              <w:rPr>
                <w:noProof/>
              </w:rPr>
              <w:t>Στόχοι</w:t>
            </w:r>
          </w:p>
        </w:tc>
        <w:tc>
          <w:tcPr>
            <w:tcW w:w="567" w:type="dxa"/>
            <w:shd w:val="clear" w:color="auto" w:fill="BDD6EE"/>
            <w:noWrap/>
            <w:vAlign w:val="center"/>
            <w:hideMark/>
          </w:tcPr>
          <w:p w14:paraId="715832CA" w14:textId="77777777" w:rsidR="00154AD2" w:rsidRDefault="007F6BF3">
            <w:pPr>
              <w:pStyle w:val="P68B1DB1-Normal6"/>
              <w:spacing w:after="0" w:line="240" w:lineRule="auto"/>
              <w:jc w:val="center"/>
              <w:rPr>
                <w:rFonts w:eastAsia="Times New Roman" w:cs="Times New Roman"/>
                <w:noProof/>
              </w:rPr>
            </w:pPr>
            <w:r>
              <w:rPr>
                <w:noProof/>
              </w:rPr>
              <w:t>Ε</w:t>
            </w:r>
          </w:p>
        </w:tc>
        <w:tc>
          <w:tcPr>
            <w:tcW w:w="708" w:type="dxa"/>
            <w:shd w:val="clear" w:color="auto" w:fill="BDD6EE"/>
            <w:noWrap/>
            <w:vAlign w:val="center"/>
            <w:hideMark/>
          </w:tcPr>
          <w:p w14:paraId="5FA15F06" w14:textId="77777777" w:rsidR="00154AD2" w:rsidRDefault="007F6BF3">
            <w:pPr>
              <w:pStyle w:val="P68B1DB1-Normal6"/>
              <w:spacing w:after="0" w:line="240" w:lineRule="auto"/>
              <w:jc w:val="center"/>
              <w:rPr>
                <w:rFonts w:eastAsia="Times New Roman" w:cs="Times New Roman"/>
                <w:noProof/>
              </w:rPr>
            </w:pPr>
            <w:r>
              <w:rPr>
                <w:noProof/>
              </w:rPr>
              <w:t>Έτος</w:t>
            </w:r>
          </w:p>
        </w:tc>
        <w:tc>
          <w:tcPr>
            <w:tcW w:w="3969" w:type="dxa"/>
            <w:vMerge/>
            <w:vAlign w:val="center"/>
            <w:hideMark/>
          </w:tcPr>
          <w:p w14:paraId="4CC75BE5" w14:textId="77777777" w:rsidR="00154AD2" w:rsidRDefault="00154AD2">
            <w:pPr>
              <w:spacing w:after="0" w:line="240" w:lineRule="auto"/>
              <w:rPr>
                <w:rFonts w:ascii="Times New Roman" w:eastAsia="Times New Roman" w:hAnsi="Times New Roman" w:cs="Times New Roman"/>
                <w:b/>
                <w:noProof/>
                <w:sz w:val="18"/>
              </w:rPr>
            </w:pPr>
          </w:p>
        </w:tc>
      </w:tr>
      <w:tr w:rsidR="00154AD2" w14:paraId="7A04D420" w14:textId="77777777">
        <w:trPr>
          <w:trHeight w:val="1260"/>
          <w:tblHeader/>
        </w:trPr>
        <w:tc>
          <w:tcPr>
            <w:tcW w:w="1135" w:type="dxa"/>
            <w:shd w:val="clear" w:color="auto" w:fill="C4EFCE"/>
            <w:noWrap/>
            <w:vAlign w:val="center"/>
          </w:tcPr>
          <w:p w14:paraId="5AE76F1F" w14:textId="0E0C05FE" w:rsidR="00154AD2" w:rsidRDefault="007F6BF3">
            <w:pPr>
              <w:pStyle w:val="P68B1DB1-Normal7"/>
              <w:spacing w:after="0" w:line="240" w:lineRule="auto"/>
              <w:jc w:val="center"/>
              <w:rPr>
                <w:rFonts w:eastAsia="Times New Roman" w:cs="Calibri"/>
                <w:noProof/>
              </w:rPr>
            </w:pPr>
            <w:r>
              <w:rPr>
                <w:noProof/>
              </w:rPr>
              <w:t>9.10</w:t>
            </w:r>
          </w:p>
        </w:tc>
        <w:tc>
          <w:tcPr>
            <w:tcW w:w="1276" w:type="dxa"/>
            <w:shd w:val="clear" w:color="auto" w:fill="C4EFCE"/>
            <w:noWrap/>
            <w:vAlign w:val="center"/>
          </w:tcPr>
          <w:p w14:paraId="7B9ECDFA" w14:textId="4638F8FA" w:rsidR="00154AD2" w:rsidRDefault="007F6BF3">
            <w:pPr>
              <w:pStyle w:val="P68B1DB1-Normal8"/>
              <w:spacing w:after="0" w:line="240" w:lineRule="auto"/>
              <w:jc w:val="center"/>
              <w:rPr>
                <w:rFonts w:eastAsia="Times New Roman" w:cs="Calibri"/>
                <w:noProof/>
              </w:rPr>
            </w:pPr>
            <w:r>
              <w:rPr>
                <w:noProof/>
              </w:rPr>
              <w:t>RE-C09-i04</w:t>
            </w:r>
          </w:p>
        </w:tc>
        <w:tc>
          <w:tcPr>
            <w:tcW w:w="1134" w:type="dxa"/>
            <w:shd w:val="clear" w:color="auto" w:fill="C4EFCE"/>
            <w:noWrap/>
            <w:vAlign w:val="center"/>
          </w:tcPr>
          <w:p w14:paraId="1650E83C" w14:textId="2A98B9CC" w:rsidR="00154AD2" w:rsidRDefault="007F6BF3">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tcPr>
          <w:p w14:paraId="38E9F561" w14:textId="401CA359" w:rsidR="00154AD2" w:rsidRDefault="007F6BF3">
            <w:pPr>
              <w:pStyle w:val="P68B1DB1-Normal8"/>
              <w:spacing w:after="0" w:line="240" w:lineRule="auto"/>
              <w:jc w:val="center"/>
              <w:rPr>
                <w:rFonts w:eastAsia="Times New Roman" w:cs="Calibri"/>
                <w:noProof/>
              </w:rPr>
            </w:pPr>
            <w:r>
              <w:rPr>
                <w:noProof/>
              </w:rPr>
              <w:t>Υπό την προϋπόθεση θετικής εκτίμησης περιβαλλοντικών επιπτώσεων που να έχει συμμορφωθεί πλήρως και ουσιαστικά με τα νομικά κριτήρια, έγκριση επικαιροποιημένου σχεδιασμού του φράγματος, υδροηλεκτρικής και ηλιακής παραγωγής και άρδευσης, με πλήρη ενσωμάτωση όλων των αποτελεσμάτων και όρων της ΕΠΕ</w:t>
            </w:r>
          </w:p>
        </w:tc>
        <w:tc>
          <w:tcPr>
            <w:tcW w:w="1275" w:type="dxa"/>
            <w:shd w:val="clear" w:color="auto" w:fill="C4EFCE"/>
            <w:noWrap/>
            <w:vAlign w:val="center"/>
          </w:tcPr>
          <w:p w14:paraId="02774AD5" w14:textId="25B357D0" w:rsidR="00154AD2" w:rsidRDefault="007F6BF3">
            <w:pPr>
              <w:pStyle w:val="P68B1DB1-Normal8"/>
              <w:spacing w:after="0" w:line="240" w:lineRule="auto"/>
              <w:jc w:val="center"/>
              <w:rPr>
                <w:rFonts w:eastAsia="Times New Roman" w:cs="Calibri"/>
                <w:noProof/>
              </w:rPr>
            </w:pPr>
            <w:r>
              <w:rPr>
                <w:noProof/>
              </w:rPr>
              <w:t>Έγκριση του επικαιροποιημένου σχεδιασμού</w:t>
            </w:r>
          </w:p>
        </w:tc>
        <w:tc>
          <w:tcPr>
            <w:tcW w:w="993" w:type="dxa"/>
            <w:shd w:val="clear" w:color="auto" w:fill="C4EFCE"/>
            <w:noWrap/>
            <w:vAlign w:val="center"/>
          </w:tcPr>
          <w:p w14:paraId="357E7085" w14:textId="77777777" w:rsidR="00154AD2" w:rsidRDefault="00154AD2">
            <w:pPr>
              <w:spacing w:after="0" w:line="240" w:lineRule="auto"/>
              <w:jc w:val="center"/>
              <w:rPr>
                <w:rFonts w:ascii="Calibri" w:eastAsia="Times New Roman" w:hAnsi="Calibri" w:cs="Calibri"/>
                <w:noProof/>
                <w:sz w:val="16"/>
              </w:rPr>
            </w:pPr>
          </w:p>
        </w:tc>
        <w:tc>
          <w:tcPr>
            <w:tcW w:w="992" w:type="dxa"/>
            <w:shd w:val="clear" w:color="auto" w:fill="C4EFCE"/>
            <w:noWrap/>
            <w:vAlign w:val="center"/>
          </w:tcPr>
          <w:p w14:paraId="4EAF7F6D" w14:textId="77777777" w:rsidR="00154AD2" w:rsidRDefault="00154AD2">
            <w:pPr>
              <w:spacing w:after="0" w:line="240" w:lineRule="auto"/>
              <w:jc w:val="center"/>
              <w:rPr>
                <w:rFonts w:ascii="Calibri" w:eastAsia="Times New Roman" w:hAnsi="Calibri" w:cs="Calibri"/>
                <w:noProof/>
                <w:sz w:val="16"/>
              </w:rPr>
            </w:pPr>
          </w:p>
        </w:tc>
        <w:tc>
          <w:tcPr>
            <w:tcW w:w="709" w:type="dxa"/>
            <w:shd w:val="clear" w:color="auto" w:fill="C4EFCE"/>
            <w:noWrap/>
            <w:vAlign w:val="center"/>
          </w:tcPr>
          <w:p w14:paraId="3DB852A9" w14:textId="77777777" w:rsidR="00154AD2" w:rsidRDefault="00154AD2">
            <w:pPr>
              <w:spacing w:after="0" w:line="240" w:lineRule="auto"/>
              <w:jc w:val="center"/>
              <w:rPr>
                <w:rFonts w:ascii="Calibri" w:eastAsia="Times New Roman" w:hAnsi="Calibri" w:cs="Calibri"/>
                <w:noProof/>
                <w:sz w:val="16"/>
              </w:rPr>
            </w:pPr>
          </w:p>
        </w:tc>
        <w:tc>
          <w:tcPr>
            <w:tcW w:w="567" w:type="dxa"/>
            <w:shd w:val="clear" w:color="auto" w:fill="C4EFCE"/>
            <w:noWrap/>
            <w:vAlign w:val="center"/>
          </w:tcPr>
          <w:p w14:paraId="634803F8" w14:textId="6C3C8F2A"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tcPr>
          <w:p w14:paraId="5CCD347B" w14:textId="6A4D3ED5" w:rsidR="00154AD2" w:rsidRDefault="007F6BF3">
            <w:pPr>
              <w:pStyle w:val="P68B1DB1-Normal8"/>
              <w:spacing w:after="0" w:line="240" w:lineRule="auto"/>
              <w:jc w:val="center"/>
              <w:rPr>
                <w:rFonts w:eastAsia="Times New Roman" w:cs="Calibri"/>
                <w:noProof/>
              </w:rPr>
            </w:pPr>
            <w:r>
              <w:rPr>
                <w:noProof/>
              </w:rPr>
              <w:t>2023</w:t>
            </w:r>
          </w:p>
        </w:tc>
        <w:tc>
          <w:tcPr>
            <w:tcW w:w="3969" w:type="dxa"/>
            <w:shd w:val="clear" w:color="auto" w:fill="C4EFCE"/>
            <w:vAlign w:val="center"/>
          </w:tcPr>
          <w:p w14:paraId="307065E5" w14:textId="77777777" w:rsidR="00154AD2" w:rsidRDefault="007F6BF3">
            <w:pPr>
              <w:pStyle w:val="P68B1DB1-Normal8"/>
              <w:spacing w:after="0" w:line="240" w:lineRule="auto"/>
              <w:jc w:val="both"/>
              <w:rPr>
                <w:rFonts w:eastAsia="Times New Roman" w:cs="Calibri"/>
                <w:noProof/>
              </w:rPr>
            </w:pPr>
            <w:r>
              <w:rPr>
                <w:noProof/>
              </w:rPr>
              <w:t xml:space="preserve">Υπό την προϋπόθεση διενέργειας ΕΠΕ που καταλήγει στο συμπέρασμα ότι δεν προκαλείται σημαντική βλάβη, έγκριση επικαιροποιημένου σχεδιασμού του φράγματος, της υδροηλεκτρικής και ηλιακής παραγωγής και άρδευσης, ενσωματώνοντας πλήρως κάθε αποτέλεσμα και όρο από την ολοκληρωμένη και σωρευτική ΕΠΕ, εφόσον απαιτείται για την επίτευξη συμμόρφωσης με τις τεχνικές κατευθυντήριες γραμμές σχετικά με την αρχή της μη πρόκλησης σημαντικής βλάβης (2021/C58/01). Η ΕΠΕ ολοκληρώνεται σύμφωνα με την οδηγία 2011/92/ΕΕ, καθώς και σχετικές εκτιμήσεις στο πλαίσιο της οδηγίας 2000/60/ΕΚ, συμπεριλαμβανομένης της εφαρμογής των απαιτούμενων μέτρων μετριασμού. </w:t>
            </w:r>
          </w:p>
          <w:p w14:paraId="6301C6F9" w14:textId="77777777" w:rsidR="00154AD2" w:rsidRDefault="00154AD2">
            <w:pPr>
              <w:spacing w:after="0" w:line="240" w:lineRule="auto"/>
              <w:jc w:val="both"/>
              <w:rPr>
                <w:rFonts w:ascii="Calibri" w:eastAsia="Times New Roman" w:hAnsi="Calibri" w:cs="Calibri"/>
                <w:noProof/>
                <w:sz w:val="16"/>
              </w:rPr>
            </w:pPr>
          </w:p>
          <w:p w14:paraId="563B34EB" w14:textId="77777777" w:rsidR="00154AD2" w:rsidRDefault="007F6BF3">
            <w:pPr>
              <w:pStyle w:val="P68B1DB1-Normal8"/>
              <w:spacing w:after="0" w:line="240" w:lineRule="auto"/>
              <w:jc w:val="both"/>
              <w:rPr>
                <w:rFonts w:eastAsia="Times New Roman" w:cs="Calibri"/>
                <w:noProof/>
              </w:rPr>
            </w:pPr>
            <w:r>
              <w:rPr>
                <w:noProof/>
              </w:rPr>
              <w:t>Τυχόν μέτρα που προσδιορίζονται στο πλαίσιο της ΕΠΕ και της εκτίμησης βάσει της οδηγίας 2000/60/ΕΚ ως αναγκαία για τη διασφάλιση της συμμόρφωσης με τις τεχνικές κατευθυντήριες γραμμές «μη πρόκλησης σημαντικής βλάβης» (2021/C58/01) ενσωματώνονται στο έργο και τηρούνται κατά τα στάδια της κατασκευής, της λειτουργίας και του παροπλισμού της υποδομής.</w:t>
            </w:r>
          </w:p>
          <w:p w14:paraId="47634865" w14:textId="7A8CAFDB" w:rsidR="00154AD2" w:rsidRDefault="00154AD2">
            <w:pPr>
              <w:spacing w:after="0" w:line="240" w:lineRule="auto"/>
              <w:jc w:val="both"/>
              <w:rPr>
                <w:rFonts w:ascii="Calibri" w:eastAsia="Times New Roman" w:hAnsi="Calibri" w:cs="Calibri"/>
                <w:noProof/>
                <w:sz w:val="16"/>
              </w:rPr>
            </w:pPr>
          </w:p>
        </w:tc>
      </w:tr>
    </w:tbl>
    <w:p w14:paraId="7E0C9D80" w14:textId="77777777" w:rsidR="00154AD2" w:rsidRDefault="00154AD2">
      <w:pPr>
        <w:spacing w:after="0" w:line="240" w:lineRule="auto"/>
        <w:jc w:val="center"/>
        <w:rPr>
          <w:rFonts w:ascii="Calibri" w:eastAsia="Times New Roman" w:hAnsi="Calibri" w:cs="Calibri"/>
          <w:b/>
          <w:noProof/>
          <w:sz w:val="16"/>
        </w:rPr>
        <w:sectPr w:rsidR="00154AD2" w:rsidSect="00E00EDD">
          <w:headerReference w:type="even" r:id="rId198"/>
          <w:headerReference w:type="default" r:id="rId199"/>
          <w:footerReference w:type="even" r:id="rId200"/>
          <w:footerReference w:type="default" r:id="rId201"/>
          <w:headerReference w:type="first" r:id="rId202"/>
          <w:footerReference w:type="first" r:id="rId203"/>
          <w:pgSz w:w="16839" w:h="11907" w:orient="landscape"/>
          <w:pgMar w:top="1134" w:right="1134" w:bottom="1134" w:left="1134" w:header="567" w:footer="567" w:gutter="0"/>
          <w:cols w:space="720"/>
          <w:docGrid w:linePitch="360"/>
        </w:sect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154AD2" w14:paraId="645A7A24" w14:textId="77777777">
        <w:trPr>
          <w:trHeight w:val="525"/>
          <w:tblHeader/>
        </w:trPr>
        <w:tc>
          <w:tcPr>
            <w:tcW w:w="1135" w:type="dxa"/>
            <w:vMerge w:val="restart"/>
            <w:shd w:val="clear" w:color="auto" w:fill="BDD6EE"/>
            <w:noWrap/>
            <w:vAlign w:val="center"/>
          </w:tcPr>
          <w:p w14:paraId="49BCA749" w14:textId="574691EA" w:rsidR="00154AD2" w:rsidRDefault="007F6BF3">
            <w:pPr>
              <w:pStyle w:val="P68B1DB1-Normal6"/>
              <w:spacing w:after="0" w:line="240" w:lineRule="auto"/>
              <w:jc w:val="center"/>
              <w:rPr>
                <w:rFonts w:eastAsia="Times New Roman" w:cs="Times New Roman"/>
                <w:noProof/>
              </w:rPr>
            </w:pPr>
            <w:r>
              <w:rPr>
                <w:noProof/>
              </w:rPr>
              <w:t>Αύξων αριθμός</w:t>
            </w:r>
          </w:p>
        </w:tc>
        <w:tc>
          <w:tcPr>
            <w:tcW w:w="1276" w:type="dxa"/>
            <w:vMerge w:val="restart"/>
            <w:shd w:val="clear" w:color="auto" w:fill="BDD6EE"/>
            <w:noWrap/>
            <w:vAlign w:val="center"/>
          </w:tcPr>
          <w:p w14:paraId="656A6E3D" w14:textId="65A6BE6F" w:rsidR="00154AD2" w:rsidRDefault="007F6BF3">
            <w:pPr>
              <w:pStyle w:val="P68B1DB1-Normal6"/>
              <w:spacing w:after="0" w:line="240" w:lineRule="auto"/>
              <w:jc w:val="center"/>
              <w:rPr>
                <w:rFonts w:eastAsia="Times New Roman" w:cs="Times New Roman"/>
                <w:noProof/>
              </w:rPr>
            </w:pPr>
            <w:r>
              <w:rPr>
                <w:noProof/>
              </w:rPr>
              <w:t>Μέτρο (Μεταρρύθμιση ή Επενδύσεις)</w:t>
            </w:r>
          </w:p>
        </w:tc>
        <w:tc>
          <w:tcPr>
            <w:tcW w:w="1134" w:type="dxa"/>
            <w:vMerge w:val="restart"/>
            <w:shd w:val="clear" w:color="auto" w:fill="BDD6EE"/>
            <w:noWrap/>
            <w:vAlign w:val="center"/>
          </w:tcPr>
          <w:p w14:paraId="3F140861" w14:textId="05956691" w:rsidR="00154AD2" w:rsidRDefault="007F6BF3">
            <w:pPr>
              <w:pStyle w:val="P68B1DB1-Normal6"/>
              <w:spacing w:after="0" w:line="240" w:lineRule="auto"/>
              <w:jc w:val="center"/>
              <w:rPr>
                <w:rFonts w:eastAsia="Times New Roman" w:cs="Times New Roman"/>
                <w:noProof/>
              </w:rPr>
            </w:pPr>
            <w:r>
              <w:rPr>
                <w:noProof/>
              </w:rPr>
              <w:t>Ορόσημο/Στόχος</w:t>
            </w:r>
          </w:p>
        </w:tc>
        <w:tc>
          <w:tcPr>
            <w:tcW w:w="1701" w:type="dxa"/>
            <w:vMerge w:val="restart"/>
            <w:shd w:val="clear" w:color="auto" w:fill="BDD6EE"/>
            <w:noWrap/>
            <w:vAlign w:val="center"/>
          </w:tcPr>
          <w:p w14:paraId="7E92527E" w14:textId="5A6FC241" w:rsidR="00154AD2" w:rsidRDefault="007F6BF3">
            <w:pPr>
              <w:pStyle w:val="P68B1DB1-Normal6"/>
              <w:spacing w:after="0" w:line="240" w:lineRule="auto"/>
              <w:jc w:val="center"/>
              <w:rPr>
                <w:rFonts w:eastAsia="Times New Roman" w:cs="Times New Roman"/>
                <w:noProof/>
              </w:rPr>
            </w:pPr>
            <w:r>
              <w:rPr>
                <w:noProof/>
              </w:rPr>
              <w:t>Όνομα</w:t>
            </w:r>
          </w:p>
        </w:tc>
        <w:tc>
          <w:tcPr>
            <w:tcW w:w="1275" w:type="dxa"/>
            <w:vMerge w:val="restart"/>
            <w:shd w:val="clear" w:color="auto" w:fill="BDD6EE"/>
            <w:noWrap/>
            <w:vAlign w:val="center"/>
          </w:tcPr>
          <w:p w14:paraId="4E73A322" w14:textId="10710CE6" w:rsidR="00154AD2" w:rsidRDefault="007F6BF3">
            <w:pPr>
              <w:pStyle w:val="P68B1DB1-Normal6"/>
              <w:spacing w:after="0" w:line="240" w:lineRule="auto"/>
              <w:jc w:val="center"/>
              <w:rPr>
                <w:rFonts w:eastAsia="Times New Roman" w:cs="Times New Roman"/>
                <w:noProof/>
              </w:rPr>
            </w:pPr>
            <w:r>
              <w:rPr>
                <w:noProof/>
              </w:rPr>
              <w:t>Ποιοτικοί δείκτες (για τα ορόσημα)</w:t>
            </w:r>
          </w:p>
        </w:tc>
        <w:tc>
          <w:tcPr>
            <w:tcW w:w="2694" w:type="dxa"/>
            <w:gridSpan w:val="3"/>
            <w:shd w:val="clear" w:color="auto" w:fill="BDD6EE"/>
            <w:noWrap/>
            <w:vAlign w:val="center"/>
          </w:tcPr>
          <w:p w14:paraId="1CF25973" w14:textId="50C07217" w:rsidR="00154AD2" w:rsidRDefault="007F6BF3">
            <w:pPr>
              <w:pStyle w:val="P68B1DB1-Normal6"/>
              <w:spacing w:after="0" w:line="240" w:lineRule="auto"/>
              <w:jc w:val="center"/>
              <w:rPr>
                <w:rFonts w:eastAsia="Times New Roman" w:cs="Times New Roman"/>
                <w:noProof/>
              </w:rPr>
            </w:pPr>
            <w:r>
              <w:rPr>
                <w:noProof/>
              </w:rPr>
              <w:t>Ποσοτικοί δείκτες (για τους στόχους)</w:t>
            </w:r>
          </w:p>
        </w:tc>
        <w:tc>
          <w:tcPr>
            <w:tcW w:w="1275" w:type="dxa"/>
            <w:gridSpan w:val="2"/>
            <w:shd w:val="clear" w:color="auto" w:fill="BDD6EE"/>
            <w:noWrap/>
            <w:vAlign w:val="center"/>
          </w:tcPr>
          <w:p w14:paraId="7627C3DB" w14:textId="67658CFC" w:rsidR="00154AD2" w:rsidRDefault="007F6BF3">
            <w:pPr>
              <w:pStyle w:val="P68B1DB1-Normal6"/>
              <w:spacing w:after="0" w:line="240" w:lineRule="auto"/>
              <w:jc w:val="center"/>
              <w:rPr>
                <w:rFonts w:eastAsia="Times New Roman" w:cs="Times New Roman"/>
                <w:noProof/>
              </w:rPr>
            </w:pPr>
            <w:r>
              <w:rPr>
                <w:noProof/>
              </w:rPr>
              <w:t>Χρονοδιάγραμμα ολοκλήρωσης</w:t>
            </w:r>
          </w:p>
        </w:tc>
        <w:tc>
          <w:tcPr>
            <w:tcW w:w="3969" w:type="dxa"/>
            <w:vMerge w:val="restart"/>
            <w:shd w:val="clear" w:color="auto" w:fill="BDD6EE"/>
            <w:vAlign w:val="center"/>
          </w:tcPr>
          <w:p w14:paraId="6E91A456" w14:textId="1EEE8516" w:rsidR="00154AD2" w:rsidRDefault="007F6BF3">
            <w:pPr>
              <w:pStyle w:val="P68B1DB1-Normal6"/>
              <w:spacing w:after="0" w:line="240" w:lineRule="auto"/>
              <w:jc w:val="center"/>
              <w:rPr>
                <w:rFonts w:eastAsia="Times New Roman" w:cs="Times New Roman"/>
                <w:noProof/>
              </w:rPr>
            </w:pPr>
            <w:r>
              <w:rPr>
                <w:noProof/>
              </w:rPr>
              <w:t>Περιγραφή και σαφής ορισμός κάθε ορόσημου και στόχου</w:t>
            </w:r>
          </w:p>
        </w:tc>
      </w:tr>
      <w:tr w:rsidR="00154AD2" w14:paraId="6AF10782" w14:textId="77777777">
        <w:trPr>
          <w:trHeight w:val="525"/>
          <w:tblHeader/>
        </w:trPr>
        <w:tc>
          <w:tcPr>
            <w:tcW w:w="1135" w:type="dxa"/>
            <w:vMerge/>
            <w:shd w:val="clear" w:color="auto" w:fill="BDD6EE"/>
            <w:noWrap/>
            <w:vAlign w:val="center"/>
          </w:tcPr>
          <w:p w14:paraId="5D493835" w14:textId="77777777" w:rsidR="00154AD2" w:rsidRDefault="00154AD2">
            <w:pPr>
              <w:spacing w:after="0" w:line="240" w:lineRule="auto"/>
              <w:jc w:val="center"/>
              <w:rPr>
                <w:rFonts w:ascii="Times New Roman" w:eastAsia="Times New Roman" w:hAnsi="Times New Roman" w:cs="Times New Roman"/>
                <w:b/>
                <w:noProof/>
                <w:sz w:val="18"/>
              </w:rPr>
            </w:pPr>
          </w:p>
        </w:tc>
        <w:tc>
          <w:tcPr>
            <w:tcW w:w="1276" w:type="dxa"/>
            <w:vMerge/>
            <w:shd w:val="clear" w:color="auto" w:fill="BDD6EE"/>
            <w:noWrap/>
            <w:vAlign w:val="center"/>
          </w:tcPr>
          <w:p w14:paraId="5CFE31A1" w14:textId="77777777" w:rsidR="00154AD2" w:rsidRDefault="00154AD2">
            <w:pPr>
              <w:spacing w:after="0" w:line="240" w:lineRule="auto"/>
              <w:jc w:val="center"/>
              <w:rPr>
                <w:rFonts w:ascii="Times New Roman" w:eastAsia="Times New Roman" w:hAnsi="Times New Roman" w:cs="Times New Roman"/>
                <w:b/>
                <w:noProof/>
                <w:sz w:val="18"/>
              </w:rPr>
            </w:pPr>
          </w:p>
        </w:tc>
        <w:tc>
          <w:tcPr>
            <w:tcW w:w="1134" w:type="dxa"/>
            <w:vMerge/>
            <w:shd w:val="clear" w:color="auto" w:fill="BDD6EE"/>
            <w:noWrap/>
            <w:vAlign w:val="center"/>
          </w:tcPr>
          <w:p w14:paraId="1EC2C84E" w14:textId="77777777" w:rsidR="00154AD2" w:rsidRDefault="00154AD2">
            <w:pPr>
              <w:spacing w:after="0" w:line="240" w:lineRule="auto"/>
              <w:jc w:val="center"/>
              <w:rPr>
                <w:rFonts w:ascii="Times New Roman" w:eastAsia="Times New Roman" w:hAnsi="Times New Roman" w:cs="Times New Roman"/>
                <w:b/>
                <w:noProof/>
                <w:sz w:val="18"/>
              </w:rPr>
            </w:pPr>
          </w:p>
        </w:tc>
        <w:tc>
          <w:tcPr>
            <w:tcW w:w="1701" w:type="dxa"/>
            <w:vMerge/>
            <w:shd w:val="clear" w:color="auto" w:fill="BDD6EE"/>
            <w:noWrap/>
            <w:vAlign w:val="center"/>
          </w:tcPr>
          <w:p w14:paraId="318B1182" w14:textId="77777777" w:rsidR="00154AD2" w:rsidRDefault="00154AD2">
            <w:pPr>
              <w:spacing w:after="0" w:line="240" w:lineRule="auto"/>
              <w:jc w:val="center"/>
              <w:rPr>
                <w:rFonts w:ascii="Times New Roman" w:eastAsia="Times New Roman" w:hAnsi="Times New Roman" w:cs="Times New Roman"/>
                <w:b/>
                <w:noProof/>
                <w:sz w:val="18"/>
              </w:rPr>
            </w:pPr>
          </w:p>
        </w:tc>
        <w:tc>
          <w:tcPr>
            <w:tcW w:w="1275" w:type="dxa"/>
            <w:vMerge/>
            <w:shd w:val="clear" w:color="auto" w:fill="BDD6EE"/>
            <w:noWrap/>
            <w:vAlign w:val="center"/>
          </w:tcPr>
          <w:p w14:paraId="3F2B7268" w14:textId="77777777" w:rsidR="00154AD2" w:rsidRDefault="00154AD2">
            <w:pPr>
              <w:spacing w:after="0" w:line="240" w:lineRule="auto"/>
              <w:jc w:val="center"/>
              <w:rPr>
                <w:rFonts w:ascii="Times New Roman" w:eastAsia="Times New Roman" w:hAnsi="Times New Roman" w:cs="Times New Roman"/>
                <w:b/>
                <w:noProof/>
                <w:sz w:val="18"/>
              </w:rPr>
            </w:pPr>
          </w:p>
        </w:tc>
        <w:tc>
          <w:tcPr>
            <w:tcW w:w="993" w:type="dxa"/>
            <w:shd w:val="clear" w:color="auto" w:fill="BDD6EE"/>
            <w:noWrap/>
            <w:vAlign w:val="center"/>
          </w:tcPr>
          <w:p w14:paraId="442EF0A7" w14:textId="46709A64" w:rsidR="00154AD2" w:rsidRDefault="007F6BF3">
            <w:pPr>
              <w:pStyle w:val="P68B1DB1-Normal6"/>
              <w:spacing w:after="0" w:line="240" w:lineRule="auto"/>
              <w:jc w:val="center"/>
              <w:rPr>
                <w:rFonts w:eastAsia="Times New Roman" w:cs="Times New Roman"/>
                <w:noProof/>
              </w:rPr>
            </w:pPr>
            <w:r>
              <w:rPr>
                <w:noProof/>
              </w:rPr>
              <w:t>Μονάδα μέτρησης</w:t>
            </w:r>
          </w:p>
        </w:tc>
        <w:tc>
          <w:tcPr>
            <w:tcW w:w="992" w:type="dxa"/>
            <w:shd w:val="clear" w:color="auto" w:fill="BDD6EE"/>
            <w:vAlign w:val="center"/>
          </w:tcPr>
          <w:p w14:paraId="57D31F6B" w14:textId="69A20BB0" w:rsidR="00154AD2" w:rsidRDefault="007F6BF3">
            <w:pPr>
              <w:pStyle w:val="P68B1DB1-Normal6"/>
              <w:spacing w:after="0" w:line="240" w:lineRule="auto"/>
              <w:jc w:val="center"/>
              <w:rPr>
                <w:rFonts w:eastAsia="Times New Roman" w:cs="Times New Roman"/>
                <w:noProof/>
              </w:rPr>
            </w:pPr>
            <w:r>
              <w:rPr>
                <w:noProof/>
              </w:rPr>
              <w:t>Γραμμή βάσης</w:t>
            </w:r>
          </w:p>
        </w:tc>
        <w:tc>
          <w:tcPr>
            <w:tcW w:w="709" w:type="dxa"/>
            <w:shd w:val="clear" w:color="auto" w:fill="BDD6EE"/>
            <w:vAlign w:val="center"/>
          </w:tcPr>
          <w:p w14:paraId="00D0D2E2" w14:textId="333D1553" w:rsidR="00154AD2" w:rsidRDefault="007F6BF3">
            <w:pPr>
              <w:pStyle w:val="P68B1DB1-Normal6"/>
              <w:spacing w:after="0" w:line="240" w:lineRule="auto"/>
              <w:jc w:val="center"/>
              <w:rPr>
                <w:rFonts w:eastAsia="Times New Roman" w:cs="Times New Roman"/>
                <w:noProof/>
              </w:rPr>
            </w:pPr>
            <w:r>
              <w:rPr>
                <w:noProof/>
              </w:rPr>
              <w:t>Στόχοι</w:t>
            </w:r>
          </w:p>
        </w:tc>
        <w:tc>
          <w:tcPr>
            <w:tcW w:w="567" w:type="dxa"/>
            <w:shd w:val="clear" w:color="auto" w:fill="C6D9F1" w:themeFill="text2" w:themeFillTint="33"/>
            <w:noWrap/>
            <w:vAlign w:val="center"/>
          </w:tcPr>
          <w:p w14:paraId="0C609051" w14:textId="5DFF1650" w:rsidR="00154AD2" w:rsidRDefault="007F6BF3">
            <w:pPr>
              <w:pStyle w:val="P68B1DB1-Normal8"/>
              <w:spacing w:after="0" w:line="240" w:lineRule="auto"/>
              <w:jc w:val="center"/>
              <w:rPr>
                <w:rFonts w:eastAsia="Times New Roman" w:cs="Calibri"/>
                <w:noProof/>
              </w:rPr>
            </w:pPr>
            <w:r>
              <w:rPr>
                <w:noProof/>
              </w:rPr>
              <w:t>Ε</w:t>
            </w:r>
          </w:p>
        </w:tc>
        <w:tc>
          <w:tcPr>
            <w:tcW w:w="708" w:type="dxa"/>
            <w:shd w:val="clear" w:color="auto" w:fill="BDD6EE"/>
            <w:vAlign w:val="center"/>
          </w:tcPr>
          <w:p w14:paraId="5E59938E" w14:textId="4687ACDB" w:rsidR="00154AD2" w:rsidRDefault="007F6BF3">
            <w:pPr>
              <w:pStyle w:val="P68B1DB1-Normal6"/>
              <w:spacing w:after="0" w:line="240" w:lineRule="auto"/>
              <w:jc w:val="center"/>
              <w:rPr>
                <w:rFonts w:ascii="Calibri" w:eastAsia="Times New Roman" w:hAnsi="Calibri" w:cs="Calibri"/>
                <w:noProof/>
                <w:sz w:val="16"/>
              </w:rPr>
            </w:pPr>
            <w:r>
              <w:rPr>
                <w:noProof/>
              </w:rPr>
              <w:t>Έτος</w:t>
            </w:r>
          </w:p>
        </w:tc>
        <w:tc>
          <w:tcPr>
            <w:tcW w:w="3969" w:type="dxa"/>
            <w:vMerge/>
            <w:shd w:val="clear" w:color="auto" w:fill="B8CCE4" w:themeFill="accent1" w:themeFillTint="66"/>
            <w:vAlign w:val="center"/>
          </w:tcPr>
          <w:p w14:paraId="2D7E8CEC" w14:textId="77777777" w:rsidR="00154AD2" w:rsidRDefault="00154AD2">
            <w:pPr>
              <w:spacing w:after="0" w:line="240" w:lineRule="auto"/>
              <w:jc w:val="both"/>
              <w:rPr>
                <w:rFonts w:ascii="Calibri" w:eastAsia="Times New Roman" w:hAnsi="Calibri" w:cs="Calibri"/>
                <w:noProof/>
                <w:sz w:val="16"/>
              </w:rPr>
            </w:pPr>
          </w:p>
        </w:tc>
      </w:tr>
      <w:tr w:rsidR="00154AD2" w14:paraId="377F90B7" w14:textId="77777777">
        <w:trPr>
          <w:trHeight w:val="1050"/>
          <w:tblHeader/>
        </w:trPr>
        <w:tc>
          <w:tcPr>
            <w:tcW w:w="1135" w:type="dxa"/>
            <w:shd w:val="clear" w:color="auto" w:fill="C4EFCE"/>
            <w:noWrap/>
            <w:vAlign w:val="center"/>
          </w:tcPr>
          <w:p w14:paraId="1879CF06" w14:textId="2ED24A15" w:rsidR="00154AD2" w:rsidRDefault="007F6BF3">
            <w:pPr>
              <w:pStyle w:val="P68B1DB1-Normal7"/>
              <w:spacing w:after="0" w:line="240" w:lineRule="auto"/>
              <w:jc w:val="center"/>
              <w:rPr>
                <w:rFonts w:eastAsia="Times New Roman" w:cs="Calibri"/>
                <w:noProof/>
              </w:rPr>
            </w:pPr>
            <w:r>
              <w:rPr>
                <w:noProof/>
              </w:rPr>
              <w:t>9.11</w:t>
            </w:r>
          </w:p>
        </w:tc>
        <w:tc>
          <w:tcPr>
            <w:tcW w:w="1276" w:type="dxa"/>
            <w:shd w:val="clear" w:color="auto" w:fill="C4EFCE"/>
            <w:noWrap/>
            <w:vAlign w:val="center"/>
          </w:tcPr>
          <w:p w14:paraId="1407D8DF" w14:textId="7A6EA6EF" w:rsidR="00154AD2" w:rsidRDefault="007F6BF3">
            <w:pPr>
              <w:pStyle w:val="P68B1DB1-Normal8"/>
              <w:spacing w:after="0" w:line="240" w:lineRule="auto"/>
              <w:jc w:val="center"/>
              <w:rPr>
                <w:rFonts w:eastAsia="Times New Roman" w:cs="Calibri"/>
                <w:noProof/>
              </w:rPr>
            </w:pPr>
            <w:r>
              <w:rPr>
                <w:noProof/>
              </w:rPr>
              <w:t>RE-C09-i04</w:t>
            </w:r>
          </w:p>
        </w:tc>
        <w:tc>
          <w:tcPr>
            <w:tcW w:w="1134" w:type="dxa"/>
            <w:shd w:val="clear" w:color="auto" w:fill="C4EFCE"/>
            <w:noWrap/>
            <w:vAlign w:val="center"/>
          </w:tcPr>
          <w:p w14:paraId="0C17A5A0" w14:textId="063C5029" w:rsidR="00154AD2" w:rsidRDefault="007F6BF3">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tcPr>
          <w:p w14:paraId="0239B0F6" w14:textId="52DBFA21" w:rsidR="00154AD2" w:rsidRDefault="007F6BF3">
            <w:pPr>
              <w:pStyle w:val="P68B1DB1-Normal8"/>
              <w:spacing w:after="0" w:line="240" w:lineRule="auto"/>
              <w:jc w:val="center"/>
              <w:rPr>
                <w:rFonts w:eastAsia="Times New Roman" w:cs="Calibri"/>
                <w:noProof/>
              </w:rPr>
            </w:pPr>
            <w:r>
              <w:rPr>
                <w:noProof/>
              </w:rPr>
              <w:t>Έναρξη λειτουργίας του φράγματος, υδροηλεκτρικής και ηλιακής παραγωγής και άρδευσης, με πλήρη σεβασμό των αποτελεσμάτων και των όρων που θέτει η ΜΠΕ και επίτευξη καλής κατάστασης των σχετικών υδατικών συστημάτων</w:t>
            </w:r>
          </w:p>
        </w:tc>
        <w:tc>
          <w:tcPr>
            <w:tcW w:w="1275" w:type="dxa"/>
            <w:shd w:val="clear" w:color="auto" w:fill="C4EFCE"/>
            <w:noWrap/>
            <w:vAlign w:val="center"/>
          </w:tcPr>
          <w:p w14:paraId="7A468BEE" w14:textId="5C179788" w:rsidR="00154AD2" w:rsidRDefault="007F6BF3">
            <w:pPr>
              <w:pStyle w:val="P68B1DB1-Normal8"/>
              <w:spacing w:after="0" w:line="240" w:lineRule="auto"/>
              <w:jc w:val="center"/>
              <w:rPr>
                <w:rFonts w:eastAsia="Times New Roman" w:cs="Calibri"/>
                <w:noProof/>
              </w:rPr>
            </w:pPr>
            <w:r>
              <w:rPr>
                <w:noProof/>
              </w:rPr>
              <w:t>Έναρξη λειτουργίας του φράγματος</w:t>
            </w:r>
          </w:p>
        </w:tc>
        <w:tc>
          <w:tcPr>
            <w:tcW w:w="993" w:type="dxa"/>
            <w:shd w:val="clear" w:color="auto" w:fill="C4EFCE"/>
            <w:noWrap/>
            <w:vAlign w:val="center"/>
          </w:tcPr>
          <w:p w14:paraId="7F731D00" w14:textId="77777777" w:rsidR="00154AD2" w:rsidRDefault="00154AD2">
            <w:pPr>
              <w:spacing w:after="0" w:line="240" w:lineRule="auto"/>
              <w:jc w:val="center"/>
              <w:rPr>
                <w:rFonts w:ascii="Calibri" w:eastAsia="Times New Roman" w:hAnsi="Calibri" w:cs="Calibri"/>
                <w:noProof/>
                <w:sz w:val="16"/>
              </w:rPr>
            </w:pPr>
          </w:p>
        </w:tc>
        <w:tc>
          <w:tcPr>
            <w:tcW w:w="992" w:type="dxa"/>
            <w:shd w:val="clear" w:color="auto" w:fill="C4EFCE"/>
            <w:noWrap/>
            <w:vAlign w:val="center"/>
          </w:tcPr>
          <w:p w14:paraId="7E2C7D5C" w14:textId="77777777" w:rsidR="00154AD2" w:rsidRDefault="00154AD2">
            <w:pPr>
              <w:spacing w:after="0" w:line="240" w:lineRule="auto"/>
              <w:jc w:val="center"/>
              <w:rPr>
                <w:rFonts w:ascii="Calibri" w:eastAsia="Times New Roman" w:hAnsi="Calibri" w:cs="Calibri"/>
                <w:noProof/>
                <w:sz w:val="16"/>
              </w:rPr>
            </w:pPr>
          </w:p>
        </w:tc>
        <w:tc>
          <w:tcPr>
            <w:tcW w:w="709" w:type="dxa"/>
            <w:shd w:val="clear" w:color="auto" w:fill="C4EFCE"/>
            <w:noWrap/>
            <w:vAlign w:val="center"/>
          </w:tcPr>
          <w:p w14:paraId="0BD23613" w14:textId="77777777" w:rsidR="00154AD2" w:rsidRDefault="00154AD2">
            <w:pPr>
              <w:spacing w:after="0" w:line="240" w:lineRule="auto"/>
              <w:jc w:val="center"/>
              <w:rPr>
                <w:rFonts w:ascii="Calibri" w:eastAsia="Times New Roman" w:hAnsi="Calibri" w:cs="Calibri"/>
                <w:noProof/>
                <w:sz w:val="16"/>
              </w:rPr>
            </w:pPr>
          </w:p>
        </w:tc>
        <w:tc>
          <w:tcPr>
            <w:tcW w:w="567" w:type="dxa"/>
            <w:shd w:val="clear" w:color="auto" w:fill="C4EFCE"/>
            <w:noWrap/>
            <w:vAlign w:val="center"/>
          </w:tcPr>
          <w:p w14:paraId="1A712FED" w14:textId="101D2A8E" w:rsidR="00154AD2" w:rsidRDefault="007F6BF3">
            <w:pPr>
              <w:pStyle w:val="P68B1DB1-Normal8"/>
              <w:spacing w:after="0" w:line="240" w:lineRule="auto"/>
              <w:jc w:val="center"/>
              <w:rPr>
                <w:rFonts w:eastAsia="Times New Roman" w:cs="Calibri"/>
                <w:noProof/>
              </w:rPr>
            </w:pPr>
            <w:r>
              <w:rPr>
                <w:noProof/>
              </w:rPr>
              <w:t>ΤΡΊΜΗΝΟ 2</w:t>
            </w:r>
          </w:p>
        </w:tc>
        <w:tc>
          <w:tcPr>
            <w:tcW w:w="708" w:type="dxa"/>
            <w:shd w:val="clear" w:color="auto" w:fill="C4EFCE"/>
            <w:noWrap/>
            <w:vAlign w:val="center"/>
          </w:tcPr>
          <w:p w14:paraId="03485358" w14:textId="49F63D83" w:rsidR="00154AD2" w:rsidRDefault="007F6BF3">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tcPr>
          <w:p w14:paraId="06A29FB6" w14:textId="77777777" w:rsidR="00154AD2" w:rsidRDefault="007F6BF3">
            <w:pPr>
              <w:pStyle w:val="P68B1DB1-Normal8"/>
              <w:spacing w:after="0" w:line="240" w:lineRule="auto"/>
              <w:jc w:val="both"/>
              <w:rPr>
                <w:rFonts w:eastAsia="Times New Roman" w:cs="Calibri"/>
                <w:noProof/>
              </w:rPr>
            </w:pPr>
            <w:r>
              <w:rPr>
                <w:noProof/>
              </w:rPr>
              <w:t>Έναρξη λειτουργίας του φράγματος, των μονάδων παραγωγής υδροηλεκτρικής και ηλιακής ενέργειας και του αρδευτικού συστήματος, με πλήρη σεβασμό των αποτελεσμάτων και των όρων που καθορίζονται από την ολοκληρωμένη και σωρευτική ΕΠΕ που πρέπει να έχει ολοκληρωθεί σύμφωνα με την οδηγία 2011/92/ΕΕ, καθώς και τις σχετικές εκτιμήσεις στο πλαίσιο της οδηγίας 2000/60/ΕΚ, συμπεριλαμβανομένης της εφαρμογής των απαιτούμενων μέτρων μετριασμού. Διασφαλίζεται η συμμόρφωση με την τεχνική καθοδήγηση «μη πρόκλησης σημαντικής βλάβης» (2021/C58/01).</w:t>
            </w:r>
          </w:p>
          <w:p w14:paraId="27D5C9C8" w14:textId="77777777" w:rsidR="00154AD2" w:rsidRDefault="00154AD2">
            <w:pPr>
              <w:spacing w:after="0" w:line="240" w:lineRule="auto"/>
              <w:jc w:val="both"/>
              <w:rPr>
                <w:rFonts w:ascii="Calibri" w:eastAsia="Times New Roman" w:hAnsi="Calibri" w:cs="Calibri"/>
                <w:noProof/>
                <w:sz w:val="16"/>
              </w:rPr>
            </w:pPr>
          </w:p>
          <w:p w14:paraId="4FAACE21" w14:textId="77777777" w:rsidR="00154AD2" w:rsidRDefault="007F6BF3">
            <w:pPr>
              <w:pStyle w:val="P68B1DB1-Normal8"/>
              <w:spacing w:after="0" w:line="240" w:lineRule="auto"/>
              <w:jc w:val="both"/>
              <w:rPr>
                <w:rFonts w:eastAsia="Times New Roman" w:cs="Calibri"/>
                <w:noProof/>
              </w:rPr>
            </w:pPr>
            <w:r>
              <w:rPr>
                <w:noProof/>
              </w:rPr>
              <w:t>Το μέτρο διασφαλίζει την κάλυψη των αναγκών σε αστικό νερό για τους πληθυσμούς Alter do Chão, Avis, Crato, Fronteira, Gavião, Nisa, Ponte de Sor και Sousel.</w:t>
            </w:r>
          </w:p>
          <w:p w14:paraId="66B2A4F9" w14:textId="77777777" w:rsidR="00154AD2" w:rsidRDefault="00154AD2">
            <w:pPr>
              <w:spacing w:after="0" w:line="240" w:lineRule="auto"/>
              <w:jc w:val="both"/>
              <w:rPr>
                <w:rFonts w:ascii="Calibri" w:eastAsia="Times New Roman" w:hAnsi="Calibri" w:cs="Calibri"/>
                <w:noProof/>
                <w:sz w:val="16"/>
              </w:rPr>
            </w:pPr>
          </w:p>
          <w:p w14:paraId="6E6FCE41" w14:textId="77777777" w:rsidR="00154AD2" w:rsidRDefault="007F6BF3">
            <w:pPr>
              <w:pStyle w:val="P68B1DB1-Normal8"/>
              <w:spacing w:after="0" w:line="240" w:lineRule="auto"/>
              <w:jc w:val="both"/>
              <w:rPr>
                <w:rFonts w:eastAsia="Times New Roman" w:cs="Calibri"/>
                <w:noProof/>
              </w:rPr>
            </w:pPr>
            <w:r>
              <w:rPr>
                <w:noProof/>
              </w:rPr>
              <w:t>Αύξηση της δυναμικότητας παραγωγής καθαρής ενέργειας ανάλογα με την παραγωγική ικανότητα της ηλιακής μονάδας που πρόκειται να εγκατασταθεί συν 1,0 MW/έτος από τον μίνι υδροηλεκτρικό σταθμό· εγκατάσταση υποδομών αρδευτικών μπλοκ που επιτρέπουν την παροχή νέας αρδευόμενης έκτασης 5 078 εκταρίων, κατάλληλης για βιολογικές και διαφοροποιημένες καλλιέργειες.</w:t>
            </w:r>
          </w:p>
          <w:p w14:paraId="52487FBC" w14:textId="77777777" w:rsidR="00154AD2" w:rsidRDefault="00154AD2">
            <w:pPr>
              <w:spacing w:after="0" w:line="240" w:lineRule="auto"/>
              <w:jc w:val="both"/>
              <w:rPr>
                <w:rFonts w:ascii="Calibri" w:eastAsia="Times New Roman" w:hAnsi="Calibri" w:cs="Calibri"/>
                <w:noProof/>
                <w:sz w:val="16"/>
              </w:rPr>
            </w:pPr>
          </w:p>
          <w:p w14:paraId="42592D55" w14:textId="77777777" w:rsidR="00154AD2" w:rsidRDefault="007F6BF3">
            <w:pPr>
              <w:pStyle w:val="P68B1DB1-Normal8"/>
              <w:spacing w:after="0" w:line="240" w:lineRule="auto"/>
              <w:jc w:val="both"/>
              <w:rPr>
                <w:rFonts w:eastAsia="Times New Roman" w:cs="Calibri"/>
                <w:noProof/>
              </w:rPr>
            </w:pPr>
            <w:r>
              <w:rPr>
                <w:noProof/>
              </w:rPr>
              <w:t>Έχει επιτευχθεί και πιστοποιηθεί καλή οικολογική κατάσταση/δυναμικό των σχετικών υδατικών συστημάτων σύμφωνα με τις απαιτήσεις της οδηγίας 2000/60/ΕΚ πλαίσιο για τα ύδατα.</w:t>
            </w:r>
          </w:p>
          <w:p w14:paraId="08B20BF2" w14:textId="24EAFAF5" w:rsidR="00154AD2" w:rsidRDefault="00154AD2">
            <w:pPr>
              <w:spacing w:after="0" w:line="240" w:lineRule="auto"/>
              <w:jc w:val="both"/>
              <w:rPr>
                <w:rFonts w:ascii="Calibri" w:eastAsia="Times New Roman" w:hAnsi="Calibri" w:cs="Calibri"/>
                <w:noProof/>
                <w:sz w:val="16"/>
              </w:rPr>
            </w:pPr>
          </w:p>
        </w:tc>
      </w:tr>
    </w:tbl>
    <w:p w14:paraId="67B8C802" w14:textId="150ED53E" w:rsidR="00154AD2" w:rsidRDefault="00154AD2">
      <w:pPr>
        <w:keepNext/>
        <w:spacing w:before="40" w:after="0" w:line="259" w:lineRule="auto"/>
        <w:ind w:left="130" w:firstLine="720"/>
        <w:jc w:val="both"/>
        <w:outlineLvl w:val="2"/>
        <w:rPr>
          <w:rFonts w:ascii="Times New Roman" w:eastAsiaTheme="minorEastAsia" w:hAnsi="Times New Roman" w:cs="Times New Roman"/>
          <w:b/>
          <w:noProof/>
          <w:sz w:val="24"/>
          <w:u w:val="single"/>
        </w:rPr>
        <w:sectPr w:rsidR="00154AD2" w:rsidSect="00E00EDD">
          <w:headerReference w:type="even" r:id="rId204"/>
          <w:headerReference w:type="default" r:id="rId205"/>
          <w:footerReference w:type="even" r:id="rId206"/>
          <w:footerReference w:type="default" r:id="rId207"/>
          <w:headerReference w:type="first" r:id="rId208"/>
          <w:footerReference w:type="first" r:id="rId209"/>
          <w:pgSz w:w="16839" w:h="11907" w:orient="landscape"/>
          <w:pgMar w:top="1134" w:right="1134" w:bottom="1134" w:left="1134" w:header="567" w:footer="567" w:gutter="0"/>
          <w:cols w:space="720"/>
          <w:docGrid w:linePitch="360"/>
        </w:sectPr>
      </w:pPr>
    </w:p>
    <w:p w14:paraId="36DDF044" w14:textId="77777777" w:rsidR="00154AD2" w:rsidRDefault="007F6BF3">
      <w:pPr>
        <w:pStyle w:val="P68B1DB1-Normal3"/>
        <w:keepNext/>
        <w:spacing w:before="40" w:after="0" w:line="259" w:lineRule="auto"/>
        <w:ind w:left="130" w:firstLine="720"/>
        <w:jc w:val="both"/>
        <w:outlineLvl w:val="1"/>
        <w:rPr>
          <w:rFonts w:eastAsiaTheme="minorEastAsia" w:cs="Times New Roman"/>
          <w:noProof/>
        </w:rPr>
      </w:pPr>
      <w:r>
        <w:rPr>
          <w:noProof/>
        </w:rPr>
        <w:t>Ι. ΣΥΝΙΣΤΏΣΑ 10: Θάλασσα</w:t>
      </w:r>
    </w:p>
    <w:p w14:paraId="7B573033" w14:textId="34C41316" w:rsidR="00154AD2" w:rsidRDefault="007F6BF3">
      <w:pPr>
        <w:pStyle w:val="P68B1DB1-Normal4"/>
        <w:keepNext/>
        <w:spacing w:before="40" w:after="0" w:line="259" w:lineRule="auto"/>
        <w:jc w:val="both"/>
        <w:rPr>
          <w:rFonts w:eastAsiaTheme="minorEastAsia" w:cs="Times New Roman"/>
          <w:noProof/>
        </w:rPr>
      </w:pPr>
      <w:r>
        <w:rPr>
          <w:noProof/>
        </w:rPr>
        <w:t>Η συνιστώσα αντιμετωπίζει την πρόκληση να ανοίξει ο δρόμος για μια πιο ανταγωνιστική, συνεκτική, χωρίς αποκλεισμούς και, επιπλέον, μια πιο απαλλαγμένη από ανθρακούχες εκπομπές και βιώσιμη θαλάσσια οικονομία, μια περιοχή στην οποία η Πορτογαλία διαθέτει ισχυρό δυναμικό. Η συνιστώσα συμβάλλει στην αξιοποίηση των ευκαιριών που προκύπτουν από την κλιματική και την ψηφιακή μετάβαση στη θαλάσσια οικονομία. Στόχος αυτής της συνιστώσας είναι η στήριξη της επίτευξης των εθνικών στόχων που σχετίζονται με το παραγωγικό δυναμικό της θαλάσσιας οικονομίας. Ειδικότερα, η συνιστώσα επιδιώκει να διασφαλίσει τη βιωσιμότητα και την ανταγωνιστικότητα του επιχειρηματικού συστήματος που σχετίζεται με τη θάλασσα. Επιπλέον, η συνιστώσα φιλοδοξεί να αντιμετωπίσει, τουλάχιστον εν μέρει, τη φτώχεια στις παράκτιες κοινότητες, διασφαλίζοντας παράλληλα μια ανταγωνιστική και συνεκτική περιοχή στο πλαίσιο της προσαρμογής στην κλιματική και την ψηφιακή μετάβαση, μεταξύ άλλων με έμφαση στις δεξιότητες που σχετίζονται με τους θαλάσσιους τομείς. Η συνιστώσα συμβάλλει επίσης στη διατήρηση της αξίας των υπηρεσιών του ωκεάνιου οικοσυστήματος.</w:t>
      </w:r>
    </w:p>
    <w:p w14:paraId="5AE10A03"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συνιστώσα στηρίζει την εφαρμογή των συστάσεων ανά χώρα στην εστίαση της οικονομικής πολιτικής που σχετίζεται με τις επενδύσεις στους λιμένες και στην καινοτομία (ειδική ανά χώρα σύσταση 3 2019) και στην εστίαση των επενδύσεων στην πράσινη μετάβαση (ειδική ανά χώρα σύσταση 3 2020). Επιπλέον, η συνιστώσα συμβάλλει στην εφαρμογή της ειδικής ανά χώρα σύστασης για τη βελτίωση του επιπέδου δεξιοτήτων του πληθυσμού (ειδική ανά χώρα σύσταση 2 2020). </w:t>
      </w:r>
    </w:p>
    <w:p w14:paraId="064A0E1A" w14:textId="77777777" w:rsidR="00154AD2" w:rsidRDefault="007F6BF3">
      <w:pPr>
        <w:pStyle w:val="P68B1DB1-Normal4"/>
        <w:keepNext/>
        <w:spacing w:before="40" w:after="0" w:line="259" w:lineRule="auto"/>
        <w:jc w:val="both"/>
        <w:rPr>
          <w:rFonts w:eastAsiaTheme="minorEastAsia" w:cs="Times New Roman"/>
          <w:noProof/>
        </w:rPr>
      </w:pPr>
      <w:r>
        <w:rPr>
          <w:noProof/>
        </w:rPr>
        <w:t>Αναμένεται ότι κανένα μέτρο στη συνιστώσα αυτή δεν βλάπτει σημαντικά τους περιβαλλοντικούς στόχους κατά την έννοια του άρθρου 17 του κανονισμού (ΕΕ) 2020/852, λαμβανομένης υπόψη της περιγραφής των μέτρων και των μέτρων μετριασμού που ορίζονται στο σχέδιο σύμφωνα με την τεχνική καθοδήγηση σχετικά με την αρχή της μη πρόκλησης σημαντικής βλάβης (2021/C58/01).</w:t>
      </w:r>
    </w:p>
    <w:p w14:paraId="620BBC55"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7744EE41" w14:textId="77777777" w:rsidR="00154AD2" w:rsidRDefault="007F6BF3">
      <w:pPr>
        <w:pStyle w:val="P68B1DB1-Normal3"/>
        <w:keepNext/>
        <w:spacing w:before="40" w:after="0" w:line="259" w:lineRule="auto"/>
        <w:ind w:left="130" w:firstLine="720"/>
        <w:jc w:val="both"/>
        <w:outlineLvl w:val="2"/>
        <w:rPr>
          <w:rFonts w:eastAsiaTheme="minorEastAsia" w:cs="Times New Roman"/>
          <w:noProof/>
        </w:rPr>
      </w:pPr>
      <w:r>
        <w:rPr>
          <w:noProof/>
        </w:rPr>
        <w:t>Ι.1. Περιγραφή των μεταρρυθμίσεων και των επενδύσεων που είναι επιλέξιμες για λήψη μη επιστρεπτέας χρηματοδοτικής στήριξης</w:t>
      </w:r>
    </w:p>
    <w:p w14:paraId="2A752A9A"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 xml:space="preserve">Μεταρρύθμιση TC-r23: Μεταρρύθμιση του οικοσυστήματος υποδομών γαλάζιας οικονομίας. </w:t>
      </w:r>
    </w:p>
    <w:p w14:paraId="6BF01A81"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Στόχος της μεταρρύθμισης αυτής είναι η αναθεώρηση της νομοθεσίας για το δίκτυο των συνεργατικών σχηματισμών Port Tech (που εγκρίθηκε από το Υπουργικό Συμβούλιο το 2017), μέσω της οποίας η Πορτογαλία αποσκοπεί στην ενίσχυση των οικονομικών δραστηριοτήτων που σχετίζονται με τη θάλασσα, με τη δημιουργία επιχειρηματικών ευκαιριών, νέων θέσεων εργασίας, τη στήριξη των εξαγωγών, τη στήριξη της ανάπτυξης των θαλάσσιων μεταφορών και την προώθηση της βιώσιμης εκμετάλλευσης του θαλάσσιου δυναμικού. Η μεταρρύθμιση επεκτείνει το δίκτυο «Port Tech Clusters Network» σε πρόσθετες περιοχές με πρόσβαση στη θάλασσα και θέτει νέους στόχους, όπως η ενίσχυση της χρηματοδοτικής ικανότητας της οικονομίας της θάλασσας μέσω ενός αναθεωρημένου γαλάζιου ταμείου, η στήριξη της χρήσης των ωκεανών για τη βελτίωση της ανθεκτικότητας για τον μετριασμό της κλιματικής αλλαγής, η προώθηση της ανάπτυξης δεξιοτήτων που σχετίζονται με τη θαλάσσια οικονομία και τη διττή μετάβαση και η ενίσχυση της δημόσιας στήριξης της καινοτομίας για τη βιώσιμη ανάπτυξη της θαλάσσιας οικονομίας. </w:t>
      </w:r>
    </w:p>
    <w:p w14:paraId="7535A86B"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μεταρρύθμιση θεσπίζει το μοντέλο διακυβέρνησης ενός νέου γαλάζιου κόμβου, ο οποίος θα πρέπει να αποτελέσει κινητήρια δύναμη για τη μεταφορά τεχνολογίας μεταξύ των διαφόρων παραγόντων της αξιακής αλυσίδας μιας νέας, ανθεκτικότερης και βιώσιμης θαλάσσιας οικονομίας, ο αντίκτυπος της οποίας προορίζεται να είναι διαρκής και σημαντικός για τη στροφή προς την έξυπνη, βιώσιμη και χωρίς αποκλεισμούς οικονομική ανάπτυξη των σχετικών τομέων. </w:t>
      </w:r>
    </w:p>
    <w:p w14:paraId="268AFDE5" w14:textId="77777777" w:rsidR="00154AD2" w:rsidRDefault="007F6BF3">
      <w:pPr>
        <w:pStyle w:val="P68B1DB1-Normal4"/>
        <w:keepNext/>
        <w:spacing w:before="40" w:after="0" w:line="259" w:lineRule="auto"/>
        <w:jc w:val="both"/>
        <w:rPr>
          <w:rFonts w:eastAsiaTheme="minorEastAsia" w:cs="Times New Roman"/>
          <w:noProof/>
        </w:rPr>
      </w:pPr>
      <w:r>
        <w:rPr>
          <w:noProof/>
        </w:rPr>
        <w:t>Η εφαρμογή της μεταρρύθμισης ολοκληρώνεται έως τις 31 Δεκεμβρίου 2021.</w:t>
      </w:r>
    </w:p>
    <w:p w14:paraId="3D3AF8C2" w14:textId="77777777" w:rsidR="00154AD2" w:rsidRDefault="007F6BF3">
      <w:pPr>
        <w:pStyle w:val="P68B1DB1-Normal5"/>
        <w:keepNext/>
        <w:keepLines/>
        <w:spacing w:before="240" w:after="0" w:line="259" w:lineRule="auto"/>
        <w:ind w:left="851"/>
        <w:jc w:val="both"/>
        <w:outlineLvl w:val="3"/>
        <w:rPr>
          <w:rFonts w:eastAsiaTheme="minorEastAsia" w:cs="Times New Roman"/>
          <w:noProof/>
        </w:rPr>
      </w:pPr>
      <w:bookmarkStart w:id="23" w:name="_Hlk67034111"/>
      <w:r>
        <w:rPr>
          <w:noProof/>
        </w:rPr>
        <w:t>Επένδυση TC-C10-I01: Γαλάζιος κόμβος, Δίκτυο Υποδομών για τη Γαλάζια Οικονομία</w:t>
      </w:r>
      <w:bookmarkEnd w:id="23"/>
    </w:p>
    <w:p w14:paraId="1A65F7A8"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Στόχος αυτής της επένδυσης είναι η δημιουργία ενός εθνικού δικτύου υποδομών για τη γαλάζια οικονομία σε ολόκληρη τη χώρα και η ενίσχυση του οικοσυστήματος καινοτομίας της γαλάζιας οικονομίας. </w:t>
      </w:r>
    </w:p>
    <w:p w14:paraId="54DA9EF4"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επένδυση συνίσταται στην κατασκευή ή την ανακαίνιση νέων ή υφιστάμενων υποδομών, καθώς και σε επενδύσεις σε εξοπλισμό που σχετίζεται με τη θαλάσσια οικονομία. Η επένδυση περιλαμβάνει τη δημιουργία νέων γαλάζιων συνεργατικών σχηματισμών σε ολόκληρη τη χώρα και την αναβάθμιση ή την αποκατάσταση των υφιστάμενων γαλάζιων συνεργατικών σχηματισμών, καθώς και επενδύσεις στην κατάρτιση και τις δεξιότητες μέσω μιας νέας έννοιας του γαλάζιου σχολείου. Η επένδυση συνίσταται στην κατασκευή νέων κτιρίων ή στην αποκατάσταση και αναβάθμιση κτιρίων και εξοπλισμού που σχετίζονται με τη θαλάσσια οικονομία. Η επένδυση θα επιτρέψει τη μεταφορά των αποτελεσμάτων της έρευνας σε παραγωγικές ειδικότητες στην οικονομία μεταξύ των διαφόρων συνεργατικών σχηματισμών στην Πορτογαλία (συμπεριλαμβανομένων της Λισαβόνας, των Oeiras, Peniche, Aveiro, Porto, Algarve). Περιλαμβάνει επίσης επενδύσεις σε έναν γαλάζιο κόμβο που συγκεντρώνει τις γνώσεις που παράγονται από τους διάφορους συνεργατικούς σχηματισμούς και στηρίζει τη δικτύωση σε όλους αυτούς. Ο εν λόγω γαλάζιος κόμβος αντικατοπτρίζει την πλέον προηγμένη μεθοδολογία οικονομικής ανάπτυξης σύμφωνα με την πορτογαλική στρατηγική έξυπνης εξειδίκευσης, η οποία εστιάζει ιδιαίτερα στην ωκεάνια οικονομία. Περιλαμβάνει επίσης το έργο Blue Hub School, το οποίο περιλαμβάνει πρωτίστως επενδύσεις σε υποδομές και εξοπλισμό, το οποίο θα περιλαμβάνει σημαντική διάσταση της ανάπτυξης δεξιοτήτων, ιδίως μέσω του σχεδιασμού προγραμμάτων σπουδών σε συνεργασία με τον Εθνικό Οργανισμό Επαγγελματικών Προσόντων και Επαγγελματικής Εκπαίδευσης και Κατάρτισης (ANQEP) και με έμφαση στις ψηφιακές πλατφόρμες και την κατάρτιση. </w:t>
      </w:r>
    </w:p>
    <w:p w14:paraId="6210D5F3"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υλοποίηση της επένδυσης θα ολοκληρωθεί έως τις 31 Δεκεμβρίου 2025. </w:t>
      </w:r>
    </w:p>
    <w:p w14:paraId="3AECA6EA"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Επένδυση TC-C10-I02: Πράσινη και ψηφιακή μετάβαση και ασφάλεια στην αλιεία</w:t>
      </w:r>
    </w:p>
    <w:p w14:paraId="23CC3E78" w14:textId="77777777" w:rsidR="00154AD2" w:rsidRDefault="007F6BF3">
      <w:pPr>
        <w:pStyle w:val="P68B1DB1-Normal4"/>
        <w:keepNext/>
        <w:spacing w:before="40" w:after="0" w:line="259" w:lineRule="auto"/>
        <w:jc w:val="both"/>
        <w:rPr>
          <w:rFonts w:eastAsia="Times New Roman" w:cs="Times New Roman"/>
          <w:noProof/>
        </w:rPr>
      </w:pPr>
      <w:r>
        <w:rPr>
          <w:noProof/>
        </w:rPr>
        <w:t>Οι στόχοι της επένδυσης αυτής είναι η</w:t>
      </w:r>
      <w:r>
        <w:rPr>
          <w:b/>
          <w:noProof/>
        </w:rPr>
        <w:t xml:space="preserve"> </w:t>
      </w:r>
      <w:r>
        <w:rPr>
          <w:noProof/>
        </w:rPr>
        <w:t xml:space="preserve">στήριξη της χρηματοδότησης έργων που αποσκοπούν στην καινοτομία, τον εκσυγχρονισμό των διαδικασιών, τη μείωση του αποτυπώματος άνθρακα και την κυκλική οικονομία της ιχθυοβιομηχανίας και των οργανώσεων. Η επένδυση υλοποιείται μέσω στενών δεσμών μεταξύ επιχειρήσεων, ενώσεων εκπροσώπησης του τομέα, οργανώσεων παραγωγών, επιστημονικών φορέων και φορέων της κεντρικής κυβέρνησης, προκειμένου να μεγιστοποιηθεί το κοινωνικό όφελος της επένδυσης που πραγματοποιείται. Η επένδυση συνίσταται σε πρόσκληση υποβολής προσφορών για 70 έργα που αφορούν την καινοτομία, τον εκσυγχρονισμό των διαδικασιών, την κυκλική οικονομία και τη μείωση του οικολογικού αποτυπώματος των επιχειρήσεων στον τομέα της αλιείας. </w:t>
      </w:r>
    </w:p>
    <w:p w14:paraId="6D8544CD"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υλοποίηση της επένδυσης θα ολοκληρωθεί έως τις 31 Δεκεμβρίου 2025. </w:t>
      </w:r>
    </w:p>
    <w:p w14:paraId="1CC63106"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 xml:space="preserve">Επένδυση TC-C10-i04-RAA: Ανάπτυξη του «Cluster do Mar dos Açores». </w:t>
      </w:r>
    </w:p>
    <w:p w14:paraId="7A537770" w14:textId="44C7D35E" w:rsidR="00154AD2" w:rsidRDefault="007F6BF3">
      <w:pPr>
        <w:pStyle w:val="P68B1DB1-Normal4"/>
        <w:keepNext/>
        <w:spacing w:before="40" w:after="0" w:line="259" w:lineRule="auto"/>
        <w:jc w:val="both"/>
        <w:rPr>
          <w:rFonts w:eastAsiaTheme="minorEastAsia" w:cs="Times New Roman"/>
          <w:noProof/>
        </w:rPr>
      </w:pPr>
      <w:r>
        <w:rPr>
          <w:noProof/>
        </w:rPr>
        <w:t xml:space="preserve">Στόχος της επένδυσης αυτής είναι η αναβάθμιση των σταθερών και κινητών υποδομών θαλάσσιας επιστημονικής έρευνας στην αυτόνομη περιφέρεια των Αζορών. Ένα μέτρο συνίσταται στην αντικατάσταση του σκάφους «Αρχιπελάγους», το οποίο φθάνει στο τέλος της επιχειρησιακής του ζωής από ένα σύγχρονο σκάφος με υψηλά τεχνολογικά πρότυπα όσον αφορά τις ικανότητες και τον εξοπλισμό και την υψηλή ενεργειακή απόδοση για την κάλυψη των τρεχουσών αναγκών θαλάσσιας έρευνας και παρακολούθησης ή για την προώθηση της βιώσιμης χρήσης των ωκεανών. Το δεύτερο μέτρο συνίσταται στην απόκτηση δύο ενοτήτων, οι οποίες θα ενσωματωθούν στο σχετικό ερευνητικό σκάφος, και συγκεκριμένα μιας ενότητας εξοπλισμού τράτας και μιας μονάδας τηλεχειρούμενου νερού (ROV). Το τελευταίο μέτρο συνίσταται στη δημιουργία ενός πειραματικού κέντρου έρευνας και ανάπτυξης που θα συνδέεται με τη θάλασσα, το οποίο θα είναι κοινό με τα ιδρύματα του επιστημονικού και τεχνολογικού συστήματος των Αζορών (SCTA) και τις επιχειρήσεις, το οποίο θα οδηγήσει σε Ε &amp; Α σε παραδοσιακούς και αναδυόμενους τομείς, όπως η αλιεία και τα παράγωγα προϊόντα, η θαλάσσια βιοτεχνολογία, τα βιοϋλικά ή οι θαλάσσιες τεχνολογίες και εργαλεία, συμπεριλαμβανομένου ενός «γαλάζιου εκκολαπτηρίου», κέντρο υδατοκαλλιέργειας στις Αζόρες. </w:t>
      </w:r>
    </w:p>
    <w:p w14:paraId="6F19EFBB" w14:textId="45036ACD" w:rsidR="00154AD2" w:rsidRDefault="007F6BF3">
      <w:pPr>
        <w:pStyle w:val="P68B1DB1-Normal4"/>
        <w:keepNext/>
        <w:spacing w:before="40" w:after="0" w:line="259" w:lineRule="auto"/>
        <w:jc w:val="both"/>
        <w:rPr>
          <w:rFonts w:eastAsiaTheme="minorEastAsia" w:cs="Times New Roman"/>
          <w:noProof/>
        </w:rPr>
      </w:pPr>
      <w:r>
        <w:rPr>
          <w:noProof/>
        </w:rPr>
        <w:t>Η υλοποίηση της επένδυσης θα ολοκληρωθεί έως τις 30 Ιουνίου 2026.</w:t>
      </w:r>
    </w:p>
    <w:p w14:paraId="17D3B2E6" w14:textId="02ECFF14" w:rsidR="00154AD2" w:rsidRDefault="007F6BF3">
      <w:pPr>
        <w:pStyle w:val="P68B1DB1-Normal5"/>
        <w:keepNext/>
        <w:spacing w:before="240" w:after="0" w:line="259" w:lineRule="auto"/>
        <w:ind w:left="851"/>
        <w:jc w:val="both"/>
        <w:outlineLvl w:val="3"/>
        <w:rPr>
          <w:b/>
          <w:noProof/>
        </w:rPr>
      </w:pPr>
      <w:bookmarkStart w:id="24" w:name="_Toc137472457"/>
      <w:r>
        <w:rPr>
          <w:noProof/>
        </w:rPr>
        <w:t>Επένδυση TC-C10-I05</w:t>
      </w:r>
      <w:bookmarkStart w:id="25" w:name="_Toc137472458"/>
      <w:bookmarkEnd w:id="24"/>
      <w:r>
        <w:rPr>
          <w:noProof/>
        </w:rPr>
        <w:t>-RAA: Ενεργειακή μετάβαση, ψηφιοποίηση και μείωση των περιβαλλοντικών επιπτώσεων στον τομέα της αλιείας και της υδατοκαλλιέργειας</w:t>
      </w:r>
      <w:bookmarkEnd w:id="25"/>
    </w:p>
    <w:p w14:paraId="2F82CF26" w14:textId="77777777" w:rsidR="00154AD2" w:rsidRDefault="007F6BF3">
      <w:pPr>
        <w:pStyle w:val="P68B1DB1-Normal4"/>
        <w:spacing w:before="40" w:after="0" w:line="259" w:lineRule="auto"/>
        <w:jc w:val="both"/>
        <w:rPr>
          <w:rFonts w:cs="Times New Roman"/>
          <w:noProof/>
        </w:rPr>
      </w:pPr>
      <w:r>
        <w:rPr>
          <w:noProof/>
        </w:rPr>
        <w:t xml:space="preserve">Στόχος της επένδυσης αυτής είναι η στήριξη έργων που αποσκοπούν: ενεργειακή μετάβαση, ψηφιοποίηση και μείωση των περιβαλλοντικών επιπτώσεων στον τομέα της αλιείας και της υδατοκαλλιέργειας στην αυτόνομη περιφέρεια των Αζορών. </w:t>
      </w:r>
    </w:p>
    <w:p w14:paraId="4851BFBB" w14:textId="71550539" w:rsidR="00154AD2" w:rsidRDefault="007F6BF3">
      <w:pPr>
        <w:pStyle w:val="P68B1DB1-Normal4"/>
        <w:spacing w:before="40" w:after="0" w:line="259" w:lineRule="auto"/>
        <w:jc w:val="both"/>
        <w:rPr>
          <w:rFonts w:cs="Times New Roman"/>
          <w:noProof/>
        </w:rPr>
      </w:pPr>
      <w:r>
        <w:rPr>
          <w:noProof/>
        </w:rPr>
        <w:t xml:space="preserve"> Η επένδυση συνίσταται σε 15 έργα που έχουν ανατεθεί και αφορούν τον εκσυγχρονισμό και την ανανέωση του αλιευτικού στόλου, την καινοτομία στον τομέα της αλιείας και της υδατοκαλλιέργειας για τη βελτίωση της ενεργειακής απόδοσης, τον εκσυγχρονισμό των διαδικασιών, τη μείωση της παραγωγής αποβλήτων στη θάλασσα και την προώθηση της κυκλικής οικονομίας σε όλους τους τομείς της αλιείας και της υδατοκαλλιέργειας, καθώς και τη διαφοροποίηση της αλιευτικής δραστηριότητας. </w:t>
      </w:r>
    </w:p>
    <w:p w14:paraId="2CDB0CE1" w14:textId="4128E9A1" w:rsidR="00154AD2" w:rsidRDefault="007F6BF3">
      <w:pPr>
        <w:pStyle w:val="P68B1DB1-Normal4"/>
        <w:spacing w:before="40" w:after="0" w:line="259" w:lineRule="auto"/>
        <w:jc w:val="both"/>
        <w:rPr>
          <w:noProof/>
        </w:rPr>
      </w:pPr>
      <w:r>
        <w:rPr>
          <w:noProof/>
        </w:rPr>
        <w:t>Για την επιλογή των έργων, προκειμένου να διασφαλιστεί ότι το μέτρο συμμορφώνεται με τις τεχνικές κατευθυντήριες γραμμές για την εφαρμογή της αρχής της «μη πρόκλησης σημαντικής βλάβης» (2021/C58/01), τα κριτήρια επιλεξιμότητας που περιλαμβάνονται στους όρους αναφοράς για επικείμενες προσκλήσεις υποβολής έργων αποκλείουν τον ακόλουθο κατάλογο δραστηριοτήτων: I) δραστηριότητες που σχετίζονται με ορυκτά καύσιμα, συμπεριλαμβανομένης της μεταγενέστερης χρήσης</w:t>
      </w:r>
      <w:r>
        <w:rPr>
          <w:noProof/>
        </w:rPr>
        <w:footnoteReference w:id="40"/>
      </w:r>
      <w:r>
        <w:rPr>
          <w:noProof/>
        </w:rPr>
        <w:t>· II) δραστηριότητες στο πλαίσιο του συστήματος εμπορίας δικαιωμάτων εκπομπής (ΣΕΔΕ) της ΕΕ που επιτυγχάνουν προβλεπόμενες εκπομπές αερίων του θερμοκηπίου που δεν είναι χαμηλότερες από τους σχετικούς δείκτες αναφοράς</w:t>
      </w:r>
      <w:r>
        <w:rPr>
          <w:noProof/>
        </w:rPr>
        <w:footnoteReference w:id="41"/>
      </w:r>
      <w:r>
        <w:rPr>
          <w:noProof/>
        </w:rPr>
        <w:t>· δραστηριότητες που σχετίζονται με χώρους υγειονομικής ταφής αποβλήτων, αποτεφρωτήρες</w:t>
      </w:r>
      <w:r>
        <w:rPr>
          <w:noProof/>
        </w:rPr>
        <w:footnoteReference w:id="42"/>
      </w:r>
      <w:r>
        <w:rPr>
          <w:noProof/>
        </w:rPr>
        <w:t xml:space="preserve"> και μονάδες μηχανικής βιολογικής επεξεργασίας</w:t>
      </w:r>
      <w:r>
        <w:rPr>
          <w:noProof/>
        </w:rPr>
        <w:footnoteReference w:id="43"/>
      </w:r>
      <w:r>
        <w:rPr>
          <w:noProof/>
        </w:rPr>
        <w:t>. Οι όροι εντολής απαιτούν επιπλέον να επιλέγονται μόνο οι δραστηριότητες που συμμορφώνονται με τη σχετική ενωσιακή και εθνική περιβαλλοντική νομοθεσία.</w:t>
      </w:r>
    </w:p>
    <w:p w14:paraId="6A89D7B3" w14:textId="77777777" w:rsidR="00154AD2" w:rsidRDefault="007F6BF3">
      <w:pPr>
        <w:pStyle w:val="P68B1DB1-Normal4"/>
        <w:spacing w:before="40" w:after="0" w:line="259" w:lineRule="auto"/>
        <w:jc w:val="both"/>
        <w:rPr>
          <w:rFonts w:cs="Times New Roman"/>
          <w:i/>
          <w:noProof/>
        </w:rPr>
      </w:pPr>
      <w:r>
        <w:rPr>
          <w:noProof/>
        </w:rPr>
        <w:t>Η υλοποίηση της επένδυσης θα ολοκληρωθεί έως τις 31 Μαρτίου 2026.</w:t>
      </w:r>
    </w:p>
    <w:p w14:paraId="4524D534" w14:textId="590264E0" w:rsidR="00154AD2" w:rsidRDefault="007F6BF3">
      <w:pPr>
        <w:pStyle w:val="P68B1DB1-Heading214"/>
        <w:spacing w:before="120"/>
        <w:rPr>
          <w:noProof/>
        </w:rPr>
      </w:pPr>
      <w:bookmarkStart w:id="26" w:name="_Toc137472459"/>
      <w:r>
        <w:rPr>
          <w:noProof/>
        </w:rPr>
        <w:t>Επένδυση TC-C10-i06-RAM: Ωκεάνιες τεχνολογίες</w:t>
      </w:r>
      <w:bookmarkEnd w:id="26"/>
    </w:p>
    <w:p w14:paraId="31140A4D" w14:textId="77777777" w:rsidR="00154AD2" w:rsidRDefault="007F6BF3">
      <w:pPr>
        <w:pStyle w:val="P68B1DB1-Normal4"/>
        <w:spacing w:before="40" w:after="0" w:line="259" w:lineRule="auto"/>
        <w:jc w:val="both"/>
        <w:rPr>
          <w:rFonts w:cs="Times New Roman"/>
          <w:noProof/>
        </w:rPr>
      </w:pPr>
      <w:r>
        <w:rPr>
          <w:noProof/>
        </w:rPr>
        <w:t xml:space="preserve">Στόχος της επένδυσης αυτής είναι να καλυφθούν οι ανάγκες της θαλάσσιας επιστημονικής έρευνας στην αυτόνομη περιφέρεια της Μαδέρας σε υποδομές και να προωθηθούν οι δεσμοί μεταξύ της θαλάσσιας έρευνας και του οικονομικού τομέα. </w:t>
      </w:r>
    </w:p>
    <w:p w14:paraId="68DC00B7" w14:textId="414E5E65" w:rsidR="00154AD2" w:rsidRDefault="007F6BF3">
      <w:pPr>
        <w:pStyle w:val="P68B1DB1-Normal4"/>
        <w:spacing w:before="40" w:after="0" w:line="259" w:lineRule="auto"/>
        <w:jc w:val="both"/>
        <w:rPr>
          <w:rFonts w:eastAsia="@MS Mincho" w:cs="Times New Roman"/>
          <w:noProof/>
        </w:rPr>
      </w:pPr>
      <w:r>
        <w:rPr>
          <w:noProof/>
        </w:rPr>
        <w:t xml:space="preserve">Η επένδυση συνίσταται στην κατασκευή ενεργειακά αποδοτικού ερευνητικού σκάφους πολλαπλών χρήσεων με στόχο την έρευνα και την κατάρτιση σε αβαθή ύδατα γύρω από τα νησιά του αρχιπελάγους της Μαδέρας και στην ανοικτή θάλασσα. Περιλαμβάνει επίσης την αγορά τριών αυτόνομων μη επανδρωμένων οχημάτων, ώστε να καταστεί δυνατή η αύξηση του αριθμού των ημερών στη θάλασσα στον Βόρειο Ατλαντικό για θαλάσσια έρευνα, καθώς και τη συλλογή ηχητικών δεδομένων υψηλής ποιότητας σε σύγκριση με άλλες παραδοσιακές μεθόδους αναζήτησης. </w:t>
      </w:r>
    </w:p>
    <w:p w14:paraId="5B145707" w14:textId="09C460B5" w:rsidR="00154AD2" w:rsidRDefault="007F6BF3">
      <w:pPr>
        <w:pStyle w:val="P68B1DB1-Normal4"/>
        <w:spacing w:before="40" w:after="0" w:line="259" w:lineRule="auto"/>
        <w:jc w:val="both"/>
        <w:rPr>
          <w:rFonts w:eastAsia="@MS Mincho" w:cs="Times New Roman"/>
          <w:noProof/>
        </w:rPr>
      </w:pPr>
      <w:r>
        <w:rPr>
          <w:noProof/>
        </w:rPr>
        <w:t>Αναμένεται ότι το μέτρο αυτό δεν βλάπτει σημαντικά τους περιβαλλοντικούς στόχους κατά την έννοια του άρθρου 17 του κανονισμού (ΕΕ) 2020/852, λαμβάνοντας υπόψη την περιγραφή του μέτρου και τα μέτρα μετριασμού που ορίζονται στο σχέδιο ανάκαμψης και ανθεκτικότητας σύμφωνα με την τεχνική καθοδήγηση για την εφαρμογή της αρχής της «μη πρόκλησης σημαντικής βλάβης» (2021/C58/01). Ειδικότερα, το ερευνητικό σκάφος και τα αυτόνομα μη επανδρωμένα οχήματα χρησιμοποιούν τη βέλτιστη διαθέσιμη τεχνολογία με τις χαμηλότερες περιβαλλοντικές επιπτώσεις στον τομέα.</w:t>
      </w:r>
    </w:p>
    <w:p w14:paraId="365B8C9F" w14:textId="701FB870" w:rsidR="00154AD2" w:rsidRDefault="007F6BF3">
      <w:pPr>
        <w:pStyle w:val="P68B1DB1-Normal4"/>
        <w:spacing w:before="40" w:after="0" w:line="259" w:lineRule="auto"/>
        <w:jc w:val="both"/>
        <w:rPr>
          <w:rFonts w:cs="Times New Roman"/>
          <w:noProof/>
        </w:rPr>
      </w:pPr>
      <w:r>
        <w:rPr>
          <w:noProof/>
        </w:rPr>
        <w:t>Η υλοποίηση της επένδυσης θα ολοκληρωθεί έως τις 30 Ιουνίου 2026.</w:t>
      </w:r>
    </w:p>
    <w:p w14:paraId="6121D230"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3D6BEFF2" w14:textId="3AF4D913" w:rsidR="00154AD2" w:rsidRDefault="00154AD2">
      <w:pPr>
        <w:keepNext/>
        <w:spacing w:before="40" w:after="0" w:line="259" w:lineRule="auto"/>
        <w:jc w:val="both"/>
        <w:rPr>
          <w:rFonts w:ascii="Times New Roman" w:eastAsiaTheme="minorEastAsia" w:hAnsi="Times New Roman" w:cs="Times New Roman"/>
          <w:noProof/>
          <w:sz w:val="24"/>
        </w:rPr>
        <w:sectPr w:rsidR="00154AD2" w:rsidSect="00E00EDD">
          <w:headerReference w:type="even" r:id="rId210"/>
          <w:headerReference w:type="default" r:id="rId211"/>
          <w:footerReference w:type="even" r:id="rId212"/>
          <w:footerReference w:type="default" r:id="rId213"/>
          <w:headerReference w:type="first" r:id="rId214"/>
          <w:footerReference w:type="first" r:id="rId215"/>
          <w:pgSz w:w="11907" w:h="16839"/>
          <w:pgMar w:top="1134" w:right="1134" w:bottom="1134" w:left="1134" w:header="567" w:footer="567" w:gutter="0"/>
          <w:cols w:space="720"/>
          <w:docGrid w:linePitch="360"/>
        </w:sectPr>
      </w:pPr>
    </w:p>
    <w:p w14:paraId="5D1E2539" w14:textId="26B1DED9" w:rsidR="00154AD2" w:rsidRDefault="007F6BF3">
      <w:pPr>
        <w:pStyle w:val="P68B1DB1-Normal3"/>
        <w:keepNext/>
        <w:spacing w:before="40" w:after="0" w:line="259" w:lineRule="auto"/>
        <w:ind w:left="130" w:firstLine="720"/>
        <w:jc w:val="both"/>
        <w:outlineLvl w:val="2"/>
        <w:rPr>
          <w:rFonts w:eastAsiaTheme="minorEastAsia" w:cs="Times New Roman"/>
          <w:noProof/>
        </w:rPr>
      </w:pPr>
      <w:r>
        <w:rPr>
          <w:noProof/>
        </w:rPr>
        <w:t>Ι.2. Ορόσημα, στόχοι, δείκτες και χρονοδιάγραμμα για την παρακολούθηση και την υλοποίηση της μη επιστρεπτέας χρηματοδοτικής στήριξης</w:t>
      </w:r>
    </w:p>
    <w:p w14:paraId="6886E91A" w14:textId="77777777" w:rsidR="00154AD2" w:rsidRDefault="00154AD2">
      <w:pPr>
        <w:keepNext/>
        <w:spacing w:before="40" w:after="0" w:line="259" w:lineRule="auto"/>
        <w:jc w:val="both"/>
        <w:rPr>
          <w:rFonts w:ascii="Times New Roman" w:eastAsiaTheme="minorEastAsia" w:hAnsi="Times New Roman" w:cs="Times New Roman"/>
          <w:noProof/>
          <w:sz w:val="24"/>
        </w:rPr>
      </w:pPr>
    </w:p>
    <w:tbl>
      <w:tblPr>
        <w:tblW w:w="15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31"/>
        <w:gridCol w:w="1096"/>
        <w:gridCol w:w="1640"/>
        <w:gridCol w:w="1231"/>
        <w:gridCol w:w="962"/>
        <w:gridCol w:w="961"/>
        <w:gridCol w:w="690"/>
        <w:gridCol w:w="554"/>
        <w:gridCol w:w="684"/>
        <w:gridCol w:w="5223"/>
      </w:tblGrid>
      <w:tr w:rsidR="00154AD2" w14:paraId="0F42C60E" w14:textId="77777777">
        <w:trPr>
          <w:trHeight w:val="910"/>
          <w:tblHeader/>
          <w:jc w:val="center"/>
        </w:trPr>
        <w:tc>
          <w:tcPr>
            <w:tcW w:w="1101" w:type="dxa"/>
            <w:vMerge w:val="restart"/>
            <w:shd w:val="clear" w:color="auto" w:fill="BDD6EE"/>
            <w:vAlign w:val="center"/>
            <w:hideMark/>
          </w:tcPr>
          <w:p w14:paraId="1AA982C8" w14:textId="77777777" w:rsidR="00154AD2" w:rsidRDefault="007F6BF3">
            <w:pPr>
              <w:pStyle w:val="P68B1DB1-Normal6"/>
              <w:keepNext/>
              <w:spacing w:before="40" w:after="0" w:line="240" w:lineRule="auto"/>
              <w:jc w:val="center"/>
              <w:rPr>
                <w:rFonts w:eastAsia="Times New Roman" w:cs="Times New Roman"/>
                <w:noProof/>
              </w:rPr>
            </w:pPr>
            <w:r>
              <w:rPr>
                <w:noProof/>
              </w:rPr>
              <w:t>Αύξων αριθμός</w:t>
            </w:r>
          </w:p>
        </w:tc>
        <w:tc>
          <w:tcPr>
            <w:tcW w:w="1231" w:type="dxa"/>
            <w:vMerge w:val="restart"/>
            <w:shd w:val="clear" w:color="auto" w:fill="BDD6EE"/>
            <w:vAlign w:val="center"/>
            <w:hideMark/>
          </w:tcPr>
          <w:p w14:paraId="740B018E" w14:textId="77777777" w:rsidR="00154AD2" w:rsidRDefault="007F6BF3">
            <w:pPr>
              <w:pStyle w:val="P68B1DB1-Normal6"/>
              <w:keepNext/>
              <w:spacing w:before="40" w:after="0" w:line="240" w:lineRule="auto"/>
              <w:jc w:val="center"/>
              <w:rPr>
                <w:rFonts w:eastAsia="Times New Roman" w:cs="Times New Roman"/>
                <w:noProof/>
              </w:rPr>
            </w:pPr>
            <w:r>
              <w:rPr>
                <w:noProof/>
              </w:rPr>
              <w:t>Μέτρο (Μεταρρύθμιση ή Επενδύσεις)</w:t>
            </w:r>
          </w:p>
        </w:tc>
        <w:tc>
          <w:tcPr>
            <w:tcW w:w="1096" w:type="dxa"/>
            <w:vMerge w:val="restart"/>
            <w:shd w:val="clear" w:color="auto" w:fill="BDD6EE"/>
            <w:vAlign w:val="center"/>
            <w:hideMark/>
          </w:tcPr>
          <w:p w14:paraId="654788B0" w14:textId="0180B006" w:rsidR="00154AD2" w:rsidRDefault="007F6BF3">
            <w:pPr>
              <w:pStyle w:val="P68B1DB1-Normal6"/>
              <w:keepNext/>
              <w:spacing w:before="40" w:after="0" w:line="240" w:lineRule="auto"/>
              <w:jc w:val="center"/>
              <w:rPr>
                <w:rFonts w:eastAsia="Times New Roman" w:cs="Times New Roman"/>
                <w:noProof/>
                <w:sz w:val="14"/>
              </w:rPr>
            </w:pPr>
            <w:r>
              <w:rPr>
                <w:noProof/>
              </w:rPr>
              <w:t>Ορόσημο/Στόχος</w:t>
            </w:r>
          </w:p>
        </w:tc>
        <w:tc>
          <w:tcPr>
            <w:tcW w:w="1640" w:type="dxa"/>
            <w:vMerge w:val="restart"/>
            <w:shd w:val="clear" w:color="auto" w:fill="BDD6EE"/>
            <w:vAlign w:val="center"/>
            <w:hideMark/>
          </w:tcPr>
          <w:p w14:paraId="0453BB8E" w14:textId="77777777" w:rsidR="00154AD2" w:rsidRDefault="007F6BF3">
            <w:pPr>
              <w:pStyle w:val="P68B1DB1-Normal6"/>
              <w:keepNext/>
              <w:spacing w:before="40" w:after="0" w:line="240" w:lineRule="auto"/>
              <w:jc w:val="center"/>
              <w:rPr>
                <w:rFonts w:eastAsia="Times New Roman" w:cs="Times New Roman"/>
                <w:noProof/>
              </w:rPr>
            </w:pPr>
            <w:r>
              <w:rPr>
                <w:noProof/>
              </w:rPr>
              <w:t>Όνομα</w:t>
            </w:r>
          </w:p>
        </w:tc>
        <w:tc>
          <w:tcPr>
            <w:tcW w:w="1231" w:type="dxa"/>
            <w:vMerge w:val="restart"/>
            <w:shd w:val="clear" w:color="auto" w:fill="BDD6EE"/>
            <w:vAlign w:val="center"/>
            <w:hideMark/>
          </w:tcPr>
          <w:p w14:paraId="1B4EF47B" w14:textId="77777777" w:rsidR="00154AD2" w:rsidRDefault="007F6BF3">
            <w:pPr>
              <w:pStyle w:val="P68B1DB1-Normal6"/>
              <w:keepNext/>
              <w:spacing w:before="40" w:after="0" w:line="240" w:lineRule="auto"/>
              <w:jc w:val="center"/>
              <w:rPr>
                <w:rFonts w:eastAsia="Times New Roman" w:cs="Times New Roman"/>
                <w:noProof/>
              </w:rPr>
            </w:pPr>
            <w:r>
              <w:rPr>
                <w:noProof/>
              </w:rPr>
              <w:t>Ποιοτικοί δείκτες (για τα ορόσημα)</w:t>
            </w:r>
          </w:p>
        </w:tc>
        <w:tc>
          <w:tcPr>
            <w:tcW w:w="2613" w:type="dxa"/>
            <w:gridSpan w:val="3"/>
            <w:shd w:val="clear" w:color="auto" w:fill="BDD6EE"/>
            <w:vAlign w:val="center"/>
            <w:hideMark/>
          </w:tcPr>
          <w:p w14:paraId="3F05C782" w14:textId="77777777" w:rsidR="00154AD2" w:rsidRDefault="007F6BF3">
            <w:pPr>
              <w:pStyle w:val="P68B1DB1-Normal6"/>
              <w:keepNext/>
              <w:spacing w:before="40" w:after="0" w:line="240" w:lineRule="auto"/>
              <w:jc w:val="center"/>
              <w:rPr>
                <w:rFonts w:eastAsia="Times New Roman" w:cs="Times New Roman"/>
                <w:noProof/>
              </w:rPr>
            </w:pPr>
            <w:r>
              <w:rPr>
                <w:noProof/>
              </w:rPr>
              <w:t>Ποσοτικοί δείκτες (για τους στόχους)</w:t>
            </w:r>
          </w:p>
        </w:tc>
        <w:tc>
          <w:tcPr>
            <w:tcW w:w="1238" w:type="dxa"/>
            <w:gridSpan w:val="2"/>
            <w:shd w:val="clear" w:color="auto" w:fill="BDD6EE"/>
            <w:vAlign w:val="center"/>
            <w:hideMark/>
          </w:tcPr>
          <w:p w14:paraId="5BC3A23D" w14:textId="77777777" w:rsidR="00154AD2" w:rsidRDefault="007F6BF3">
            <w:pPr>
              <w:pStyle w:val="P68B1DB1-Normal6"/>
              <w:keepNext/>
              <w:spacing w:before="40" w:after="0" w:line="240" w:lineRule="auto"/>
              <w:jc w:val="center"/>
              <w:rPr>
                <w:rFonts w:eastAsia="Times New Roman" w:cs="Times New Roman"/>
                <w:noProof/>
              </w:rPr>
            </w:pPr>
            <w:r>
              <w:rPr>
                <w:noProof/>
              </w:rPr>
              <w:t>Ενδεικτικό χρονοδιάγραμμα ολοκλήρωσης</w:t>
            </w:r>
          </w:p>
        </w:tc>
        <w:tc>
          <w:tcPr>
            <w:tcW w:w="5223" w:type="dxa"/>
            <w:vMerge w:val="restart"/>
            <w:shd w:val="clear" w:color="auto" w:fill="BDD6EE"/>
            <w:vAlign w:val="center"/>
            <w:hideMark/>
          </w:tcPr>
          <w:p w14:paraId="7B33DA18" w14:textId="77777777" w:rsidR="00154AD2" w:rsidRDefault="007F6BF3">
            <w:pPr>
              <w:pStyle w:val="P68B1DB1-Normal6"/>
              <w:keepNext/>
              <w:spacing w:before="40" w:after="0" w:line="240" w:lineRule="auto"/>
              <w:jc w:val="center"/>
              <w:rPr>
                <w:rFonts w:eastAsia="Times New Roman" w:cs="Times New Roman"/>
                <w:noProof/>
              </w:rPr>
            </w:pPr>
            <w:r>
              <w:rPr>
                <w:noProof/>
              </w:rPr>
              <w:t>Περιγραφή και σαφής ορισμός κάθε ορόσημου και στόχου</w:t>
            </w:r>
          </w:p>
        </w:tc>
      </w:tr>
      <w:tr w:rsidR="00154AD2" w14:paraId="13FCEFA1" w14:textId="77777777">
        <w:trPr>
          <w:trHeight w:val="470"/>
          <w:tblHeader/>
          <w:jc w:val="center"/>
        </w:trPr>
        <w:tc>
          <w:tcPr>
            <w:tcW w:w="1101" w:type="dxa"/>
            <w:vMerge/>
            <w:vAlign w:val="center"/>
            <w:hideMark/>
          </w:tcPr>
          <w:p w14:paraId="0FB4B9F7" w14:textId="77777777" w:rsidR="00154AD2" w:rsidRDefault="00154AD2">
            <w:pPr>
              <w:keepNext/>
              <w:spacing w:before="40" w:after="0" w:line="240" w:lineRule="auto"/>
              <w:jc w:val="both"/>
              <w:rPr>
                <w:rFonts w:ascii="Times New Roman" w:eastAsia="Times New Roman" w:hAnsi="Times New Roman" w:cs="Times New Roman"/>
                <w:b/>
                <w:noProof/>
                <w:sz w:val="18"/>
              </w:rPr>
            </w:pPr>
          </w:p>
        </w:tc>
        <w:tc>
          <w:tcPr>
            <w:tcW w:w="1231" w:type="dxa"/>
            <w:vMerge/>
            <w:vAlign w:val="center"/>
            <w:hideMark/>
          </w:tcPr>
          <w:p w14:paraId="234EF905" w14:textId="77777777" w:rsidR="00154AD2" w:rsidRDefault="00154AD2">
            <w:pPr>
              <w:keepNext/>
              <w:spacing w:before="40" w:after="0" w:line="240" w:lineRule="auto"/>
              <w:jc w:val="both"/>
              <w:rPr>
                <w:rFonts w:ascii="Times New Roman" w:eastAsia="Times New Roman" w:hAnsi="Times New Roman" w:cs="Times New Roman"/>
                <w:b/>
                <w:noProof/>
                <w:sz w:val="18"/>
              </w:rPr>
            </w:pPr>
          </w:p>
        </w:tc>
        <w:tc>
          <w:tcPr>
            <w:tcW w:w="1096" w:type="dxa"/>
            <w:vMerge/>
            <w:vAlign w:val="center"/>
            <w:hideMark/>
          </w:tcPr>
          <w:p w14:paraId="27B408D0" w14:textId="11212B07" w:rsidR="00154AD2" w:rsidRDefault="00154AD2">
            <w:pPr>
              <w:keepNext/>
              <w:spacing w:before="40" w:after="0" w:line="240" w:lineRule="auto"/>
              <w:jc w:val="center"/>
              <w:rPr>
                <w:rFonts w:ascii="Times New Roman" w:eastAsia="Times New Roman" w:hAnsi="Times New Roman" w:cs="Times New Roman"/>
                <w:b/>
                <w:noProof/>
                <w:sz w:val="14"/>
              </w:rPr>
            </w:pPr>
          </w:p>
        </w:tc>
        <w:tc>
          <w:tcPr>
            <w:tcW w:w="1640" w:type="dxa"/>
            <w:vMerge/>
            <w:vAlign w:val="center"/>
            <w:hideMark/>
          </w:tcPr>
          <w:p w14:paraId="40C2DECA" w14:textId="77777777" w:rsidR="00154AD2" w:rsidRDefault="00154AD2">
            <w:pPr>
              <w:keepNext/>
              <w:spacing w:before="40" w:after="0" w:line="240" w:lineRule="auto"/>
              <w:jc w:val="both"/>
              <w:rPr>
                <w:rFonts w:ascii="Times New Roman" w:eastAsia="Times New Roman" w:hAnsi="Times New Roman" w:cs="Times New Roman"/>
                <w:b/>
                <w:noProof/>
                <w:sz w:val="18"/>
              </w:rPr>
            </w:pPr>
          </w:p>
        </w:tc>
        <w:tc>
          <w:tcPr>
            <w:tcW w:w="1231" w:type="dxa"/>
            <w:vMerge/>
            <w:vAlign w:val="center"/>
            <w:hideMark/>
          </w:tcPr>
          <w:p w14:paraId="0EE9D350" w14:textId="77777777" w:rsidR="00154AD2" w:rsidRDefault="00154AD2">
            <w:pPr>
              <w:keepNext/>
              <w:spacing w:before="40" w:after="0" w:line="240" w:lineRule="auto"/>
              <w:jc w:val="both"/>
              <w:rPr>
                <w:rFonts w:ascii="Times New Roman" w:eastAsia="Times New Roman" w:hAnsi="Times New Roman" w:cs="Times New Roman"/>
                <w:b/>
                <w:noProof/>
                <w:sz w:val="18"/>
              </w:rPr>
            </w:pPr>
          </w:p>
        </w:tc>
        <w:tc>
          <w:tcPr>
            <w:tcW w:w="962" w:type="dxa"/>
            <w:shd w:val="clear" w:color="auto" w:fill="BDD6EE"/>
            <w:vAlign w:val="center"/>
            <w:hideMark/>
          </w:tcPr>
          <w:p w14:paraId="3B5C5511" w14:textId="77777777" w:rsidR="00154AD2" w:rsidRDefault="007F6BF3">
            <w:pPr>
              <w:pStyle w:val="P68B1DB1-Normal6"/>
              <w:keepNext/>
              <w:spacing w:before="40" w:after="0" w:line="240" w:lineRule="auto"/>
              <w:jc w:val="center"/>
              <w:rPr>
                <w:rFonts w:eastAsia="Times New Roman" w:cs="Times New Roman"/>
                <w:noProof/>
              </w:rPr>
            </w:pPr>
            <w:r>
              <w:rPr>
                <w:noProof/>
              </w:rPr>
              <w:t>Μονάδα μέτρησης</w:t>
            </w:r>
          </w:p>
        </w:tc>
        <w:tc>
          <w:tcPr>
            <w:tcW w:w="961" w:type="dxa"/>
            <w:shd w:val="clear" w:color="auto" w:fill="BDD6EE"/>
            <w:vAlign w:val="center"/>
            <w:hideMark/>
          </w:tcPr>
          <w:p w14:paraId="60383F12" w14:textId="77777777" w:rsidR="00154AD2" w:rsidRDefault="007F6BF3">
            <w:pPr>
              <w:pStyle w:val="P68B1DB1-Normal6"/>
              <w:keepNext/>
              <w:spacing w:before="40" w:after="0" w:line="240" w:lineRule="auto"/>
              <w:jc w:val="center"/>
              <w:rPr>
                <w:rFonts w:eastAsia="Times New Roman" w:cs="Times New Roman"/>
                <w:noProof/>
              </w:rPr>
            </w:pPr>
            <w:r>
              <w:rPr>
                <w:noProof/>
              </w:rPr>
              <w:t>Γραμμή βάσης</w:t>
            </w:r>
          </w:p>
        </w:tc>
        <w:tc>
          <w:tcPr>
            <w:tcW w:w="690" w:type="dxa"/>
            <w:shd w:val="clear" w:color="auto" w:fill="BDD6EE"/>
            <w:vAlign w:val="center"/>
            <w:hideMark/>
          </w:tcPr>
          <w:p w14:paraId="68D883D5" w14:textId="77777777" w:rsidR="00154AD2" w:rsidRDefault="007F6BF3">
            <w:pPr>
              <w:pStyle w:val="P68B1DB1-Normal6"/>
              <w:keepNext/>
              <w:spacing w:before="40" w:after="0" w:line="240" w:lineRule="auto"/>
              <w:jc w:val="center"/>
              <w:rPr>
                <w:rFonts w:eastAsia="Times New Roman" w:cs="Times New Roman"/>
                <w:noProof/>
              </w:rPr>
            </w:pPr>
            <w:r>
              <w:rPr>
                <w:noProof/>
              </w:rPr>
              <w:t>Στόχοι</w:t>
            </w:r>
          </w:p>
        </w:tc>
        <w:tc>
          <w:tcPr>
            <w:tcW w:w="554" w:type="dxa"/>
            <w:shd w:val="clear" w:color="auto" w:fill="BDD6EE"/>
            <w:vAlign w:val="center"/>
            <w:hideMark/>
          </w:tcPr>
          <w:p w14:paraId="55466A9A" w14:textId="77777777" w:rsidR="00154AD2" w:rsidRDefault="007F6BF3">
            <w:pPr>
              <w:pStyle w:val="P68B1DB1-Normal6"/>
              <w:keepNext/>
              <w:spacing w:before="40" w:after="0" w:line="240" w:lineRule="auto"/>
              <w:jc w:val="center"/>
              <w:rPr>
                <w:rFonts w:eastAsia="Times New Roman" w:cs="Times New Roman"/>
                <w:noProof/>
              </w:rPr>
            </w:pPr>
            <w:r>
              <w:rPr>
                <w:noProof/>
              </w:rPr>
              <w:t>Ε</w:t>
            </w:r>
          </w:p>
        </w:tc>
        <w:tc>
          <w:tcPr>
            <w:tcW w:w="684" w:type="dxa"/>
            <w:shd w:val="clear" w:color="auto" w:fill="BDD6EE"/>
            <w:vAlign w:val="center"/>
            <w:hideMark/>
          </w:tcPr>
          <w:p w14:paraId="09748930" w14:textId="77777777" w:rsidR="00154AD2" w:rsidRDefault="007F6BF3">
            <w:pPr>
              <w:pStyle w:val="P68B1DB1-Normal6"/>
              <w:keepNext/>
              <w:spacing w:before="40" w:after="0" w:line="240" w:lineRule="auto"/>
              <w:jc w:val="center"/>
              <w:rPr>
                <w:rFonts w:eastAsia="Times New Roman" w:cs="Times New Roman"/>
                <w:noProof/>
              </w:rPr>
            </w:pPr>
            <w:r>
              <w:rPr>
                <w:noProof/>
              </w:rPr>
              <w:t>Έτος</w:t>
            </w:r>
          </w:p>
        </w:tc>
        <w:tc>
          <w:tcPr>
            <w:tcW w:w="5223" w:type="dxa"/>
            <w:vMerge/>
            <w:vAlign w:val="center"/>
            <w:hideMark/>
          </w:tcPr>
          <w:p w14:paraId="56BFB7D9" w14:textId="77777777" w:rsidR="00154AD2" w:rsidRDefault="00154AD2">
            <w:pPr>
              <w:keepNext/>
              <w:spacing w:before="40" w:after="0" w:line="240" w:lineRule="auto"/>
              <w:jc w:val="both"/>
              <w:rPr>
                <w:rFonts w:ascii="Times New Roman" w:eastAsia="Times New Roman" w:hAnsi="Times New Roman" w:cs="Times New Roman"/>
                <w:b/>
                <w:noProof/>
                <w:sz w:val="18"/>
              </w:rPr>
            </w:pPr>
          </w:p>
        </w:tc>
      </w:tr>
      <w:tr w:rsidR="00154AD2" w14:paraId="2FD34264" w14:textId="77777777">
        <w:trPr>
          <w:trHeight w:val="290"/>
          <w:jc w:val="center"/>
        </w:trPr>
        <w:tc>
          <w:tcPr>
            <w:tcW w:w="1101" w:type="dxa"/>
            <w:shd w:val="clear" w:color="auto" w:fill="C4EFCE"/>
            <w:vAlign w:val="center"/>
            <w:hideMark/>
          </w:tcPr>
          <w:p w14:paraId="6981A743" w14:textId="77777777" w:rsidR="00154AD2" w:rsidRDefault="007F6BF3">
            <w:pPr>
              <w:pStyle w:val="P68B1DB1-Normal7"/>
              <w:keepNext/>
              <w:spacing w:before="40" w:after="0" w:line="240" w:lineRule="auto"/>
              <w:jc w:val="center"/>
              <w:rPr>
                <w:rFonts w:eastAsia="Times New Roman" w:cs="Calibri"/>
                <w:noProof/>
              </w:rPr>
            </w:pPr>
            <w:r>
              <w:rPr>
                <w:noProof/>
              </w:rPr>
              <w:t>10.1</w:t>
            </w:r>
          </w:p>
        </w:tc>
        <w:tc>
          <w:tcPr>
            <w:tcW w:w="1231" w:type="dxa"/>
            <w:shd w:val="clear" w:color="auto" w:fill="C4EFCE"/>
            <w:noWrap/>
            <w:vAlign w:val="center"/>
            <w:hideMark/>
          </w:tcPr>
          <w:p w14:paraId="2DFAA2E3" w14:textId="77777777" w:rsidR="00154AD2" w:rsidRDefault="007F6BF3">
            <w:pPr>
              <w:pStyle w:val="P68B1DB1-Normal8"/>
              <w:keepNext/>
              <w:spacing w:before="40" w:after="0" w:line="240" w:lineRule="auto"/>
              <w:jc w:val="center"/>
              <w:rPr>
                <w:rFonts w:eastAsia="Times New Roman" w:cs="Calibri"/>
                <w:noProof/>
              </w:rPr>
            </w:pPr>
            <w:r>
              <w:rPr>
                <w:noProof/>
              </w:rPr>
              <w:t>TC-C10-r23</w:t>
            </w:r>
          </w:p>
        </w:tc>
        <w:tc>
          <w:tcPr>
            <w:tcW w:w="1096" w:type="dxa"/>
            <w:shd w:val="clear" w:color="auto" w:fill="C4EFCE"/>
            <w:noWrap/>
            <w:vAlign w:val="center"/>
            <w:hideMark/>
          </w:tcPr>
          <w:p w14:paraId="0347A760" w14:textId="77777777" w:rsidR="00154AD2" w:rsidRDefault="007F6BF3">
            <w:pPr>
              <w:pStyle w:val="P68B1DB1-Normal8"/>
              <w:keepNext/>
              <w:spacing w:before="40" w:after="0" w:line="240" w:lineRule="auto"/>
              <w:jc w:val="center"/>
              <w:rPr>
                <w:rFonts w:eastAsia="Times New Roman" w:cs="Calibri"/>
                <w:noProof/>
              </w:rPr>
            </w:pPr>
            <w:r>
              <w:rPr>
                <w:noProof/>
              </w:rPr>
              <w:t>M</w:t>
            </w:r>
          </w:p>
        </w:tc>
        <w:tc>
          <w:tcPr>
            <w:tcW w:w="1640" w:type="dxa"/>
            <w:shd w:val="clear" w:color="auto" w:fill="C4EFCE"/>
            <w:noWrap/>
            <w:vAlign w:val="center"/>
            <w:hideMark/>
          </w:tcPr>
          <w:p w14:paraId="6EECB73C" w14:textId="77777777" w:rsidR="00154AD2" w:rsidRDefault="007F6BF3">
            <w:pPr>
              <w:pStyle w:val="P68B1DB1-Normal8"/>
              <w:keepNext/>
              <w:spacing w:before="40" w:after="0" w:line="240" w:lineRule="auto"/>
              <w:jc w:val="center"/>
              <w:rPr>
                <w:rFonts w:eastAsia="Times New Roman" w:cs="Calibri"/>
                <w:noProof/>
              </w:rPr>
            </w:pPr>
            <w:r>
              <w:rPr>
                <w:noProof/>
              </w:rPr>
              <w:t>Έναρξη ισχύος της αναθεώρησης των πράξεων του Υπουργείου Θαλάσσης σχετικά με την ενίσχυση της χρηματοδοτικής ικανότητας για τη θαλάσσια οικονομία και καινοτομία μέσω του Γαλάζιου Ταμείου</w:t>
            </w:r>
          </w:p>
        </w:tc>
        <w:tc>
          <w:tcPr>
            <w:tcW w:w="1231" w:type="dxa"/>
            <w:shd w:val="clear" w:color="auto" w:fill="C4EFCE"/>
            <w:noWrap/>
            <w:vAlign w:val="center"/>
            <w:hideMark/>
          </w:tcPr>
          <w:p w14:paraId="0A3E5CD5" w14:textId="77777777" w:rsidR="00154AD2" w:rsidRDefault="007F6BF3">
            <w:pPr>
              <w:pStyle w:val="P68B1DB1-Normal8"/>
              <w:keepNext/>
              <w:spacing w:before="40" w:after="0" w:line="240" w:lineRule="auto"/>
              <w:jc w:val="center"/>
              <w:rPr>
                <w:rFonts w:eastAsia="Times New Roman" w:cs="Calibri"/>
                <w:noProof/>
              </w:rPr>
            </w:pPr>
            <w:r>
              <w:rPr>
                <w:noProof/>
              </w:rPr>
              <w:t>Έναρξη ισχύος των αναθεωρημένων πράξεων του Υπουργείου Θαλάσσης σχετικά με την ενίσχυση της χρηματοδοτικής ικανότητας για τη θαλάσσια οικονομία και καινοτομία μέσω του Γαλάζιου Ταμείου</w:t>
            </w:r>
          </w:p>
        </w:tc>
        <w:tc>
          <w:tcPr>
            <w:tcW w:w="962" w:type="dxa"/>
            <w:shd w:val="clear" w:color="auto" w:fill="C4EFCE"/>
            <w:noWrap/>
            <w:vAlign w:val="center"/>
            <w:hideMark/>
          </w:tcPr>
          <w:p w14:paraId="157C0E4E" w14:textId="77777777" w:rsidR="00154AD2" w:rsidRDefault="007F6BF3">
            <w:pPr>
              <w:pStyle w:val="P68B1DB1-Normal8"/>
              <w:keepNext/>
              <w:spacing w:before="40" w:after="0" w:line="240" w:lineRule="auto"/>
              <w:jc w:val="center"/>
              <w:rPr>
                <w:rFonts w:eastAsia="Times New Roman" w:cs="Calibri"/>
                <w:noProof/>
              </w:rPr>
            </w:pPr>
            <w:r>
              <w:rPr>
                <w:noProof/>
              </w:rPr>
              <w:t> </w:t>
            </w:r>
          </w:p>
        </w:tc>
        <w:tc>
          <w:tcPr>
            <w:tcW w:w="961" w:type="dxa"/>
            <w:shd w:val="clear" w:color="auto" w:fill="C4EFCE"/>
            <w:noWrap/>
            <w:vAlign w:val="center"/>
            <w:hideMark/>
          </w:tcPr>
          <w:p w14:paraId="533D7F48" w14:textId="77777777" w:rsidR="00154AD2" w:rsidRDefault="007F6BF3">
            <w:pPr>
              <w:pStyle w:val="P68B1DB1-Normal8"/>
              <w:keepNext/>
              <w:spacing w:before="40" w:after="0" w:line="240" w:lineRule="auto"/>
              <w:jc w:val="center"/>
              <w:rPr>
                <w:rFonts w:eastAsia="Times New Roman" w:cs="Calibri"/>
                <w:noProof/>
              </w:rPr>
            </w:pPr>
            <w:r>
              <w:rPr>
                <w:noProof/>
              </w:rPr>
              <w:t> </w:t>
            </w:r>
          </w:p>
        </w:tc>
        <w:tc>
          <w:tcPr>
            <w:tcW w:w="690" w:type="dxa"/>
            <w:shd w:val="clear" w:color="auto" w:fill="C4EFCE"/>
            <w:noWrap/>
            <w:vAlign w:val="center"/>
            <w:hideMark/>
          </w:tcPr>
          <w:p w14:paraId="7948C8CA" w14:textId="77777777" w:rsidR="00154AD2" w:rsidRDefault="007F6BF3">
            <w:pPr>
              <w:pStyle w:val="P68B1DB1-Normal8"/>
              <w:keepNext/>
              <w:spacing w:before="40" w:after="0" w:line="240" w:lineRule="auto"/>
              <w:jc w:val="center"/>
              <w:rPr>
                <w:rFonts w:eastAsia="Times New Roman" w:cs="Calibri"/>
                <w:noProof/>
              </w:rPr>
            </w:pPr>
            <w:r>
              <w:rPr>
                <w:noProof/>
              </w:rPr>
              <w:t> </w:t>
            </w:r>
          </w:p>
        </w:tc>
        <w:tc>
          <w:tcPr>
            <w:tcW w:w="554" w:type="dxa"/>
            <w:shd w:val="clear" w:color="auto" w:fill="C4EFCE"/>
            <w:noWrap/>
            <w:vAlign w:val="center"/>
            <w:hideMark/>
          </w:tcPr>
          <w:p w14:paraId="784BF334" w14:textId="77777777" w:rsidR="00154AD2" w:rsidRDefault="007F6BF3">
            <w:pPr>
              <w:pStyle w:val="P68B1DB1-Normal8"/>
              <w:keepNext/>
              <w:spacing w:before="40" w:after="0" w:line="240" w:lineRule="auto"/>
              <w:jc w:val="center"/>
              <w:rPr>
                <w:rFonts w:eastAsia="Times New Roman" w:cs="Calibri"/>
                <w:noProof/>
              </w:rPr>
            </w:pPr>
            <w:r>
              <w:rPr>
                <w:noProof/>
              </w:rPr>
              <w:t>ΤΡΊΜΗΝΟ 4</w:t>
            </w:r>
          </w:p>
        </w:tc>
        <w:tc>
          <w:tcPr>
            <w:tcW w:w="684" w:type="dxa"/>
            <w:shd w:val="clear" w:color="auto" w:fill="C4EFCE"/>
            <w:noWrap/>
            <w:vAlign w:val="center"/>
            <w:hideMark/>
          </w:tcPr>
          <w:p w14:paraId="14BDFB9E" w14:textId="77777777" w:rsidR="00154AD2" w:rsidRDefault="007F6BF3">
            <w:pPr>
              <w:pStyle w:val="P68B1DB1-Normal8"/>
              <w:keepNext/>
              <w:spacing w:before="40" w:after="0" w:line="240" w:lineRule="auto"/>
              <w:jc w:val="center"/>
              <w:rPr>
                <w:rFonts w:eastAsia="Times New Roman" w:cs="Calibri"/>
                <w:noProof/>
              </w:rPr>
            </w:pPr>
            <w:r>
              <w:rPr>
                <w:noProof/>
              </w:rPr>
              <w:t>2021</w:t>
            </w:r>
          </w:p>
        </w:tc>
        <w:tc>
          <w:tcPr>
            <w:tcW w:w="5223" w:type="dxa"/>
            <w:shd w:val="clear" w:color="auto" w:fill="C4EFCE"/>
            <w:vAlign w:val="center"/>
            <w:hideMark/>
          </w:tcPr>
          <w:p w14:paraId="5690DF78" w14:textId="77777777" w:rsidR="00154AD2" w:rsidRDefault="007F6BF3">
            <w:pPr>
              <w:pStyle w:val="P68B1DB1-Normal8"/>
              <w:keepNext/>
              <w:spacing w:before="40" w:after="0" w:line="240" w:lineRule="auto"/>
              <w:jc w:val="both"/>
              <w:rPr>
                <w:rFonts w:eastAsia="Times New Roman" w:cs="Calibri"/>
                <w:noProof/>
              </w:rPr>
            </w:pPr>
            <w:r>
              <w:rPr>
                <w:noProof/>
              </w:rPr>
              <w:t xml:space="preserve">Αναθεωρούνται οι ακόλουθες πράξεις: </w:t>
            </w:r>
          </w:p>
          <w:p w14:paraId="0D6FC64A" w14:textId="77777777" w:rsidR="00154AD2" w:rsidRDefault="007F6BF3">
            <w:pPr>
              <w:pStyle w:val="P68B1DB1-Normal8"/>
              <w:keepNext/>
              <w:spacing w:before="40" w:after="0" w:line="240" w:lineRule="auto"/>
              <w:jc w:val="both"/>
              <w:rPr>
                <w:rFonts w:eastAsia="Times New Roman" w:cs="Calibri"/>
                <w:noProof/>
              </w:rPr>
            </w:pPr>
            <w:r>
              <w:rPr>
                <w:noProof/>
              </w:rPr>
              <w:t xml:space="preserve">Νομοθετικό διάταγμα αριθ. 16/2016 της 9 Μαρτίου· </w:t>
            </w:r>
          </w:p>
          <w:p w14:paraId="08A7B94D" w14:textId="77777777" w:rsidR="00154AD2" w:rsidRDefault="007F6BF3">
            <w:pPr>
              <w:pStyle w:val="P68B1DB1-Normal8"/>
              <w:keepNext/>
              <w:spacing w:before="40" w:after="0" w:line="240" w:lineRule="auto"/>
              <w:jc w:val="both"/>
              <w:rPr>
                <w:rFonts w:eastAsia="Times New Roman" w:cs="Calibri"/>
                <w:noProof/>
              </w:rPr>
            </w:pPr>
            <w:r>
              <w:rPr>
                <w:noProof/>
              </w:rPr>
              <w:t xml:space="preserve">Διάταγμα αριθ. 343/2016 της 30 Δεκεμβρίου· </w:t>
            </w:r>
          </w:p>
          <w:p w14:paraId="3F2377ED" w14:textId="77777777" w:rsidR="00154AD2" w:rsidRDefault="007F6BF3">
            <w:pPr>
              <w:pStyle w:val="P68B1DB1-Normal8"/>
              <w:keepNext/>
              <w:spacing w:before="40" w:after="0" w:line="240" w:lineRule="auto"/>
              <w:jc w:val="both"/>
              <w:rPr>
                <w:rFonts w:eastAsia="Times New Roman" w:cs="Calibri"/>
                <w:noProof/>
              </w:rPr>
            </w:pPr>
            <w:r>
              <w:rPr>
                <w:noProof/>
              </w:rPr>
              <w:t xml:space="preserve">Ψήφισμα του Υπουργικού Συμβουλίου αριθ. 175/2017. </w:t>
            </w:r>
          </w:p>
          <w:p w14:paraId="576A9B43" w14:textId="344466AB" w:rsidR="00154AD2" w:rsidRDefault="007F6BF3">
            <w:pPr>
              <w:pStyle w:val="P68B1DB1-Normal8"/>
              <w:keepNext/>
              <w:spacing w:before="40" w:after="0" w:line="240" w:lineRule="auto"/>
              <w:jc w:val="both"/>
              <w:rPr>
                <w:rFonts w:eastAsia="Times New Roman" w:cs="Calibri"/>
                <w:noProof/>
              </w:rPr>
            </w:pPr>
            <w:r>
              <w:rPr>
                <w:noProof/>
              </w:rPr>
              <w:t xml:space="preserve">Η αναθεώρηση των εν λόγω πράξεων συνίσταται σε επικαιροποίηση της στρατηγικής του δικτύου συνεργατικών σχηματισμών λιμενικής τεχνολογίας (Port Tech Clusters Network), επεκτείνοντας το πεδίο εφαρμογής του στην απαλλαγή της θαλάσσιας οικονομίας από τις ανθρακούχες εκπομπές· αναθεώρηση και προσαρμογή του τρόπου βιολογικής παραγωγής και λειτουργίας του Γαλάζιου Ταμείου για την προσαρμογή του στη διαχείριση των επενδύσεων στη συνιστώσα· δημιουργία του μοντέλου διακυβέρνησης του κόμβου.  </w:t>
            </w:r>
          </w:p>
        </w:tc>
      </w:tr>
      <w:tr w:rsidR="00154AD2" w14:paraId="1C9ED07F" w14:textId="77777777">
        <w:trPr>
          <w:trHeight w:val="630"/>
          <w:jc w:val="center"/>
        </w:trPr>
        <w:tc>
          <w:tcPr>
            <w:tcW w:w="1101" w:type="dxa"/>
            <w:shd w:val="clear" w:color="auto" w:fill="C4EFCE"/>
            <w:vAlign w:val="center"/>
            <w:hideMark/>
          </w:tcPr>
          <w:p w14:paraId="20846F99" w14:textId="77777777" w:rsidR="00154AD2" w:rsidRDefault="007F6BF3">
            <w:pPr>
              <w:pStyle w:val="P68B1DB1-Normal7"/>
              <w:keepNext/>
              <w:spacing w:before="40" w:after="0" w:line="240" w:lineRule="auto"/>
              <w:jc w:val="center"/>
              <w:rPr>
                <w:rFonts w:eastAsia="Times New Roman" w:cs="Calibri"/>
                <w:noProof/>
              </w:rPr>
            </w:pPr>
            <w:r>
              <w:rPr>
                <w:noProof/>
              </w:rPr>
              <w:t>10.2</w:t>
            </w:r>
          </w:p>
        </w:tc>
        <w:tc>
          <w:tcPr>
            <w:tcW w:w="1231" w:type="dxa"/>
            <w:shd w:val="clear" w:color="auto" w:fill="C4EFCE"/>
            <w:noWrap/>
            <w:vAlign w:val="center"/>
            <w:hideMark/>
          </w:tcPr>
          <w:p w14:paraId="13BA066B" w14:textId="77777777" w:rsidR="00154AD2" w:rsidRDefault="007F6BF3">
            <w:pPr>
              <w:pStyle w:val="P68B1DB1-Normal8"/>
              <w:keepNext/>
              <w:spacing w:before="40" w:after="0" w:line="240" w:lineRule="auto"/>
              <w:jc w:val="center"/>
              <w:rPr>
                <w:rFonts w:eastAsia="Times New Roman" w:cs="Calibri"/>
                <w:noProof/>
              </w:rPr>
            </w:pPr>
            <w:r>
              <w:rPr>
                <w:noProof/>
              </w:rPr>
              <w:t>TC-C10-I01</w:t>
            </w:r>
          </w:p>
        </w:tc>
        <w:tc>
          <w:tcPr>
            <w:tcW w:w="1096" w:type="dxa"/>
            <w:shd w:val="clear" w:color="auto" w:fill="C4EFCE"/>
            <w:noWrap/>
            <w:vAlign w:val="center"/>
            <w:hideMark/>
          </w:tcPr>
          <w:p w14:paraId="6294F56F" w14:textId="77777777" w:rsidR="00154AD2" w:rsidRDefault="007F6BF3">
            <w:pPr>
              <w:pStyle w:val="P68B1DB1-Normal8"/>
              <w:keepNext/>
              <w:spacing w:before="40" w:after="0" w:line="240" w:lineRule="auto"/>
              <w:jc w:val="center"/>
              <w:rPr>
                <w:rFonts w:eastAsia="Times New Roman" w:cs="Calibri"/>
                <w:noProof/>
              </w:rPr>
            </w:pPr>
            <w:r>
              <w:rPr>
                <w:noProof/>
              </w:rPr>
              <w:t>T</w:t>
            </w:r>
          </w:p>
        </w:tc>
        <w:tc>
          <w:tcPr>
            <w:tcW w:w="1640" w:type="dxa"/>
            <w:shd w:val="clear" w:color="auto" w:fill="C4EFCE"/>
            <w:noWrap/>
            <w:vAlign w:val="center"/>
            <w:hideMark/>
          </w:tcPr>
          <w:p w14:paraId="079896DE" w14:textId="77777777" w:rsidR="00154AD2" w:rsidRDefault="007F6BF3">
            <w:pPr>
              <w:pStyle w:val="P68B1DB1-Normal8"/>
              <w:keepNext/>
              <w:spacing w:before="40" w:after="0" w:line="240" w:lineRule="auto"/>
              <w:jc w:val="center"/>
              <w:rPr>
                <w:rFonts w:eastAsia="Times New Roman" w:cs="Calibri"/>
                <w:noProof/>
              </w:rPr>
            </w:pPr>
            <w:r>
              <w:rPr>
                <w:noProof/>
              </w:rPr>
              <w:t>Ολοκλήρωση του εκσυγχρονισμού των σχολείων του Blue Hub και ενίσχυση της προμήθειας και του εξοπλισμού</w:t>
            </w:r>
          </w:p>
        </w:tc>
        <w:tc>
          <w:tcPr>
            <w:tcW w:w="1231" w:type="dxa"/>
            <w:shd w:val="clear" w:color="auto" w:fill="C4EFCE"/>
            <w:noWrap/>
            <w:vAlign w:val="center"/>
            <w:hideMark/>
          </w:tcPr>
          <w:p w14:paraId="03E07993" w14:textId="77777777" w:rsidR="00154AD2" w:rsidRDefault="007F6BF3">
            <w:pPr>
              <w:pStyle w:val="P68B1DB1-Normal8"/>
              <w:keepNext/>
              <w:spacing w:before="40" w:after="0" w:line="240" w:lineRule="auto"/>
              <w:jc w:val="center"/>
              <w:rPr>
                <w:rFonts w:eastAsia="Times New Roman" w:cs="Calibri"/>
                <w:noProof/>
              </w:rPr>
            </w:pPr>
            <w:r>
              <w:rPr>
                <w:noProof/>
              </w:rPr>
              <w:t> </w:t>
            </w:r>
          </w:p>
        </w:tc>
        <w:tc>
          <w:tcPr>
            <w:tcW w:w="962" w:type="dxa"/>
            <w:shd w:val="clear" w:color="auto" w:fill="C4EFCE"/>
            <w:noWrap/>
            <w:vAlign w:val="center"/>
            <w:hideMark/>
          </w:tcPr>
          <w:p w14:paraId="55A4B559" w14:textId="77777777" w:rsidR="00154AD2" w:rsidRDefault="007F6BF3">
            <w:pPr>
              <w:pStyle w:val="P68B1DB1-Normal8"/>
              <w:keepNext/>
              <w:spacing w:before="40" w:after="0" w:line="240" w:lineRule="auto"/>
              <w:jc w:val="center"/>
              <w:rPr>
                <w:rFonts w:eastAsia="Times New Roman" w:cs="Calibri"/>
                <w:noProof/>
              </w:rPr>
            </w:pPr>
            <w:r>
              <w:rPr>
                <w:noProof/>
              </w:rPr>
              <w:t xml:space="preserve">% </w:t>
            </w:r>
          </w:p>
        </w:tc>
        <w:tc>
          <w:tcPr>
            <w:tcW w:w="961" w:type="dxa"/>
            <w:shd w:val="clear" w:color="auto" w:fill="C4EFCE"/>
            <w:noWrap/>
            <w:vAlign w:val="center"/>
            <w:hideMark/>
          </w:tcPr>
          <w:p w14:paraId="2ACDF2F9" w14:textId="77777777" w:rsidR="00154AD2" w:rsidRDefault="007F6BF3">
            <w:pPr>
              <w:pStyle w:val="P68B1DB1-Normal8"/>
              <w:keepNext/>
              <w:spacing w:before="40" w:after="0" w:line="240" w:lineRule="auto"/>
              <w:jc w:val="center"/>
              <w:rPr>
                <w:rFonts w:eastAsia="Times New Roman" w:cs="Calibri"/>
                <w:noProof/>
              </w:rPr>
            </w:pPr>
            <w:r>
              <w:rPr>
                <w:noProof/>
              </w:rPr>
              <w:t>0</w:t>
            </w:r>
          </w:p>
        </w:tc>
        <w:tc>
          <w:tcPr>
            <w:tcW w:w="690" w:type="dxa"/>
            <w:shd w:val="clear" w:color="auto" w:fill="C4EFCE"/>
            <w:noWrap/>
            <w:vAlign w:val="center"/>
            <w:hideMark/>
          </w:tcPr>
          <w:p w14:paraId="39EEF38E" w14:textId="77777777" w:rsidR="00154AD2" w:rsidRDefault="007F6BF3">
            <w:pPr>
              <w:pStyle w:val="P68B1DB1-Normal8"/>
              <w:keepNext/>
              <w:spacing w:before="40" w:after="0" w:line="240" w:lineRule="auto"/>
              <w:jc w:val="center"/>
              <w:rPr>
                <w:rFonts w:eastAsia="Times New Roman" w:cs="Calibri"/>
                <w:noProof/>
              </w:rPr>
            </w:pPr>
            <w:r>
              <w:rPr>
                <w:noProof/>
              </w:rPr>
              <w:t>100</w:t>
            </w:r>
          </w:p>
        </w:tc>
        <w:tc>
          <w:tcPr>
            <w:tcW w:w="554" w:type="dxa"/>
            <w:shd w:val="clear" w:color="auto" w:fill="C4EFCE"/>
            <w:noWrap/>
            <w:vAlign w:val="center"/>
            <w:hideMark/>
          </w:tcPr>
          <w:p w14:paraId="1F0251CD" w14:textId="77777777" w:rsidR="00154AD2" w:rsidRDefault="007F6BF3">
            <w:pPr>
              <w:pStyle w:val="P68B1DB1-Normal8"/>
              <w:keepNext/>
              <w:spacing w:before="40" w:after="0" w:line="240" w:lineRule="auto"/>
              <w:jc w:val="center"/>
              <w:rPr>
                <w:rFonts w:eastAsia="Times New Roman" w:cs="Calibri"/>
                <w:noProof/>
              </w:rPr>
            </w:pPr>
            <w:r>
              <w:rPr>
                <w:noProof/>
              </w:rPr>
              <w:t>ΤΡΊΜΗΝΟ 4</w:t>
            </w:r>
          </w:p>
        </w:tc>
        <w:tc>
          <w:tcPr>
            <w:tcW w:w="684" w:type="dxa"/>
            <w:shd w:val="clear" w:color="auto" w:fill="C4EFCE"/>
            <w:noWrap/>
            <w:vAlign w:val="center"/>
            <w:hideMark/>
          </w:tcPr>
          <w:p w14:paraId="3708D654" w14:textId="77777777" w:rsidR="00154AD2" w:rsidRDefault="007F6BF3">
            <w:pPr>
              <w:pStyle w:val="P68B1DB1-Normal8"/>
              <w:keepNext/>
              <w:spacing w:before="40" w:after="0" w:line="240" w:lineRule="auto"/>
              <w:jc w:val="center"/>
              <w:rPr>
                <w:rFonts w:eastAsia="Times New Roman" w:cs="Calibri"/>
                <w:noProof/>
              </w:rPr>
            </w:pPr>
            <w:r>
              <w:rPr>
                <w:noProof/>
              </w:rPr>
              <w:t>2025</w:t>
            </w:r>
          </w:p>
        </w:tc>
        <w:tc>
          <w:tcPr>
            <w:tcW w:w="5223" w:type="dxa"/>
            <w:shd w:val="clear" w:color="auto" w:fill="C4EFCE"/>
            <w:vAlign w:val="center"/>
            <w:hideMark/>
          </w:tcPr>
          <w:p w14:paraId="6734A981" w14:textId="77777777" w:rsidR="00154AD2" w:rsidRDefault="007F6BF3">
            <w:pPr>
              <w:pStyle w:val="P68B1DB1-Normal8"/>
              <w:keepNext/>
              <w:spacing w:before="40" w:after="0" w:line="240" w:lineRule="auto"/>
              <w:jc w:val="both"/>
              <w:rPr>
                <w:rFonts w:eastAsia="Times New Roman" w:cs="Calibri"/>
                <w:noProof/>
              </w:rPr>
            </w:pPr>
            <w:r>
              <w:rPr>
                <w:noProof/>
              </w:rPr>
              <w:t xml:space="preserve">Ολοκλήρωση των εργασιών εκσυγχρονισμού, ενίσχυση της προσφοράς κατάρτισης και ανακαίνιση με εξοπλισμό του Σχολείου Blue Hub. Η οριστικοποίηση των ανωτέρω ακολουθεί την επιβεβαίωση της συμμόρφωσης με τις τεχνικές προδιαγραφές και τις συμβατικές υποχρεώσεις. Περιλαμβάνει: </w:t>
            </w:r>
          </w:p>
          <w:p w14:paraId="3A3F2EF4" w14:textId="2F250900" w:rsidR="00154AD2" w:rsidRDefault="007F6BF3">
            <w:pPr>
              <w:keepNext/>
              <w:spacing w:before="40"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 xml:space="preserve">επενδύσεις στις υποδομές και τα συστήματα της </w:t>
            </w:r>
            <w:r>
              <w:rPr>
                <w:rFonts w:ascii="Calibri" w:hAnsi="Calibri"/>
                <w:i/>
                <w:noProof/>
                <w:sz w:val="16"/>
              </w:rPr>
              <w:t>Escola Superior Náutica Infante D. Henrique (ENIDH</w:t>
            </w:r>
            <w:r>
              <w:rPr>
                <w:rFonts w:ascii="Calibri" w:hAnsi="Calibri"/>
                <w:noProof/>
                <w:sz w:val="16"/>
              </w:rPr>
              <w:t>), συμπεριλαμβανομένου του εκσυγχρονισμού 16 εργαστηρίων και της αγοράς προσομοιωτών (για την τοποθέτηση πλοίων, την εξυπηρέτηση της κυκλοφορίας των πλοίων, καθώς και την υλικοτεχνική υποστήριξη και τις λιμενικές εργασίες)</w:t>
            </w:r>
          </w:p>
          <w:p w14:paraId="37CC213B" w14:textId="3AD70643" w:rsidR="00154AD2" w:rsidRDefault="007F6BF3">
            <w:pPr>
              <w:keepNext/>
              <w:spacing w:before="40"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Εκσυγχρονισμός της For-MAR: αναβάθμιση 6 κέντρων κατάρτισης, υποστηρικτικός εξοπλισμός για την επαγγελματική κατάρτιση, εκσυγχρονισμός συστημάτων ΤΠ και επικοινωνιών, ψηφιοποίηση των διαδικασιών κατάρτισης και σχεδιασμός της ηλεκτρονικής μάθησης.</w:t>
            </w:r>
          </w:p>
          <w:p w14:paraId="69131879" w14:textId="2D239F23" w:rsidR="00154AD2" w:rsidRDefault="007F6BF3">
            <w:pPr>
              <w:pStyle w:val="P68B1DB1-Normal8"/>
              <w:keepNext/>
              <w:spacing w:before="40" w:after="0" w:line="240" w:lineRule="auto"/>
              <w:jc w:val="both"/>
              <w:rPr>
                <w:rFonts w:eastAsia="Times New Roman" w:cs="Calibri"/>
                <w:noProof/>
              </w:rPr>
            </w:pPr>
            <w:r>
              <w:rPr>
                <w:noProof/>
              </w:rPr>
              <w:t>Τα νέα κτίρια έχουν ζήτηση πρωτογενούς ενέργειας τουλάχιστον 20 % χαμηλότερη από τις απαιτήσεις των κτιρίων με σχεδόν μηδενική κατανάλωση ενέργειας. Οι ανακαινίσεις ενεργειακής απόδοσης επιτυγχάνουν, κατά μέσο όρο, τουλάχιστον μεσαίας κλίμακας ανακαίνιση, όπως ορίζεται στη σύσταση της Επιτροπής για την ανακαίνιση κτιρίων (ΕΕ) 2019/786.</w:t>
            </w:r>
          </w:p>
        </w:tc>
      </w:tr>
      <w:tr w:rsidR="00154AD2" w14:paraId="3B18127E" w14:textId="77777777">
        <w:trPr>
          <w:trHeight w:val="290"/>
          <w:jc w:val="center"/>
        </w:trPr>
        <w:tc>
          <w:tcPr>
            <w:tcW w:w="1101" w:type="dxa"/>
            <w:shd w:val="clear" w:color="auto" w:fill="C4EFCE"/>
            <w:vAlign w:val="center"/>
            <w:hideMark/>
          </w:tcPr>
          <w:p w14:paraId="1A210116" w14:textId="77777777" w:rsidR="00154AD2" w:rsidRDefault="007F6BF3">
            <w:pPr>
              <w:pStyle w:val="P68B1DB1-Normal7"/>
              <w:keepNext/>
              <w:spacing w:before="40" w:after="0" w:line="240" w:lineRule="auto"/>
              <w:jc w:val="center"/>
              <w:rPr>
                <w:rFonts w:eastAsia="Times New Roman" w:cs="Calibri"/>
                <w:noProof/>
              </w:rPr>
            </w:pPr>
            <w:r>
              <w:rPr>
                <w:noProof/>
              </w:rPr>
              <w:t>10.3</w:t>
            </w:r>
          </w:p>
        </w:tc>
        <w:tc>
          <w:tcPr>
            <w:tcW w:w="1231" w:type="dxa"/>
            <w:shd w:val="clear" w:color="auto" w:fill="C4EFCE"/>
            <w:noWrap/>
            <w:vAlign w:val="center"/>
            <w:hideMark/>
          </w:tcPr>
          <w:p w14:paraId="7F3373D8" w14:textId="77777777" w:rsidR="00154AD2" w:rsidRDefault="007F6BF3">
            <w:pPr>
              <w:pStyle w:val="P68B1DB1-Normal8"/>
              <w:keepNext/>
              <w:spacing w:before="40" w:after="0" w:line="240" w:lineRule="auto"/>
              <w:jc w:val="center"/>
              <w:rPr>
                <w:rFonts w:eastAsia="Times New Roman" w:cs="Calibri"/>
                <w:noProof/>
              </w:rPr>
            </w:pPr>
            <w:r>
              <w:rPr>
                <w:noProof/>
              </w:rPr>
              <w:t>TC-C10-I01</w:t>
            </w:r>
          </w:p>
        </w:tc>
        <w:tc>
          <w:tcPr>
            <w:tcW w:w="1096" w:type="dxa"/>
            <w:shd w:val="clear" w:color="auto" w:fill="C4EFCE"/>
            <w:noWrap/>
            <w:vAlign w:val="center"/>
            <w:hideMark/>
          </w:tcPr>
          <w:p w14:paraId="73F010EA" w14:textId="77777777" w:rsidR="00154AD2" w:rsidRDefault="007F6BF3">
            <w:pPr>
              <w:pStyle w:val="P68B1DB1-Normal8"/>
              <w:keepNext/>
              <w:spacing w:before="40" w:after="0" w:line="240" w:lineRule="auto"/>
              <w:jc w:val="center"/>
              <w:rPr>
                <w:rFonts w:eastAsia="Times New Roman" w:cs="Calibri"/>
                <w:noProof/>
              </w:rPr>
            </w:pPr>
            <w:r>
              <w:rPr>
                <w:noProof/>
              </w:rPr>
              <w:t>T</w:t>
            </w:r>
          </w:p>
        </w:tc>
        <w:tc>
          <w:tcPr>
            <w:tcW w:w="1640" w:type="dxa"/>
            <w:shd w:val="clear" w:color="auto" w:fill="C4EFCE"/>
            <w:noWrap/>
            <w:vAlign w:val="center"/>
            <w:hideMark/>
          </w:tcPr>
          <w:p w14:paraId="5BC5CD21" w14:textId="77777777" w:rsidR="00154AD2" w:rsidRDefault="007F6BF3">
            <w:pPr>
              <w:pStyle w:val="P68B1DB1-Normal8"/>
              <w:keepNext/>
              <w:spacing w:before="40" w:after="0" w:line="240" w:lineRule="auto"/>
              <w:jc w:val="center"/>
              <w:rPr>
                <w:rFonts w:eastAsia="Times New Roman" w:cs="Calibri"/>
                <w:noProof/>
              </w:rPr>
            </w:pPr>
            <w:r>
              <w:rPr>
                <w:noProof/>
              </w:rPr>
              <w:t>Ολοκλήρωση της εγκατάστασης και/ή αναβάθμιση των κόμβων του Blue Hub</w:t>
            </w:r>
          </w:p>
        </w:tc>
        <w:tc>
          <w:tcPr>
            <w:tcW w:w="1231" w:type="dxa"/>
            <w:shd w:val="clear" w:color="auto" w:fill="C4EFCE"/>
            <w:noWrap/>
            <w:vAlign w:val="center"/>
            <w:hideMark/>
          </w:tcPr>
          <w:p w14:paraId="4E5B4906" w14:textId="77777777" w:rsidR="00154AD2" w:rsidRDefault="007F6BF3">
            <w:pPr>
              <w:pStyle w:val="P68B1DB1-Normal8"/>
              <w:keepNext/>
              <w:spacing w:before="40" w:after="0" w:line="240" w:lineRule="auto"/>
              <w:jc w:val="center"/>
              <w:rPr>
                <w:rFonts w:eastAsia="Times New Roman" w:cs="Calibri"/>
                <w:noProof/>
              </w:rPr>
            </w:pPr>
            <w:r>
              <w:rPr>
                <w:noProof/>
              </w:rPr>
              <w:t> </w:t>
            </w:r>
          </w:p>
        </w:tc>
        <w:tc>
          <w:tcPr>
            <w:tcW w:w="962" w:type="dxa"/>
            <w:shd w:val="clear" w:color="auto" w:fill="C4EFCE"/>
            <w:noWrap/>
            <w:vAlign w:val="center"/>
            <w:hideMark/>
          </w:tcPr>
          <w:p w14:paraId="1F0D4373" w14:textId="77777777" w:rsidR="00154AD2" w:rsidRDefault="007F6BF3">
            <w:pPr>
              <w:pStyle w:val="P68B1DB1-Normal8"/>
              <w:keepNext/>
              <w:spacing w:before="40" w:after="0" w:line="240" w:lineRule="auto"/>
              <w:jc w:val="center"/>
              <w:rPr>
                <w:rFonts w:eastAsia="Times New Roman" w:cs="Calibri"/>
                <w:noProof/>
              </w:rPr>
            </w:pPr>
            <w:r>
              <w:rPr>
                <w:noProof/>
              </w:rPr>
              <w:t xml:space="preserve">Αριθμός </w:t>
            </w:r>
          </w:p>
        </w:tc>
        <w:tc>
          <w:tcPr>
            <w:tcW w:w="961" w:type="dxa"/>
            <w:shd w:val="clear" w:color="auto" w:fill="C4EFCE"/>
            <w:noWrap/>
            <w:vAlign w:val="center"/>
            <w:hideMark/>
          </w:tcPr>
          <w:p w14:paraId="5AE14534" w14:textId="77777777" w:rsidR="00154AD2" w:rsidRDefault="007F6BF3">
            <w:pPr>
              <w:pStyle w:val="P68B1DB1-Normal8"/>
              <w:keepNext/>
              <w:spacing w:before="40" w:after="0" w:line="240" w:lineRule="auto"/>
              <w:jc w:val="center"/>
              <w:rPr>
                <w:rFonts w:eastAsia="Times New Roman" w:cs="Calibri"/>
                <w:noProof/>
              </w:rPr>
            </w:pPr>
            <w:r>
              <w:rPr>
                <w:noProof/>
              </w:rPr>
              <w:t>0</w:t>
            </w:r>
          </w:p>
        </w:tc>
        <w:tc>
          <w:tcPr>
            <w:tcW w:w="690" w:type="dxa"/>
            <w:shd w:val="clear" w:color="auto" w:fill="C4EFCE"/>
            <w:noWrap/>
            <w:vAlign w:val="center"/>
            <w:hideMark/>
          </w:tcPr>
          <w:p w14:paraId="0F28BF19" w14:textId="77777777" w:rsidR="00154AD2" w:rsidRDefault="007F6BF3">
            <w:pPr>
              <w:pStyle w:val="P68B1DB1-Normal8"/>
              <w:keepNext/>
              <w:spacing w:before="40" w:after="0" w:line="240" w:lineRule="auto"/>
              <w:jc w:val="center"/>
              <w:rPr>
                <w:rFonts w:eastAsia="Times New Roman" w:cs="Calibri"/>
                <w:noProof/>
              </w:rPr>
            </w:pPr>
            <w:r>
              <w:rPr>
                <w:noProof/>
              </w:rPr>
              <w:t>7</w:t>
            </w:r>
          </w:p>
        </w:tc>
        <w:tc>
          <w:tcPr>
            <w:tcW w:w="554" w:type="dxa"/>
            <w:shd w:val="clear" w:color="auto" w:fill="C4EFCE"/>
            <w:noWrap/>
            <w:vAlign w:val="center"/>
            <w:hideMark/>
          </w:tcPr>
          <w:p w14:paraId="2937E871" w14:textId="77777777" w:rsidR="00154AD2" w:rsidRDefault="007F6BF3">
            <w:pPr>
              <w:pStyle w:val="P68B1DB1-Normal8"/>
              <w:keepNext/>
              <w:spacing w:before="40" w:after="0" w:line="240" w:lineRule="auto"/>
              <w:jc w:val="center"/>
              <w:rPr>
                <w:rFonts w:eastAsia="Times New Roman" w:cs="Calibri"/>
                <w:noProof/>
              </w:rPr>
            </w:pPr>
            <w:r>
              <w:rPr>
                <w:noProof/>
              </w:rPr>
              <w:t>ΤΡΊΜΗΝΟ 4</w:t>
            </w:r>
          </w:p>
        </w:tc>
        <w:tc>
          <w:tcPr>
            <w:tcW w:w="684" w:type="dxa"/>
            <w:shd w:val="clear" w:color="auto" w:fill="C4EFCE"/>
            <w:noWrap/>
            <w:vAlign w:val="center"/>
            <w:hideMark/>
          </w:tcPr>
          <w:p w14:paraId="60DD0007" w14:textId="77777777" w:rsidR="00154AD2" w:rsidRDefault="007F6BF3">
            <w:pPr>
              <w:pStyle w:val="P68B1DB1-Normal8"/>
              <w:keepNext/>
              <w:spacing w:before="40" w:after="0" w:line="240" w:lineRule="auto"/>
              <w:jc w:val="center"/>
              <w:rPr>
                <w:rFonts w:eastAsia="Times New Roman" w:cs="Calibri"/>
                <w:noProof/>
              </w:rPr>
            </w:pPr>
            <w:r>
              <w:rPr>
                <w:noProof/>
              </w:rPr>
              <w:t>2025</w:t>
            </w:r>
          </w:p>
        </w:tc>
        <w:tc>
          <w:tcPr>
            <w:tcW w:w="5223" w:type="dxa"/>
            <w:shd w:val="clear" w:color="auto" w:fill="C4EFCE"/>
            <w:vAlign w:val="center"/>
            <w:hideMark/>
          </w:tcPr>
          <w:p w14:paraId="4CB843FB" w14:textId="77777777" w:rsidR="00154AD2" w:rsidRDefault="007F6BF3">
            <w:pPr>
              <w:pStyle w:val="P68B1DB1-Normal8"/>
              <w:keepNext/>
              <w:spacing w:before="40" w:after="0" w:line="240" w:lineRule="auto"/>
              <w:jc w:val="both"/>
              <w:rPr>
                <w:rFonts w:eastAsia="Times New Roman" w:cs="Calibri"/>
                <w:noProof/>
              </w:rPr>
            </w:pPr>
            <w:r>
              <w:rPr>
                <w:noProof/>
              </w:rPr>
              <w:t xml:space="preserve">Ολοκλήρωση των εργασιών (κατασκευή, ανακαίνιση και εξοπλισμός) για 7 γαλάζιους κόμβους. Οι νέοι ή αναβαθμισμένοι γαλάζιοι κόμβοι περιλαμβάνουν: </w:t>
            </w:r>
          </w:p>
          <w:p w14:paraId="23E9EE6A" w14:textId="45B1D28B" w:rsidR="00154AD2" w:rsidRDefault="007F6BF3">
            <w:pPr>
              <w:keepNext/>
              <w:spacing w:before="40" w:after="0" w:line="240" w:lineRule="auto"/>
              <w:jc w:val="both"/>
              <w:rPr>
                <w:rFonts w:ascii="Calibri" w:eastAsia="Times New Roman" w:hAnsi="Calibri" w:cs="Calibri"/>
                <w:noProof/>
                <w:sz w:val="16"/>
              </w:rPr>
            </w:pPr>
            <w:r>
              <w:rPr>
                <w:rFonts w:ascii="Calibri" w:hAnsi="Calibri"/>
                <w:noProof/>
                <w:sz w:val="16"/>
              </w:rPr>
              <w:t>1.</w:t>
            </w:r>
            <w:r>
              <w:rPr>
                <w:rFonts w:ascii="Times New Roman" w:hAnsi="Times New Roman"/>
                <w:noProof/>
                <w:sz w:val="14"/>
              </w:rPr>
              <w:t xml:space="preserve"> </w:t>
            </w:r>
            <w:r>
              <w:rPr>
                <w:rFonts w:ascii="Calibri" w:hAnsi="Calibri"/>
                <w:noProof/>
                <w:sz w:val="16"/>
              </w:rPr>
              <w:t xml:space="preserve">Κόμβος επιχειρήσεων και κοινό εργαστήριο ωκεανών στη Λισαβόνα: ανακαίνιση κτιρίου για το ωκεάνιο εργαστήριο με, μεταξύ άλλων χώρους εργαστηριακών υποδομών, μονάδες βιοδιυλιστηρίων, χώρο για την εθνική βιοτράπεζα θαλάσσιων πόρων και χώρους γραφείων για τεχνικές εταιρείες. </w:t>
            </w:r>
          </w:p>
          <w:p w14:paraId="43ED232C" w14:textId="51E70B4B" w:rsidR="00154AD2" w:rsidRDefault="007F6BF3">
            <w:pPr>
              <w:keepNext/>
              <w:spacing w:before="40" w:after="0" w:line="240" w:lineRule="auto"/>
              <w:jc w:val="both"/>
              <w:rPr>
                <w:rFonts w:ascii="Calibri" w:eastAsia="Times New Roman" w:hAnsi="Calibri"/>
                <w:noProof/>
                <w:sz w:val="16"/>
              </w:rPr>
            </w:pPr>
            <w:r>
              <w:rPr>
                <w:rFonts w:ascii="Calibri" w:hAnsi="Calibri"/>
                <w:noProof/>
                <w:sz w:val="16"/>
              </w:rPr>
              <w:t>2.</w:t>
            </w:r>
            <w:r>
              <w:rPr>
                <w:rFonts w:ascii="Times New Roman" w:hAnsi="Times New Roman"/>
                <w:noProof/>
                <w:sz w:val="14"/>
              </w:rPr>
              <w:t xml:space="preserve"> </w:t>
            </w:r>
            <w:r>
              <w:rPr>
                <w:rFonts w:ascii="Calibri" w:hAnsi="Calibri"/>
                <w:noProof/>
                <w:sz w:val="16"/>
              </w:rPr>
              <w:t xml:space="preserve">Ο κόμβος IPMA/Sea Oeiras για τη βελτίωση των ικανοτήτων παρακολούθησης των ωκεανών: συμπεριλαμβανομένης της κατασκευής υπόστεγου για τη μονάδα ωκεάνιας μηχανικής, συμπεριλαμβανομένης της κυλιόμενης γέφυρας, χώρων εργαστηρίων, κατασκευής αρχείων με περιστρεφόμενα ράφια ράφια για δείγματα που πρέπει να διατηρούνται σε υγρό μέσο, καθώς και εξοπλισμού για την έρευνα στον τομέα της αλιείας. Περιλαμβάνει επίσης εξοπλισμό ραντάρ για παρακολούθηση σε πραγματικό χρόνο. </w:t>
            </w:r>
          </w:p>
          <w:p w14:paraId="1D5FC4FC" w14:textId="27A90C32" w:rsidR="00154AD2" w:rsidRDefault="007F6BF3">
            <w:pPr>
              <w:keepNext/>
              <w:spacing w:before="40" w:after="0" w:line="240" w:lineRule="auto"/>
              <w:jc w:val="both"/>
              <w:rPr>
                <w:rFonts w:ascii="Calibri" w:eastAsia="Times New Roman" w:hAnsi="Calibri" w:cs="Calibri"/>
                <w:noProof/>
                <w:sz w:val="16"/>
              </w:rPr>
            </w:pPr>
            <w:r>
              <w:rPr>
                <w:rFonts w:ascii="Calibri" w:hAnsi="Calibri"/>
                <w:noProof/>
                <w:sz w:val="16"/>
              </w:rPr>
              <w:t>3.</w:t>
            </w:r>
            <w:r>
              <w:rPr>
                <w:rFonts w:ascii="Times New Roman" w:hAnsi="Times New Roman"/>
                <w:noProof/>
                <w:sz w:val="14"/>
              </w:rPr>
              <w:t xml:space="preserve"> </w:t>
            </w:r>
            <w:r>
              <w:rPr>
                <w:rFonts w:ascii="Calibri" w:hAnsi="Calibri"/>
                <w:noProof/>
                <w:sz w:val="16"/>
              </w:rPr>
              <w:t>Ο κόμβος Έξυπνων Ωκεανών Peniche: συμπεριλαμβανομένης της κατασκευής υποδομών, ενός επιστημονικού και τεχνολογικού πάρκου στην περιοχή Peniche Fisheries Port, της κατασκευής και εφαρμογής ενός συστήματος συλλογής και επεξεργασίας αλμυρού νερού, ανοικτού χώρου για τη διάδοση των γνώσεων σχετικά με τη θάλασσα.</w:t>
            </w:r>
          </w:p>
          <w:p w14:paraId="65B36634" w14:textId="1B45ACBD" w:rsidR="00154AD2" w:rsidRDefault="007F6BF3">
            <w:pPr>
              <w:keepNext/>
              <w:spacing w:before="40" w:after="0" w:line="240" w:lineRule="auto"/>
              <w:jc w:val="both"/>
              <w:rPr>
                <w:rFonts w:ascii="Calibri" w:eastAsia="Times New Roman" w:hAnsi="Calibri" w:cs="Calibri"/>
                <w:noProof/>
                <w:sz w:val="16"/>
              </w:rPr>
            </w:pPr>
            <w:r>
              <w:rPr>
                <w:rFonts w:ascii="Calibri" w:hAnsi="Calibri"/>
                <w:noProof/>
                <w:sz w:val="16"/>
              </w:rPr>
              <w:t>4.</w:t>
            </w:r>
            <w:r>
              <w:rPr>
                <w:rFonts w:ascii="Times New Roman" w:hAnsi="Times New Roman"/>
                <w:noProof/>
                <w:sz w:val="14"/>
              </w:rPr>
              <w:t xml:space="preserve"> </w:t>
            </w:r>
            <w:r>
              <w:rPr>
                <w:rFonts w:ascii="Calibri" w:hAnsi="Calibri"/>
                <w:noProof/>
                <w:sz w:val="16"/>
              </w:rPr>
              <w:t>Ο κόμβος Aveiro: συμπεριλαμβανομένης της ανανέωσης του παλαιού συστήματος για τη λεζάντα, την επεξεργασία και τη διανομή θαλάσσιου νερού, ενός εθνικού εργαστηρίου για την ανάπτυξη και τη δοκιμή προϊόντων αλιείας και υδατοκαλλιέργειας, του εργαστηρίου παραγωγής 5.0 για τα φύκη και τα οστρακοειδή.</w:t>
            </w:r>
          </w:p>
          <w:p w14:paraId="62DA030E" w14:textId="5B008894" w:rsidR="00154AD2" w:rsidRDefault="007F6BF3">
            <w:pPr>
              <w:keepNext/>
              <w:spacing w:before="40" w:after="0" w:line="240" w:lineRule="auto"/>
              <w:jc w:val="both"/>
              <w:rPr>
                <w:rFonts w:ascii="Calibri" w:eastAsia="Times New Roman" w:hAnsi="Calibri" w:cs="Calibri"/>
                <w:noProof/>
                <w:sz w:val="16"/>
              </w:rPr>
            </w:pPr>
            <w:r>
              <w:rPr>
                <w:rFonts w:ascii="Calibri" w:hAnsi="Calibri"/>
                <w:noProof/>
                <w:sz w:val="16"/>
              </w:rPr>
              <w:t>5.</w:t>
            </w:r>
            <w:r>
              <w:rPr>
                <w:rFonts w:ascii="Times New Roman" w:hAnsi="Times New Roman"/>
                <w:noProof/>
                <w:sz w:val="14"/>
              </w:rPr>
              <w:t xml:space="preserve"> </w:t>
            </w:r>
            <w:r>
              <w:rPr>
                <w:rFonts w:ascii="Calibri" w:hAnsi="Calibri"/>
                <w:noProof/>
                <w:sz w:val="16"/>
              </w:rPr>
              <w:t>Ο κόμβος Ocean.Plus στο Πόρτο, Leixões I: συμπεριλαμβανομένης δέσμης κοινών υποδομών για την επιστημονική κοινότητα με σκοπό τη στήριξη ερευνητών σε όλα τα στάδια της επιστημονικής και τεχνολογικής ανάπτυξης, από τον σχεδιασμό έως την ανάπτυξη πρωτοτύπων, την εφαρμογή επιτόπιων δοκιμών, την επικύρωση τεχνολογίας και τη μεταφορά γνώσεων, συμπεριλαμβανομένων της εφοδιαστικής και των πλατφορμών που βασίζονται στους ωκεανούς με εύκολη πρόσβαση για την επιστημονική και καινοτόμο κοινότητα.</w:t>
            </w:r>
          </w:p>
          <w:p w14:paraId="191EC3E9" w14:textId="3E847F44" w:rsidR="00154AD2" w:rsidRDefault="007F6BF3">
            <w:pPr>
              <w:keepNext/>
              <w:spacing w:before="40" w:after="0" w:line="240" w:lineRule="auto"/>
              <w:jc w:val="both"/>
              <w:rPr>
                <w:rFonts w:ascii="Calibri" w:eastAsia="Times New Roman" w:hAnsi="Calibri" w:cs="Calibri"/>
                <w:noProof/>
                <w:sz w:val="16"/>
              </w:rPr>
            </w:pPr>
            <w:r>
              <w:rPr>
                <w:rFonts w:ascii="Calibri" w:hAnsi="Calibri"/>
                <w:noProof/>
                <w:sz w:val="16"/>
              </w:rPr>
              <w:t>6.</w:t>
            </w:r>
            <w:r>
              <w:rPr>
                <w:rFonts w:ascii="Times New Roman" w:hAnsi="Times New Roman"/>
                <w:noProof/>
                <w:sz w:val="14"/>
              </w:rPr>
              <w:t xml:space="preserve"> </w:t>
            </w:r>
            <w:r>
              <w:rPr>
                <w:rFonts w:ascii="Calibri" w:hAnsi="Calibri"/>
                <w:noProof/>
                <w:sz w:val="16"/>
              </w:rPr>
              <w:t>Porto Hub/Leixões II: Κέντρο διοίκησης και ελέγχου μη επανδρωμένων οχημάτων προς υποστήριξη της θάλασσας: περιλαμβάνονται πολυτομεακά μη επανδρωμένα οχήματα (υπόγεια, επιφανειακά και μακροπρόθεσμα αερομεταφερόμενα οχήματα) εξοπλισμένα με αισθητήρες για τη μέτρηση των βασικών ωκεάνιων μεταβλητών (EoVs), κέντρο χειρισμού και ελέγχου και συστήματα πληροφορικής και επικοινωνίας.</w:t>
            </w:r>
          </w:p>
          <w:p w14:paraId="77BDFD13" w14:textId="7C1323F3" w:rsidR="00154AD2" w:rsidRDefault="007F6BF3">
            <w:pPr>
              <w:keepNext/>
              <w:spacing w:before="40" w:after="0" w:line="240" w:lineRule="auto"/>
              <w:jc w:val="both"/>
              <w:rPr>
                <w:rFonts w:ascii="Calibri" w:eastAsia="Times New Roman" w:hAnsi="Calibri" w:cs="Calibri"/>
                <w:noProof/>
                <w:sz w:val="16"/>
              </w:rPr>
            </w:pPr>
            <w:r>
              <w:rPr>
                <w:rFonts w:ascii="Calibri" w:hAnsi="Calibri"/>
                <w:noProof/>
                <w:sz w:val="16"/>
              </w:rPr>
              <w:t>7.</w:t>
            </w:r>
            <w:r>
              <w:rPr>
                <w:rFonts w:ascii="Times New Roman" w:hAnsi="Times New Roman"/>
                <w:noProof/>
                <w:sz w:val="14"/>
              </w:rPr>
              <w:t xml:space="preserve"> </w:t>
            </w:r>
            <w:r>
              <w:rPr>
                <w:rFonts w:ascii="Calibri" w:hAnsi="Calibri"/>
                <w:noProof/>
                <w:sz w:val="16"/>
              </w:rPr>
              <w:t>Ο κόμβος Algarve: περιλαμβάνει τη δημιουργία νέων υποδομών και εξοπλισμού, εργαστηρίων και γραφείων, χώρου για νέες επιχειρήσεις (χωρητικότητα περίπου 15 εταιρειών και 90 θέσεων εργασίας) με έμφαση στη γαλάζια βιοτεχνολογία, την υδατοκαλλιέργεια, τα τρόφιμα, τις ζωοτροφές και τους θαλάσσιους βιολογικούς πόρους, την ανάπτυξη προϊόντων αξιοποίησης και τη δημιουργία γνώσεων.</w:t>
            </w:r>
          </w:p>
          <w:p w14:paraId="7AE1994E" w14:textId="77777777" w:rsidR="00154AD2" w:rsidRDefault="007F6BF3">
            <w:pPr>
              <w:pStyle w:val="P68B1DB1-Normal8"/>
              <w:keepNext/>
              <w:spacing w:before="40" w:after="0" w:line="240" w:lineRule="auto"/>
              <w:jc w:val="both"/>
              <w:rPr>
                <w:rFonts w:eastAsia="Times New Roman" w:cs="Calibri"/>
                <w:noProof/>
              </w:rPr>
            </w:pPr>
            <w:r>
              <w:rPr>
                <w:noProof/>
              </w:rPr>
              <w:t>Το επιχειρηματικό μοντέλο και μια επαγγελματική προσωρινή ομάδα διαχείρισης επιχειρήσεων για τον γαλάζιο κόμβο αναδημιουργούνται και προσλαμβάνονται (καλύπτοντας επίσης το «Blue Hub School»).</w:t>
            </w:r>
          </w:p>
          <w:p w14:paraId="30FFCC06" w14:textId="77777777" w:rsidR="00154AD2" w:rsidRDefault="007F6BF3">
            <w:pPr>
              <w:pStyle w:val="P68B1DB1-Normal8"/>
              <w:keepNext/>
              <w:spacing w:before="40" w:after="0" w:line="240" w:lineRule="auto"/>
              <w:jc w:val="both"/>
              <w:rPr>
                <w:rFonts w:eastAsia="Times New Roman" w:cs="Calibri"/>
                <w:noProof/>
              </w:rPr>
            </w:pPr>
            <w:r>
              <w:rPr>
                <w:noProof/>
              </w:rPr>
              <w:t xml:space="preserve">Η πρωτοβουλία αυτή αποτελεί μέρος της εφαρμογής της εθνικής στρατηγικής για τους ωκεανούς 2021-30, συγκεκριμένα στο πλαίσιο των στρατηγικών στόχων 1, 2, 3, 6, 7 και 9. </w:t>
            </w:r>
          </w:p>
          <w:p w14:paraId="1957099A" w14:textId="05570FBA" w:rsidR="00154AD2" w:rsidRDefault="007F6BF3">
            <w:pPr>
              <w:pStyle w:val="P68B1DB1-Normal8"/>
              <w:keepNext/>
              <w:spacing w:before="40" w:after="0" w:line="240" w:lineRule="auto"/>
              <w:jc w:val="both"/>
              <w:rPr>
                <w:rFonts w:eastAsia="Times New Roman" w:cs="Calibri"/>
                <w:noProof/>
              </w:rPr>
            </w:pPr>
            <w:r>
              <w:rPr>
                <w:noProof/>
              </w:rPr>
              <w:t>Η οριστικοποίηση των ανωτέρω ακολουθεί την επιβεβαίωση της συμμόρφωσης με τις τεχνικές προδιαγραφές και τις συμβατικές υποχρεώσεις. Τα νέα κτίρια έχουν ζήτηση πρωτογενούς ενέργειας τουλάχιστον 20 % χαμηλότερη από τις απαιτήσεις των κτιρίων με σχεδόν μηδενική κατανάλωση ενέργειας. Οι ανακαινίσεις ενεργειακής απόδοσης επιτυγχάνουν, κατά μέσο όρο, τουλάχιστον μεσαίας κλίμακας ανακαίνιση, όπως ορίζεται στη σύσταση της Επιτροπής για την ανακαίνιση κτιρίων (ΕΕ) 2019/786.</w:t>
            </w:r>
          </w:p>
        </w:tc>
      </w:tr>
      <w:tr w:rsidR="00154AD2" w14:paraId="476877EB" w14:textId="77777777">
        <w:trPr>
          <w:trHeight w:val="2116"/>
          <w:jc w:val="center"/>
        </w:trPr>
        <w:tc>
          <w:tcPr>
            <w:tcW w:w="1101" w:type="dxa"/>
            <w:shd w:val="clear" w:color="auto" w:fill="C4EFCE"/>
            <w:vAlign w:val="center"/>
            <w:hideMark/>
          </w:tcPr>
          <w:p w14:paraId="789549CF" w14:textId="77777777" w:rsidR="00154AD2" w:rsidRDefault="007F6BF3">
            <w:pPr>
              <w:pStyle w:val="P68B1DB1-Normal7"/>
              <w:keepNext/>
              <w:spacing w:before="40" w:after="0" w:line="240" w:lineRule="auto"/>
              <w:jc w:val="center"/>
              <w:rPr>
                <w:rFonts w:eastAsia="Times New Roman" w:cs="Calibri"/>
                <w:noProof/>
              </w:rPr>
            </w:pPr>
            <w:r>
              <w:rPr>
                <w:noProof/>
              </w:rPr>
              <w:t>10.4</w:t>
            </w:r>
          </w:p>
        </w:tc>
        <w:tc>
          <w:tcPr>
            <w:tcW w:w="1231" w:type="dxa"/>
            <w:shd w:val="clear" w:color="auto" w:fill="C4EFCE"/>
            <w:noWrap/>
            <w:vAlign w:val="center"/>
            <w:hideMark/>
          </w:tcPr>
          <w:p w14:paraId="123D829D" w14:textId="77777777" w:rsidR="00154AD2" w:rsidRDefault="007F6BF3">
            <w:pPr>
              <w:pStyle w:val="P68B1DB1-Normal8"/>
              <w:keepNext/>
              <w:spacing w:before="40" w:after="0" w:line="240" w:lineRule="auto"/>
              <w:jc w:val="center"/>
              <w:rPr>
                <w:rFonts w:eastAsia="Times New Roman" w:cs="Calibri"/>
                <w:noProof/>
              </w:rPr>
            </w:pPr>
            <w:r>
              <w:rPr>
                <w:noProof/>
              </w:rPr>
              <w:t>TC-C10-I02</w:t>
            </w:r>
          </w:p>
        </w:tc>
        <w:tc>
          <w:tcPr>
            <w:tcW w:w="1096" w:type="dxa"/>
            <w:shd w:val="clear" w:color="auto" w:fill="C4EFCE"/>
            <w:noWrap/>
            <w:vAlign w:val="center"/>
            <w:hideMark/>
          </w:tcPr>
          <w:p w14:paraId="5CC8709D" w14:textId="77777777" w:rsidR="00154AD2" w:rsidRDefault="007F6BF3">
            <w:pPr>
              <w:pStyle w:val="P68B1DB1-Normal8"/>
              <w:keepNext/>
              <w:spacing w:before="40" w:after="0" w:line="240" w:lineRule="auto"/>
              <w:jc w:val="center"/>
              <w:rPr>
                <w:rFonts w:eastAsia="Times New Roman" w:cs="Calibri"/>
                <w:noProof/>
              </w:rPr>
            </w:pPr>
            <w:r>
              <w:rPr>
                <w:noProof/>
              </w:rPr>
              <w:t>T</w:t>
            </w:r>
          </w:p>
        </w:tc>
        <w:tc>
          <w:tcPr>
            <w:tcW w:w="1640" w:type="dxa"/>
            <w:shd w:val="clear" w:color="auto" w:fill="C4EFCE"/>
            <w:noWrap/>
            <w:vAlign w:val="center"/>
            <w:hideMark/>
          </w:tcPr>
          <w:p w14:paraId="10951DFD" w14:textId="77777777" w:rsidR="00154AD2" w:rsidRDefault="007F6BF3">
            <w:pPr>
              <w:pStyle w:val="P68B1DB1-Normal8"/>
              <w:keepNext/>
              <w:spacing w:before="40" w:after="0" w:line="240" w:lineRule="auto"/>
              <w:jc w:val="center"/>
              <w:rPr>
                <w:rFonts w:eastAsia="Times New Roman" w:cs="Calibri"/>
                <w:noProof/>
              </w:rPr>
            </w:pPr>
            <w:r>
              <w:rPr>
                <w:noProof/>
              </w:rPr>
              <w:t>Έγκριση των τελικών εκθέσεων για 70 έργα υπέρ της καινοτομίας, της ενεργειακής μετάβασης και της μείωσης των περιβαλλοντικών επιπτώσεων για οντότητες στον τομέα της αλιείας</w:t>
            </w:r>
          </w:p>
        </w:tc>
        <w:tc>
          <w:tcPr>
            <w:tcW w:w="1231" w:type="dxa"/>
            <w:shd w:val="clear" w:color="auto" w:fill="C4EFCE"/>
            <w:noWrap/>
            <w:vAlign w:val="center"/>
            <w:hideMark/>
          </w:tcPr>
          <w:p w14:paraId="43AC3C6A" w14:textId="77777777" w:rsidR="00154AD2" w:rsidRDefault="007F6BF3">
            <w:pPr>
              <w:pStyle w:val="P68B1DB1-Normal8"/>
              <w:keepNext/>
              <w:spacing w:before="40" w:after="0" w:line="240" w:lineRule="auto"/>
              <w:jc w:val="center"/>
              <w:rPr>
                <w:rFonts w:eastAsia="Times New Roman" w:cs="Calibri"/>
                <w:noProof/>
              </w:rPr>
            </w:pPr>
            <w:r>
              <w:rPr>
                <w:noProof/>
              </w:rPr>
              <w:t> </w:t>
            </w:r>
          </w:p>
        </w:tc>
        <w:tc>
          <w:tcPr>
            <w:tcW w:w="962" w:type="dxa"/>
            <w:shd w:val="clear" w:color="auto" w:fill="C4EFCE"/>
            <w:noWrap/>
            <w:vAlign w:val="center"/>
            <w:hideMark/>
          </w:tcPr>
          <w:p w14:paraId="41968F9D" w14:textId="77777777" w:rsidR="00154AD2" w:rsidRDefault="007F6BF3">
            <w:pPr>
              <w:pStyle w:val="P68B1DB1-Normal8"/>
              <w:keepNext/>
              <w:spacing w:before="40" w:after="0" w:line="240" w:lineRule="auto"/>
              <w:jc w:val="center"/>
              <w:rPr>
                <w:rFonts w:eastAsia="Times New Roman" w:cs="Calibri"/>
                <w:noProof/>
              </w:rPr>
            </w:pPr>
            <w:r>
              <w:rPr>
                <w:noProof/>
              </w:rPr>
              <w:t xml:space="preserve">Αριθμός </w:t>
            </w:r>
          </w:p>
        </w:tc>
        <w:tc>
          <w:tcPr>
            <w:tcW w:w="961" w:type="dxa"/>
            <w:shd w:val="clear" w:color="auto" w:fill="C4EFCE"/>
            <w:noWrap/>
            <w:vAlign w:val="center"/>
            <w:hideMark/>
          </w:tcPr>
          <w:p w14:paraId="48106376" w14:textId="77777777" w:rsidR="00154AD2" w:rsidRDefault="007F6BF3">
            <w:pPr>
              <w:pStyle w:val="P68B1DB1-Normal8"/>
              <w:keepNext/>
              <w:spacing w:before="40" w:after="0" w:line="240" w:lineRule="auto"/>
              <w:jc w:val="center"/>
              <w:rPr>
                <w:rFonts w:eastAsia="Times New Roman" w:cs="Calibri"/>
                <w:noProof/>
              </w:rPr>
            </w:pPr>
            <w:r>
              <w:rPr>
                <w:noProof/>
              </w:rPr>
              <w:t>0</w:t>
            </w:r>
          </w:p>
        </w:tc>
        <w:tc>
          <w:tcPr>
            <w:tcW w:w="690" w:type="dxa"/>
            <w:shd w:val="clear" w:color="auto" w:fill="C4EFCE"/>
            <w:noWrap/>
            <w:vAlign w:val="center"/>
            <w:hideMark/>
          </w:tcPr>
          <w:p w14:paraId="37C46F26" w14:textId="77777777" w:rsidR="00154AD2" w:rsidRDefault="007F6BF3">
            <w:pPr>
              <w:pStyle w:val="P68B1DB1-Normal8"/>
              <w:keepNext/>
              <w:spacing w:before="40" w:after="0" w:line="240" w:lineRule="auto"/>
              <w:jc w:val="center"/>
              <w:rPr>
                <w:rFonts w:eastAsia="Times New Roman" w:cs="Calibri"/>
                <w:noProof/>
              </w:rPr>
            </w:pPr>
            <w:r>
              <w:rPr>
                <w:noProof/>
              </w:rPr>
              <w:t>70</w:t>
            </w:r>
          </w:p>
        </w:tc>
        <w:tc>
          <w:tcPr>
            <w:tcW w:w="554" w:type="dxa"/>
            <w:shd w:val="clear" w:color="auto" w:fill="C4EFCE"/>
            <w:noWrap/>
            <w:vAlign w:val="center"/>
            <w:hideMark/>
          </w:tcPr>
          <w:p w14:paraId="05E8D103" w14:textId="77777777" w:rsidR="00154AD2" w:rsidRDefault="007F6BF3">
            <w:pPr>
              <w:pStyle w:val="P68B1DB1-Normal8"/>
              <w:keepNext/>
              <w:spacing w:before="40" w:after="0" w:line="240" w:lineRule="auto"/>
              <w:jc w:val="center"/>
              <w:rPr>
                <w:rFonts w:eastAsia="Times New Roman" w:cs="Calibri"/>
                <w:noProof/>
              </w:rPr>
            </w:pPr>
            <w:r>
              <w:rPr>
                <w:noProof/>
              </w:rPr>
              <w:t>ΤΡΊΜΗΝΟ 4</w:t>
            </w:r>
          </w:p>
        </w:tc>
        <w:tc>
          <w:tcPr>
            <w:tcW w:w="684" w:type="dxa"/>
            <w:shd w:val="clear" w:color="auto" w:fill="C4EFCE"/>
            <w:noWrap/>
            <w:vAlign w:val="center"/>
            <w:hideMark/>
          </w:tcPr>
          <w:p w14:paraId="4FA70926" w14:textId="77777777" w:rsidR="00154AD2" w:rsidRDefault="007F6BF3">
            <w:pPr>
              <w:pStyle w:val="P68B1DB1-Normal8"/>
              <w:keepNext/>
              <w:spacing w:before="40" w:after="0" w:line="240" w:lineRule="auto"/>
              <w:jc w:val="center"/>
              <w:rPr>
                <w:rFonts w:eastAsia="Times New Roman" w:cs="Calibri"/>
                <w:noProof/>
              </w:rPr>
            </w:pPr>
            <w:r>
              <w:rPr>
                <w:noProof/>
              </w:rPr>
              <w:t>2025</w:t>
            </w:r>
          </w:p>
        </w:tc>
        <w:tc>
          <w:tcPr>
            <w:tcW w:w="5223" w:type="dxa"/>
            <w:shd w:val="clear" w:color="auto" w:fill="C4EFCE"/>
            <w:vAlign w:val="center"/>
            <w:hideMark/>
          </w:tcPr>
          <w:p w14:paraId="5616E553" w14:textId="7802FC27" w:rsidR="00154AD2" w:rsidRDefault="007F6BF3">
            <w:pPr>
              <w:pStyle w:val="P68B1DB1-Normal8"/>
              <w:keepNext/>
              <w:spacing w:before="40" w:after="0" w:line="240" w:lineRule="auto"/>
              <w:jc w:val="both"/>
              <w:rPr>
                <w:rFonts w:eastAsia="Times New Roman" w:cs="Calibri"/>
                <w:noProof/>
              </w:rPr>
            </w:pPr>
            <w:r>
              <w:rPr>
                <w:noProof/>
              </w:rPr>
              <w:t>Έγκριση των τελικών εκθέσεων σχετικά με την υλοποίηση 70 έργων για τη στήριξη της καινοτομίας, της ενεργειακής μετάβασης και της μείωσης των περιβαλλοντικών επιπτώσεων για φορείς στον τομέα της αλιείας από την DGRM-IFAP (Γενική Διεύθυνση Φυσικών Πόρων, Ασφάλειας και Ναυτιλιακών Υπηρεσιών). Η DGRM-IFAP μετρά την ποσοτική πρόοδο σε σχέση με τους ειδικούς στόχους που συμφωνήθηκαν κατά τη διάθεση της βασικής χρηματοδότησης μετά από δύο προσκλήσεις υποβολής προσφορών, οι οποίες διοργανώνονται από την DGRM-IFAP και προβλέπεται να δρομολογηθούν το 2021 και το 2022</w:t>
            </w:r>
            <w:r>
              <w:rPr>
                <w:noProof/>
                <w:shd w:val="clear" w:color="auto" w:fill="E6E6E6"/>
              </w:rPr>
              <w:t>.</w:t>
            </w:r>
          </w:p>
        </w:tc>
      </w:tr>
      <w:tr w:rsidR="00154AD2" w14:paraId="7741B9D8" w14:textId="77777777">
        <w:trPr>
          <w:trHeight w:val="630"/>
          <w:jc w:val="center"/>
        </w:trPr>
        <w:tc>
          <w:tcPr>
            <w:tcW w:w="1101" w:type="dxa"/>
            <w:shd w:val="clear" w:color="auto" w:fill="C4EFCE"/>
            <w:vAlign w:val="center"/>
            <w:hideMark/>
          </w:tcPr>
          <w:p w14:paraId="39E27BD5" w14:textId="77777777" w:rsidR="00154AD2" w:rsidRDefault="007F6BF3">
            <w:pPr>
              <w:pStyle w:val="P68B1DB1-Normal7"/>
              <w:keepNext/>
              <w:spacing w:before="40" w:after="0" w:line="240" w:lineRule="auto"/>
              <w:jc w:val="center"/>
              <w:rPr>
                <w:rFonts w:eastAsia="Times New Roman" w:cs="Calibri"/>
                <w:noProof/>
              </w:rPr>
            </w:pPr>
            <w:r>
              <w:rPr>
                <w:noProof/>
              </w:rPr>
              <w:t>10.8</w:t>
            </w:r>
          </w:p>
        </w:tc>
        <w:tc>
          <w:tcPr>
            <w:tcW w:w="1231" w:type="dxa"/>
            <w:shd w:val="clear" w:color="auto" w:fill="C4EFCE"/>
            <w:noWrap/>
            <w:vAlign w:val="center"/>
            <w:hideMark/>
          </w:tcPr>
          <w:p w14:paraId="40B57651" w14:textId="77777777" w:rsidR="00154AD2" w:rsidRDefault="007F6BF3">
            <w:pPr>
              <w:pStyle w:val="P68B1DB1-Normal8"/>
              <w:keepNext/>
              <w:spacing w:before="40" w:after="0" w:line="240" w:lineRule="auto"/>
              <w:jc w:val="center"/>
              <w:rPr>
                <w:rFonts w:eastAsia="Times New Roman" w:cs="Calibri"/>
                <w:noProof/>
              </w:rPr>
            </w:pPr>
            <w:r>
              <w:rPr>
                <w:noProof/>
              </w:rPr>
              <w:t>TC-C10-i04-RAA</w:t>
            </w:r>
          </w:p>
        </w:tc>
        <w:tc>
          <w:tcPr>
            <w:tcW w:w="1096" w:type="dxa"/>
            <w:shd w:val="clear" w:color="auto" w:fill="C4EFCE"/>
            <w:noWrap/>
            <w:vAlign w:val="center"/>
            <w:hideMark/>
          </w:tcPr>
          <w:p w14:paraId="0C88D666" w14:textId="77777777" w:rsidR="00154AD2" w:rsidRDefault="007F6BF3">
            <w:pPr>
              <w:pStyle w:val="P68B1DB1-Normal8"/>
              <w:keepNext/>
              <w:spacing w:before="40" w:after="0" w:line="240" w:lineRule="auto"/>
              <w:jc w:val="center"/>
              <w:rPr>
                <w:rFonts w:eastAsia="Times New Roman" w:cs="Calibri"/>
                <w:noProof/>
              </w:rPr>
            </w:pPr>
            <w:r>
              <w:rPr>
                <w:noProof/>
              </w:rPr>
              <w:t>M</w:t>
            </w:r>
          </w:p>
        </w:tc>
        <w:tc>
          <w:tcPr>
            <w:tcW w:w="1640" w:type="dxa"/>
            <w:shd w:val="clear" w:color="auto" w:fill="C4EFCE"/>
            <w:noWrap/>
            <w:vAlign w:val="center"/>
            <w:hideMark/>
          </w:tcPr>
          <w:p w14:paraId="7895B9C7" w14:textId="2C5299C6" w:rsidR="00154AD2" w:rsidRDefault="007F6BF3">
            <w:pPr>
              <w:pStyle w:val="P68B1DB1-Normal8"/>
              <w:keepNext/>
              <w:spacing w:before="40" w:after="0" w:line="240" w:lineRule="auto"/>
              <w:jc w:val="center"/>
              <w:rPr>
                <w:rFonts w:eastAsia="Times New Roman" w:cs="Calibri"/>
                <w:noProof/>
              </w:rPr>
            </w:pPr>
            <w:r>
              <w:rPr>
                <w:noProof/>
              </w:rPr>
              <w:t>Έναρξη Σύμβασης Δημοσίων Έργων για το Τεχνικό Κέντρο MARTEC</w:t>
            </w:r>
          </w:p>
        </w:tc>
        <w:tc>
          <w:tcPr>
            <w:tcW w:w="1231" w:type="dxa"/>
            <w:shd w:val="clear" w:color="auto" w:fill="C4EFCE"/>
            <w:noWrap/>
            <w:vAlign w:val="center"/>
            <w:hideMark/>
          </w:tcPr>
          <w:p w14:paraId="23050660" w14:textId="1D88FF3D" w:rsidR="00154AD2" w:rsidRDefault="007F6BF3">
            <w:pPr>
              <w:pStyle w:val="P68B1DB1-Normal8"/>
              <w:keepNext/>
              <w:spacing w:before="40" w:after="0" w:line="240" w:lineRule="auto"/>
              <w:jc w:val="center"/>
              <w:rPr>
                <w:rFonts w:eastAsia="Times New Roman" w:cs="Calibri"/>
                <w:noProof/>
              </w:rPr>
            </w:pPr>
            <w:r>
              <w:rPr>
                <w:noProof/>
              </w:rPr>
              <w:t>Έναρξη κατασκευαστικών εργασιών για το τεχνικό κέντρο MARTEC</w:t>
            </w:r>
          </w:p>
        </w:tc>
        <w:tc>
          <w:tcPr>
            <w:tcW w:w="962" w:type="dxa"/>
            <w:shd w:val="clear" w:color="auto" w:fill="C4EFCE"/>
            <w:noWrap/>
            <w:vAlign w:val="center"/>
            <w:hideMark/>
          </w:tcPr>
          <w:p w14:paraId="12D246C0" w14:textId="77777777" w:rsidR="00154AD2" w:rsidRDefault="007F6BF3">
            <w:pPr>
              <w:pStyle w:val="P68B1DB1-Normal8"/>
              <w:keepNext/>
              <w:spacing w:before="40" w:after="0" w:line="240" w:lineRule="auto"/>
              <w:jc w:val="center"/>
              <w:rPr>
                <w:rFonts w:eastAsia="Times New Roman" w:cs="Calibri"/>
                <w:noProof/>
              </w:rPr>
            </w:pPr>
            <w:r>
              <w:rPr>
                <w:noProof/>
              </w:rPr>
              <w:t> </w:t>
            </w:r>
          </w:p>
        </w:tc>
        <w:tc>
          <w:tcPr>
            <w:tcW w:w="961" w:type="dxa"/>
            <w:shd w:val="clear" w:color="auto" w:fill="C4EFCE"/>
            <w:noWrap/>
            <w:vAlign w:val="center"/>
            <w:hideMark/>
          </w:tcPr>
          <w:p w14:paraId="27F0FE3B" w14:textId="77777777" w:rsidR="00154AD2" w:rsidRDefault="007F6BF3">
            <w:pPr>
              <w:pStyle w:val="P68B1DB1-Normal8"/>
              <w:keepNext/>
              <w:spacing w:before="40" w:after="0" w:line="240" w:lineRule="auto"/>
              <w:jc w:val="center"/>
              <w:rPr>
                <w:rFonts w:eastAsia="Times New Roman" w:cs="Calibri"/>
                <w:noProof/>
              </w:rPr>
            </w:pPr>
            <w:r>
              <w:rPr>
                <w:noProof/>
              </w:rPr>
              <w:t> </w:t>
            </w:r>
          </w:p>
        </w:tc>
        <w:tc>
          <w:tcPr>
            <w:tcW w:w="690" w:type="dxa"/>
            <w:shd w:val="clear" w:color="auto" w:fill="C4EFCE"/>
            <w:noWrap/>
            <w:vAlign w:val="center"/>
            <w:hideMark/>
          </w:tcPr>
          <w:p w14:paraId="6355E60A" w14:textId="77777777" w:rsidR="00154AD2" w:rsidRDefault="007F6BF3">
            <w:pPr>
              <w:pStyle w:val="P68B1DB1-Normal8"/>
              <w:keepNext/>
              <w:spacing w:before="40" w:after="0" w:line="240" w:lineRule="auto"/>
              <w:jc w:val="center"/>
              <w:rPr>
                <w:rFonts w:eastAsia="Times New Roman" w:cs="Calibri"/>
                <w:noProof/>
              </w:rPr>
            </w:pPr>
            <w:r>
              <w:rPr>
                <w:noProof/>
              </w:rPr>
              <w:t> </w:t>
            </w:r>
          </w:p>
        </w:tc>
        <w:tc>
          <w:tcPr>
            <w:tcW w:w="554" w:type="dxa"/>
            <w:shd w:val="clear" w:color="auto" w:fill="C4EFCE"/>
            <w:noWrap/>
            <w:vAlign w:val="center"/>
            <w:hideMark/>
          </w:tcPr>
          <w:p w14:paraId="7166E7D8" w14:textId="77777777" w:rsidR="00154AD2" w:rsidRDefault="007F6BF3">
            <w:pPr>
              <w:pStyle w:val="P68B1DB1-Normal8"/>
              <w:keepNext/>
              <w:spacing w:before="40" w:after="0" w:line="240" w:lineRule="auto"/>
              <w:jc w:val="center"/>
              <w:rPr>
                <w:rFonts w:eastAsia="Times New Roman" w:cs="Calibri"/>
                <w:noProof/>
              </w:rPr>
            </w:pPr>
            <w:r>
              <w:rPr>
                <w:noProof/>
              </w:rPr>
              <w:t>ΤΡΊΜΗΝΟ 4</w:t>
            </w:r>
          </w:p>
        </w:tc>
        <w:tc>
          <w:tcPr>
            <w:tcW w:w="684" w:type="dxa"/>
            <w:shd w:val="clear" w:color="auto" w:fill="C4EFCE"/>
            <w:noWrap/>
            <w:vAlign w:val="center"/>
            <w:hideMark/>
          </w:tcPr>
          <w:p w14:paraId="13D93DFC" w14:textId="0E0F7803" w:rsidR="00154AD2" w:rsidRDefault="007F6BF3">
            <w:pPr>
              <w:pStyle w:val="P68B1DB1-Normal8"/>
              <w:keepNext/>
              <w:spacing w:before="40" w:after="0" w:line="240" w:lineRule="auto"/>
              <w:jc w:val="center"/>
              <w:rPr>
                <w:rFonts w:eastAsia="Times New Roman" w:cs="Calibri"/>
                <w:noProof/>
              </w:rPr>
            </w:pPr>
            <w:r>
              <w:rPr>
                <w:noProof/>
              </w:rPr>
              <w:t>2023</w:t>
            </w:r>
          </w:p>
        </w:tc>
        <w:tc>
          <w:tcPr>
            <w:tcW w:w="5223" w:type="dxa"/>
            <w:shd w:val="clear" w:color="auto" w:fill="C4EFCE"/>
            <w:vAlign w:val="center"/>
            <w:hideMark/>
          </w:tcPr>
          <w:p w14:paraId="7652F711" w14:textId="77777777" w:rsidR="00154AD2" w:rsidRDefault="007F6BF3">
            <w:pPr>
              <w:pStyle w:val="P68B1DB1-Normal8"/>
              <w:keepNext/>
              <w:spacing w:before="40" w:after="0" w:line="240" w:lineRule="auto"/>
              <w:jc w:val="both"/>
              <w:rPr>
                <w:rFonts w:eastAsia="Times New Roman" w:cs="Calibri"/>
                <w:noProof/>
              </w:rPr>
            </w:pPr>
            <w:r>
              <w:rPr>
                <w:noProof/>
              </w:rPr>
              <w:t xml:space="preserve">Έναρξη των κατασκευαστικών εργασιών για την υποδομή του Technopolo MARTEC (συμπεριλαμβανομένης της αγοράς γης και της κατεδάφισης υφιστάμενων υποδομών) στη νήσο Faial, η οποία θα ολοκληρωθεί το 2025 στο πλαίσιο του πειραματικού και αναπτυξιακού κέντρου που συνδέεται με τη θάλασσα στις Αζόρες. </w:t>
            </w:r>
          </w:p>
          <w:p w14:paraId="6E6AE8E6" w14:textId="77777777" w:rsidR="00154AD2" w:rsidRDefault="007F6BF3">
            <w:pPr>
              <w:pStyle w:val="P68B1DB1-Normal8"/>
              <w:keepNext/>
              <w:spacing w:before="40" w:after="0" w:line="240" w:lineRule="auto"/>
              <w:jc w:val="both"/>
              <w:rPr>
                <w:rFonts w:eastAsia="Times New Roman" w:cs="Calibri"/>
                <w:noProof/>
              </w:rPr>
            </w:pPr>
            <w:r>
              <w:rPr>
                <w:noProof/>
              </w:rPr>
              <w:t>Περιλαμβάνει ένα μπλε εκκολαπτήριο (τουλάχιστον 6 500 m²), ένα κέντρο υδατοκαλλιέργειας (τουλάχιστον 2 000 m²) και τον αναγκαίο εξοπλισμό (γενικός εξοπλισμός, καθώς και εγκατάσταση πειραματικού κέντρου και σταθμού για την έρευνα στον τομέα της υδατοκαλλιέργειας, μεταξύ άλλων).</w:t>
            </w:r>
          </w:p>
          <w:p w14:paraId="102BB169" w14:textId="1675BC9D" w:rsidR="00154AD2" w:rsidRDefault="007F6BF3">
            <w:pPr>
              <w:pStyle w:val="P68B1DB1-Normal8"/>
              <w:keepNext/>
              <w:spacing w:before="40" w:after="0" w:line="240" w:lineRule="auto"/>
              <w:jc w:val="both"/>
              <w:rPr>
                <w:rFonts w:eastAsia="Times New Roman" w:cs="Calibri"/>
                <w:noProof/>
              </w:rPr>
            </w:pPr>
            <w:r>
              <w:rPr>
                <w:noProof/>
              </w:rPr>
              <w:t>Τα νέα κτίρια έχουν ζήτηση πρωτογενούς ενέργειας τουλάχιστον 20 % χαμηλότερη από τις απαιτήσεις των κτιρίων με σχεδόν μηδενική κατανάλωση ενέργειας.</w:t>
            </w:r>
          </w:p>
        </w:tc>
      </w:tr>
      <w:tr w:rsidR="00154AD2" w14:paraId="5F9977DC" w14:textId="77777777">
        <w:trPr>
          <w:trHeight w:val="1060"/>
          <w:jc w:val="center"/>
        </w:trPr>
        <w:tc>
          <w:tcPr>
            <w:tcW w:w="1101" w:type="dxa"/>
            <w:shd w:val="clear" w:color="auto" w:fill="C4EFCE"/>
            <w:vAlign w:val="center"/>
            <w:hideMark/>
          </w:tcPr>
          <w:p w14:paraId="5F48BC21" w14:textId="77777777" w:rsidR="00154AD2" w:rsidRDefault="007F6BF3">
            <w:pPr>
              <w:pStyle w:val="P68B1DB1-Normal7"/>
              <w:keepNext/>
              <w:spacing w:before="40" w:after="0" w:line="240" w:lineRule="auto"/>
              <w:jc w:val="center"/>
              <w:rPr>
                <w:rFonts w:eastAsia="Times New Roman" w:cs="Calibri"/>
                <w:noProof/>
              </w:rPr>
            </w:pPr>
            <w:r>
              <w:rPr>
                <w:noProof/>
              </w:rPr>
              <w:t>10.9</w:t>
            </w:r>
          </w:p>
        </w:tc>
        <w:tc>
          <w:tcPr>
            <w:tcW w:w="1231" w:type="dxa"/>
            <w:shd w:val="clear" w:color="auto" w:fill="C4EFCE"/>
            <w:noWrap/>
            <w:vAlign w:val="center"/>
            <w:hideMark/>
          </w:tcPr>
          <w:p w14:paraId="04663115" w14:textId="77777777" w:rsidR="00154AD2" w:rsidRDefault="007F6BF3">
            <w:pPr>
              <w:pStyle w:val="P68B1DB1-Normal8"/>
              <w:keepNext/>
              <w:spacing w:before="40" w:after="0" w:line="240" w:lineRule="auto"/>
              <w:jc w:val="center"/>
              <w:rPr>
                <w:rFonts w:eastAsia="Times New Roman" w:cs="Calibri"/>
                <w:noProof/>
              </w:rPr>
            </w:pPr>
            <w:r>
              <w:rPr>
                <w:noProof/>
              </w:rPr>
              <w:t>TC-C10-i04-RAA</w:t>
            </w:r>
          </w:p>
        </w:tc>
        <w:tc>
          <w:tcPr>
            <w:tcW w:w="1096" w:type="dxa"/>
            <w:shd w:val="clear" w:color="auto" w:fill="C4EFCE"/>
            <w:noWrap/>
            <w:vAlign w:val="center"/>
            <w:hideMark/>
          </w:tcPr>
          <w:p w14:paraId="5F75A61A" w14:textId="77777777" w:rsidR="00154AD2" w:rsidRDefault="007F6BF3">
            <w:pPr>
              <w:pStyle w:val="P68B1DB1-Normal8"/>
              <w:keepNext/>
              <w:spacing w:before="40" w:after="0" w:line="240" w:lineRule="auto"/>
              <w:jc w:val="center"/>
              <w:rPr>
                <w:rFonts w:eastAsia="Times New Roman" w:cs="Calibri"/>
                <w:noProof/>
              </w:rPr>
            </w:pPr>
            <w:r>
              <w:rPr>
                <w:noProof/>
              </w:rPr>
              <w:t xml:space="preserve">M </w:t>
            </w:r>
          </w:p>
        </w:tc>
        <w:tc>
          <w:tcPr>
            <w:tcW w:w="1640" w:type="dxa"/>
            <w:shd w:val="clear" w:color="auto" w:fill="C4EFCE"/>
            <w:noWrap/>
            <w:vAlign w:val="center"/>
            <w:hideMark/>
          </w:tcPr>
          <w:p w14:paraId="3F722B7B" w14:textId="77777777" w:rsidR="00154AD2" w:rsidRDefault="007F6BF3">
            <w:pPr>
              <w:pStyle w:val="P68B1DB1-Normal8"/>
              <w:keepNext/>
              <w:spacing w:before="40" w:after="0" w:line="240" w:lineRule="auto"/>
              <w:jc w:val="center"/>
              <w:rPr>
                <w:rFonts w:eastAsia="Times New Roman" w:cs="Calibri"/>
                <w:noProof/>
              </w:rPr>
            </w:pPr>
            <w:r>
              <w:rPr>
                <w:noProof/>
              </w:rPr>
              <w:t xml:space="preserve">Παράδοση ερευνητικού σκάφους </w:t>
            </w:r>
          </w:p>
        </w:tc>
        <w:tc>
          <w:tcPr>
            <w:tcW w:w="1231" w:type="dxa"/>
            <w:shd w:val="clear" w:color="auto" w:fill="C4EFCE"/>
            <w:noWrap/>
            <w:vAlign w:val="center"/>
            <w:hideMark/>
          </w:tcPr>
          <w:p w14:paraId="19FAE713" w14:textId="77777777" w:rsidR="00154AD2" w:rsidRDefault="007F6BF3">
            <w:pPr>
              <w:pStyle w:val="P68B1DB1-Normal8"/>
              <w:keepNext/>
              <w:spacing w:before="40" w:after="0" w:line="240" w:lineRule="auto"/>
              <w:jc w:val="center"/>
              <w:rPr>
                <w:rFonts w:eastAsia="Times New Roman" w:cs="Calibri"/>
                <w:noProof/>
              </w:rPr>
            </w:pPr>
            <w:r>
              <w:rPr>
                <w:noProof/>
              </w:rPr>
              <w:t xml:space="preserve"> Παράδοση ερευνητικού σκάφους</w:t>
            </w:r>
          </w:p>
        </w:tc>
        <w:tc>
          <w:tcPr>
            <w:tcW w:w="962" w:type="dxa"/>
            <w:shd w:val="clear" w:color="auto" w:fill="C4EFCE"/>
            <w:noWrap/>
            <w:vAlign w:val="center"/>
            <w:hideMark/>
          </w:tcPr>
          <w:p w14:paraId="497F9221" w14:textId="77777777" w:rsidR="00154AD2" w:rsidRDefault="007F6BF3">
            <w:pPr>
              <w:pStyle w:val="P68B1DB1-Normal8"/>
              <w:keepNext/>
              <w:spacing w:before="40" w:after="0" w:line="240" w:lineRule="auto"/>
              <w:jc w:val="center"/>
              <w:rPr>
                <w:rFonts w:eastAsia="Times New Roman" w:cs="Calibri"/>
                <w:noProof/>
              </w:rPr>
            </w:pPr>
            <w:r>
              <w:rPr>
                <w:noProof/>
              </w:rPr>
              <w:t> </w:t>
            </w:r>
          </w:p>
        </w:tc>
        <w:tc>
          <w:tcPr>
            <w:tcW w:w="961" w:type="dxa"/>
            <w:shd w:val="clear" w:color="auto" w:fill="C4EFCE"/>
            <w:noWrap/>
            <w:vAlign w:val="center"/>
            <w:hideMark/>
          </w:tcPr>
          <w:p w14:paraId="3E15C7BE" w14:textId="77777777" w:rsidR="00154AD2" w:rsidRDefault="007F6BF3">
            <w:pPr>
              <w:pStyle w:val="P68B1DB1-Normal8"/>
              <w:keepNext/>
              <w:spacing w:before="40" w:after="0" w:line="240" w:lineRule="auto"/>
              <w:jc w:val="center"/>
              <w:rPr>
                <w:rFonts w:eastAsia="Times New Roman" w:cs="Calibri"/>
                <w:noProof/>
              </w:rPr>
            </w:pPr>
            <w:r>
              <w:rPr>
                <w:noProof/>
              </w:rPr>
              <w:t> </w:t>
            </w:r>
          </w:p>
        </w:tc>
        <w:tc>
          <w:tcPr>
            <w:tcW w:w="690" w:type="dxa"/>
            <w:shd w:val="clear" w:color="auto" w:fill="C4EFCE"/>
            <w:noWrap/>
            <w:vAlign w:val="center"/>
            <w:hideMark/>
          </w:tcPr>
          <w:p w14:paraId="649C9000" w14:textId="77777777" w:rsidR="00154AD2" w:rsidRDefault="007F6BF3">
            <w:pPr>
              <w:pStyle w:val="P68B1DB1-Normal8"/>
              <w:keepNext/>
              <w:spacing w:before="40" w:after="0" w:line="240" w:lineRule="auto"/>
              <w:jc w:val="center"/>
              <w:rPr>
                <w:rFonts w:eastAsia="Times New Roman" w:cs="Calibri"/>
                <w:noProof/>
              </w:rPr>
            </w:pPr>
            <w:r>
              <w:rPr>
                <w:noProof/>
              </w:rPr>
              <w:t> </w:t>
            </w:r>
          </w:p>
        </w:tc>
        <w:tc>
          <w:tcPr>
            <w:tcW w:w="554" w:type="dxa"/>
            <w:shd w:val="clear" w:color="auto" w:fill="C4EFCE"/>
            <w:noWrap/>
            <w:vAlign w:val="center"/>
            <w:hideMark/>
          </w:tcPr>
          <w:p w14:paraId="654D30E1" w14:textId="027BD054" w:rsidR="00154AD2" w:rsidRDefault="007F6BF3">
            <w:pPr>
              <w:pStyle w:val="P68B1DB1-Normal8"/>
              <w:keepNext/>
              <w:spacing w:before="40" w:after="0" w:line="240" w:lineRule="auto"/>
              <w:jc w:val="center"/>
              <w:rPr>
                <w:rFonts w:eastAsia="Times New Roman" w:cs="Calibri"/>
                <w:noProof/>
              </w:rPr>
            </w:pPr>
            <w:r>
              <w:rPr>
                <w:noProof/>
              </w:rPr>
              <w:t>ΤΡΊΜΗΝΟ 4</w:t>
            </w:r>
          </w:p>
        </w:tc>
        <w:tc>
          <w:tcPr>
            <w:tcW w:w="684" w:type="dxa"/>
            <w:shd w:val="clear" w:color="auto" w:fill="C4EFCE"/>
            <w:noWrap/>
            <w:vAlign w:val="center"/>
            <w:hideMark/>
          </w:tcPr>
          <w:p w14:paraId="5D59229F" w14:textId="1FE12986" w:rsidR="00154AD2" w:rsidRDefault="007F6BF3">
            <w:pPr>
              <w:pStyle w:val="P68B1DB1-Normal8"/>
              <w:keepNext/>
              <w:spacing w:before="40" w:after="0" w:line="240" w:lineRule="auto"/>
              <w:jc w:val="center"/>
              <w:rPr>
                <w:rFonts w:eastAsia="Times New Roman" w:cs="Calibri"/>
                <w:noProof/>
              </w:rPr>
            </w:pPr>
            <w:r>
              <w:rPr>
                <w:noProof/>
              </w:rPr>
              <w:t>2025</w:t>
            </w:r>
          </w:p>
        </w:tc>
        <w:tc>
          <w:tcPr>
            <w:tcW w:w="5223" w:type="dxa"/>
            <w:shd w:val="clear" w:color="auto" w:fill="C4EFCE"/>
            <w:vAlign w:val="center"/>
            <w:hideMark/>
          </w:tcPr>
          <w:p w14:paraId="3F920368" w14:textId="7AA2937D" w:rsidR="00154AD2" w:rsidRDefault="007F6BF3">
            <w:pPr>
              <w:pStyle w:val="P68B1DB1-Normal8"/>
              <w:keepNext/>
              <w:spacing w:before="40" w:after="0" w:line="240" w:lineRule="auto"/>
              <w:jc w:val="both"/>
              <w:rPr>
                <w:rFonts w:eastAsia="Times New Roman" w:cs="Calibri"/>
                <w:noProof/>
              </w:rPr>
            </w:pPr>
            <w:r>
              <w:rPr>
                <w:noProof/>
              </w:rPr>
              <w:t>Παράδοση σύγχρονου ερευνητικού σκάφους. Είναι σε θέση να λειτουργεί σε μεγάλα βάθη, περιλαμβάνει σύγχρονο εξοπλισμό έρευνας και επικοινωνίας δεδομένων, δυναμικό εντοπισμό θέσης, ικανότητα χειρισμού οχημάτων τηλεχειρισμού, πελαγικών δικτύων, δράγων, κιβωτίων, με υψηλά τεχνολογικά πρότυπα όσον αφορά τις ικανότητες και τον εξοπλισμό υψηλής ενεργειακής απόδοσης, για την κάλυψη των τρεχουσών αναγκών στους τομείς της θαλάσσιας έρευνας και παρακολούθησης ή της προώθησης της βιώσιμης χρήσης των ωκεανών.</w:t>
            </w:r>
          </w:p>
        </w:tc>
      </w:tr>
      <w:tr w:rsidR="00154AD2" w14:paraId="622F6723" w14:textId="77777777">
        <w:trPr>
          <w:trHeight w:val="1060"/>
          <w:jc w:val="center"/>
        </w:trPr>
        <w:tc>
          <w:tcPr>
            <w:tcW w:w="1101" w:type="dxa"/>
            <w:shd w:val="clear" w:color="auto" w:fill="C4EFCE"/>
            <w:vAlign w:val="center"/>
          </w:tcPr>
          <w:p w14:paraId="42689895" w14:textId="717581FE" w:rsidR="00154AD2" w:rsidRDefault="007F6BF3">
            <w:pPr>
              <w:pStyle w:val="P68B1DB1-Normal11"/>
              <w:keepNext/>
              <w:spacing w:before="40" w:after="0" w:line="240" w:lineRule="auto"/>
              <w:jc w:val="center"/>
              <w:rPr>
                <w:rFonts w:eastAsia="Times New Roman"/>
                <w:noProof/>
              </w:rPr>
            </w:pPr>
            <w:r>
              <w:rPr>
                <w:noProof/>
              </w:rPr>
              <w:t>10.11</w:t>
            </w:r>
          </w:p>
        </w:tc>
        <w:tc>
          <w:tcPr>
            <w:tcW w:w="1231" w:type="dxa"/>
            <w:shd w:val="clear" w:color="auto" w:fill="C4EFCE"/>
            <w:noWrap/>
            <w:vAlign w:val="center"/>
          </w:tcPr>
          <w:p w14:paraId="41B255A2" w14:textId="2496DE23" w:rsidR="00154AD2" w:rsidRDefault="007F6BF3">
            <w:pPr>
              <w:pStyle w:val="P68B1DB1-Normal12"/>
              <w:keepNext/>
              <w:spacing w:before="40" w:after="0" w:line="240" w:lineRule="auto"/>
              <w:jc w:val="center"/>
              <w:rPr>
                <w:rFonts w:eastAsia="Times New Roman" w:cstheme="minorHAnsi"/>
                <w:noProof/>
              </w:rPr>
            </w:pPr>
            <w:r>
              <w:rPr>
                <w:noProof/>
              </w:rPr>
              <w:t xml:space="preserve"> TC-C10-i04-RAA</w:t>
            </w:r>
          </w:p>
        </w:tc>
        <w:tc>
          <w:tcPr>
            <w:tcW w:w="1096" w:type="dxa"/>
            <w:shd w:val="clear" w:color="auto" w:fill="C4EFCE"/>
            <w:noWrap/>
            <w:vAlign w:val="center"/>
          </w:tcPr>
          <w:p w14:paraId="718C08F5" w14:textId="0ECD9053" w:rsidR="00154AD2" w:rsidRDefault="007F6BF3">
            <w:pPr>
              <w:pStyle w:val="P68B1DB1-Normal12"/>
              <w:keepNext/>
              <w:spacing w:before="40" w:after="0" w:line="240" w:lineRule="auto"/>
              <w:jc w:val="center"/>
              <w:rPr>
                <w:rFonts w:eastAsia="Times New Roman" w:cstheme="minorHAnsi"/>
                <w:noProof/>
              </w:rPr>
            </w:pPr>
            <w:r>
              <w:rPr>
                <w:noProof/>
              </w:rPr>
              <w:t>M</w:t>
            </w:r>
          </w:p>
        </w:tc>
        <w:tc>
          <w:tcPr>
            <w:tcW w:w="1640" w:type="dxa"/>
            <w:shd w:val="clear" w:color="auto" w:fill="C4EFCE"/>
            <w:noWrap/>
            <w:vAlign w:val="center"/>
          </w:tcPr>
          <w:p w14:paraId="2440886E" w14:textId="5BA56187" w:rsidR="00154AD2" w:rsidRDefault="007F6BF3">
            <w:pPr>
              <w:pStyle w:val="P68B1DB1-Normal12"/>
              <w:keepNext/>
              <w:spacing w:before="40" w:after="0" w:line="240" w:lineRule="auto"/>
              <w:jc w:val="center"/>
              <w:rPr>
                <w:rFonts w:eastAsia="Arial" w:cstheme="minorHAnsi"/>
                <w:noProof/>
              </w:rPr>
            </w:pPr>
            <w:r>
              <w:rPr>
                <w:noProof/>
              </w:rPr>
              <w:t xml:space="preserve">Παράδοση 2 ενοτήτων για το νέο ερευνητικό σκάφος </w:t>
            </w:r>
          </w:p>
        </w:tc>
        <w:tc>
          <w:tcPr>
            <w:tcW w:w="1231" w:type="dxa"/>
            <w:shd w:val="clear" w:color="auto" w:fill="C4EFCE"/>
            <w:noWrap/>
            <w:vAlign w:val="center"/>
          </w:tcPr>
          <w:p w14:paraId="5ABEAD50" w14:textId="3E3B82CC" w:rsidR="00154AD2" w:rsidRDefault="007F6BF3">
            <w:pPr>
              <w:pStyle w:val="P68B1DB1-Normal12"/>
              <w:keepNext/>
              <w:spacing w:before="40" w:after="0" w:line="240" w:lineRule="auto"/>
              <w:jc w:val="center"/>
              <w:rPr>
                <w:rFonts w:eastAsia="Times New Roman" w:cstheme="minorHAnsi"/>
                <w:noProof/>
              </w:rPr>
            </w:pPr>
            <w:r>
              <w:rPr>
                <w:noProof/>
              </w:rPr>
              <w:t>Παράδοση 2 ενοτήτων για το νέο ερευνητικό σκάφος</w:t>
            </w:r>
          </w:p>
        </w:tc>
        <w:tc>
          <w:tcPr>
            <w:tcW w:w="962" w:type="dxa"/>
            <w:shd w:val="clear" w:color="auto" w:fill="C4EFCE"/>
            <w:noWrap/>
            <w:vAlign w:val="center"/>
          </w:tcPr>
          <w:p w14:paraId="600BCF98" w14:textId="77777777" w:rsidR="00154AD2" w:rsidRDefault="00154AD2">
            <w:pPr>
              <w:keepNext/>
              <w:spacing w:before="40" w:after="0" w:line="240" w:lineRule="auto"/>
              <w:jc w:val="center"/>
              <w:rPr>
                <w:rFonts w:eastAsia="Times New Roman" w:cstheme="minorHAnsi"/>
                <w:noProof/>
                <w:sz w:val="16"/>
              </w:rPr>
            </w:pPr>
          </w:p>
        </w:tc>
        <w:tc>
          <w:tcPr>
            <w:tcW w:w="961" w:type="dxa"/>
            <w:shd w:val="clear" w:color="auto" w:fill="C4EFCE"/>
            <w:noWrap/>
            <w:vAlign w:val="center"/>
          </w:tcPr>
          <w:p w14:paraId="4027EBE3" w14:textId="1E059CAD" w:rsidR="00154AD2" w:rsidRDefault="00154AD2">
            <w:pPr>
              <w:keepNext/>
              <w:spacing w:before="40" w:after="0" w:line="240" w:lineRule="auto"/>
              <w:jc w:val="center"/>
              <w:rPr>
                <w:rFonts w:cstheme="minorHAnsi"/>
                <w:noProof/>
                <w:sz w:val="16"/>
              </w:rPr>
            </w:pPr>
          </w:p>
        </w:tc>
        <w:tc>
          <w:tcPr>
            <w:tcW w:w="690" w:type="dxa"/>
            <w:shd w:val="clear" w:color="auto" w:fill="C4EFCE"/>
            <w:noWrap/>
            <w:vAlign w:val="center"/>
          </w:tcPr>
          <w:p w14:paraId="56912BFF" w14:textId="585868F2" w:rsidR="00154AD2" w:rsidRDefault="00154AD2">
            <w:pPr>
              <w:keepNext/>
              <w:spacing w:before="40" w:after="0" w:line="240" w:lineRule="auto"/>
              <w:jc w:val="center"/>
              <w:rPr>
                <w:rFonts w:cstheme="minorHAnsi"/>
                <w:noProof/>
                <w:sz w:val="16"/>
              </w:rPr>
            </w:pPr>
          </w:p>
        </w:tc>
        <w:tc>
          <w:tcPr>
            <w:tcW w:w="554" w:type="dxa"/>
            <w:shd w:val="clear" w:color="auto" w:fill="C4EFCE"/>
            <w:noWrap/>
            <w:vAlign w:val="center"/>
          </w:tcPr>
          <w:p w14:paraId="1A51A8E2" w14:textId="5CF011EB" w:rsidR="00154AD2" w:rsidRDefault="007F6BF3">
            <w:pPr>
              <w:pStyle w:val="P68B1DB1-Normal12"/>
              <w:keepNext/>
              <w:spacing w:before="40" w:after="0" w:line="240" w:lineRule="auto"/>
              <w:jc w:val="center"/>
              <w:rPr>
                <w:rFonts w:eastAsia="Arial" w:cstheme="minorHAnsi"/>
                <w:noProof/>
              </w:rPr>
            </w:pPr>
            <w:r>
              <w:rPr>
                <w:noProof/>
              </w:rPr>
              <w:t>ΤΡΊΜΗΝΟ 2</w:t>
            </w:r>
          </w:p>
        </w:tc>
        <w:tc>
          <w:tcPr>
            <w:tcW w:w="684" w:type="dxa"/>
            <w:shd w:val="clear" w:color="auto" w:fill="C4EFCE"/>
            <w:noWrap/>
            <w:vAlign w:val="center"/>
          </w:tcPr>
          <w:p w14:paraId="49C8B85F" w14:textId="00EC4422" w:rsidR="00154AD2" w:rsidRDefault="007F6BF3">
            <w:pPr>
              <w:pStyle w:val="P68B1DB1-Normal12"/>
              <w:keepNext/>
              <w:spacing w:before="40" w:after="0" w:line="240" w:lineRule="auto"/>
              <w:jc w:val="center"/>
              <w:rPr>
                <w:rFonts w:eastAsia="Arial" w:cstheme="minorHAnsi"/>
                <w:noProof/>
              </w:rPr>
            </w:pPr>
            <w:r>
              <w:rPr>
                <w:noProof/>
              </w:rPr>
              <w:t>2026</w:t>
            </w:r>
          </w:p>
        </w:tc>
        <w:tc>
          <w:tcPr>
            <w:tcW w:w="5223" w:type="dxa"/>
            <w:shd w:val="clear" w:color="auto" w:fill="C4EFCE"/>
            <w:vAlign w:val="center"/>
          </w:tcPr>
          <w:p w14:paraId="3455FF49" w14:textId="02FE8514" w:rsidR="00154AD2" w:rsidRDefault="007F6BF3">
            <w:pPr>
              <w:pStyle w:val="P68B1DB1-Normal12"/>
              <w:keepNext/>
              <w:spacing w:before="40" w:after="0" w:line="240" w:lineRule="auto"/>
              <w:jc w:val="both"/>
              <w:rPr>
                <w:rFonts w:eastAsia="Calibri" w:cstheme="minorHAnsi"/>
                <w:noProof/>
              </w:rPr>
            </w:pPr>
            <w:r>
              <w:rPr>
                <w:noProof/>
              </w:rPr>
              <w:t>Παράδοση 2 ενοτήτων για τη νέα έρευνα σκαφών: 1 ενότητα ROV και 1 Ενότητα εξοπλισμού τράτας</w:t>
            </w:r>
          </w:p>
        </w:tc>
      </w:tr>
      <w:tr w:rsidR="00154AD2" w14:paraId="4ED5D0BF" w14:textId="77777777">
        <w:trPr>
          <w:trHeight w:val="61"/>
          <w:jc w:val="center"/>
        </w:trPr>
        <w:tc>
          <w:tcPr>
            <w:tcW w:w="1101" w:type="dxa"/>
            <w:shd w:val="clear" w:color="auto" w:fill="C4EFCE"/>
            <w:vAlign w:val="center"/>
            <w:hideMark/>
          </w:tcPr>
          <w:p w14:paraId="1D980CEA" w14:textId="4E2C1C4E" w:rsidR="00154AD2" w:rsidRDefault="007F6BF3">
            <w:pPr>
              <w:pStyle w:val="P68B1DB1-Normal7"/>
              <w:keepNext/>
              <w:spacing w:before="40" w:after="0" w:line="240" w:lineRule="auto"/>
              <w:jc w:val="center"/>
              <w:rPr>
                <w:rFonts w:eastAsia="Times New Roman" w:cs="Calibri"/>
                <w:noProof/>
              </w:rPr>
            </w:pPr>
            <w:r>
              <w:rPr>
                <w:noProof/>
              </w:rPr>
              <w:t>10.10</w:t>
            </w:r>
          </w:p>
        </w:tc>
        <w:tc>
          <w:tcPr>
            <w:tcW w:w="1231" w:type="dxa"/>
            <w:shd w:val="clear" w:color="auto" w:fill="C4EFCE"/>
            <w:noWrap/>
            <w:vAlign w:val="center"/>
            <w:hideMark/>
          </w:tcPr>
          <w:p w14:paraId="6D342640" w14:textId="77777777" w:rsidR="00154AD2" w:rsidRDefault="007F6BF3">
            <w:pPr>
              <w:pStyle w:val="P68B1DB1-Normal8"/>
              <w:keepNext/>
              <w:spacing w:before="40" w:after="0" w:line="240" w:lineRule="auto"/>
              <w:jc w:val="center"/>
              <w:rPr>
                <w:rFonts w:eastAsia="Times New Roman" w:cs="Calibri"/>
                <w:noProof/>
              </w:rPr>
            </w:pPr>
            <w:r>
              <w:rPr>
                <w:noProof/>
              </w:rPr>
              <w:t>TC-C10-i04-RAA</w:t>
            </w:r>
          </w:p>
        </w:tc>
        <w:tc>
          <w:tcPr>
            <w:tcW w:w="1096" w:type="dxa"/>
            <w:shd w:val="clear" w:color="auto" w:fill="C4EFCE"/>
            <w:noWrap/>
            <w:vAlign w:val="center"/>
            <w:hideMark/>
          </w:tcPr>
          <w:p w14:paraId="04AC5CC4" w14:textId="77777777" w:rsidR="00154AD2" w:rsidRDefault="007F6BF3">
            <w:pPr>
              <w:pStyle w:val="P68B1DB1-Normal8"/>
              <w:keepNext/>
              <w:spacing w:before="40" w:after="0" w:line="240" w:lineRule="auto"/>
              <w:jc w:val="center"/>
              <w:rPr>
                <w:rFonts w:eastAsia="Times New Roman" w:cs="Calibri"/>
                <w:noProof/>
              </w:rPr>
            </w:pPr>
            <w:r>
              <w:rPr>
                <w:noProof/>
              </w:rPr>
              <w:t xml:space="preserve">M </w:t>
            </w:r>
          </w:p>
        </w:tc>
        <w:tc>
          <w:tcPr>
            <w:tcW w:w="1640" w:type="dxa"/>
            <w:shd w:val="clear" w:color="auto" w:fill="C4EFCE"/>
            <w:noWrap/>
            <w:vAlign w:val="center"/>
            <w:hideMark/>
          </w:tcPr>
          <w:p w14:paraId="636F73E3" w14:textId="16AB0CF0" w:rsidR="00154AD2" w:rsidRDefault="007F6BF3">
            <w:pPr>
              <w:pStyle w:val="P68B1DB1-Normal8"/>
              <w:keepNext/>
              <w:spacing w:before="40" w:after="0" w:line="240" w:lineRule="auto"/>
              <w:jc w:val="center"/>
              <w:rPr>
                <w:rFonts w:eastAsia="Times New Roman" w:cs="Calibri"/>
                <w:noProof/>
              </w:rPr>
            </w:pPr>
            <w:r>
              <w:rPr>
                <w:noProof/>
              </w:rPr>
              <w:t>Θέση σε λειτουργία του κέντρου πειραματικής έρευνας και ανάπτυξης που συνδέεται με τη θάλασσα στις Αζόρες (κέντρο MARTEC)</w:t>
            </w:r>
          </w:p>
        </w:tc>
        <w:tc>
          <w:tcPr>
            <w:tcW w:w="1231" w:type="dxa"/>
            <w:shd w:val="clear" w:color="auto" w:fill="C4EFCE"/>
            <w:noWrap/>
            <w:vAlign w:val="center"/>
            <w:hideMark/>
          </w:tcPr>
          <w:p w14:paraId="45BDBD81" w14:textId="41D58349" w:rsidR="00154AD2" w:rsidRDefault="007F6BF3">
            <w:pPr>
              <w:pStyle w:val="P68B1DB1-Normal8"/>
              <w:keepNext/>
              <w:spacing w:before="40" w:after="0" w:line="240" w:lineRule="auto"/>
              <w:jc w:val="center"/>
              <w:rPr>
                <w:rFonts w:eastAsia="Times New Roman" w:cs="Calibri"/>
                <w:noProof/>
              </w:rPr>
            </w:pPr>
            <w:r>
              <w:rPr>
                <w:noProof/>
              </w:rPr>
              <w:t>Θέση σε λειτουργία του κέντρου πειραματικής έρευνας και ανάπτυξης που συνδέεται με τη θάλασσα στις Αζόρες (κέντρο MARTEC)</w:t>
            </w:r>
          </w:p>
        </w:tc>
        <w:tc>
          <w:tcPr>
            <w:tcW w:w="962" w:type="dxa"/>
            <w:shd w:val="clear" w:color="auto" w:fill="C4EFCE"/>
            <w:noWrap/>
            <w:vAlign w:val="center"/>
            <w:hideMark/>
          </w:tcPr>
          <w:p w14:paraId="1B1BE93D" w14:textId="77777777" w:rsidR="00154AD2" w:rsidRDefault="007F6BF3">
            <w:pPr>
              <w:pStyle w:val="P68B1DB1-Normal8"/>
              <w:keepNext/>
              <w:spacing w:before="40" w:after="0" w:line="240" w:lineRule="auto"/>
              <w:jc w:val="center"/>
              <w:rPr>
                <w:rFonts w:eastAsia="Times New Roman" w:cs="Calibri"/>
                <w:noProof/>
              </w:rPr>
            </w:pPr>
            <w:r>
              <w:rPr>
                <w:noProof/>
              </w:rPr>
              <w:t> </w:t>
            </w:r>
          </w:p>
        </w:tc>
        <w:tc>
          <w:tcPr>
            <w:tcW w:w="961" w:type="dxa"/>
            <w:shd w:val="clear" w:color="auto" w:fill="C4EFCE"/>
            <w:noWrap/>
            <w:vAlign w:val="center"/>
            <w:hideMark/>
          </w:tcPr>
          <w:p w14:paraId="18CF87CE" w14:textId="77777777" w:rsidR="00154AD2" w:rsidRDefault="007F6BF3">
            <w:pPr>
              <w:pStyle w:val="P68B1DB1-Normal8"/>
              <w:keepNext/>
              <w:spacing w:before="40" w:after="0" w:line="240" w:lineRule="auto"/>
              <w:jc w:val="center"/>
              <w:rPr>
                <w:rFonts w:eastAsia="Times New Roman" w:cs="Calibri"/>
                <w:noProof/>
              </w:rPr>
            </w:pPr>
            <w:r>
              <w:rPr>
                <w:noProof/>
              </w:rPr>
              <w:t> </w:t>
            </w:r>
          </w:p>
        </w:tc>
        <w:tc>
          <w:tcPr>
            <w:tcW w:w="690" w:type="dxa"/>
            <w:shd w:val="clear" w:color="auto" w:fill="C4EFCE"/>
            <w:noWrap/>
            <w:vAlign w:val="center"/>
            <w:hideMark/>
          </w:tcPr>
          <w:p w14:paraId="6C99979D" w14:textId="77777777" w:rsidR="00154AD2" w:rsidRDefault="007F6BF3">
            <w:pPr>
              <w:pStyle w:val="P68B1DB1-Normal8"/>
              <w:keepNext/>
              <w:spacing w:before="40" w:after="0" w:line="240" w:lineRule="auto"/>
              <w:jc w:val="center"/>
              <w:rPr>
                <w:rFonts w:eastAsia="Times New Roman" w:cs="Calibri"/>
                <w:noProof/>
              </w:rPr>
            </w:pPr>
            <w:r>
              <w:rPr>
                <w:noProof/>
              </w:rPr>
              <w:t> </w:t>
            </w:r>
          </w:p>
        </w:tc>
        <w:tc>
          <w:tcPr>
            <w:tcW w:w="554" w:type="dxa"/>
            <w:shd w:val="clear" w:color="auto" w:fill="C4EFCE"/>
            <w:noWrap/>
            <w:vAlign w:val="center"/>
            <w:hideMark/>
          </w:tcPr>
          <w:p w14:paraId="5B5A6190" w14:textId="371A61A9" w:rsidR="00154AD2" w:rsidRDefault="007F6BF3">
            <w:pPr>
              <w:pStyle w:val="P68B1DB1-Normal8"/>
              <w:keepNext/>
              <w:spacing w:before="40" w:after="0" w:line="240" w:lineRule="auto"/>
              <w:jc w:val="center"/>
              <w:rPr>
                <w:rFonts w:eastAsia="Times New Roman" w:cs="Calibri"/>
                <w:noProof/>
              </w:rPr>
            </w:pPr>
            <w:r>
              <w:rPr>
                <w:noProof/>
              </w:rPr>
              <w:t>ΤΡΊΜΗΝΟ 2</w:t>
            </w:r>
          </w:p>
        </w:tc>
        <w:tc>
          <w:tcPr>
            <w:tcW w:w="684" w:type="dxa"/>
            <w:shd w:val="clear" w:color="auto" w:fill="C4EFCE"/>
            <w:noWrap/>
            <w:vAlign w:val="center"/>
            <w:hideMark/>
          </w:tcPr>
          <w:p w14:paraId="355DB126" w14:textId="0A215794" w:rsidR="00154AD2" w:rsidRDefault="007F6BF3">
            <w:pPr>
              <w:pStyle w:val="P68B1DB1-Normal8"/>
              <w:keepNext/>
              <w:spacing w:before="40" w:after="0" w:line="240" w:lineRule="auto"/>
              <w:jc w:val="center"/>
              <w:rPr>
                <w:rFonts w:eastAsia="Times New Roman" w:cs="Calibri"/>
                <w:noProof/>
              </w:rPr>
            </w:pPr>
            <w:r>
              <w:rPr>
                <w:noProof/>
              </w:rPr>
              <w:t>2026</w:t>
            </w:r>
          </w:p>
        </w:tc>
        <w:tc>
          <w:tcPr>
            <w:tcW w:w="5223" w:type="dxa"/>
            <w:shd w:val="clear" w:color="auto" w:fill="C4EFCE"/>
            <w:vAlign w:val="center"/>
            <w:hideMark/>
          </w:tcPr>
          <w:p w14:paraId="3E083202" w14:textId="4E0D2C48" w:rsidR="00154AD2" w:rsidRDefault="007F6BF3">
            <w:pPr>
              <w:pStyle w:val="P68B1DB1-Normal9"/>
              <w:keepNext/>
              <w:spacing w:before="40" w:after="0" w:line="240" w:lineRule="auto"/>
              <w:jc w:val="both"/>
              <w:rPr>
                <w:rFonts w:eastAsia="Times New Roman" w:cs="Calibri"/>
                <w:noProof/>
                <w:sz w:val="16"/>
              </w:rPr>
            </w:pPr>
            <w:r>
              <w:rPr>
                <w:noProof/>
                <w:sz w:val="4"/>
              </w:rPr>
              <w:t> </w:t>
            </w:r>
            <w:r>
              <w:rPr>
                <w:noProof/>
                <w:sz w:val="16"/>
              </w:rPr>
              <w:t xml:space="preserve">Δημιουργία και θέση σε λειτουργία ενός πειραματικού κέντρου έρευνας και ανάπτυξης που θα συνδέεται με τη θάλασσα, το οποίο θα μπορεί να είναι κοινό με τα θεσμικά όργανα του επιστημονικού και τεχνολογικού συστήματος των Αζορών και των επιχειρήσεων, το οποίο είναι αρμόδιο για την Ε &amp; Α σε παραδοσιακούς και αναδυόμενους τομείς, όπως η αλιεία και τα προϊόντα της, η υδατοκαλλιέργεια, η θαλάσσια βιοτεχνολογία, τα βιοϋλικά ή οι θαλάσσιες τεχνολογίες και συσκευές. Έναρξη λειτουργίας του κέντρου (τεχνικό κέντρο MARTEC), το οποίο βρίσκεται στη νήσο Faial. </w:t>
            </w:r>
          </w:p>
          <w:p w14:paraId="6661BE7E" w14:textId="06F54DE1" w:rsidR="00154AD2" w:rsidRDefault="007F6BF3">
            <w:pPr>
              <w:pStyle w:val="P68B1DB1-Normal8"/>
              <w:keepNext/>
              <w:spacing w:before="40" w:after="0" w:line="240" w:lineRule="auto"/>
              <w:jc w:val="both"/>
              <w:rPr>
                <w:rFonts w:eastAsia="Times New Roman" w:cs="Calibri"/>
                <w:noProof/>
              </w:rPr>
            </w:pPr>
            <w:r>
              <w:rPr>
                <w:noProof/>
              </w:rPr>
              <w:t>Τα νέα κτίρια έχουν ζήτηση πρωτογενούς ενέργειας τουλάχιστον 20 % χαμηλότερη από τις απαιτήσεις των κτιρίων με σχεδόν μηδενική κατανάλωση ενέργειας.</w:t>
            </w:r>
          </w:p>
        </w:tc>
      </w:tr>
      <w:tr w:rsidR="00154AD2" w14:paraId="3E3DE191" w14:textId="77777777">
        <w:trPr>
          <w:trHeight w:val="61"/>
          <w:jc w:val="center"/>
        </w:trPr>
        <w:tc>
          <w:tcPr>
            <w:tcW w:w="1101" w:type="dxa"/>
            <w:shd w:val="clear" w:color="auto" w:fill="C4EFCE"/>
            <w:vAlign w:val="center"/>
          </w:tcPr>
          <w:p w14:paraId="26903038" w14:textId="0E90B29C" w:rsidR="00154AD2" w:rsidRDefault="007F6BF3">
            <w:pPr>
              <w:pStyle w:val="P68B1DB1-Normal11"/>
              <w:keepNext/>
              <w:spacing w:after="0" w:line="240" w:lineRule="auto"/>
              <w:jc w:val="center"/>
              <w:rPr>
                <w:noProof/>
              </w:rPr>
            </w:pPr>
            <w:r>
              <w:rPr>
                <w:noProof/>
              </w:rPr>
              <w:t>10.12</w:t>
            </w:r>
          </w:p>
        </w:tc>
        <w:tc>
          <w:tcPr>
            <w:tcW w:w="1231" w:type="dxa"/>
            <w:shd w:val="clear" w:color="auto" w:fill="C4EFCE"/>
            <w:noWrap/>
            <w:vAlign w:val="center"/>
          </w:tcPr>
          <w:p w14:paraId="0496A8A4" w14:textId="19D8C5CA" w:rsidR="00154AD2" w:rsidRDefault="007F6BF3">
            <w:pPr>
              <w:pStyle w:val="P68B1DB1-Normal12"/>
              <w:keepNext/>
              <w:spacing w:after="0" w:line="240" w:lineRule="auto"/>
              <w:jc w:val="center"/>
              <w:rPr>
                <w:rFonts w:eastAsia="Times New Roman" w:cstheme="minorHAnsi"/>
                <w:noProof/>
              </w:rPr>
            </w:pPr>
            <w:r>
              <w:rPr>
                <w:noProof/>
              </w:rPr>
              <w:t>TC-C10-i05-RAA</w:t>
            </w:r>
          </w:p>
        </w:tc>
        <w:tc>
          <w:tcPr>
            <w:tcW w:w="1096" w:type="dxa"/>
            <w:shd w:val="clear" w:color="auto" w:fill="C4EFCE"/>
            <w:noWrap/>
            <w:vAlign w:val="center"/>
          </w:tcPr>
          <w:p w14:paraId="22D05C51" w14:textId="779F89BB" w:rsidR="00154AD2" w:rsidRDefault="007F6BF3">
            <w:pPr>
              <w:pStyle w:val="P68B1DB1-Normal12"/>
              <w:keepNext/>
              <w:spacing w:after="0" w:line="240" w:lineRule="auto"/>
              <w:jc w:val="center"/>
              <w:rPr>
                <w:rFonts w:eastAsia="Times New Roman" w:cstheme="minorHAnsi"/>
                <w:noProof/>
              </w:rPr>
            </w:pPr>
            <w:r>
              <w:rPr>
                <w:noProof/>
              </w:rPr>
              <w:t>T</w:t>
            </w:r>
          </w:p>
        </w:tc>
        <w:tc>
          <w:tcPr>
            <w:tcW w:w="1640" w:type="dxa"/>
            <w:shd w:val="clear" w:color="auto" w:fill="C4EFCE"/>
            <w:noWrap/>
            <w:vAlign w:val="center"/>
          </w:tcPr>
          <w:p w14:paraId="2E7266DE" w14:textId="3E73B555" w:rsidR="00154AD2" w:rsidRDefault="007F6BF3">
            <w:pPr>
              <w:pStyle w:val="P68B1DB1-Normal12"/>
              <w:keepNext/>
              <w:spacing w:after="0" w:line="240" w:lineRule="auto"/>
              <w:jc w:val="center"/>
              <w:rPr>
                <w:rFonts w:eastAsia="Times New Roman" w:cstheme="minorHAnsi"/>
                <w:noProof/>
              </w:rPr>
            </w:pPr>
            <w:r>
              <w:rPr>
                <w:noProof/>
              </w:rPr>
              <w:t xml:space="preserve">Ολοκλήρωση έργων στον τομέα της αλιείας και της υδατοκαλλιέργειας </w:t>
            </w:r>
          </w:p>
        </w:tc>
        <w:tc>
          <w:tcPr>
            <w:tcW w:w="1231" w:type="dxa"/>
            <w:shd w:val="clear" w:color="auto" w:fill="C4EFCE"/>
            <w:noWrap/>
            <w:vAlign w:val="center"/>
          </w:tcPr>
          <w:p w14:paraId="75E12B83" w14:textId="77777777" w:rsidR="00154AD2" w:rsidRDefault="00154AD2">
            <w:pPr>
              <w:keepNext/>
              <w:spacing w:after="0" w:line="240" w:lineRule="auto"/>
              <w:jc w:val="center"/>
              <w:rPr>
                <w:rFonts w:eastAsia="Times New Roman" w:cstheme="minorHAnsi"/>
                <w:noProof/>
                <w:sz w:val="16"/>
              </w:rPr>
            </w:pPr>
          </w:p>
        </w:tc>
        <w:tc>
          <w:tcPr>
            <w:tcW w:w="962" w:type="dxa"/>
            <w:shd w:val="clear" w:color="auto" w:fill="C4EFCE"/>
            <w:noWrap/>
            <w:vAlign w:val="center"/>
          </w:tcPr>
          <w:p w14:paraId="5A4F2AC3" w14:textId="78005504" w:rsidR="00154AD2" w:rsidRDefault="007F6BF3">
            <w:pPr>
              <w:pStyle w:val="P68B1DB1-Normal12"/>
              <w:keepNext/>
              <w:spacing w:after="0" w:line="240" w:lineRule="auto"/>
              <w:jc w:val="center"/>
              <w:rPr>
                <w:rFonts w:eastAsia="Times New Roman" w:cstheme="minorHAnsi"/>
                <w:noProof/>
              </w:rPr>
            </w:pPr>
            <w:r>
              <w:rPr>
                <w:noProof/>
              </w:rPr>
              <w:t>Αριθμός</w:t>
            </w:r>
          </w:p>
        </w:tc>
        <w:tc>
          <w:tcPr>
            <w:tcW w:w="961" w:type="dxa"/>
            <w:shd w:val="clear" w:color="auto" w:fill="C4EFCE"/>
            <w:noWrap/>
            <w:vAlign w:val="center"/>
          </w:tcPr>
          <w:p w14:paraId="2A286384" w14:textId="3FCA842C" w:rsidR="00154AD2" w:rsidRDefault="007F6BF3">
            <w:pPr>
              <w:pStyle w:val="P68B1DB1-Normal12"/>
              <w:keepNext/>
              <w:spacing w:after="0" w:line="240" w:lineRule="auto"/>
              <w:jc w:val="center"/>
              <w:rPr>
                <w:rFonts w:eastAsia="Times New Roman" w:cstheme="minorHAnsi"/>
                <w:noProof/>
              </w:rPr>
            </w:pPr>
            <w:r>
              <w:rPr>
                <w:noProof/>
              </w:rPr>
              <w:t>0</w:t>
            </w:r>
          </w:p>
        </w:tc>
        <w:tc>
          <w:tcPr>
            <w:tcW w:w="690" w:type="dxa"/>
            <w:shd w:val="clear" w:color="auto" w:fill="C4EFCE"/>
            <w:noWrap/>
            <w:vAlign w:val="center"/>
          </w:tcPr>
          <w:p w14:paraId="6A7E8F46" w14:textId="573D606D" w:rsidR="00154AD2" w:rsidRDefault="007F6BF3">
            <w:pPr>
              <w:pStyle w:val="P68B1DB1-Normal12"/>
              <w:keepNext/>
              <w:spacing w:after="0" w:line="240" w:lineRule="auto"/>
              <w:jc w:val="center"/>
              <w:rPr>
                <w:rFonts w:eastAsia="Times New Roman" w:cstheme="minorHAnsi"/>
                <w:noProof/>
              </w:rPr>
            </w:pPr>
            <w:r>
              <w:rPr>
                <w:noProof/>
              </w:rPr>
              <w:t>15</w:t>
            </w:r>
          </w:p>
        </w:tc>
        <w:tc>
          <w:tcPr>
            <w:tcW w:w="554" w:type="dxa"/>
            <w:shd w:val="clear" w:color="auto" w:fill="C4EFCE"/>
            <w:noWrap/>
            <w:vAlign w:val="center"/>
          </w:tcPr>
          <w:p w14:paraId="144B65D8" w14:textId="68A92AA2" w:rsidR="00154AD2" w:rsidRDefault="007F6BF3">
            <w:pPr>
              <w:pStyle w:val="P68B1DB1-Normal12"/>
              <w:keepNext/>
              <w:spacing w:after="0" w:line="240" w:lineRule="auto"/>
              <w:jc w:val="center"/>
              <w:rPr>
                <w:rFonts w:eastAsia="Times New Roman" w:cstheme="minorHAnsi"/>
                <w:noProof/>
              </w:rPr>
            </w:pPr>
            <w:r>
              <w:rPr>
                <w:noProof/>
              </w:rPr>
              <w:t>ΤΡΊΜΗΝΟ 1</w:t>
            </w:r>
          </w:p>
        </w:tc>
        <w:tc>
          <w:tcPr>
            <w:tcW w:w="684" w:type="dxa"/>
            <w:shd w:val="clear" w:color="auto" w:fill="C4EFCE"/>
            <w:noWrap/>
            <w:vAlign w:val="center"/>
          </w:tcPr>
          <w:p w14:paraId="2B8EDB26" w14:textId="3CD57E6A" w:rsidR="00154AD2" w:rsidRDefault="007F6BF3">
            <w:pPr>
              <w:pStyle w:val="P68B1DB1-Normal12"/>
              <w:keepNext/>
              <w:spacing w:after="0" w:line="240" w:lineRule="auto"/>
              <w:jc w:val="center"/>
              <w:rPr>
                <w:rFonts w:eastAsia="Times New Roman" w:cstheme="minorHAnsi"/>
                <w:noProof/>
              </w:rPr>
            </w:pPr>
            <w:r>
              <w:rPr>
                <w:noProof/>
              </w:rPr>
              <w:t>2026</w:t>
            </w:r>
          </w:p>
        </w:tc>
        <w:tc>
          <w:tcPr>
            <w:tcW w:w="5223" w:type="dxa"/>
            <w:shd w:val="clear" w:color="auto" w:fill="C4EFCE"/>
            <w:vAlign w:val="center"/>
          </w:tcPr>
          <w:p w14:paraId="2BBD1A35" w14:textId="6A68B2CD" w:rsidR="00154AD2" w:rsidRDefault="007F6BF3">
            <w:pPr>
              <w:pStyle w:val="P68B1DB1-Normal12"/>
              <w:keepNext/>
              <w:spacing w:after="0" w:line="240" w:lineRule="auto"/>
              <w:jc w:val="both"/>
              <w:rPr>
                <w:noProof/>
              </w:rPr>
            </w:pPr>
            <w:r>
              <w:rPr>
                <w:noProof/>
              </w:rPr>
              <w:t xml:space="preserve">Ολοκλήρωση 15 έργων που αφορούν τον εκσυγχρονισμό και την ανανέωση του αλιευτικού στόλου, την καινοτομία στον τομέα της αλιείας και της υδατοκαλλιέργειας για τη βελτίωση της ενεργειακής απόδοσης, τον εκσυγχρονισμό των διαδικασιών, τη μείωση της παραγωγής αποβλήτων στη θάλασσα και την προώθηση της κυκλικής οικονομίας σε όλους τους τομείς της αλιείας και της υδατοκαλλιέργειας, καθώς και τη διαφοροποίηση της αλιευτικής δραστηριότητας. </w:t>
            </w:r>
          </w:p>
          <w:p w14:paraId="227A05D1" w14:textId="3F225BEF" w:rsidR="00154AD2" w:rsidRDefault="007F6BF3">
            <w:pPr>
              <w:pStyle w:val="P68B1DB1-Normal12"/>
              <w:keepNext/>
              <w:spacing w:after="0" w:line="240" w:lineRule="auto"/>
              <w:jc w:val="both"/>
              <w:rPr>
                <w:rFonts w:eastAsia="Times New Roman" w:cstheme="minorHAnsi"/>
                <w:noProof/>
              </w:rPr>
            </w:pPr>
            <w:r>
              <w:rPr>
                <w:noProof/>
              </w:rPr>
              <w:t>Τα κριτήρια επιλογής διασφαλίζουν τη συμμόρφωση με την τεχνική καθοδήγηση για την εφαρμογή της αρχής της «μη πρόκλησης σημαντικής βλάβης» (2021/C58/01) των υποστηριζόμενων συναλλαγών στο πλαίσιο του παρόντος μέτρου μέσω της χρήσης καταλόγου αποκλεισμού (όπως ορίζεται στην περιγραφή του μέτρου) και την απαίτηση συμμόρφωσης με τη σχετική ενωσιακή και εθνική περιβαλλοντική νομοθεσία.</w:t>
            </w:r>
          </w:p>
        </w:tc>
      </w:tr>
      <w:tr w:rsidR="00154AD2" w14:paraId="7AA31F3F" w14:textId="77777777">
        <w:trPr>
          <w:trHeight w:val="61"/>
          <w:jc w:val="center"/>
        </w:trPr>
        <w:tc>
          <w:tcPr>
            <w:tcW w:w="1101" w:type="dxa"/>
            <w:shd w:val="clear" w:color="auto" w:fill="C4EFCE"/>
            <w:vAlign w:val="center"/>
          </w:tcPr>
          <w:p w14:paraId="2FDBE218" w14:textId="6636866D" w:rsidR="00154AD2" w:rsidRDefault="007F6BF3">
            <w:pPr>
              <w:pStyle w:val="P68B1DB1-Normal11"/>
              <w:keepNext/>
              <w:spacing w:before="40" w:after="0" w:line="240" w:lineRule="auto"/>
              <w:jc w:val="center"/>
              <w:rPr>
                <w:noProof/>
              </w:rPr>
            </w:pPr>
            <w:r>
              <w:rPr>
                <w:noProof/>
              </w:rPr>
              <w:t>10.13</w:t>
            </w:r>
          </w:p>
        </w:tc>
        <w:tc>
          <w:tcPr>
            <w:tcW w:w="1231" w:type="dxa"/>
            <w:shd w:val="clear" w:color="auto" w:fill="C4EFCE"/>
            <w:noWrap/>
            <w:vAlign w:val="center"/>
          </w:tcPr>
          <w:p w14:paraId="217D89A3" w14:textId="2D6DE9DE" w:rsidR="00154AD2" w:rsidRDefault="007F6BF3">
            <w:pPr>
              <w:pStyle w:val="P68B1DB1-Normal12"/>
              <w:keepNext/>
              <w:spacing w:before="40" w:after="0" w:line="240" w:lineRule="auto"/>
              <w:jc w:val="center"/>
              <w:rPr>
                <w:rFonts w:eastAsia="Times New Roman" w:cstheme="minorHAnsi"/>
                <w:noProof/>
              </w:rPr>
            </w:pPr>
            <w:r>
              <w:rPr>
                <w:noProof/>
              </w:rPr>
              <w:t>TC-C10-i06-RAM</w:t>
            </w:r>
          </w:p>
        </w:tc>
        <w:tc>
          <w:tcPr>
            <w:tcW w:w="1096" w:type="dxa"/>
            <w:shd w:val="clear" w:color="auto" w:fill="C4EFCE"/>
            <w:noWrap/>
            <w:vAlign w:val="center"/>
          </w:tcPr>
          <w:p w14:paraId="681600AA" w14:textId="32CC34AF" w:rsidR="00154AD2" w:rsidRDefault="007F6BF3">
            <w:pPr>
              <w:pStyle w:val="P68B1DB1-Normal12"/>
              <w:keepNext/>
              <w:spacing w:before="40" w:after="0" w:line="240" w:lineRule="auto"/>
              <w:jc w:val="center"/>
              <w:rPr>
                <w:rFonts w:eastAsia="Times New Roman" w:cstheme="minorHAnsi"/>
                <w:noProof/>
              </w:rPr>
            </w:pPr>
            <w:r>
              <w:rPr>
                <w:noProof/>
              </w:rPr>
              <w:t>M</w:t>
            </w:r>
          </w:p>
        </w:tc>
        <w:tc>
          <w:tcPr>
            <w:tcW w:w="1640" w:type="dxa"/>
            <w:shd w:val="clear" w:color="auto" w:fill="C4EFCE"/>
            <w:noWrap/>
            <w:vAlign w:val="center"/>
          </w:tcPr>
          <w:p w14:paraId="2F245A6B" w14:textId="015E3869" w:rsidR="00154AD2" w:rsidRDefault="007F6BF3">
            <w:pPr>
              <w:pStyle w:val="P68B1DB1-Normal12"/>
              <w:keepNext/>
              <w:spacing w:before="40" w:after="0" w:line="240" w:lineRule="auto"/>
              <w:jc w:val="center"/>
              <w:rPr>
                <w:rFonts w:eastAsia="Times New Roman" w:cstheme="minorHAnsi"/>
                <w:noProof/>
              </w:rPr>
            </w:pPr>
            <w:r>
              <w:rPr>
                <w:noProof/>
              </w:rPr>
              <w:t>Υπογραφή σύμβασης για ερευνητικό σκάφος πολλαπλών χρήσεων</w:t>
            </w:r>
          </w:p>
        </w:tc>
        <w:tc>
          <w:tcPr>
            <w:tcW w:w="1231" w:type="dxa"/>
            <w:shd w:val="clear" w:color="auto" w:fill="C4EFCE"/>
            <w:noWrap/>
          </w:tcPr>
          <w:p w14:paraId="20AD7A7D" w14:textId="4BE3559E" w:rsidR="00154AD2" w:rsidRDefault="007F6BF3">
            <w:pPr>
              <w:pStyle w:val="P68B1DB1-Normal12"/>
              <w:keepNext/>
              <w:spacing w:before="40" w:after="0" w:line="240" w:lineRule="auto"/>
              <w:jc w:val="center"/>
              <w:rPr>
                <w:rFonts w:eastAsia="Times New Roman" w:cstheme="minorHAnsi"/>
                <w:noProof/>
              </w:rPr>
            </w:pPr>
            <w:r>
              <w:rPr>
                <w:noProof/>
              </w:rPr>
              <w:t>Υπογραφή σύμβασης για ερευνητικό σκάφος πολλαπλών χρήσεων</w:t>
            </w:r>
          </w:p>
        </w:tc>
        <w:tc>
          <w:tcPr>
            <w:tcW w:w="962" w:type="dxa"/>
            <w:shd w:val="clear" w:color="auto" w:fill="C4EFCE"/>
            <w:noWrap/>
            <w:vAlign w:val="center"/>
          </w:tcPr>
          <w:p w14:paraId="3A40C90E" w14:textId="77777777" w:rsidR="00154AD2" w:rsidRDefault="00154AD2">
            <w:pPr>
              <w:keepNext/>
              <w:spacing w:before="40" w:after="0" w:line="240" w:lineRule="auto"/>
              <w:jc w:val="center"/>
              <w:rPr>
                <w:rFonts w:eastAsia="Times New Roman" w:cstheme="minorHAnsi"/>
                <w:noProof/>
                <w:sz w:val="16"/>
              </w:rPr>
            </w:pPr>
          </w:p>
        </w:tc>
        <w:tc>
          <w:tcPr>
            <w:tcW w:w="961" w:type="dxa"/>
            <w:shd w:val="clear" w:color="auto" w:fill="C4EFCE"/>
            <w:noWrap/>
            <w:vAlign w:val="center"/>
          </w:tcPr>
          <w:p w14:paraId="626DE80A" w14:textId="77777777" w:rsidR="00154AD2" w:rsidRDefault="00154AD2">
            <w:pPr>
              <w:keepNext/>
              <w:spacing w:before="40" w:after="0" w:line="240" w:lineRule="auto"/>
              <w:jc w:val="center"/>
              <w:rPr>
                <w:rFonts w:eastAsia="Times New Roman" w:cstheme="minorHAnsi"/>
                <w:noProof/>
                <w:sz w:val="16"/>
              </w:rPr>
            </w:pPr>
          </w:p>
        </w:tc>
        <w:tc>
          <w:tcPr>
            <w:tcW w:w="690" w:type="dxa"/>
            <w:shd w:val="clear" w:color="auto" w:fill="C4EFCE"/>
            <w:noWrap/>
            <w:vAlign w:val="center"/>
          </w:tcPr>
          <w:p w14:paraId="2D6BAC30" w14:textId="77777777" w:rsidR="00154AD2" w:rsidRDefault="00154AD2">
            <w:pPr>
              <w:keepNext/>
              <w:spacing w:before="40" w:after="0" w:line="240" w:lineRule="auto"/>
              <w:jc w:val="center"/>
              <w:rPr>
                <w:rFonts w:eastAsia="Times New Roman" w:cstheme="minorHAnsi"/>
                <w:noProof/>
                <w:sz w:val="16"/>
              </w:rPr>
            </w:pPr>
          </w:p>
        </w:tc>
        <w:tc>
          <w:tcPr>
            <w:tcW w:w="554" w:type="dxa"/>
            <w:shd w:val="clear" w:color="auto" w:fill="C4EFCE"/>
            <w:noWrap/>
            <w:vAlign w:val="center"/>
          </w:tcPr>
          <w:p w14:paraId="16B97E23" w14:textId="3AF81EB9" w:rsidR="00154AD2" w:rsidRDefault="007F6BF3">
            <w:pPr>
              <w:pStyle w:val="P68B1DB1-Normal12"/>
              <w:keepNext/>
              <w:spacing w:before="40" w:after="0" w:line="240" w:lineRule="auto"/>
              <w:jc w:val="center"/>
              <w:rPr>
                <w:rFonts w:eastAsia="Times New Roman" w:cstheme="minorHAnsi"/>
                <w:noProof/>
              </w:rPr>
            </w:pPr>
            <w:r>
              <w:rPr>
                <w:noProof/>
              </w:rPr>
              <w:t>ΤΡΊΜΗΝΟ 2</w:t>
            </w:r>
          </w:p>
        </w:tc>
        <w:tc>
          <w:tcPr>
            <w:tcW w:w="684" w:type="dxa"/>
            <w:shd w:val="clear" w:color="auto" w:fill="C4EFCE"/>
            <w:noWrap/>
            <w:vAlign w:val="center"/>
          </w:tcPr>
          <w:p w14:paraId="6528D03E" w14:textId="5BBF66E9" w:rsidR="00154AD2" w:rsidRDefault="007F6BF3">
            <w:pPr>
              <w:pStyle w:val="P68B1DB1-Normal12"/>
              <w:keepNext/>
              <w:spacing w:before="40" w:after="0" w:line="240" w:lineRule="auto"/>
              <w:jc w:val="center"/>
              <w:rPr>
                <w:rFonts w:eastAsia="Times New Roman" w:cstheme="minorHAnsi"/>
                <w:noProof/>
              </w:rPr>
            </w:pPr>
            <w:r>
              <w:rPr>
                <w:noProof/>
              </w:rPr>
              <w:t>2024</w:t>
            </w:r>
          </w:p>
        </w:tc>
        <w:tc>
          <w:tcPr>
            <w:tcW w:w="5223" w:type="dxa"/>
            <w:shd w:val="clear" w:color="auto" w:fill="C4EFCE"/>
            <w:vAlign w:val="center"/>
          </w:tcPr>
          <w:p w14:paraId="58DBF254" w14:textId="4B711299" w:rsidR="00154AD2" w:rsidRDefault="007F6BF3">
            <w:pPr>
              <w:pStyle w:val="P68B1DB1-Bodytext1013"/>
              <w:spacing w:after="0" w:line="240" w:lineRule="auto"/>
              <w:jc w:val="both"/>
              <w:rPr>
                <w:rFonts w:cstheme="minorHAnsi"/>
                <w:noProof/>
              </w:rPr>
            </w:pPr>
            <w:r>
              <w:rPr>
                <w:noProof/>
              </w:rPr>
              <w:t>Υπογραφή της σύμβασης κατασκευής ερευνητικού σκάφους πολλαπλών χρήσεων.</w:t>
            </w:r>
          </w:p>
          <w:p w14:paraId="69C9B7F5" w14:textId="2745F682" w:rsidR="00154AD2" w:rsidRDefault="007F6BF3">
            <w:pPr>
              <w:pStyle w:val="P68B1DB1-Bodytext1013"/>
              <w:spacing w:after="0" w:line="240" w:lineRule="auto"/>
              <w:jc w:val="both"/>
              <w:rPr>
                <w:rFonts w:cstheme="minorHAnsi"/>
                <w:noProof/>
              </w:rPr>
            </w:pPr>
            <w:r>
              <w:rPr>
                <w:noProof/>
              </w:rPr>
              <w:t>Η συγγραφή υποχρεώσεων απαιτεί την εφαρμογή της προϋπόθεσης «μη πρόκλησης σημαντικής βλάβης» που ορίζεται στην περιγραφή του μέτρου.</w:t>
            </w:r>
          </w:p>
        </w:tc>
      </w:tr>
      <w:tr w:rsidR="00154AD2" w14:paraId="2A3E48E3" w14:textId="77777777">
        <w:trPr>
          <w:trHeight w:val="61"/>
          <w:jc w:val="center"/>
        </w:trPr>
        <w:tc>
          <w:tcPr>
            <w:tcW w:w="1101" w:type="dxa"/>
            <w:shd w:val="clear" w:color="auto" w:fill="C4EFCE"/>
            <w:vAlign w:val="center"/>
          </w:tcPr>
          <w:p w14:paraId="5F10CBE7" w14:textId="4A79894B" w:rsidR="00154AD2" w:rsidRDefault="007F6BF3">
            <w:pPr>
              <w:pStyle w:val="P68B1DB1-Normal11"/>
              <w:keepNext/>
              <w:spacing w:before="40" w:after="0" w:line="240" w:lineRule="auto"/>
              <w:jc w:val="center"/>
              <w:rPr>
                <w:noProof/>
              </w:rPr>
            </w:pPr>
            <w:r>
              <w:rPr>
                <w:noProof/>
              </w:rPr>
              <w:t>10.14</w:t>
            </w:r>
          </w:p>
        </w:tc>
        <w:tc>
          <w:tcPr>
            <w:tcW w:w="1231" w:type="dxa"/>
            <w:shd w:val="clear" w:color="auto" w:fill="C4EFCE"/>
            <w:noWrap/>
            <w:vAlign w:val="center"/>
          </w:tcPr>
          <w:p w14:paraId="226B4B24" w14:textId="77A8C67B" w:rsidR="00154AD2" w:rsidRDefault="007F6BF3">
            <w:pPr>
              <w:pStyle w:val="P68B1DB1-Normal12"/>
              <w:keepNext/>
              <w:spacing w:before="40" w:after="0" w:line="240" w:lineRule="auto"/>
              <w:jc w:val="center"/>
              <w:rPr>
                <w:rFonts w:eastAsia="Times New Roman" w:cstheme="minorHAnsi"/>
                <w:noProof/>
              </w:rPr>
            </w:pPr>
            <w:r>
              <w:rPr>
                <w:noProof/>
              </w:rPr>
              <w:t>TC-C10-i06-RAM</w:t>
            </w:r>
          </w:p>
        </w:tc>
        <w:tc>
          <w:tcPr>
            <w:tcW w:w="1096" w:type="dxa"/>
            <w:shd w:val="clear" w:color="auto" w:fill="C4EFCE"/>
            <w:noWrap/>
            <w:vAlign w:val="center"/>
          </w:tcPr>
          <w:p w14:paraId="092E5EFA" w14:textId="343F1A1A" w:rsidR="00154AD2" w:rsidRDefault="007F6BF3">
            <w:pPr>
              <w:pStyle w:val="P68B1DB1-Normal12"/>
              <w:keepNext/>
              <w:spacing w:before="40" w:after="0" w:line="240" w:lineRule="auto"/>
              <w:jc w:val="center"/>
              <w:rPr>
                <w:rFonts w:eastAsia="Times New Roman" w:cstheme="minorHAnsi"/>
                <w:noProof/>
              </w:rPr>
            </w:pPr>
            <w:r>
              <w:rPr>
                <w:noProof/>
              </w:rPr>
              <w:t>M</w:t>
            </w:r>
          </w:p>
        </w:tc>
        <w:tc>
          <w:tcPr>
            <w:tcW w:w="1640" w:type="dxa"/>
            <w:shd w:val="clear" w:color="auto" w:fill="C4EFCE"/>
            <w:noWrap/>
            <w:vAlign w:val="center"/>
          </w:tcPr>
          <w:p w14:paraId="52FE4774" w14:textId="73D91BDA" w:rsidR="00154AD2" w:rsidRDefault="007F6BF3">
            <w:pPr>
              <w:pStyle w:val="P68B1DB1-Normal12"/>
              <w:keepNext/>
              <w:spacing w:before="40" w:after="0" w:line="240" w:lineRule="auto"/>
              <w:jc w:val="center"/>
              <w:rPr>
                <w:rFonts w:eastAsia="Times New Roman" w:cstheme="minorHAnsi"/>
                <w:noProof/>
              </w:rPr>
            </w:pPr>
            <w:r>
              <w:rPr>
                <w:noProof/>
              </w:rPr>
              <w:t>Παράδοση ενεργειακά αποδοτικού ερευνητικού σκάφους πολλαπλών χρήσεων</w:t>
            </w:r>
          </w:p>
        </w:tc>
        <w:tc>
          <w:tcPr>
            <w:tcW w:w="1231" w:type="dxa"/>
            <w:shd w:val="clear" w:color="auto" w:fill="C4EFCE"/>
            <w:noWrap/>
            <w:vAlign w:val="center"/>
          </w:tcPr>
          <w:p w14:paraId="0008148C" w14:textId="6B0E742D" w:rsidR="00154AD2" w:rsidRDefault="007F6BF3">
            <w:pPr>
              <w:pStyle w:val="P68B1DB1-Normal12"/>
              <w:keepNext/>
              <w:spacing w:before="40" w:after="0" w:line="240" w:lineRule="auto"/>
              <w:jc w:val="center"/>
              <w:rPr>
                <w:rFonts w:eastAsia="Times New Roman" w:cstheme="minorHAnsi"/>
                <w:noProof/>
              </w:rPr>
            </w:pPr>
            <w:r>
              <w:rPr>
                <w:noProof/>
              </w:rPr>
              <w:t>Παράδοση του ερευνητικού σκάφους πολλαπλών χρήσεων</w:t>
            </w:r>
          </w:p>
        </w:tc>
        <w:tc>
          <w:tcPr>
            <w:tcW w:w="962" w:type="dxa"/>
            <w:shd w:val="clear" w:color="auto" w:fill="C4EFCE"/>
            <w:noWrap/>
            <w:vAlign w:val="center"/>
          </w:tcPr>
          <w:p w14:paraId="5108E572" w14:textId="77777777" w:rsidR="00154AD2" w:rsidRDefault="00154AD2">
            <w:pPr>
              <w:keepNext/>
              <w:spacing w:before="40" w:after="0" w:line="240" w:lineRule="auto"/>
              <w:jc w:val="center"/>
              <w:rPr>
                <w:rFonts w:eastAsia="Times New Roman" w:cstheme="minorHAnsi"/>
                <w:noProof/>
                <w:sz w:val="16"/>
              </w:rPr>
            </w:pPr>
          </w:p>
        </w:tc>
        <w:tc>
          <w:tcPr>
            <w:tcW w:w="961" w:type="dxa"/>
            <w:shd w:val="clear" w:color="auto" w:fill="C4EFCE"/>
            <w:noWrap/>
            <w:vAlign w:val="center"/>
          </w:tcPr>
          <w:p w14:paraId="5D573528" w14:textId="77777777" w:rsidR="00154AD2" w:rsidRDefault="00154AD2">
            <w:pPr>
              <w:keepNext/>
              <w:spacing w:before="40" w:after="0" w:line="240" w:lineRule="auto"/>
              <w:jc w:val="center"/>
              <w:rPr>
                <w:rFonts w:eastAsia="Times New Roman" w:cstheme="minorHAnsi"/>
                <w:noProof/>
                <w:sz w:val="16"/>
              </w:rPr>
            </w:pPr>
          </w:p>
        </w:tc>
        <w:tc>
          <w:tcPr>
            <w:tcW w:w="690" w:type="dxa"/>
            <w:shd w:val="clear" w:color="auto" w:fill="C4EFCE"/>
            <w:noWrap/>
            <w:vAlign w:val="center"/>
          </w:tcPr>
          <w:p w14:paraId="759F38D6" w14:textId="77777777" w:rsidR="00154AD2" w:rsidRDefault="00154AD2">
            <w:pPr>
              <w:keepNext/>
              <w:spacing w:before="40" w:after="0" w:line="240" w:lineRule="auto"/>
              <w:jc w:val="center"/>
              <w:rPr>
                <w:rFonts w:eastAsia="Times New Roman" w:cstheme="minorHAnsi"/>
                <w:noProof/>
                <w:sz w:val="16"/>
              </w:rPr>
            </w:pPr>
          </w:p>
        </w:tc>
        <w:tc>
          <w:tcPr>
            <w:tcW w:w="554" w:type="dxa"/>
            <w:shd w:val="clear" w:color="auto" w:fill="C4EFCE"/>
            <w:noWrap/>
            <w:vAlign w:val="center"/>
          </w:tcPr>
          <w:p w14:paraId="78546CDD" w14:textId="248BD776" w:rsidR="00154AD2" w:rsidRDefault="007F6BF3">
            <w:pPr>
              <w:pStyle w:val="P68B1DB1-Normal12"/>
              <w:keepNext/>
              <w:spacing w:before="40" w:after="0" w:line="240" w:lineRule="auto"/>
              <w:jc w:val="center"/>
              <w:rPr>
                <w:rFonts w:eastAsia="Times New Roman" w:cstheme="minorHAnsi"/>
                <w:noProof/>
              </w:rPr>
            </w:pPr>
            <w:r>
              <w:rPr>
                <w:noProof/>
              </w:rPr>
              <w:t>ΤΡΊΜΗΝΟ 2</w:t>
            </w:r>
          </w:p>
        </w:tc>
        <w:tc>
          <w:tcPr>
            <w:tcW w:w="684" w:type="dxa"/>
            <w:shd w:val="clear" w:color="auto" w:fill="C4EFCE"/>
            <w:noWrap/>
            <w:vAlign w:val="center"/>
          </w:tcPr>
          <w:p w14:paraId="59E155B1" w14:textId="23D5A01D" w:rsidR="00154AD2" w:rsidRDefault="007F6BF3">
            <w:pPr>
              <w:pStyle w:val="P68B1DB1-Normal12"/>
              <w:keepNext/>
              <w:spacing w:before="40" w:after="0" w:line="240" w:lineRule="auto"/>
              <w:jc w:val="center"/>
              <w:rPr>
                <w:rFonts w:eastAsia="Times New Roman" w:cstheme="minorHAnsi"/>
                <w:noProof/>
              </w:rPr>
            </w:pPr>
            <w:r>
              <w:rPr>
                <w:noProof/>
              </w:rPr>
              <w:t>2026</w:t>
            </w:r>
          </w:p>
        </w:tc>
        <w:tc>
          <w:tcPr>
            <w:tcW w:w="5223" w:type="dxa"/>
            <w:shd w:val="clear" w:color="auto" w:fill="C4EFCE"/>
            <w:vAlign w:val="center"/>
          </w:tcPr>
          <w:p w14:paraId="34A1476F" w14:textId="225C975F" w:rsidR="00154AD2" w:rsidRDefault="007F6BF3">
            <w:pPr>
              <w:pStyle w:val="P68B1DB1-Normal12"/>
              <w:keepNext/>
              <w:spacing w:before="40" w:after="0" w:line="240" w:lineRule="auto"/>
              <w:jc w:val="both"/>
              <w:rPr>
                <w:rFonts w:eastAsia="Times New Roman" w:cstheme="minorHAnsi"/>
                <w:noProof/>
              </w:rPr>
            </w:pPr>
            <w:r>
              <w:rPr>
                <w:noProof/>
              </w:rPr>
              <w:t xml:space="preserve">Παράδοση ενεργειακά αποδοτικού ερευνητικού σκάφους πολλαπλών χρήσεων. Είναι σε θέση να δραστηριοποιείται στα αβαθή ύδατα της αυτόνομης περιφέρειας της Μαδέρας γύρω από τα νησιά του αρχιπελάγους, καθώς και στην ανοικτή θάλασσα. </w:t>
            </w:r>
          </w:p>
        </w:tc>
      </w:tr>
      <w:tr w:rsidR="00154AD2" w14:paraId="091A1A6A" w14:textId="77777777">
        <w:trPr>
          <w:trHeight w:val="61"/>
          <w:jc w:val="center"/>
        </w:trPr>
        <w:tc>
          <w:tcPr>
            <w:tcW w:w="1101" w:type="dxa"/>
            <w:shd w:val="clear" w:color="auto" w:fill="C4EFCE"/>
            <w:vAlign w:val="center"/>
          </w:tcPr>
          <w:p w14:paraId="411A72EE" w14:textId="6F64B9D4" w:rsidR="00154AD2" w:rsidRDefault="007F6BF3">
            <w:pPr>
              <w:pStyle w:val="P68B1DB1-Normal11"/>
              <w:keepNext/>
              <w:spacing w:before="40" w:after="0" w:line="240" w:lineRule="auto"/>
              <w:jc w:val="center"/>
              <w:rPr>
                <w:noProof/>
              </w:rPr>
            </w:pPr>
            <w:r>
              <w:rPr>
                <w:noProof/>
              </w:rPr>
              <w:t>10.15</w:t>
            </w:r>
          </w:p>
        </w:tc>
        <w:tc>
          <w:tcPr>
            <w:tcW w:w="1231" w:type="dxa"/>
            <w:shd w:val="clear" w:color="auto" w:fill="C4EFCE"/>
            <w:noWrap/>
            <w:vAlign w:val="center"/>
          </w:tcPr>
          <w:p w14:paraId="2EB7E203" w14:textId="651B5F2E" w:rsidR="00154AD2" w:rsidRDefault="007F6BF3">
            <w:pPr>
              <w:pStyle w:val="P68B1DB1-Normal12"/>
              <w:keepNext/>
              <w:spacing w:before="40" w:after="0" w:line="240" w:lineRule="auto"/>
              <w:jc w:val="center"/>
              <w:rPr>
                <w:rFonts w:eastAsia="Times New Roman" w:cstheme="minorHAnsi"/>
                <w:noProof/>
              </w:rPr>
            </w:pPr>
            <w:r>
              <w:rPr>
                <w:noProof/>
              </w:rPr>
              <w:t>TC-C10-i06-RAM</w:t>
            </w:r>
          </w:p>
        </w:tc>
        <w:tc>
          <w:tcPr>
            <w:tcW w:w="1096" w:type="dxa"/>
            <w:shd w:val="clear" w:color="auto" w:fill="C4EFCE"/>
            <w:noWrap/>
            <w:vAlign w:val="center"/>
          </w:tcPr>
          <w:p w14:paraId="5F6666DA" w14:textId="7D095AF5" w:rsidR="00154AD2" w:rsidRDefault="007F6BF3">
            <w:pPr>
              <w:pStyle w:val="P68B1DB1-Normal12"/>
              <w:keepNext/>
              <w:spacing w:before="40" w:after="0" w:line="240" w:lineRule="auto"/>
              <w:jc w:val="center"/>
              <w:rPr>
                <w:rFonts w:eastAsia="Times New Roman" w:cstheme="minorHAnsi"/>
                <w:noProof/>
              </w:rPr>
            </w:pPr>
            <w:r>
              <w:rPr>
                <w:noProof/>
              </w:rPr>
              <w:t>T</w:t>
            </w:r>
          </w:p>
        </w:tc>
        <w:tc>
          <w:tcPr>
            <w:tcW w:w="1640" w:type="dxa"/>
            <w:shd w:val="clear" w:color="auto" w:fill="C4EFCE"/>
            <w:noWrap/>
            <w:vAlign w:val="center"/>
          </w:tcPr>
          <w:p w14:paraId="7684AA42" w14:textId="6AF3654F" w:rsidR="00154AD2" w:rsidRDefault="007F6BF3">
            <w:pPr>
              <w:pStyle w:val="P68B1DB1-Normal12"/>
              <w:keepNext/>
              <w:spacing w:before="40" w:after="0" w:line="240" w:lineRule="auto"/>
              <w:jc w:val="center"/>
              <w:rPr>
                <w:rFonts w:eastAsia="Times New Roman" w:cstheme="minorHAnsi"/>
                <w:noProof/>
              </w:rPr>
            </w:pPr>
            <w:r>
              <w:rPr>
                <w:noProof/>
              </w:rPr>
              <w:t>Παράδοση δύο αυτόνομων μη επανδρωμένων οχημάτων</w:t>
            </w:r>
          </w:p>
        </w:tc>
        <w:tc>
          <w:tcPr>
            <w:tcW w:w="1231" w:type="dxa"/>
            <w:shd w:val="clear" w:color="auto" w:fill="C4EFCE"/>
            <w:noWrap/>
            <w:vAlign w:val="center"/>
          </w:tcPr>
          <w:p w14:paraId="5A84A9D9" w14:textId="16826EBA" w:rsidR="00154AD2" w:rsidRDefault="007F6BF3">
            <w:pPr>
              <w:pStyle w:val="P68B1DB1-Normal12"/>
              <w:keepNext/>
              <w:spacing w:before="40" w:after="0" w:line="240" w:lineRule="auto"/>
              <w:jc w:val="center"/>
              <w:rPr>
                <w:rFonts w:eastAsia="Times New Roman" w:cstheme="minorHAnsi"/>
                <w:noProof/>
              </w:rPr>
            </w:pPr>
            <w:r>
              <w:rPr>
                <w:noProof/>
              </w:rPr>
              <w:t xml:space="preserve">Παράδοση δύο αυτόνομων οχημάτων </w:t>
            </w:r>
          </w:p>
        </w:tc>
        <w:tc>
          <w:tcPr>
            <w:tcW w:w="962" w:type="dxa"/>
            <w:shd w:val="clear" w:color="auto" w:fill="C4EFCE"/>
            <w:noWrap/>
            <w:vAlign w:val="center"/>
          </w:tcPr>
          <w:p w14:paraId="2E74DE0C" w14:textId="24DEA61F" w:rsidR="00154AD2" w:rsidRDefault="007F6BF3">
            <w:pPr>
              <w:pStyle w:val="P68B1DB1-Normal12"/>
              <w:keepNext/>
              <w:spacing w:before="40" w:after="0" w:line="240" w:lineRule="auto"/>
              <w:jc w:val="center"/>
              <w:rPr>
                <w:rFonts w:eastAsia="Times New Roman" w:cstheme="minorHAnsi"/>
                <w:noProof/>
              </w:rPr>
            </w:pPr>
            <w:r>
              <w:rPr>
                <w:noProof/>
              </w:rPr>
              <w:t>Αριθμός</w:t>
            </w:r>
          </w:p>
        </w:tc>
        <w:tc>
          <w:tcPr>
            <w:tcW w:w="961" w:type="dxa"/>
            <w:shd w:val="clear" w:color="auto" w:fill="C4EFCE"/>
            <w:noWrap/>
            <w:vAlign w:val="center"/>
          </w:tcPr>
          <w:p w14:paraId="547741A2" w14:textId="0C97B0DB" w:rsidR="00154AD2" w:rsidRDefault="007F6BF3">
            <w:pPr>
              <w:pStyle w:val="P68B1DB1-Normal12"/>
              <w:keepNext/>
              <w:spacing w:before="40" w:after="0" w:line="240" w:lineRule="auto"/>
              <w:jc w:val="center"/>
              <w:rPr>
                <w:rFonts w:eastAsia="Times New Roman" w:cstheme="minorHAnsi"/>
                <w:noProof/>
              </w:rPr>
            </w:pPr>
            <w:r>
              <w:rPr>
                <w:noProof/>
              </w:rPr>
              <w:t>0</w:t>
            </w:r>
          </w:p>
        </w:tc>
        <w:tc>
          <w:tcPr>
            <w:tcW w:w="690" w:type="dxa"/>
            <w:shd w:val="clear" w:color="auto" w:fill="C4EFCE"/>
            <w:noWrap/>
            <w:vAlign w:val="center"/>
          </w:tcPr>
          <w:p w14:paraId="7E1DC46E" w14:textId="326880E0" w:rsidR="00154AD2" w:rsidRDefault="007F6BF3">
            <w:pPr>
              <w:pStyle w:val="P68B1DB1-Normal12"/>
              <w:keepNext/>
              <w:spacing w:before="40" w:after="0" w:line="240" w:lineRule="auto"/>
              <w:jc w:val="center"/>
              <w:rPr>
                <w:rFonts w:eastAsia="Times New Roman" w:cstheme="minorHAnsi"/>
                <w:noProof/>
              </w:rPr>
            </w:pPr>
            <w:r>
              <w:rPr>
                <w:noProof/>
              </w:rPr>
              <w:t>2</w:t>
            </w:r>
          </w:p>
        </w:tc>
        <w:tc>
          <w:tcPr>
            <w:tcW w:w="554" w:type="dxa"/>
            <w:shd w:val="clear" w:color="auto" w:fill="C4EFCE"/>
            <w:noWrap/>
            <w:vAlign w:val="center"/>
          </w:tcPr>
          <w:p w14:paraId="5705B555" w14:textId="6E24D781" w:rsidR="00154AD2" w:rsidRDefault="007F6BF3">
            <w:pPr>
              <w:pStyle w:val="P68B1DB1-Normal12"/>
              <w:keepNext/>
              <w:spacing w:before="40" w:after="0" w:line="240" w:lineRule="auto"/>
              <w:jc w:val="center"/>
              <w:rPr>
                <w:rFonts w:eastAsia="Times New Roman" w:cstheme="minorHAnsi"/>
                <w:noProof/>
              </w:rPr>
            </w:pPr>
            <w:r>
              <w:rPr>
                <w:noProof/>
              </w:rPr>
              <w:t>ΤΡΊΜΗΝΟ 3</w:t>
            </w:r>
          </w:p>
        </w:tc>
        <w:tc>
          <w:tcPr>
            <w:tcW w:w="684" w:type="dxa"/>
            <w:shd w:val="clear" w:color="auto" w:fill="C4EFCE"/>
            <w:noWrap/>
            <w:vAlign w:val="center"/>
          </w:tcPr>
          <w:p w14:paraId="110A6402" w14:textId="166C70AB" w:rsidR="00154AD2" w:rsidRDefault="007F6BF3">
            <w:pPr>
              <w:pStyle w:val="P68B1DB1-Normal12"/>
              <w:keepNext/>
              <w:spacing w:before="40" w:after="0" w:line="240" w:lineRule="auto"/>
              <w:jc w:val="center"/>
              <w:rPr>
                <w:rFonts w:eastAsia="Times New Roman" w:cstheme="minorHAnsi"/>
                <w:noProof/>
              </w:rPr>
            </w:pPr>
            <w:r>
              <w:rPr>
                <w:noProof/>
              </w:rPr>
              <w:t>2024</w:t>
            </w:r>
          </w:p>
        </w:tc>
        <w:tc>
          <w:tcPr>
            <w:tcW w:w="5223" w:type="dxa"/>
            <w:shd w:val="clear" w:color="auto" w:fill="C4EFCE"/>
            <w:vAlign w:val="center"/>
          </w:tcPr>
          <w:p w14:paraId="592B0CE3" w14:textId="77777777" w:rsidR="00154AD2" w:rsidRDefault="007F6BF3">
            <w:pPr>
              <w:pStyle w:val="P68B1DB1-Bodytext1013"/>
              <w:spacing w:after="0" w:line="240" w:lineRule="auto"/>
              <w:jc w:val="both"/>
              <w:rPr>
                <w:rFonts w:cstheme="minorHAnsi"/>
                <w:noProof/>
              </w:rPr>
            </w:pPr>
            <w:r>
              <w:rPr>
                <w:noProof/>
              </w:rPr>
              <w:t xml:space="preserve">Παράδοση δύο αυτόνομων μη επανδρωμένων οχημάτων: </w:t>
            </w:r>
          </w:p>
          <w:p w14:paraId="639A4637" w14:textId="77777777" w:rsidR="00154AD2" w:rsidRDefault="007F6BF3">
            <w:pPr>
              <w:pStyle w:val="P68B1DB1-Bodytext1013"/>
              <w:widowControl/>
              <w:numPr>
                <w:ilvl w:val="0"/>
                <w:numId w:val="79"/>
              </w:numPr>
              <w:spacing w:after="0" w:line="240" w:lineRule="auto"/>
              <w:jc w:val="both"/>
              <w:rPr>
                <w:rFonts w:cstheme="minorHAnsi"/>
                <w:noProof/>
              </w:rPr>
            </w:pPr>
            <w:r>
              <w:rPr>
                <w:noProof/>
              </w:rPr>
              <w:t xml:space="preserve">Αυτόνομο όχημα επιφάνειας (USV) </w:t>
            </w:r>
          </w:p>
          <w:p w14:paraId="56AB6A4E" w14:textId="2C32EDBC" w:rsidR="00154AD2" w:rsidRDefault="007F6BF3">
            <w:pPr>
              <w:pStyle w:val="P68B1DB1-Bodytext1013"/>
              <w:widowControl/>
              <w:numPr>
                <w:ilvl w:val="0"/>
                <w:numId w:val="79"/>
              </w:numPr>
              <w:spacing w:after="0" w:line="240" w:lineRule="auto"/>
              <w:jc w:val="both"/>
              <w:rPr>
                <w:rFonts w:cstheme="minorHAnsi"/>
                <w:noProof/>
              </w:rPr>
            </w:pPr>
            <w:r>
              <w:rPr>
                <w:noProof/>
              </w:rPr>
              <w:t>Υπουδάτινο αυτόνομο όχημα (AUV) 1000M</w:t>
            </w:r>
          </w:p>
        </w:tc>
      </w:tr>
      <w:tr w:rsidR="00154AD2" w14:paraId="12E1396B" w14:textId="77777777">
        <w:trPr>
          <w:trHeight w:val="61"/>
          <w:jc w:val="center"/>
        </w:trPr>
        <w:tc>
          <w:tcPr>
            <w:tcW w:w="1101" w:type="dxa"/>
            <w:shd w:val="clear" w:color="auto" w:fill="C4EFCE"/>
            <w:vAlign w:val="center"/>
          </w:tcPr>
          <w:p w14:paraId="56FD233F" w14:textId="75E58EAE" w:rsidR="00154AD2" w:rsidRDefault="007F6BF3">
            <w:pPr>
              <w:pStyle w:val="P68B1DB1-Normal11"/>
              <w:keepNext/>
              <w:spacing w:before="40" w:after="0" w:line="240" w:lineRule="auto"/>
              <w:jc w:val="center"/>
              <w:rPr>
                <w:noProof/>
              </w:rPr>
            </w:pPr>
            <w:r>
              <w:rPr>
                <w:noProof/>
              </w:rPr>
              <w:t>10.16</w:t>
            </w:r>
          </w:p>
        </w:tc>
        <w:tc>
          <w:tcPr>
            <w:tcW w:w="1231" w:type="dxa"/>
            <w:shd w:val="clear" w:color="auto" w:fill="C4EFCE"/>
            <w:noWrap/>
            <w:vAlign w:val="center"/>
          </w:tcPr>
          <w:p w14:paraId="483DF909" w14:textId="5978A081" w:rsidR="00154AD2" w:rsidRDefault="007F6BF3">
            <w:pPr>
              <w:pStyle w:val="P68B1DB1-Normal12"/>
              <w:keepNext/>
              <w:spacing w:before="40" w:after="0" w:line="240" w:lineRule="auto"/>
              <w:jc w:val="center"/>
              <w:rPr>
                <w:rFonts w:eastAsia="Times New Roman" w:cstheme="minorHAnsi"/>
                <w:noProof/>
              </w:rPr>
            </w:pPr>
            <w:r>
              <w:rPr>
                <w:noProof/>
              </w:rPr>
              <w:t>TC-C10-i06-RAM</w:t>
            </w:r>
          </w:p>
        </w:tc>
        <w:tc>
          <w:tcPr>
            <w:tcW w:w="1096" w:type="dxa"/>
            <w:shd w:val="clear" w:color="auto" w:fill="C4EFCE"/>
            <w:noWrap/>
            <w:vAlign w:val="center"/>
          </w:tcPr>
          <w:p w14:paraId="0C879D3F" w14:textId="0AE81711" w:rsidR="00154AD2" w:rsidRDefault="007F6BF3">
            <w:pPr>
              <w:pStyle w:val="P68B1DB1-Normal12"/>
              <w:keepNext/>
              <w:spacing w:before="40" w:after="0" w:line="240" w:lineRule="auto"/>
              <w:jc w:val="center"/>
              <w:rPr>
                <w:rFonts w:eastAsia="Times New Roman"/>
                <w:noProof/>
              </w:rPr>
            </w:pPr>
            <w:r>
              <w:rPr>
                <w:noProof/>
              </w:rPr>
              <w:t>M</w:t>
            </w:r>
          </w:p>
        </w:tc>
        <w:tc>
          <w:tcPr>
            <w:tcW w:w="1640" w:type="dxa"/>
            <w:shd w:val="clear" w:color="auto" w:fill="C4EFCE"/>
            <w:noWrap/>
            <w:vAlign w:val="center"/>
          </w:tcPr>
          <w:p w14:paraId="49A83E98" w14:textId="3C7FA536" w:rsidR="00154AD2" w:rsidRDefault="007F6BF3">
            <w:pPr>
              <w:pStyle w:val="P68B1DB1-Normal12"/>
              <w:keepNext/>
              <w:spacing w:before="40" w:after="0" w:line="240" w:lineRule="auto"/>
              <w:jc w:val="center"/>
              <w:rPr>
                <w:rFonts w:eastAsia="Times New Roman" w:cstheme="minorHAnsi"/>
                <w:noProof/>
              </w:rPr>
            </w:pPr>
            <w:r>
              <w:rPr>
                <w:noProof/>
              </w:rPr>
              <w:t>Παράδοση αυτόνομου μη επανδρωμένου οχήματος</w:t>
            </w:r>
          </w:p>
        </w:tc>
        <w:tc>
          <w:tcPr>
            <w:tcW w:w="1231" w:type="dxa"/>
            <w:shd w:val="clear" w:color="auto" w:fill="C4EFCE"/>
            <w:noWrap/>
            <w:vAlign w:val="center"/>
          </w:tcPr>
          <w:p w14:paraId="56763CB6" w14:textId="04C99C4E" w:rsidR="00154AD2" w:rsidRDefault="007F6BF3">
            <w:pPr>
              <w:pStyle w:val="P68B1DB1-Normal12"/>
              <w:keepNext/>
              <w:spacing w:before="40" w:after="0" w:line="240" w:lineRule="auto"/>
              <w:jc w:val="center"/>
              <w:rPr>
                <w:rFonts w:eastAsia="Times New Roman" w:cstheme="minorHAnsi"/>
                <w:noProof/>
              </w:rPr>
            </w:pPr>
            <w:r>
              <w:rPr>
                <w:noProof/>
              </w:rPr>
              <w:t>Παράδοση αυτόνομου μη επανδρωμένου οχήματος</w:t>
            </w:r>
          </w:p>
        </w:tc>
        <w:tc>
          <w:tcPr>
            <w:tcW w:w="962" w:type="dxa"/>
            <w:shd w:val="clear" w:color="auto" w:fill="C4EFCE"/>
            <w:noWrap/>
            <w:vAlign w:val="center"/>
          </w:tcPr>
          <w:p w14:paraId="1103F6C0" w14:textId="457E077F" w:rsidR="00154AD2" w:rsidRDefault="00154AD2">
            <w:pPr>
              <w:keepNext/>
              <w:spacing w:before="40" w:after="0" w:line="240" w:lineRule="auto"/>
              <w:jc w:val="center"/>
              <w:rPr>
                <w:rFonts w:eastAsia="Times New Roman" w:cstheme="minorHAnsi"/>
                <w:noProof/>
                <w:sz w:val="16"/>
              </w:rPr>
            </w:pPr>
          </w:p>
        </w:tc>
        <w:tc>
          <w:tcPr>
            <w:tcW w:w="961" w:type="dxa"/>
            <w:shd w:val="clear" w:color="auto" w:fill="C4EFCE"/>
            <w:noWrap/>
            <w:vAlign w:val="center"/>
          </w:tcPr>
          <w:p w14:paraId="601DD50D" w14:textId="0EF25E98" w:rsidR="00154AD2" w:rsidRDefault="00154AD2">
            <w:pPr>
              <w:keepNext/>
              <w:spacing w:before="40" w:after="0" w:line="240" w:lineRule="auto"/>
              <w:jc w:val="center"/>
              <w:rPr>
                <w:rFonts w:eastAsia="Times New Roman" w:cstheme="minorHAnsi"/>
                <w:noProof/>
                <w:sz w:val="16"/>
              </w:rPr>
            </w:pPr>
          </w:p>
        </w:tc>
        <w:tc>
          <w:tcPr>
            <w:tcW w:w="690" w:type="dxa"/>
            <w:shd w:val="clear" w:color="auto" w:fill="C4EFCE"/>
            <w:noWrap/>
            <w:vAlign w:val="center"/>
          </w:tcPr>
          <w:p w14:paraId="7383417D" w14:textId="03239D54" w:rsidR="00154AD2" w:rsidRDefault="00154AD2">
            <w:pPr>
              <w:keepNext/>
              <w:spacing w:before="40" w:after="0" w:line="240" w:lineRule="auto"/>
              <w:jc w:val="center"/>
              <w:rPr>
                <w:rFonts w:eastAsia="Times New Roman" w:cstheme="minorHAnsi"/>
                <w:noProof/>
                <w:sz w:val="16"/>
              </w:rPr>
            </w:pPr>
          </w:p>
        </w:tc>
        <w:tc>
          <w:tcPr>
            <w:tcW w:w="554" w:type="dxa"/>
            <w:shd w:val="clear" w:color="auto" w:fill="C4EFCE"/>
            <w:noWrap/>
            <w:vAlign w:val="center"/>
          </w:tcPr>
          <w:p w14:paraId="0D745C96" w14:textId="508646F6" w:rsidR="00154AD2" w:rsidRDefault="007F6BF3">
            <w:pPr>
              <w:pStyle w:val="P68B1DB1-Normal12"/>
              <w:keepNext/>
              <w:spacing w:before="40" w:after="0" w:line="240" w:lineRule="auto"/>
              <w:jc w:val="center"/>
              <w:rPr>
                <w:rFonts w:eastAsia="Times New Roman" w:cstheme="minorHAnsi"/>
                <w:noProof/>
              </w:rPr>
            </w:pPr>
            <w:r>
              <w:rPr>
                <w:noProof/>
              </w:rPr>
              <w:t>ΤΡΊΜΗΝΟ 4</w:t>
            </w:r>
          </w:p>
        </w:tc>
        <w:tc>
          <w:tcPr>
            <w:tcW w:w="684" w:type="dxa"/>
            <w:shd w:val="clear" w:color="auto" w:fill="C4EFCE"/>
            <w:noWrap/>
            <w:vAlign w:val="center"/>
          </w:tcPr>
          <w:p w14:paraId="4410A9DA" w14:textId="4A5D18FE" w:rsidR="00154AD2" w:rsidRDefault="007F6BF3">
            <w:pPr>
              <w:pStyle w:val="P68B1DB1-Normal12"/>
              <w:keepNext/>
              <w:spacing w:before="40" w:after="0" w:line="240" w:lineRule="auto"/>
              <w:jc w:val="center"/>
              <w:rPr>
                <w:rFonts w:eastAsia="Times New Roman" w:cstheme="minorHAnsi"/>
                <w:noProof/>
              </w:rPr>
            </w:pPr>
            <w:r>
              <w:rPr>
                <w:noProof/>
              </w:rPr>
              <w:t>2025</w:t>
            </w:r>
          </w:p>
        </w:tc>
        <w:tc>
          <w:tcPr>
            <w:tcW w:w="5223" w:type="dxa"/>
            <w:shd w:val="clear" w:color="auto" w:fill="C4EFCE"/>
            <w:vAlign w:val="center"/>
          </w:tcPr>
          <w:p w14:paraId="4E50F559" w14:textId="7094A901" w:rsidR="00154AD2" w:rsidRDefault="007F6BF3">
            <w:pPr>
              <w:pStyle w:val="P68B1DB1-Normal12"/>
              <w:keepNext/>
              <w:spacing w:before="40" w:after="0" w:line="240" w:lineRule="auto"/>
              <w:jc w:val="both"/>
              <w:rPr>
                <w:rFonts w:eastAsia="Times New Roman" w:cstheme="minorHAnsi"/>
                <w:noProof/>
              </w:rPr>
            </w:pPr>
            <w:r>
              <w:rPr>
                <w:noProof/>
              </w:rPr>
              <w:t xml:space="preserve">Παράδοση υπουδρόβιων αυτόνομων μη επανδρωμένων οχημάτων 6000M. </w:t>
            </w:r>
          </w:p>
        </w:tc>
      </w:tr>
    </w:tbl>
    <w:p w14:paraId="2BA4F9E6" w14:textId="4FDF11B3" w:rsidR="00154AD2" w:rsidRDefault="00154AD2">
      <w:pPr>
        <w:rPr>
          <w:noProof/>
        </w:rPr>
      </w:pPr>
    </w:p>
    <w:p w14:paraId="57C9C0BA" w14:textId="77777777" w:rsidR="00154AD2" w:rsidRDefault="00154AD2">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4CBC1AE8" w14:textId="378A82D4" w:rsidR="00154AD2" w:rsidRDefault="00154AD2">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154AD2" w:rsidSect="00E00EDD">
          <w:headerReference w:type="even" r:id="rId216"/>
          <w:headerReference w:type="default" r:id="rId217"/>
          <w:footerReference w:type="even" r:id="rId218"/>
          <w:footerReference w:type="default" r:id="rId219"/>
          <w:headerReference w:type="first" r:id="rId220"/>
          <w:footerReference w:type="first" r:id="rId221"/>
          <w:pgSz w:w="16839" w:h="11907" w:orient="landscape"/>
          <w:pgMar w:top="1134" w:right="1134" w:bottom="1134" w:left="1134" w:header="567" w:footer="567" w:gutter="0"/>
          <w:cols w:space="720"/>
          <w:docGrid w:linePitch="360"/>
        </w:sectPr>
      </w:pPr>
    </w:p>
    <w:p w14:paraId="29ABB686" w14:textId="06439B4A" w:rsidR="00154AD2" w:rsidRDefault="007F6BF3">
      <w:pPr>
        <w:pStyle w:val="P68B1DB1-Normal3"/>
        <w:spacing w:before="40" w:after="0" w:line="259" w:lineRule="auto"/>
        <w:ind w:left="130" w:firstLine="720"/>
        <w:jc w:val="both"/>
        <w:outlineLvl w:val="2"/>
        <w:rPr>
          <w:rFonts w:eastAsiaTheme="minorEastAsia" w:cs="Times New Roman"/>
          <w:noProof/>
        </w:rPr>
      </w:pPr>
      <w:r>
        <w:rPr>
          <w:noProof/>
        </w:rPr>
        <w:t>Ι.3. Περιγραφή των μεταρρυθμίσεων και των επενδύσεων που συνδέονται με τη λήψη δανείου</w:t>
      </w:r>
    </w:p>
    <w:p w14:paraId="6F09459D" w14:textId="77777777"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Επένδυση TC-C10-I03: Κέντρο Αμυντικών Επιχειρήσεων του Ατλαντικού και ναυτική πλατφόρμα</w:t>
      </w:r>
    </w:p>
    <w:p w14:paraId="51C079D1" w14:textId="77777777" w:rsidR="00154AD2" w:rsidRDefault="007F6BF3">
      <w:pPr>
        <w:pStyle w:val="P68B1DB1-Normal4"/>
        <w:keepNext/>
        <w:spacing w:before="40" w:after="0" w:line="259" w:lineRule="auto"/>
        <w:jc w:val="both"/>
        <w:rPr>
          <w:rFonts w:eastAsia="Times New Roman"/>
          <w:noProof/>
        </w:rPr>
      </w:pPr>
      <w:r>
        <w:rPr>
          <w:noProof/>
        </w:rPr>
        <w:t xml:space="preserve">Στόχος της επένδυσης αυτής είναι να συμβάλει στην αντιμετώπιση ορισμένων προκλήσεων, συμπεριλαμβανομένης της παρακολούθησης της βιογεωχημικής διάστασης του ωκεανού και της ατμόσφαιρας· χαρτογράφηση και αξιολόγηση των ορυκτών πόρων και όλων των άλλων μη ανανεώσιμων πόρων του θαλάσσιου εδάφους και του υπεδάφους που υπάγονται στη δικαιοδοσία της Πορτογαλίας· να χαρτογραφούν συνεχώς τους έμβιους πόρους (ανανεώσιμες πηγές) και να παρακολουθούν την εξέλιξή τους· καταπολέμηση των παρατυπιών και των παρανομιών στους ωκεανούς της πορτογαλικής δικαιοδοσίας όσον αφορά τις αξιακές αλυσίδες των ωκεάνιων βιομηχανιών· αντιμετώπιση φυσικών και ανθρωπογενών καταστροφών· συμβολή στον μετριασμό των επιβλαβών ανθρώπινων δράσεων στον ωκεανό (αντιμετώπιση των επιπτώσεων της ρύπανσης, όπως τα μακροπλαστικά)· αύξηση της ικανότητας καταγραφής όλων των πληροφοριών που παράγονται στη θάλασσα· παραγωγή νέων γνώσεων και παραγωγή γνώσεων μέσω της συγχώνευσης πληροφοριών και ανάπτυξη μοντέλων πρόβλεψης με διαφορετικές χρονικές και χωρικές κλίμακες. </w:t>
      </w:r>
    </w:p>
    <w:p w14:paraId="600E2269" w14:textId="72E35649" w:rsidR="00154AD2" w:rsidRDefault="007F6BF3">
      <w:pPr>
        <w:pStyle w:val="P68B1DB1-Normal4"/>
        <w:keepNext/>
        <w:spacing w:before="40" w:after="0" w:line="259" w:lineRule="auto"/>
        <w:jc w:val="both"/>
        <w:rPr>
          <w:rFonts w:eastAsia="Times New Roman"/>
          <w:noProof/>
        </w:rPr>
      </w:pPr>
      <w:r>
        <w:rPr>
          <w:noProof/>
        </w:rPr>
        <w:t xml:space="preserve">Η επένδυση συνίσταται στην ανάπτυξη ενός συστήματος που βασίζεται σε τρεις βασικούς πυλώνες: Πυλώνας I — Ναυτική πλατφόρμα πολλαπλών σκοπών με πολλαπλά δυνατά σημεία και εξυπηρετεί τους ακόλουθους σκοπούς: παρακολούθηση των ωκεανών, ωκεανογραφική έρευνα, παρακολούθηση της θαλάσσιας οικολογίας, ενσωμάτωση νέων τεχνολογιών για την παρακολούθηση των ωκεανών και την παρέμβαση των ωκεανών — συμπεριλαμβανομένων των εναέριων και υποβρύχιων συστημάτων ρομποτικής)· Πυλώνας II — Κέντρο Επιχειρήσεων, βασισμένο σε σύστημα ευαισθητοποίησης που βασίζεται σε εθνική βάση δεδομένων για τη θάλασσα και ψηφιακό δίδυμο και σε δίκτυο κέντρων έρευνας, ανάπτυξης, πειραματισμού και καινοτομίας, με σκοπό την ενίσχυση των μέσων παρατήρησης των ωκεανών, τη συμβολή στον στόχο της δημιουργίας ενός ψηφιακού ωκεανού, την προώθηση της γνώσης και την παροχή λύσεων για ωκεάνιες παρεμβάσεις, όπως η συλλογή εναέριων, ναυτικών και υποθαλάσσιων δεδομένων, η γνώση των ωκεάνιων φαινομένων και η χαρτογράφηση των ωκεανών για επιστημονικούς σκοπούς· και πυλώνας III — Alfeite Arsenal Academy (Ακαδημία 4.0). Ο πυλώνας Ι συνίσταται στην κατασκευή πλατφόρμας πολλαπλών χρήσεων, στην ενσωμάτωση της τεχνολογίας αιχμής και στην επέκταση των λειτουργικών δυνατοτήτων ενός ωκεάνιου σκάφους επιτήρησης και ενός σκάφους ωκεανογραφικής έρευνας σε άλλα σενάρια, όπως σενάρια έκτακτης ανάγκης, όπως πετρελαιοκηλίδες ή συρρικνώματα πλαστικών, φυκιών ή οστρακοειδών) ή δραστηριότητες παρακολούθησης της θαλάσσιας οικολογίας και στην ενσωμάτωση νέων τεχνολογικών μέσων παρατήρησης, παρακολούθησης και παρέμβασης των ωκεανών, όπως ρομποτικά αερόφερτα ή υποβρύχια συστήματα. Η πλατφόρμα επιδιώκει διάφορες δράσεις, όπως: επιχειρήσεις έκτακτης ανάγκης, επιτήρηση, επιστημονική και τεχνολογική έρευνα και περιβαλλοντική και μετεωρολογική παρακολούθηση. Στο πλαίσιο του δεύτερου πυλώνα, το κέντρο επιχειρήσεων αποσκοπεί στην ενίσχυση των μέσων παρατήρησης των ωκεανών, συμβάλλοντας στον στόχο της δημιουργίας ενός «ψηφιακού ωκεανού», ώστε να καταστεί δυνατή η δημιουργία γνώσεων και, επιπλέον, να παρασχεθούν λύσεις που ενισχύουν την εθνική και διεθνή ικανότητα παρέμβασης στους ωκεανούς. Ο πυλώνας ΙΙΙ έχει ως στόχο να αποτελέσει ένα καινοτόμο σχέδιο για την κατάρτιση των ανθρώπινων πόρων στον τομέα της ναυτιλίας — τόσο μέσω της απόκτησης προσόντων και της ανταλλαγής εμπειριών των ήδη υφιστάμενων επιχειρήσεων όσο και μέσω της προσέλκυσης επαγγελματιών στον τομέα της ναυτικής μηχανικής. Η Ακαδημία Arsenal έχει ως στόχο να επικεντρωθεί στην κατάρτιση σε ανατρεπτικούς τομείς, όπως η ρομποτική, οι τηλεπικοινωνίες, η βιοτεχνολογία, η νανοτεχνολογία, η συνδεσιμότητα, η τεχνητή νοημοσύνη, τα μαζικά δεδομένα και η μάθηση με μηχανές. </w:t>
      </w:r>
    </w:p>
    <w:p w14:paraId="194B0E08" w14:textId="4DA04AD9" w:rsidR="00154AD2" w:rsidRDefault="007F6BF3">
      <w:pPr>
        <w:pStyle w:val="P68B1DB1-Normal4"/>
        <w:keepNext/>
        <w:spacing w:before="40" w:after="0" w:line="259" w:lineRule="auto"/>
        <w:jc w:val="both"/>
        <w:rPr>
          <w:rFonts w:eastAsiaTheme="minorEastAsia" w:cs="Times New Roman"/>
          <w:noProof/>
        </w:rPr>
      </w:pPr>
      <w:r>
        <w:rPr>
          <w:noProof/>
        </w:rPr>
        <w:t xml:space="preserve">Η υλοποίηση της επένδυσης θα ολοκληρωθεί έως τις 30 Ιουνίου 2026. </w:t>
      </w:r>
    </w:p>
    <w:p w14:paraId="6C40F50C" w14:textId="4BE4D193" w:rsidR="00154AD2" w:rsidRDefault="007F6BF3">
      <w:pPr>
        <w:pStyle w:val="P68B1DB1-Normal5"/>
        <w:keepNext/>
        <w:spacing w:before="240" w:after="0" w:line="259" w:lineRule="auto"/>
        <w:ind w:left="851"/>
        <w:jc w:val="both"/>
        <w:outlineLvl w:val="3"/>
        <w:rPr>
          <w:rFonts w:eastAsiaTheme="minorEastAsia" w:cs="Times New Roman"/>
          <w:noProof/>
        </w:rPr>
      </w:pPr>
      <w:r>
        <w:rPr>
          <w:noProof/>
        </w:rPr>
        <w:t xml:space="preserve">Επένδυση TC-C10-I07: Πράσινη ναυτιλία </w:t>
      </w:r>
    </w:p>
    <w:p w14:paraId="1305AFF8" w14:textId="77777777" w:rsidR="00154AD2" w:rsidRDefault="007F6BF3">
      <w:pPr>
        <w:pStyle w:val="P68B1DB1-Normal4"/>
        <w:spacing w:before="40" w:after="0" w:line="259" w:lineRule="auto"/>
        <w:jc w:val="both"/>
        <w:rPr>
          <w:rFonts w:cs="Times New Roman"/>
          <w:noProof/>
        </w:rPr>
      </w:pPr>
      <w:r>
        <w:rPr>
          <w:noProof/>
        </w:rPr>
        <w:t xml:space="preserve">Στόχος του μέτρου είναι η επιτάχυνση της ενεργειακής μετάβασης των θαλάσσιων εμπορευματικών και επιβατικών μεταφορών. </w:t>
      </w:r>
    </w:p>
    <w:p w14:paraId="5C3C7211" w14:textId="196441A6" w:rsidR="00154AD2" w:rsidRDefault="007F6BF3">
      <w:pPr>
        <w:pStyle w:val="P68B1DB1-Normal4"/>
        <w:spacing w:before="40" w:after="0" w:line="259" w:lineRule="auto"/>
        <w:jc w:val="both"/>
        <w:rPr>
          <w:rFonts w:eastAsia="Yu Mincho Light" w:cs="Times New Roman"/>
          <w:noProof/>
        </w:rPr>
      </w:pPr>
      <w:r>
        <w:rPr>
          <w:noProof/>
        </w:rPr>
        <w:t xml:space="preserve">Η επένδυση συνίσταται σε πρόγραμμα στήριξης για παρεμβάσεις ενεργειακής απόδοσης για δέκα σκάφη εμπορευματικών και επιβατικών μεταφορών, εκ των οποίων τουλάχιστον το 70 % των σκαφών υπερβαίνει τις 5000 ολική χωρητικότητα (GT). Οι παρεμβάσεις εμπίπτουν σε τουλάχιστον μία από τις ακόλουθες τυπολογίες: I) μέτρα αντικατάστασης ορυκτών καυσίμων ii) μέτρα εξοικονόμησης ενέργειας και iii) συμπληρωματικά μέτρα μείωσης των εκπομπών. </w:t>
      </w:r>
    </w:p>
    <w:p w14:paraId="15F0E021" w14:textId="6C3C3C59" w:rsidR="00154AD2" w:rsidRDefault="007F6BF3">
      <w:pPr>
        <w:pStyle w:val="P68B1DB1-Normal4"/>
        <w:spacing w:before="40" w:after="0" w:line="259" w:lineRule="auto"/>
        <w:jc w:val="both"/>
        <w:rPr>
          <w:rFonts w:cs="Times New Roman"/>
          <w:noProof/>
        </w:rPr>
      </w:pPr>
      <w:r>
        <w:rPr>
          <w:noProof/>
        </w:rPr>
        <w:t xml:space="preserve">Οι αιτήσεις βαθμολογούνται με βάση την αξιολόγηση του επιπέδου μείωσης των εκπομπών διοξειδίου του άνθρακα (CO2), που υπολογίζεται με βάση τον δείκτη έντασης άνθρακα (CII), και την ένδειξη ανά μονάδα εργασίας μεταφοράς, ως ποσοστό και την εκτίμηση των επιπέδων μείωσης των εκπομπών οξειδίων του θείου (SOx), οξειδίων του αζώτου (NOx) και σωματιδίων ως ποσοστό. Ο δείκτης ενεργειακής απόδοσης πλοίων (EEXI) χρησιμοποιείται επίσης ως δείκτης της αξιολόγησης.  </w:t>
      </w:r>
    </w:p>
    <w:p w14:paraId="54D2FF52" w14:textId="77777777" w:rsidR="00154AD2" w:rsidRDefault="007F6BF3">
      <w:pPr>
        <w:pStyle w:val="P68B1DB1-Normal4"/>
        <w:spacing w:before="40" w:after="0" w:line="259" w:lineRule="auto"/>
        <w:jc w:val="both"/>
        <w:rPr>
          <w:rFonts w:eastAsia="@MS Mincho" w:cs="Times New Roman"/>
          <w:noProof/>
        </w:rPr>
      </w:pPr>
      <w:r>
        <w:rPr>
          <w:noProof/>
        </w:rPr>
        <w:t xml:space="preserve">Προκειμένου να διασφαλιστεί ότι το μέτρο συμμορφώνεται με την τεχνική καθοδήγηση για την εφαρμογή της αρχής της «μη πρόκλησης σημαντικής βλάβης» (2021/C58/01), η επένδυση συμβάλλει στη μείωση της κατανάλωσης καυσίμου του πλοίου κατά τουλάχιστον 10 %, εκφρασμένη σε γραμμάρια καυσίμου ανά νεκρό βάρος ανά ναυτικό μίλι. Ο υπολογισμός της κατανάλωσης αποδεικνύεται με υπολογιστική δυναμική υγρών (CFD), δοκιμές δεξαμενών ή παρόμοιους μηχανικούς υπολογισμούς). Επιπλέον, τα σκάφη δεν προορίζονται αποκλειστικά για τη μεταφορά ορυκτών καυσίμων. </w:t>
      </w:r>
    </w:p>
    <w:p w14:paraId="4981A449" w14:textId="09E215CA" w:rsidR="00154AD2" w:rsidRDefault="007F6BF3">
      <w:pPr>
        <w:pStyle w:val="P68B1DB1-Normal4"/>
        <w:spacing w:before="40" w:after="0" w:line="259" w:lineRule="auto"/>
        <w:jc w:val="both"/>
        <w:rPr>
          <w:rFonts w:cs="Times New Roman"/>
          <w:noProof/>
        </w:rPr>
      </w:pPr>
      <w:r>
        <w:rPr>
          <w:noProof/>
        </w:rPr>
        <w:t>Η υλοποίηση της επένδυσης θα ολοκληρωθεί έως τις 30 Ιουνίου 2026.</w:t>
      </w:r>
    </w:p>
    <w:p w14:paraId="1FA687FB" w14:textId="77777777" w:rsidR="00154AD2" w:rsidRDefault="00154AD2">
      <w:pPr>
        <w:keepNext/>
        <w:spacing w:before="40" w:after="0" w:line="259" w:lineRule="auto"/>
        <w:jc w:val="both"/>
        <w:rPr>
          <w:rFonts w:ascii="Times New Roman" w:eastAsiaTheme="minorEastAsia" w:hAnsi="Times New Roman" w:cs="Times New Roman"/>
          <w:noProof/>
          <w:sz w:val="24"/>
        </w:rPr>
        <w:sectPr w:rsidR="00154AD2" w:rsidSect="00E00EDD">
          <w:headerReference w:type="even" r:id="rId222"/>
          <w:headerReference w:type="default" r:id="rId223"/>
          <w:footerReference w:type="even" r:id="rId224"/>
          <w:footerReference w:type="default" r:id="rId225"/>
          <w:headerReference w:type="first" r:id="rId226"/>
          <w:footerReference w:type="first" r:id="rId227"/>
          <w:pgSz w:w="11907" w:h="16839"/>
          <w:pgMar w:top="1134" w:right="1134" w:bottom="1134" w:left="1134" w:header="567" w:footer="567" w:gutter="0"/>
          <w:cols w:space="720"/>
          <w:docGrid w:linePitch="360"/>
        </w:sectPr>
      </w:pPr>
    </w:p>
    <w:p w14:paraId="21CBC0E4" w14:textId="0F96D272" w:rsidR="00154AD2" w:rsidRDefault="007F6BF3">
      <w:pPr>
        <w:pStyle w:val="P68B1DB1-Normal3"/>
        <w:keepNext/>
        <w:spacing w:before="40" w:after="0" w:line="259" w:lineRule="auto"/>
        <w:ind w:left="130" w:firstLine="720"/>
        <w:jc w:val="both"/>
        <w:outlineLvl w:val="2"/>
        <w:rPr>
          <w:rFonts w:eastAsiaTheme="minorEastAsia" w:cs="Times New Roman"/>
          <w:noProof/>
        </w:rPr>
      </w:pPr>
      <w:r>
        <w:rPr>
          <w:noProof/>
        </w:rPr>
        <w:t>Ι.4. Ορόσημα, στόχοι, δείκτες και χρονοδιάγραμμα για την παρακολούθηση και την υλοποίηση του δανείου</w:t>
      </w:r>
    </w:p>
    <w:p w14:paraId="2814265F" w14:textId="77777777" w:rsidR="00154AD2" w:rsidRDefault="00154AD2">
      <w:pPr>
        <w:keepNext/>
        <w:spacing w:before="40" w:after="0" w:line="259" w:lineRule="auto"/>
        <w:ind w:left="130" w:firstLine="720"/>
        <w:jc w:val="both"/>
        <w:outlineLvl w:val="2"/>
        <w:rPr>
          <w:rFonts w:ascii="Times New Roman" w:eastAsiaTheme="minorEastAsia" w:hAnsi="Times New Roman" w:cs="Times New Roman"/>
          <w:b/>
          <w:noProof/>
          <w:sz w:val="24"/>
          <w:u w:val="single"/>
        </w:rPr>
      </w:pPr>
    </w:p>
    <w:tbl>
      <w:tblPr>
        <w:tblW w:w="15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31"/>
        <w:gridCol w:w="1096"/>
        <w:gridCol w:w="1640"/>
        <w:gridCol w:w="1231"/>
        <w:gridCol w:w="962"/>
        <w:gridCol w:w="961"/>
        <w:gridCol w:w="690"/>
        <w:gridCol w:w="554"/>
        <w:gridCol w:w="684"/>
        <w:gridCol w:w="5223"/>
      </w:tblGrid>
      <w:tr w:rsidR="00154AD2" w14:paraId="7C352B17" w14:textId="77777777">
        <w:trPr>
          <w:trHeight w:val="910"/>
          <w:tblHeader/>
        </w:trPr>
        <w:tc>
          <w:tcPr>
            <w:tcW w:w="1101" w:type="dxa"/>
            <w:vMerge w:val="restart"/>
            <w:shd w:val="clear" w:color="auto" w:fill="BDD6EE"/>
            <w:vAlign w:val="center"/>
            <w:hideMark/>
          </w:tcPr>
          <w:p w14:paraId="293CE21B" w14:textId="77777777" w:rsidR="00154AD2" w:rsidRDefault="007F6BF3">
            <w:pPr>
              <w:pStyle w:val="P68B1DB1-Normal6"/>
              <w:keepNext/>
              <w:spacing w:before="40" w:after="0" w:line="240" w:lineRule="auto"/>
              <w:jc w:val="center"/>
              <w:rPr>
                <w:rFonts w:eastAsia="Times New Roman" w:cs="Times New Roman"/>
                <w:noProof/>
              </w:rPr>
            </w:pPr>
            <w:r>
              <w:rPr>
                <w:noProof/>
              </w:rPr>
              <w:t>Αύξων αριθμός</w:t>
            </w:r>
          </w:p>
        </w:tc>
        <w:tc>
          <w:tcPr>
            <w:tcW w:w="1231" w:type="dxa"/>
            <w:vMerge w:val="restart"/>
            <w:shd w:val="clear" w:color="auto" w:fill="BDD6EE"/>
            <w:vAlign w:val="center"/>
            <w:hideMark/>
          </w:tcPr>
          <w:p w14:paraId="1FBAE739" w14:textId="77777777" w:rsidR="00154AD2" w:rsidRDefault="007F6BF3">
            <w:pPr>
              <w:pStyle w:val="P68B1DB1-Normal6"/>
              <w:keepNext/>
              <w:spacing w:before="40" w:after="0" w:line="240" w:lineRule="auto"/>
              <w:jc w:val="center"/>
              <w:rPr>
                <w:rFonts w:eastAsia="Times New Roman" w:cs="Times New Roman"/>
                <w:noProof/>
              </w:rPr>
            </w:pPr>
            <w:r>
              <w:rPr>
                <w:noProof/>
              </w:rPr>
              <w:t>Μέτρο (Μεταρρύθμιση ή Επενδύσεις)</w:t>
            </w:r>
          </w:p>
        </w:tc>
        <w:tc>
          <w:tcPr>
            <w:tcW w:w="1096" w:type="dxa"/>
            <w:vMerge w:val="restart"/>
            <w:shd w:val="clear" w:color="auto" w:fill="BDD6EE"/>
            <w:vAlign w:val="center"/>
            <w:hideMark/>
          </w:tcPr>
          <w:p w14:paraId="60453F23" w14:textId="77777777" w:rsidR="00154AD2" w:rsidRDefault="007F6BF3">
            <w:pPr>
              <w:pStyle w:val="P68B1DB1-Normal6"/>
              <w:keepNext/>
              <w:spacing w:before="40" w:after="0" w:line="240" w:lineRule="auto"/>
              <w:jc w:val="center"/>
              <w:rPr>
                <w:rFonts w:eastAsia="Times New Roman" w:cs="Times New Roman"/>
                <w:noProof/>
                <w:sz w:val="14"/>
              </w:rPr>
            </w:pPr>
            <w:r>
              <w:rPr>
                <w:noProof/>
              </w:rPr>
              <w:t>Ορόσημο/Στόχος</w:t>
            </w:r>
          </w:p>
        </w:tc>
        <w:tc>
          <w:tcPr>
            <w:tcW w:w="1640" w:type="dxa"/>
            <w:vMerge w:val="restart"/>
            <w:shd w:val="clear" w:color="auto" w:fill="BDD6EE"/>
            <w:vAlign w:val="center"/>
            <w:hideMark/>
          </w:tcPr>
          <w:p w14:paraId="5B93FBDA" w14:textId="77777777" w:rsidR="00154AD2" w:rsidRDefault="007F6BF3">
            <w:pPr>
              <w:pStyle w:val="P68B1DB1-Normal6"/>
              <w:keepNext/>
              <w:spacing w:before="40" w:after="0" w:line="240" w:lineRule="auto"/>
              <w:jc w:val="center"/>
              <w:rPr>
                <w:rFonts w:eastAsia="Times New Roman" w:cs="Times New Roman"/>
                <w:noProof/>
              </w:rPr>
            </w:pPr>
            <w:r>
              <w:rPr>
                <w:noProof/>
              </w:rPr>
              <w:t>Όνομα</w:t>
            </w:r>
          </w:p>
        </w:tc>
        <w:tc>
          <w:tcPr>
            <w:tcW w:w="1231" w:type="dxa"/>
            <w:vMerge w:val="restart"/>
            <w:shd w:val="clear" w:color="auto" w:fill="BDD6EE"/>
            <w:vAlign w:val="center"/>
            <w:hideMark/>
          </w:tcPr>
          <w:p w14:paraId="5731C7BD" w14:textId="77777777" w:rsidR="00154AD2" w:rsidRDefault="007F6BF3">
            <w:pPr>
              <w:pStyle w:val="P68B1DB1-Normal6"/>
              <w:keepNext/>
              <w:spacing w:before="40" w:after="0" w:line="240" w:lineRule="auto"/>
              <w:jc w:val="center"/>
              <w:rPr>
                <w:rFonts w:eastAsia="Times New Roman" w:cs="Times New Roman"/>
                <w:noProof/>
              </w:rPr>
            </w:pPr>
            <w:r>
              <w:rPr>
                <w:noProof/>
              </w:rPr>
              <w:t>Ποιοτικοί δείκτες (για τα ορόσημα)</w:t>
            </w:r>
          </w:p>
        </w:tc>
        <w:tc>
          <w:tcPr>
            <w:tcW w:w="2613" w:type="dxa"/>
            <w:gridSpan w:val="3"/>
            <w:shd w:val="clear" w:color="auto" w:fill="BDD6EE"/>
            <w:vAlign w:val="center"/>
            <w:hideMark/>
          </w:tcPr>
          <w:p w14:paraId="2BC88CEE" w14:textId="77777777" w:rsidR="00154AD2" w:rsidRDefault="007F6BF3">
            <w:pPr>
              <w:pStyle w:val="P68B1DB1-Normal6"/>
              <w:keepNext/>
              <w:spacing w:before="40" w:after="0" w:line="240" w:lineRule="auto"/>
              <w:jc w:val="center"/>
              <w:rPr>
                <w:rFonts w:eastAsia="Times New Roman" w:cs="Times New Roman"/>
                <w:noProof/>
              </w:rPr>
            </w:pPr>
            <w:r>
              <w:rPr>
                <w:noProof/>
              </w:rPr>
              <w:t>Ποσοτικοί δείκτες (για τους στόχους)</w:t>
            </w:r>
          </w:p>
        </w:tc>
        <w:tc>
          <w:tcPr>
            <w:tcW w:w="1238" w:type="dxa"/>
            <w:gridSpan w:val="2"/>
            <w:shd w:val="clear" w:color="auto" w:fill="BDD6EE"/>
            <w:vAlign w:val="center"/>
            <w:hideMark/>
          </w:tcPr>
          <w:p w14:paraId="47D3562F" w14:textId="77777777" w:rsidR="00154AD2" w:rsidRDefault="007F6BF3">
            <w:pPr>
              <w:pStyle w:val="P68B1DB1-Normal6"/>
              <w:keepNext/>
              <w:spacing w:before="40" w:after="0" w:line="240" w:lineRule="auto"/>
              <w:jc w:val="center"/>
              <w:rPr>
                <w:rFonts w:eastAsia="Times New Roman" w:cs="Times New Roman"/>
                <w:noProof/>
              </w:rPr>
            </w:pPr>
            <w:r>
              <w:rPr>
                <w:noProof/>
              </w:rPr>
              <w:t>Ενδεικτικό χρονοδιάγραμμα ολοκλήρωσης</w:t>
            </w:r>
          </w:p>
        </w:tc>
        <w:tc>
          <w:tcPr>
            <w:tcW w:w="5223" w:type="dxa"/>
            <w:vMerge w:val="restart"/>
            <w:shd w:val="clear" w:color="auto" w:fill="BDD6EE"/>
            <w:vAlign w:val="center"/>
            <w:hideMark/>
          </w:tcPr>
          <w:p w14:paraId="119E2D1B" w14:textId="77777777" w:rsidR="00154AD2" w:rsidRDefault="007F6BF3">
            <w:pPr>
              <w:pStyle w:val="P68B1DB1-Normal6"/>
              <w:keepNext/>
              <w:spacing w:before="40" w:after="0" w:line="240" w:lineRule="auto"/>
              <w:jc w:val="center"/>
              <w:rPr>
                <w:rFonts w:eastAsia="Times New Roman" w:cs="Times New Roman"/>
                <w:noProof/>
              </w:rPr>
            </w:pPr>
            <w:r>
              <w:rPr>
                <w:noProof/>
              </w:rPr>
              <w:t>Περιγραφή και σαφής ορισμός κάθε ορόσημου και στόχου</w:t>
            </w:r>
          </w:p>
        </w:tc>
      </w:tr>
      <w:tr w:rsidR="00154AD2" w14:paraId="12D4B3EB" w14:textId="77777777">
        <w:trPr>
          <w:trHeight w:val="470"/>
          <w:tblHeader/>
        </w:trPr>
        <w:tc>
          <w:tcPr>
            <w:tcW w:w="1101" w:type="dxa"/>
            <w:vMerge/>
            <w:vAlign w:val="center"/>
            <w:hideMark/>
          </w:tcPr>
          <w:p w14:paraId="1EC2F9BC" w14:textId="77777777" w:rsidR="00154AD2" w:rsidRDefault="00154AD2">
            <w:pPr>
              <w:keepNext/>
              <w:spacing w:before="40" w:after="0" w:line="240" w:lineRule="auto"/>
              <w:jc w:val="both"/>
              <w:rPr>
                <w:rFonts w:ascii="Times New Roman" w:eastAsia="Times New Roman" w:hAnsi="Times New Roman" w:cs="Times New Roman"/>
                <w:b/>
                <w:noProof/>
                <w:sz w:val="18"/>
              </w:rPr>
            </w:pPr>
          </w:p>
        </w:tc>
        <w:tc>
          <w:tcPr>
            <w:tcW w:w="1231" w:type="dxa"/>
            <w:vMerge/>
            <w:vAlign w:val="center"/>
            <w:hideMark/>
          </w:tcPr>
          <w:p w14:paraId="38F355D3" w14:textId="77777777" w:rsidR="00154AD2" w:rsidRDefault="00154AD2">
            <w:pPr>
              <w:keepNext/>
              <w:spacing w:before="40" w:after="0" w:line="240" w:lineRule="auto"/>
              <w:jc w:val="both"/>
              <w:rPr>
                <w:rFonts w:ascii="Times New Roman" w:eastAsia="Times New Roman" w:hAnsi="Times New Roman" w:cs="Times New Roman"/>
                <w:b/>
                <w:noProof/>
                <w:sz w:val="18"/>
              </w:rPr>
            </w:pPr>
          </w:p>
        </w:tc>
        <w:tc>
          <w:tcPr>
            <w:tcW w:w="1096" w:type="dxa"/>
            <w:vMerge/>
            <w:vAlign w:val="center"/>
            <w:hideMark/>
          </w:tcPr>
          <w:p w14:paraId="6A303FCA" w14:textId="77777777" w:rsidR="00154AD2" w:rsidRDefault="00154AD2">
            <w:pPr>
              <w:keepNext/>
              <w:spacing w:before="40" w:after="0" w:line="240" w:lineRule="auto"/>
              <w:jc w:val="center"/>
              <w:rPr>
                <w:rFonts w:ascii="Times New Roman" w:eastAsia="Times New Roman" w:hAnsi="Times New Roman" w:cs="Times New Roman"/>
                <w:b/>
                <w:noProof/>
                <w:sz w:val="14"/>
              </w:rPr>
            </w:pPr>
          </w:p>
        </w:tc>
        <w:tc>
          <w:tcPr>
            <w:tcW w:w="1640" w:type="dxa"/>
            <w:vMerge/>
            <w:vAlign w:val="center"/>
            <w:hideMark/>
          </w:tcPr>
          <w:p w14:paraId="580C14CE" w14:textId="77777777" w:rsidR="00154AD2" w:rsidRDefault="00154AD2">
            <w:pPr>
              <w:keepNext/>
              <w:spacing w:before="40" w:after="0" w:line="240" w:lineRule="auto"/>
              <w:jc w:val="both"/>
              <w:rPr>
                <w:rFonts w:ascii="Times New Roman" w:eastAsia="Times New Roman" w:hAnsi="Times New Roman" w:cs="Times New Roman"/>
                <w:b/>
                <w:noProof/>
                <w:sz w:val="18"/>
              </w:rPr>
            </w:pPr>
          </w:p>
        </w:tc>
        <w:tc>
          <w:tcPr>
            <w:tcW w:w="1231" w:type="dxa"/>
            <w:vMerge/>
            <w:vAlign w:val="center"/>
            <w:hideMark/>
          </w:tcPr>
          <w:p w14:paraId="6286F64E" w14:textId="77777777" w:rsidR="00154AD2" w:rsidRDefault="00154AD2">
            <w:pPr>
              <w:keepNext/>
              <w:spacing w:before="40" w:after="0" w:line="240" w:lineRule="auto"/>
              <w:jc w:val="both"/>
              <w:rPr>
                <w:rFonts w:ascii="Times New Roman" w:eastAsia="Times New Roman" w:hAnsi="Times New Roman" w:cs="Times New Roman"/>
                <w:b/>
                <w:noProof/>
                <w:sz w:val="18"/>
              </w:rPr>
            </w:pPr>
          </w:p>
        </w:tc>
        <w:tc>
          <w:tcPr>
            <w:tcW w:w="962" w:type="dxa"/>
            <w:shd w:val="clear" w:color="auto" w:fill="BDD6EE"/>
            <w:vAlign w:val="center"/>
            <w:hideMark/>
          </w:tcPr>
          <w:p w14:paraId="6EA3F582" w14:textId="77777777" w:rsidR="00154AD2" w:rsidRDefault="007F6BF3">
            <w:pPr>
              <w:pStyle w:val="P68B1DB1-Normal6"/>
              <w:keepNext/>
              <w:spacing w:before="40" w:after="0" w:line="240" w:lineRule="auto"/>
              <w:jc w:val="center"/>
              <w:rPr>
                <w:rFonts w:eastAsia="Times New Roman" w:cs="Times New Roman"/>
                <w:noProof/>
              </w:rPr>
            </w:pPr>
            <w:r>
              <w:rPr>
                <w:noProof/>
              </w:rPr>
              <w:t>Μονάδα μέτρησης</w:t>
            </w:r>
          </w:p>
        </w:tc>
        <w:tc>
          <w:tcPr>
            <w:tcW w:w="961" w:type="dxa"/>
            <w:shd w:val="clear" w:color="auto" w:fill="BDD6EE"/>
            <w:vAlign w:val="center"/>
            <w:hideMark/>
          </w:tcPr>
          <w:p w14:paraId="230E8100" w14:textId="77777777" w:rsidR="00154AD2" w:rsidRDefault="007F6BF3">
            <w:pPr>
              <w:pStyle w:val="P68B1DB1-Normal6"/>
              <w:keepNext/>
              <w:spacing w:before="40" w:after="0" w:line="240" w:lineRule="auto"/>
              <w:jc w:val="center"/>
              <w:rPr>
                <w:rFonts w:eastAsia="Times New Roman" w:cs="Times New Roman"/>
                <w:noProof/>
              </w:rPr>
            </w:pPr>
            <w:r>
              <w:rPr>
                <w:noProof/>
              </w:rPr>
              <w:t>Γραμμή βάσης</w:t>
            </w:r>
          </w:p>
        </w:tc>
        <w:tc>
          <w:tcPr>
            <w:tcW w:w="690" w:type="dxa"/>
            <w:shd w:val="clear" w:color="auto" w:fill="BDD6EE"/>
            <w:vAlign w:val="center"/>
            <w:hideMark/>
          </w:tcPr>
          <w:p w14:paraId="7E77B1BE" w14:textId="77777777" w:rsidR="00154AD2" w:rsidRDefault="007F6BF3">
            <w:pPr>
              <w:pStyle w:val="P68B1DB1-Normal6"/>
              <w:keepNext/>
              <w:spacing w:before="40" w:after="0" w:line="240" w:lineRule="auto"/>
              <w:jc w:val="center"/>
              <w:rPr>
                <w:rFonts w:eastAsia="Times New Roman" w:cs="Times New Roman"/>
                <w:noProof/>
              </w:rPr>
            </w:pPr>
            <w:r>
              <w:rPr>
                <w:noProof/>
              </w:rPr>
              <w:t>Στόχοι</w:t>
            </w:r>
          </w:p>
        </w:tc>
        <w:tc>
          <w:tcPr>
            <w:tcW w:w="554" w:type="dxa"/>
            <w:shd w:val="clear" w:color="auto" w:fill="BDD6EE"/>
            <w:vAlign w:val="center"/>
            <w:hideMark/>
          </w:tcPr>
          <w:p w14:paraId="50EAB092" w14:textId="77777777" w:rsidR="00154AD2" w:rsidRDefault="007F6BF3">
            <w:pPr>
              <w:pStyle w:val="P68B1DB1-Normal6"/>
              <w:keepNext/>
              <w:spacing w:before="40" w:after="0" w:line="240" w:lineRule="auto"/>
              <w:jc w:val="center"/>
              <w:rPr>
                <w:rFonts w:eastAsia="Times New Roman" w:cs="Times New Roman"/>
                <w:noProof/>
              </w:rPr>
            </w:pPr>
            <w:r>
              <w:rPr>
                <w:noProof/>
              </w:rPr>
              <w:t>Ε</w:t>
            </w:r>
          </w:p>
        </w:tc>
        <w:tc>
          <w:tcPr>
            <w:tcW w:w="684" w:type="dxa"/>
            <w:shd w:val="clear" w:color="auto" w:fill="BDD6EE"/>
            <w:vAlign w:val="center"/>
            <w:hideMark/>
          </w:tcPr>
          <w:p w14:paraId="5684B644" w14:textId="77777777" w:rsidR="00154AD2" w:rsidRDefault="007F6BF3">
            <w:pPr>
              <w:pStyle w:val="P68B1DB1-Normal6"/>
              <w:keepNext/>
              <w:spacing w:before="40" w:after="0" w:line="240" w:lineRule="auto"/>
              <w:jc w:val="center"/>
              <w:rPr>
                <w:rFonts w:eastAsia="Times New Roman" w:cs="Times New Roman"/>
                <w:noProof/>
              </w:rPr>
            </w:pPr>
            <w:r>
              <w:rPr>
                <w:noProof/>
              </w:rPr>
              <w:t>Έτος</w:t>
            </w:r>
          </w:p>
        </w:tc>
        <w:tc>
          <w:tcPr>
            <w:tcW w:w="5223" w:type="dxa"/>
            <w:vMerge/>
            <w:vAlign w:val="center"/>
            <w:hideMark/>
          </w:tcPr>
          <w:p w14:paraId="3C5137C1" w14:textId="77777777" w:rsidR="00154AD2" w:rsidRDefault="00154AD2">
            <w:pPr>
              <w:keepNext/>
              <w:spacing w:before="40" w:after="0" w:line="240" w:lineRule="auto"/>
              <w:jc w:val="both"/>
              <w:rPr>
                <w:rFonts w:ascii="Times New Roman" w:eastAsia="Times New Roman" w:hAnsi="Times New Roman" w:cs="Times New Roman"/>
                <w:b/>
                <w:noProof/>
                <w:sz w:val="18"/>
              </w:rPr>
            </w:pPr>
          </w:p>
        </w:tc>
      </w:tr>
      <w:tr w:rsidR="00154AD2" w14:paraId="52BD253E" w14:textId="77777777">
        <w:trPr>
          <w:trHeight w:val="61"/>
        </w:trPr>
        <w:tc>
          <w:tcPr>
            <w:tcW w:w="1101" w:type="dxa"/>
            <w:shd w:val="clear" w:color="auto" w:fill="C4EFCE"/>
            <w:vAlign w:val="center"/>
          </w:tcPr>
          <w:p w14:paraId="1F146FCF" w14:textId="4E6EEEBB" w:rsidR="00154AD2" w:rsidRDefault="007F6BF3">
            <w:pPr>
              <w:pStyle w:val="P68B1DB1-Normal7"/>
              <w:keepNext/>
              <w:spacing w:before="40" w:after="0" w:line="240" w:lineRule="auto"/>
              <w:jc w:val="center"/>
              <w:rPr>
                <w:noProof/>
                <w:highlight w:val="magenta"/>
              </w:rPr>
            </w:pPr>
            <w:r>
              <w:rPr>
                <w:noProof/>
              </w:rPr>
              <w:t>10.5</w:t>
            </w:r>
          </w:p>
        </w:tc>
        <w:tc>
          <w:tcPr>
            <w:tcW w:w="1231" w:type="dxa"/>
            <w:shd w:val="clear" w:color="auto" w:fill="C4EFCE"/>
            <w:noWrap/>
            <w:vAlign w:val="center"/>
          </w:tcPr>
          <w:p w14:paraId="6E122812" w14:textId="10C964C3" w:rsidR="00154AD2" w:rsidRDefault="007F6BF3">
            <w:pPr>
              <w:pStyle w:val="P68B1DB1-Normal8"/>
              <w:keepNext/>
              <w:spacing w:before="40" w:after="0" w:line="240" w:lineRule="auto"/>
              <w:jc w:val="center"/>
              <w:rPr>
                <w:rFonts w:cstheme="minorHAnsi"/>
                <w:noProof/>
              </w:rPr>
            </w:pPr>
            <w:r>
              <w:rPr>
                <w:noProof/>
              </w:rPr>
              <w:t>TC-C10-I03</w:t>
            </w:r>
          </w:p>
        </w:tc>
        <w:tc>
          <w:tcPr>
            <w:tcW w:w="1096" w:type="dxa"/>
            <w:shd w:val="clear" w:color="auto" w:fill="C4EFCE"/>
            <w:noWrap/>
            <w:vAlign w:val="center"/>
          </w:tcPr>
          <w:p w14:paraId="49982C81" w14:textId="192B44BD" w:rsidR="00154AD2" w:rsidRDefault="007F6BF3">
            <w:pPr>
              <w:pStyle w:val="P68B1DB1-Normal8"/>
              <w:keepNext/>
              <w:spacing w:before="40" w:after="0" w:line="240" w:lineRule="auto"/>
              <w:jc w:val="center"/>
              <w:rPr>
                <w:rFonts w:cstheme="minorHAnsi"/>
                <w:noProof/>
              </w:rPr>
            </w:pPr>
            <w:r>
              <w:rPr>
                <w:noProof/>
              </w:rPr>
              <w:t>M</w:t>
            </w:r>
          </w:p>
        </w:tc>
        <w:tc>
          <w:tcPr>
            <w:tcW w:w="1640" w:type="dxa"/>
            <w:shd w:val="clear" w:color="auto" w:fill="C4EFCE"/>
            <w:noWrap/>
            <w:vAlign w:val="center"/>
          </w:tcPr>
          <w:p w14:paraId="6DF03557" w14:textId="2BF8CD78" w:rsidR="00154AD2" w:rsidRDefault="007F6BF3">
            <w:pPr>
              <w:pStyle w:val="P68B1DB1-Normal8"/>
              <w:keepNext/>
              <w:spacing w:before="40" w:after="0" w:line="240" w:lineRule="auto"/>
              <w:jc w:val="center"/>
              <w:rPr>
                <w:rFonts w:cstheme="minorHAnsi"/>
                <w:noProof/>
              </w:rPr>
            </w:pPr>
            <w:r>
              <w:rPr>
                <w:noProof/>
              </w:rPr>
              <w:t>Υπογραφή της σύμβασης για την «Πολυλειτουργική Ναυτική Πλατφόρμα» και το «Κέντρο Επιχειρήσεων»</w:t>
            </w:r>
          </w:p>
        </w:tc>
        <w:tc>
          <w:tcPr>
            <w:tcW w:w="1231" w:type="dxa"/>
            <w:shd w:val="clear" w:color="auto" w:fill="C4EFCE"/>
            <w:noWrap/>
            <w:vAlign w:val="center"/>
          </w:tcPr>
          <w:p w14:paraId="333B3AB3" w14:textId="02EF4106" w:rsidR="00154AD2" w:rsidRDefault="007F6BF3">
            <w:pPr>
              <w:pStyle w:val="P68B1DB1-Normal8"/>
              <w:keepNext/>
              <w:spacing w:before="40" w:after="0" w:line="240" w:lineRule="auto"/>
              <w:jc w:val="center"/>
              <w:rPr>
                <w:rFonts w:cstheme="minorHAnsi"/>
                <w:noProof/>
              </w:rPr>
            </w:pPr>
            <w:r>
              <w:rPr>
                <w:noProof/>
              </w:rPr>
              <w:t>Υπογραφή σύμβασης για την «Πολυλειτουργική Ναυτική Πλατφόρμα» και το «Κέντρο Επιχειρήσεων»</w:t>
            </w:r>
          </w:p>
        </w:tc>
        <w:tc>
          <w:tcPr>
            <w:tcW w:w="962" w:type="dxa"/>
            <w:shd w:val="clear" w:color="auto" w:fill="C4EFCE"/>
            <w:noWrap/>
            <w:vAlign w:val="center"/>
          </w:tcPr>
          <w:p w14:paraId="0247B4AE" w14:textId="2F9E4126" w:rsidR="00154AD2" w:rsidRDefault="007F6BF3">
            <w:pPr>
              <w:pStyle w:val="P68B1DB1-Normal8"/>
              <w:keepNext/>
              <w:spacing w:before="40" w:after="0" w:line="240" w:lineRule="auto"/>
              <w:jc w:val="center"/>
              <w:rPr>
                <w:rFonts w:cstheme="minorHAnsi"/>
                <w:noProof/>
              </w:rPr>
            </w:pPr>
            <w:r>
              <w:rPr>
                <w:noProof/>
              </w:rPr>
              <w:t> </w:t>
            </w:r>
          </w:p>
        </w:tc>
        <w:tc>
          <w:tcPr>
            <w:tcW w:w="961" w:type="dxa"/>
            <w:shd w:val="clear" w:color="auto" w:fill="C4EFCE"/>
            <w:noWrap/>
            <w:vAlign w:val="center"/>
          </w:tcPr>
          <w:p w14:paraId="13EB2DE9" w14:textId="65360A99" w:rsidR="00154AD2" w:rsidRDefault="007F6BF3">
            <w:pPr>
              <w:pStyle w:val="P68B1DB1-Normal8"/>
              <w:keepNext/>
              <w:spacing w:before="40" w:after="0" w:line="240" w:lineRule="auto"/>
              <w:jc w:val="center"/>
              <w:rPr>
                <w:rFonts w:cstheme="minorHAnsi"/>
                <w:noProof/>
              </w:rPr>
            </w:pPr>
            <w:r>
              <w:rPr>
                <w:noProof/>
              </w:rPr>
              <w:t> </w:t>
            </w:r>
          </w:p>
        </w:tc>
        <w:tc>
          <w:tcPr>
            <w:tcW w:w="690" w:type="dxa"/>
            <w:shd w:val="clear" w:color="auto" w:fill="C4EFCE"/>
            <w:noWrap/>
            <w:vAlign w:val="center"/>
          </w:tcPr>
          <w:p w14:paraId="404D0E0D" w14:textId="65417E79" w:rsidR="00154AD2" w:rsidRDefault="007F6BF3">
            <w:pPr>
              <w:pStyle w:val="P68B1DB1-Normal8"/>
              <w:keepNext/>
              <w:spacing w:before="40" w:after="0" w:line="240" w:lineRule="auto"/>
              <w:jc w:val="center"/>
              <w:rPr>
                <w:rFonts w:cstheme="minorHAnsi"/>
                <w:noProof/>
              </w:rPr>
            </w:pPr>
            <w:r>
              <w:rPr>
                <w:noProof/>
              </w:rPr>
              <w:t> </w:t>
            </w:r>
          </w:p>
        </w:tc>
        <w:tc>
          <w:tcPr>
            <w:tcW w:w="554" w:type="dxa"/>
            <w:shd w:val="clear" w:color="auto" w:fill="C4EFCE"/>
            <w:noWrap/>
            <w:vAlign w:val="center"/>
          </w:tcPr>
          <w:p w14:paraId="6720E15C" w14:textId="1C9DE191" w:rsidR="00154AD2" w:rsidRDefault="007F6BF3">
            <w:pPr>
              <w:pStyle w:val="P68B1DB1-Normal8"/>
              <w:keepNext/>
              <w:spacing w:before="40" w:after="0" w:line="240" w:lineRule="auto"/>
              <w:jc w:val="center"/>
              <w:rPr>
                <w:rFonts w:cstheme="minorHAnsi"/>
                <w:noProof/>
              </w:rPr>
            </w:pPr>
            <w:r>
              <w:rPr>
                <w:noProof/>
              </w:rPr>
              <w:t>ΤΡΊΜΗΝΟ 3</w:t>
            </w:r>
          </w:p>
        </w:tc>
        <w:tc>
          <w:tcPr>
            <w:tcW w:w="684" w:type="dxa"/>
            <w:shd w:val="clear" w:color="auto" w:fill="C4EFCE"/>
            <w:noWrap/>
            <w:vAlign w:val="center"/>
          </w:tcPr>
          <w:p w14:paraId="7372820D" w14:textId="3637367A" w:rsidR="00154AD2" w:rsidRDefault="007F6BF3">
            <w:pPr>
              <w:pStyle w:val="P68B1DB1-Normal8"/>
              <w:keepNext/>
              <w:spacing w:before="40" w:after="0" w:line="240" w:lineRule="auto"/>
              <w:jc w:val="center"/>
              <w:rPr>
                <w:rFonts w:cstheme="minorHAnsi"/>
                <w:noProof/>
              </w:rPr>
            </w:pPr>
            <w:r>
              <w:rPr>
                <w:noProof/>
              </w:rPr>
              <w:t>2023</w:t>
            </w:r>
          </w:p>
        </w:tc>
        <w:tc>
          <w:tcPr>
            <w:tcW w:w="5223" w:type="dxa"/>
            <w:shd w:val="clear" w:color="auto" w:fill="C4EFCE"/>
            <w:vAlign w:val="center"/>
          </w:tcPr>
          <w:p w14:paraId="30002EA5" w14:textId="77777777" w:rsidR="00154AD2" w:rsidRDefault="007F6BF3">
            <w:pPr>
              <w:pStyle w:val="P68B1DB1-Normal8"/>
              <w:keepNext/>
              <w:spacing w:before="40" w:after="0" w:line="240" w:lineRule="auto"/>
              <w:jc w:val="both"/>
              <w:rPr>
                <w:rFonts w:eastAsia="Times New Roman" w:cs="Calibri"/>
                <w:noProof/>
              </w:rPr>
            </w:pPr>
            <w:r>
              <w:rPr>
                <w:noProof/>
              </w:rPr>
              <w:t xml:space="preserve">Υπογραφή της σύμβασης κατασκευής μετά την προκήρυξη του (των) δημόσιου (-ών) διαγωνισμού (-ών) — πυλώνες I και II: </w:t>
            </w:r>
          </w:p>
          <w:p w14:paraId="120A48F6" w14:textId="77777777" w:rsidR="00154AD2" w:rsidRDefault="007F6BF3">
            <w:pPr>
              <w:pStyle w:val="P68B1DB1-Normal8"/>
              <w:keepNext/>
              <w:spacing w:before="40" w:after="0" w:line="240" w:lineRule="auto"/>
              <w:jc w:val="both"/>
              <w:rPr>
                <w:rFonts w:eastAsia="Times New Roman" w:cs="Calibri"/>
                <w:noProof/>
              </w:rPr>
            </w:pPr>
            <w:r>
              <w:rPr>
                <w:noProof/>
              </w:rPr>
              <w:t xml:space="preserve">Πυλώνας I — Πολυλειτουργική ναυτική πλατφόρμα, </w:t>
            </w:r>
          </w:p>
          <w:p w14:paraId="2F9DB0C1" w14:textId="77777777" w:rsidR="00154AD2" w:rsidRDefault="007F6BF3">
            <w:pPr>
              <w:pStyle w:val="P68B1DB1-Normal8"/>
              <w:keepNext/>
              <w:spacing w:before="40" w:after="0" w:line="240" w:lineRule="auto"/>
              <w:jc w:val="both"/>
              <w:rPr>
                <w:rFonts w:eastAsia="Times New Roman" w:cs="Calibri"/>
                <w:noProof/>
              </w:rPr>
            </w:pPr>
            <w:r>
              <w:rPr>
                <w:noProof/>
              </w:rPr>
              <w:t>Περιλαμβάνει την κατασκευή πολυλειτουργικής ναυτικής εξέδρας περίπου 100 μέτρων με δυναμικό οριζόντιο αυτόματο καθορισμό θέσης, ολοκληρωμένο σύστημα διαχείρισης αποβάθρας, γέφυρα διοίκησης και κέντρο επιχειρήσεων, υποβρύχιο σύστημα ακουστικού εντοπισμού θέσης, διάδρομος εκτόξευσης υποβρυχίων υποβρυχίων και/ή αποβίβασης αυτόνομων συστημάτων, γερανών, καταστρώματος για ελικοδρόμια, μεταξύ άλλων),</w:t>
            </w:r>
          </w:p>
          <w:p w14:paraId="4F92961B" w14:textId="0FCD137D" w:rsidR="00154AD2" w:rsidRDefault="007F6BF3">
            <w:pPr>
              <w:pStyle w:val="P68B1DB1-Normal8"/>
              <w:keepNext/>
              <w:spacing w:before="40" w:after="0" w:line="240" w:lineRule="auto"/>
              <w:jc w:val="both"/>
              <w:rPr>
                <w:rFonts w:eastAsia="Times New Roman" w:cs="Calibri"/>
                <w:noProof/>
              </w:rPr>
            </w:pPr>
            <w:r>
              <w:rPr>
                <w:noProof/>
              </w:rPr>
              <w:t>Περιλαμβάνει επίσης την ικανότητα χειρισμού οχημάτων βάθους έως 6 000 μέτρων, στάθμευσης αυτόνομων οχημάτων επιφανείας και πρόσθετων ναυτικών μέσων (συμπεριλαμβανομένων των αυτόνομων οχημάτων επιφανείας των ωκεανών, των αυτόνομων υποβρύχιων οχημάτων, των αυτόνομων εναέριων οχημάτων, των μη επανδρωμένων αεροσκαφών).</w:t>
            </w:r>
          </w:p>
          <w:p w14:paraId="45957A47" w14:textId="77777777" w:rsidR="00154AD2" w:rsidRDefault="007F6BF3">
            <w:pPr>
              <w:pStyle w:val="P68B1DB1-Normal8"/>
              <w:keepNext/>
              <w:spacing w:before="40" w:after="0" w:line="240" w:lineRule="auto"/>
              <w:jc w:val="both"/>
              <w:rPr>
                <w:rFonts w:eastAsia="Times New Roman" w:cs="Calibri"/>
                <w:noProof/>
              </w:rPr>
            </w:pPr>
            <w:r>
              <w:rPr>
                <w:noProof/>
              </w:rPr>
              <w:t>Πυλώνας II — Κέντρο Επιχειρήσεων</w:t>
            </w:r>
          </w:p>
          <w:p w14:paraId="0AF421B0" w14:textId="49716D7D" w:rsidR="00154AD2" w:rsidRDefault="007F6BF3">
            <w:pPr>
              <w:pStyle w:val="P68B1DB1-Bodytext1018"/>
              <w:spacing w:before="40" w:after="0" w:line="240" w:lineRule="auto"/>
              <w:jc w:val="both"/>
              <w:rPr>
                <w:rFonts w:asciiTheme="minorHAnsi" w:hAnsiTheme="minorHAnsi" w:cstheme="minorHAnsi"/>
                <w:noProof/>
              </w:rPr>
            </w:pPr>
            <w:r>
              <w:rPr>
                <w:noProof/>
              </w:rPr>
              <w:t>Περιλαμβάνει την ανακαίνιση υφιστάμενων κτιρίων και δομών, εγκαταστάσεων για συστήματα υπολογιστών και επικοινωνιών για το επιχειρησιακό κέντρο και το δίκτυο εργαστηρίων, συστήματα υπολογιστικής υψηλών επιδόσεων και αποθήκευσης πληροφοριών, συστήματα επικοινωνίας (συμπεριλαμβανομένων των συστημάτων τηλεοράσεως πολύ μικρού αεροσταθμού (VSAT)) (TVRO) και συστήματα διαλειτουργικότητας με άλλα ναυτικά συστήματα, ανάπτυξη λογισμικού και συστήματα εμβύθισης.</w:t>
            </w:r>
          </w:p>
        </w:tc>
      </w:tr>
      <w:tr w:rsidR="00154AD2" w14:paraId="2CE6D5E1" w14:textId="77777777">
        <w:trPr>
          <w:trHeight w:val="61"/>
        </w:trPr>
        <w:tc>
          <w:tcPr>
            <w:tcW w:w="1101" w:type="dxa"/>
            <w:shd w:val="clear" w:color="auto" w:fill="C4EFCE"/>
            <w:vAlign w:val="center"/>
          </w:tcPr>
          <w:p w14:paraId="49ADFB31" w14:textId="33E084CF" w:rsidR="00154AD2" w:rsidRDefault="007F6BF3">
            <w:pPr>
              <w:pStyle w:val="P68B1DB1-Normal7"/>
              <w:keepNext/>
              <w:spacing w:before="40" w:after="0" w:line="240" w:lineRule="auto"/>
              <w:jc w:val="center"/>
              <w:rPr>
                <w:noProof/>
                <w:highlight w:val="magenta"/>
              </w:rPr>
            </w:pPr>
            <w:r>
              <w:rPr>
                <w:noProof/>
              </w:rPr>
              <w:t>10.6</w:t>
            </w:r>
          </w:p>
        </w:tc>
        <w:tc>
          <w:tcPr>
            <w:tcW w:w="1231" w:type="dxa"/>
            <w:shd w:val="clear" w:color="auto" w:fill="C4EFCE"/>
            <w:noWrap/>
            <w:vAlign w:val="center"/>
          </w:tcPr>
          <w:p w14:paraId="328A6835" w14:textId="4753CB2C" w:rsidR="00154AD2" w:rsidRDefault="007F6BF3">
            <w:pPr>
              <w:pStyle w:val="P68B1DB1-Normal8"/>
              <w:keepNext/>
              <w:spacing w:before="40" w:after="0" w:line="240" w:lineRule="auto"/>
              <w:jc w:val="center"/>
              <w:rPr>
                <w:rFonts w:cstheme="minorHAnsi"/>
                <w:noProof/>
              </w:rPr>
            </w:pPr>
            <w:r>
              <w:rPr>
                <w:noProof/>
              </w:rPr>
              <w:t>TC-C10-I03</w:t>
            </w:r>
          </w:p>
        </w:tc>
        <w:tc>
          <w:tcPr>
            <w:tcW w:w="1096" w:type="dxa"/>
            <w:shd w:val="clear" w:color="auto" w:fill="C4EFCE"/>
            <w:noWrap/>
            <w:vAlign w:val="center"/>
          </w:tcPr>
          <w:p w14:paraId="02CC9831" w14:textId="74A625E2" w:rsidR="00154AD2" w:rsidRDefault="007F6BF3">
            <w:pPr>
              <w:pStyle w:val="P68B1DB1-Normal8"/>
              <w:keepNext/>
              <w:spacing w:before="40" w:after="0" w:line="240" w:lineRule="auto"/>
              <w:jc w:val="center"/>
              <w:rPr>
                <w:rFonts w:cstheme="minorHAnsi"/>
                <w:noProof/>
              </w:rPr>
            </w:pPr>
            <w:r>
              <w:rPr>
                <w:noProof/>
              </w:rPr>
              <w:t>M</w:t>
            </w:r>
          </w:p>
        </w:tc>
        <w:tc>
          <w:tcPr>
            <w:tcW w:w="1640" w:type="dxa"/>
            <w:shd w:val="clear" w:color="auto" w:fill="C4EFCE"/>
            <w:noWrap/>
            <w:vAlign w:val="center"/>
          </w:tcPr>
          <w:p w14:paraId="7DF74898" w14:textId="25083335" w:rsidR="00154AD2" w:rsidRDefault="007F6BF3">
            <w:pPr>
              <w:pStyle w:val="P68B1DB1-Normal8"/>
              <w:keepNext/>
              <w:spacing w:before="40" w:after="0" w:line="240" w:lineRule="auto"/>
              <w:jc w:val="center"/>
              <w:rPr>
                <w:rFonts w:cstheme="minorHAnsi"/>
                <w:noProof/>
              </w:rPr>
            </w:pPr>
            <w:r>
              <w:rPr>
                <w:noProof/>
              </w:rPr>
              <w:t>Ολοκλήρωση της Ακαδημίας Αρσενικού Αλφέιτ</w:t>
            </w:r>
          </w:p>
        </w:tc>
        <w:tc>
          <w:tcPr>
            <w:tcW w:w="1231" w:type="dxa"/>
            <w:shd w:val="clear" w:color="auto" w:fill="C4EFCE"/>
            <w:noWrap/>
            <w:vAlign w:val="center"/>
          </w:tcPr>
          <w:p w14:paraId="12A8E34A" w14:textId="46A14581" w:rsidR="00154AD2" w:rsidRDefault="007F6BF3">
            <w:pPr>
              <w:pStyle w:val="P68B1DB1-Normal8"/>
              <w:keepNext/>
              <w:spacing w:before="40" w:after="0" w:line="240" w:lineRule="auto"/>
              <w:jc w:val="center"/>
              <w:rPr>
                <w:rFonts w:cstheme="minorHAnsi"/>
                <w:noProof/>
              </w:rPr>
            </w:pPr>
            <w:r>
              <w:rPr>
                <w:noProof/>
              </w:rPr>
              <w:t>Ολοκλήρωση της ακαδημίας Alfeite Arsenal </w:t>
            </w:r>
          </w:p>
        </w:tc>
        <w:tc>
          <w:tcPr>
            <w:tcW w:w="962" w:type="dxa"/>
            <w:shd w:val="clear" w:color="auto" w:fill="C4EFCE"/>
            <w:noWrap/>
            <w:vAlign w:val="center"/>
          </w:tcPr>
          <w:p w14:paraId="74243FDB" w14:textId="33F44A1E" w:rsidR="00154AD2" w:rsidRDefault="007F6BF3">
            <w:pPr>
              <w:pStyle w:val="P68B1DB1-Normal8"/>
              <w:keepNext/>
              <w:spacing w:before="40" w:after="0" w:line="240" w:lineRule="auto"/>
              <w:jc w:val="center"/>
              <w:rPr>
                <w:rFonts w:cstheme="minorHAnsi"/>
                <w:noProof/>
              </w:rPr>
            </w:pPr>
            <w:r>
              <w:rPr>
                <w:noProof/>
              </w:rPr>
              <w:t> </w:t>
            </w:r>
          </w:p>
        </w:tc>
        <w:tc>
          <w:tcPr>
            <w:tcW w:w="961" w:type="dxa"/>
            <w:shd w:val="clear" w:color="auto" w:fill="C4EFCE"/>
            <w:noWrap/>
            <w:vAlign w:val="center"/>
          </w:tcPr>
          <w:p w14:paraId="2DB2BAAF" w14:textId="3DCC3C16" w:rsidR="00154AD2" w:rsidRDefault="007F6BF3">
            <w:pPr>
              <w:pStyle w:val="P68B1DB1-Normal8"/>
              <w:keepNext/>
              <w:spacing w:before="40" w:after="0" w:line="240" w:lineRule="auto"/>
              <w:jc w:val="center"/>
              <w:rPr>
                <w:rFonts w:cstheme="minorHAnsi"/>
                <w:noProof/>
              </w:rPr>
            </w:pPr>
            <w:r>
              <w:rPr>
                <w:noProof/>
              </w:rPr>
              <w:t> </w:t>
            </w:r>
          </w:p>
        </w:tc>
        <w:tc>
          <w:tcPr>
            <w:tcW w:w="690" w:type="dxa"/>
            <w:shd w:val="clear" w:color="auto" w:fill="C4EFCE"/>
            <w:noWrap/>
            <w:vAlign w:val="center"/>
          </w:tcPr>
          <w:p w14:paraId="3CB08472" w14:textId="5F29F401" w:rsidR="00154AD2" w:rsidRDefault="007F6BF3">
            <w:pPr>
              <w:pStyle w:val="P68B1DB1-Normal8"/>
              <w:keepNext/>
              <w:spacing w:before="40" w:after="0" w:line="240" w:lineRule="auto"/>
              <w:jc w:val="center"/>
              <w:rPr>
                <w:rFonts w:cstheme="minorHAnsi"/>
                <w:noProof/>
              </w:rPr>
            </w:pPr>
            <w:r>
              <w:rPr>
                <w:noProof/>
              </w:rPr>
              <w:t> </w:t>
            </w:r>
          </w:p>
        </w:tc>
        <w:tc>
          <w:tcPr>
            <w:tcW w:w="554" w:type="dxa"/>
            <w:shd w:val="clear" w:color="auto" w:fill="C4EFCE"/>
            <w:noWrap/>
            <w:vAlign w:val="center"/>
          </w:tcPr>
          <w:p w14:paraId="5AD5DE15" w14:textId="6782A64C" w:rsidR="00154AD2" w:rsidRDefault="007F6BF3">
            <w:pPr>
              <w:pStyle w:val="P68B1DB1-Normal8"/>
              <w:keepNext/>
              <w:spacing w:before="40" w:after="0" w:line="240" w:lineRule="auto"/>
              <w:jc w:val="center"/>
              <w:rPr>
                <w:rFonts w:cstheme="minorHAnsi"/>
                <w:noProof/>
              </w:rPr>
            </w:pPr>
            <w:r>
              <w:rPr>
                <w:noProof/>
              </w:rPr>
              <w:t>ΤΡΊΜΗΝΟ 4</w:t>
            </w:r>
          </w:p>
        </w:tc>
        <w:tc>
          <w:tcPr>
            <w:tcW w:w="684" w:type="dxa"/>
            <w:shd w:val="clear" w:color="auto" w:fill="C4EFCE"/>
            <w:noWrap/>
            <w:vAlign w:val="center"/>
          </w:tcPr>
          <w:p w14:paraId="59B5AF35" w14:textId="1A32ACF2" w:rsidR="00154AD2" w:rsidRDefault="007F6BF3">
            <w:pPr>
              <w:pStyle w:val="P68B1DB1-Normal8"/>
              <w:keepNext/>
              <w:spacing w:before="40" w:after="0" w:line="240" w:lineRule="auto"/>
              <w:jc w:val="center"/>
              <w:rPr>
                <w:rFonts w:cstheme="minorHAnsi"/>
                <w:noProof/>
              </w:rPr>
            </w:pPr>
            <w:r>
              <w:rPr>
                <w:noProof/>
              </w:rPr>
              <w:t>2023</w:t>
            </w:r>
          </w:p>
        </w:tc>
        <w:tc>
          <w:tcPr>
            <w:tcW w:w="5223" w:type="dxa"/>
            <w:shd w:val="clear" w:color="auto" w:fill="C4EFCE"/>
            <w:vAlign w:val="center"/>
          </w:tcPr>
          <w:p w14:paraId="252172A4" w14:textId="77777777" w:rsidR="00154AD2" w:rsidRDefault="007F6BF3">
            <w:pPr>
              <w:pStyle w:val="P68B1DB1-Normal8"/>
              <w:keepNext/>
              <w:spacing w:before="40" w:after="0" w:line="240" w:lineRule="auto"/>
              <w:jc w:val="both"/>
              <w:rPr>
                <w:rFonts w:eastAsia="Times New Roman" w:cs="Calibri"/>
                <w:noProof/>
              </w:rPr>
            </w:pPr>
            <w:r>
              <w:rPr>
                <w:noProof/>
              </w:rPr>
              <w:t xml:space="preserve">Ολοκλήρωση της Σχολής της Ακαδημίας Αρσενικού Αλφέιτ </w:t>
            </w:r>
          </w:p>
          <w:p w14:paraId="2A0F6D74" w14:textId="0F37D64C" w:rsidR="00154AD2" w:rsidRDefault="007F6BF3">
            <w:pPr>
              <w:pStyle w:val="P68B1DB1-Bodytext1018"/>
              <w:spacing w:before="40" w:after="0" w:line="240" w:lineRule="auto"/>
              <w:jc w:val="both"/>
              <w:rPr>
                <w:rFonts w:asciiTheme="minorHAnsi" w:hAnsiTheme="minorHAnsi" w:cstheme="minorHAnsi"/>
                <w:noProof/>
              </w:rPr>
            </w:pPr>
            <w:r>
              <w:rPr>
                <w:noProof/>
              </w:rPr>
              <w:t>(συμπεριλαμβανομένης της αναβάθμισης των υποδομών και της αγοράς εξοπλισμού (υπολογιστές· εργαστηριακός εξοπλισμός, τεχνολογική υποδομή, εξοπλισμός για τη βιομηχανία 4.0 και ψηφιακή μετάβαση), διάγνωση των αναγκών κατάρτισης, ανάπτυξη μαθημάτων κατάρτισης, παροχή πρώτων μαθημάτων κατάρτισης ήδη πριν από την ολοκλήρωση του σχολείου)</w:t>
            </w:r>
          </w:p>
        </w:tc>
      </w:tr>
      <w:tr w:rsidR="00154AD2" w14:paraId="48A6F7E1" w14:textId="77777777">
        <w:trPr>
          <w:trHeight w:val="61"/>
        </w:trPr>
        <w:tc>
          <w:tcPr>
            <w:tcW w:w="1101" w:type="dxa"/>
            <w:shd w:val="clear" w:color="auto" w:fill="C4EFCE"/>
            <w:vAlign w:val="center"/>
          </w:tcPr>
          <w:p w14:paraId="6A6158B3" w14:textId="6C24D77B" w:rsidR="00154AD2" w:rsidRDefault="007F6BF3">
            <w:pPr>
              <w:pStyle w:val="P68B1DB1-Normal7"/>
              <w:keepNext/>
              <w:spacing w:before="40" w:after="0" w:line="240" w:lineRule="auto"/>
              <w:jc w:val="center"/>
              <w:rPr>
                <w:noProof/>
                <w:highlight w:val="magenta"/>
              </w:rPr>
            </w:pPr>
            <w:r>
              <w:rPr>
                <w:noProof/>
              </w:rPr>
              <w:t>10.7</w:t>
            </w:r>
          </w:p>
        </w:tc>
        <w:tc>
          <w:tcPr>
            <w:tcW w:w="1231" w:type="dxa"/>
            <w:shd w:val="clear" w:color="auto" w:fill="C4EFCE"/>
            <w:noWrap/>
            <w:vAlign w:val="center"/>
          </w:tcPr>
          <w:p w14:paraId="3394B414" w14:textId="5C6B7A86" w:rsidR="00154AD2" w:rsidRDefault="007F6BF3">
            <w:pPr>
              <w:pStyle w:val="P68B1DB1-Normal8"/>
              <w:keepNext/>
              <w:spacing w:before="40" w:after="0" w:line="240" w:lineRule="auto"/>
              <w:jc w:val="center"/>
              <w:rPr>
                <w:rFonts w:cstheme="minorHAnsi"/>
                <w:noProof/>
              </w:rPr>
            </w:pPr>
            <w:r>
              <w:rPr>
                <w:noProof/>
              </w:rPr>
              <w:t>TC-C10-I03</w:t>
            </w:r>
          </w:p>
        </w:tc>
        <w:tc>
          <w:tcPr>
            <w:tcW w:w="1096" w:type="dxa"/>
            <w:shd w:val="clear" w:color="auto" w:fill="C4EFCE"/>
            <w:noWrap/>
            <w:vAlign w:val="center"/>
          </w:tcPr>
          <w:p w14:paraId="6ACD3011" w14:textId="224855CD" w:rsidR="00154AD2" w:rsidRDefault="007F6BF3">
            <w:pPr>
              <w:pStyle w:val="P68B1DB1-Normal8"/>
              <w:keepNext/>
              <w:spacing w:before="40" w:after="0" w:line="240" w:lineRule="auto"/>
              <w:jc w:val="center"/>
              <w:rPr>
                <w:rFonts w:cstheme="minorHAnsi"/>
                <w:noProof/>
              </w:rPr>
            </w:pPr>
            <w:r>
              <w:rPr>
                <w:noProof/>
              </w:rPr>
              <w:t>M</w:t>
            </w:r>
          </w:p>
        </w:tc>
        <w:tc>
          <w:tcPr>
            <w:tcW w:w="1640" w:type="dxa"/>
            <w:shd w:val="clear" w:color="auto" w:fill="C4EFCE"/>
            <w:noWrap/>
            <w:vAlign w:val="center"/>
          </w:tcPr>
          <w:p w14:paraId="5CB9DCFB" w14:textId="4C105B42" w:rsidR="00154AD2" w:rsidRDefault="007F6BF3">
            <w:pPr>
              <w:pStyle w:val="P68B1DB1-Normal8"/>
              <w:keepNext/>
              <w:spacing w:before="40" w:after="0" w:line="240" w:lineRule="auto"/>
              <w:jc w:val="center"/>
              <w:rPr>
                <w:rFonts w:cstheme="minorHAnsi"/>
                <w:noProof/>
              </w:rPr>
            </w:pPr>
            <w:r>
              <w:rPr>
                <w:noProof/>
              </w:rPr>
              <w:t>Υποδοχή και αποδοχή της «Πολυλειτουργικής Ναυτικής Πλατφόρμας» και του «Κέντρου Επιχειρήσεων»</w:t>
            </w:r>
          </w:p>
        </w:tc>
        <w:tc>
          <w:tcPr>
            <w:tcW w:w="1231" w:type="dxa"/>
            <w:shd w:val="clear" w:color="auto" w:fill="C4EFCE"/>
            <w:noWrap/>
            <w:vAlign w:val="center"/>
          </w:tcPr>
          <w:p w14:paraId="615F7D19" w14:textId="2A89DF40" w:rsidR="00154AD2" w:rsidRDefault="007F6BF3">
            <w:pPr>
              <w:pStyle w:val="P68B1DB1-Normal8"/>
              <w:keepNext/>
              <w:spacing w:before="40" w:after="0" w:line="240" w:lineRule="auto"/>
              <w:jc w:val="center"/>
              <w:rPr>
                <w:rFonts w:cstheme="minorHAnsi"/>
                <w:noProof/>
              </w:rPr>
            </w:pPr>
            <w:r>
              <w:rPr>
                <w:noProof/>
              </w:rPr>
              <w:t>Υποδοχή και αποδοχή της «Πολυλειτουργικής Ναυτικής Πλατφόρμας» και του «Κέντρου Επιχειρήσεων»</w:t>
            </w:r>
          </w:p>
        </w:tc>
        <w:tc>
          <w:tcPr>
            <w:tcW w:w="962" w:type="dxa"/>
            <w:shd w:val="clear" w:color="auto" w:fill="C4EFCE"/>
            <w:noWrap/>
            <w:vAlign w:val="center"/>
          </w:tcPr>
          <w:p w14:paraId="274F01D9" w14:textId="06465FCA" w:rsidR="00154AD2" w:rsidRDefault="007F6BF3">
            <w:pPr>
              <w:pStyle w:val="P68B1DB1-Normal8"/>
              <w:keepNext/>
              <w:spacing w:before="40" w:after="0" w:line="240" w:lineRule="auto"/>
              <w:jc w:val="center"/>
              <w:rPr>
                <w:rFonts w:cstheme="minorHAnsi"/>
                <w:noProof/>
              </w:rPr>
            </w:pPr>
            <w:r>
              <w:rPr>
                <w:noProof/>
              </w:rPr>
              <w:t> </w:t>
            </w:r>
          </w:p>
        </w:tc>
        <w:tc>
          <w:tcPr>
            <w:tcW w:w="961" w:type="dxa"/>
            <w:shd w:val="clear" w:color="auto" w:fill="C4EFCE"/>
            <w:noWrap/>
            <w:vAlign w:val="center"/>
          </w:tcPr>
          <w:p w14:paraId="1D06AC8A" w14:textId="54D56B13" w:rsidR="00154AD2" w:rsidRDefault="007F6BF3">
            <w:pPr>
              <w:pStyle w:val="P68B1DB1-Normal8"/>
              <w:keepNext/>
              <w:spacing w:before="40" w:after="0" w:line="240" w:lineRule="auto"/>
              <w:jc w:val="center"/>
              <w:rPr>
                <w:rFonts w:cstheme="minorHAnsi"/>
                <w:noProof/>
              </w:rPr>
            </w:pPr>
            <w:r>
              <w:rPr>
                <w:noProof/>
              </w:rPr>
              <w:t> </w:t>
            </w:r>
          </w:p>
        </w:tc>
        <w:tc>
          <w:tcPr>
            <w:tcW w:w="690" w:type="dxa"/>
            <w:shd w:val="clear" w:color="auto" w:fill="C4EFCE"/>
            <w:noWrap/>
            <w:vAlign w:val="center"/>
          </w:tcPr>
          <w:p w14:paraId="2415E148" w14:textId="1A799591" w:rsidR="00154AD2" w:rsidRDefault="007F6BF3">
            <w:pPr>
              <w:pStyle w:val="P68B1DB1-Normal8"/>
              <w:keepNext/>
              <w:spacing w:before="40" w:after="0" w:line="240" w:lineRule="auto"/>
              <w:jc w:val="center"/>
              <w:rPr>
                <w:rFonts w:cstheme="minorHAnsi"/>
                <w:noProof/>
              </w:rPr>
            </w:pPr>
            <w:r>
              <w:rPr>
                <w:noProof/>
              </w:rPr>
              <w:t> </w:t>
            </w:r>
          </w:p>
        </w:tc>
        <w:tc>
          <w:tcPr>
            <w:tcW w:w="554" w:type="dxa"/>
            <w:shd w:val="clear" w:color="auto" w:fill="C4EFCE"/>
            <w:noWrap/>
            <w:vAlign w:val="center"/>
          </w:tcPr>
          <w:p w14:paraId="76705501" w14:textId="1F822E67" w:rsidR="00154AD2" w:rsidRDefault="007F6BF3">
            <w:pPr>
              <w:pStyle w:val="P68B1DB1-Normal8"/>
              <w:keepNext/>
              <w:spacing w:before="40" w:after="0" w:line="240" w:lineRule="auto"/>
              <w:jc w:val="center"/>
              <w:rPr>
                <w:rFonts w:cstheme="minorHAnsi"/>
                <w:noProof/>
              </w:rPr>
            </w:pPr>
            <w:r>
              <w:rPr>
                <w:noProof/>
              </w:rPr>
              <w:t>ΤΡΊΜΗΝΟ 2</w:t>
            </w:r>
          </w:p>
        </w:tc>
        <w:tc>
          <w:tcPr>
            <w:tcW w:w="684" w:type="dxa"/>
            <w:shd w:val="clear" w:color="auto" w:fill="C4EFCE"/>
            <w:noWrap/>
            <w:vAlign w:val="center"/>
          </w:tcPr>
          <w:p w14:paraId="4E79FD00" w14:textId="603ADEA9" w:rsidR="00154AD2" w:rsidRDefault="007F6BF3">
            <w:pPr>
              <w:pStyle w:val="P68B1DB1-Normal8"/>
              <w:keepNext/>
              <w:spacing w:before="40" w:after="0" w:line="240" w:lineRule="auto"/>
              <w:jc w:val="center"/>
              <w:rPr>
                <w:rFonts w:cstheme="minorHAnsi"/>
                <w:noProof/>
              </w:rPr>
            </w:pPr>
            <w:r>
              <w:rPr>
                <w:noProof/>
              </w:rPr>
              <w:t>2026</w:t>
            </w:r>
          </w:p>
        </w:tc>
        <w:tc>
          <w:tcPr>
            <w:tcW w:w="5223" w:type="dxa"/>
            <w:shd w:val="clear" w:color="auto" w:fill="C4EFCE"/>
            <w:vAlign w:val="center"/>
          </w:tcPr>
          <w:p w14:paraId="38EBC9BC" w14:textId="6072BE21" w:rsidR="00154AD2" w:rsidRDefault="007F6BF3">
            <w:pPr>
              <w:pStyle w:val="P68B1DB1-Bodytext1018"/>
              <w:spacing w:before="40" w:after="0" w:line="240" w:lineRule="auto"/>
              <w:jc w:val="both"/>
              <w:rPr>
                <w:rFonts w:asciiTheme="minorHAnsi" w:hAnsiTheme="minorHAnsi" w:cstheme="minorHAnsi"/>
                <w:noProof/>
              </w:rPr>
            </w:pPr>
            <w:r>
              <w:rPr>
                <w:noProof/>
              </w:rPr>
              <w:t>Υποδοχή και αποδοχή της «Πολυλειτουργικής Ναυτικής Πλατφόρμας» και του «Κέντρου Επιχειρήσεων»</w:t>
            </w:r>
          </w:p>
        </w:tc>
      </w:tr>
      <w:tr w:rsidR="00154AD2" w14:paraId="027F039F" w14:textId="77777777">
        <w:trPr>
          <w:trHeight w:val="61"/>
        </w:trPr>
        <w:tc>
          <w:tcPr>
            <w:tcW w:w="1101" w:type="dxa"/>
            <w:shd w:val="clear" w:color="auto" w:fill="C4EFCE"/>
            <w:vAlign w:val="center"/>
          </w:tcPr>
          <w:p w14:paraId="34B47902" w14:textId="00559ADD" w:rsidR="00154AD2" w:rsidRDefault="007F6BF3">
            <w:pPr>
              <w:pStyle w:val="P68B1DB1-Normal11"/>
              <w:keepNext/>
              <w:spacing w:before="40" w:after="0" w:line="240" w:lineRule="auto"/>
              <w:jc w:val="center"/>
              <w:rPr>
                <w:noProof/>
              </w:rPr>
            </w:pPr>
            <w:r>
              <w:rPr>
                <w:noProof/>
              </w:rPr>
              <w:t>10.17</w:t>
            </w:r>
          </w:p>
        </w:tc>
        <w:tc>
          <w:tcPr>
            <w:tcW w:w="1231" w:type="dxa"/>
            <w:shd w:val="clear" w:color="auto" w:fill="C4EFCE"/>
            <w:noWrap/>
            <w:vAlign w:val="center"/>
          </w:tcPr>
          <w:p w14:paraId="0A93137A" w14:textId="55F0B8D2" w:rsidR="00154AD2" w:rsidRDefault="007F6BF3">
            <w:pPr>
              <w:pStyle w:val="P68B1DB1-Normal12"/>
              <w:keepNext/>
              <w:spacing w:before="40" w:after="0" w:line="240" w:lineRule="auto"/>
              <w:jc w:val="center"/>
              <w:rPr>
                <w:rFonts w:eastAsia="Times New Roman" w:cstheme="minorHAnsi"/>
                <w:noProof/>
              </w:rPr>
            </w:pPr>
            <w:r>
              <w:rPr>
                <w:noProof/>
              </w:rPr>
              <w:t>TC-C10-I07</w:t>
            </w:r>
          </w:p>
        </w:tc>
        <w:tc>
          <w:tcPr>
            <w:tcW w:w="1096" w:type="dxa"/>
            <w:shd w:val="clear" w:color="auto" w:fill="C4EFCE"/>
            <w:noWrap/>
            <w:vAlign w:val="center"/>
          </w:tcPr>
          <w:p w14:paraId="475EE951" w14:textId="77777777" w:rsidR="00154AD2" w:rsidRDefault="007F6BF3">
            <w:pPr>
              <w:pStyle w:val="P68B1DB1-Normal12"/>
              <w:keepNext/>
              <w:spacing w:before="40" w:after="0" w:line="240" w:lineRule="auto"/>
              <w:jc w:val="center"/>
              <w:rPr>
                <w:rFonts w:eastAsia="Times New Roman" w:cstheme="minorHAnsi"/>
                <w:noProof/>
              </w:rPr>
            </w:pPr>
            <w:r>
              <w:rPr>
                <w:noProof/>
              </w:rPr>
              <w:t>M</w:t>
            </w:r>
          </w:p>
        </w:tc>
        <w:tc>
          <w:tcPr>
            <w:tcW w:w="1640" w:type="dxa"/>
            <w:shd w:val="clear" w:color="auto" w:fill="C4EFCE"/>
            <w:noWrap/>
            <w:vAlign w:val="center"/>
          </w:tcPr>
          <w:p w14:paraId="1F299288" w14:textId="77777777" w:rsidR="00154AD2" w:rsidRDefault="007F6BF3">
            <w:pPr>
              <w:pStyle w:val="P68B1DB1-Normal12"/>
              <w:keepNext/>
              <w:spacing w:before="40" w:after="0" w:line="240" w:lineRule="auto"/>
              <w:jc w:val="center"/>
              <w:rPr>
                <w:rFonts w:eastAsia="Times New Roman" w:cstheme="minorHAnsi"/>
                <w:noProof/>
              </w:rPr>
            </w:pPr>
            <w:r>
              <w:rPr>
                <w:noProof/>
              </w:rPr>
              <w:t>Προκήρυξη διαγωνισμού για την απαλλαγή των πλοίων από τις ανθρακούχες εκπομπές</w:t>
            </w:r>
          </w:p>
        </w:tc>
        <w:tc>
          <w:tcPr>
            <w:tcW w:w="1231" w:type="dxa"/>
            <w:shd w:val="clear" w:color="auto" w:fill="C4EFCE"/>
            <w:noWrap/>
            <w:vAlign w:val="center"/>
          </w:tcPr>
          <w:p w14:paraId="18E73789" w14:textId="77777777" w:rsidR="00154AD2" w:rsidRDefault="007F6BF3">
            <w:pPr>
              <w:pStyle w:val="P68B1DB1-Normal12"/>
              <w:keepNext/>
              <w:spacing w:before="40" w:after="0" w:line="240" w:lineRule="auto"/>
              <w:jc w:val="center"/>
              <w:rPr>
                <w:rFonts w:eastAsia="Times New Roman" w:cstheme="minorHAnsi"/>
                <w:noProof/>
              </w:rPr>
            </w:pPr>
            <w:r>
              <w:rPr>
                <w:noProof/>
              </w:rPr>
              <w:t>Προκήρυξη διαγωνισμού για την απαλλαγή των πλοίων από τις ανθρακούχες εκπομπές</w:t>
            </w:r>
          </w:p>
        </w:tc>
        <w:tc>
          <w:tcPr>
            <w:tcW w:w="962" w:type="dxa"/>
            <w:shd w:val="clear" w:color="auto" w:fill="C4EFCE"/>
            <w:noWrap/>
            <w:vAlign w:val="center"/>
          </w:tcPr>
          <w:p w14:paraId="794A4B39" w14:textId="77777777" w:rsidR="00154AD2" w:rsidRDefault="007F6BF3">
            <w:pPr>
              <w:pStyle w:val="P68B1DB1-Normal12"/>
              <w:keepNext/>
              <w:spacing w:before="40" w:after="0" w:line="240" w:lineRule="auto"/>
              <w:jc w:val="center"/>
              <w:rPr>
                <w:rFonts w:eastAsia="Times New Roman" w:cstheme="minorHAnsi"/>
                <w:noProof/>
              </w:rPr>
            </w:pPr>
            <w:r>
              <w:rPr>
                <w:noProof/>
              </w:rPr>
              <w:t xml:space="preserve"> </w:t>
            </w:r>
          </w:p>
        </w:tc>
        <w:tc>
          <w:tcPr>
            <w:tcW w:w="961" w:type="dxa"/>
            <w:shd w:val="clear" w:color="auto" w:fill="C4EFCE"/>
            <w:noWrap/>
            <w:vAlign w:val="center"/>
          </w:tcPr>
          <w:p w14:paraId="3234BC59" w14:textId="77777777" w:rsidR="00154AD2" w:rsidRDefault="007F6BF3">
            <w:pPr>
              <w:pStyle w:val="P68B1DB1-Normal12"/>
              <w:keepNext/>
              <w:spacing w:before="40" w:after="0" w:line="240" w:lineRule="auto"/>
              <w:jc w:val="center"/>
              <w:rPr>
                <w:rFonts w:eastAsia="Times New Roman" w:cstheme="minorHAnsi"/>
                <w:noProof/>
              </w:rPr>
            </w:pPr>
            <w:r>
              <w:rPr>
                <w:noProof/>
              </w:rPr>
              <w:t xml:space="preserve"> </w:t>
            </w:r>
          </w:p>
        </w:tc>
        <w:tc>
          <w:tcPr>
            <w:tcW w:w="690" w:type="dxa"/>
            <w:shd w:val="clear" w:color="auto" w:fill="C4EFCE"/>
            <w:noWrap/>
            <w:vAlign w:val="center"/>
          </w:tcPr>
          <w:p w14:paraId="2C2A78E0" w14:textId="77777777" w:rsidR="00154AD2" w:rsidRDefault="007F6BF3">
            <w:pPr>
              <w:pStyle w:val="P68B1DB1-Normal12"/>
              <w:keepNext/>
              <w:spacing w:before="40" w:after="0" w:line="240" w:lineRule="auto"/>
              <w:jc w:val="center"/>
              <w:rPr>
                <w:rFonts w:eastAsia="Times New Roman" w:cstheme="minorHAnsi"/>
                <w:noProof/>
              </w:rPr>
            </w:pPr>
            <w:r>
              <w:rPr>
                <w:noProof/>
              </w:rPr>
              <w:t xml:space="preserve"> </w:t>
            </w:r>
          </w:p>
        </w:tc>
        <w:tc>
          <w:tcPr>
            <w:tcW w:w="554" w:type="dxa"/>
            <w:shd w:val="clear" w:color="auto" w:fill="C4EFCE"/>
            <w:noWrap/>
            <w:vAlign w:val="center"/>
          </w:tcPr>
          <w:p w14:paraId="746BFB58" w14:textId="77777777" w:rsidR="00154AD2" w:rsidRDefault="007F6BF3">
            <w:pPr>
              <w:pStyle w:val="P68B1DB1-Normal12"/>
              <w:keepNext/>
              <w:spacing w:before="40" w:after="0" w:line="240" w:lineRule="auto"/>
              <w:jc w:val="center"/>
              <w:rPr>
                <w:rFonts w:eastAsia="Times New Roman" w:cstheme="minorHAnsi"/>
                <w:noProof/>
              </w:rPr>
            </w:pPr>
            <w:r>
              <w:rPr>
                <w:noProof/>
              </w:rPr>
              <w:t>ΤΡΊΜΗΝΟ 3</w:t>
            </w:r>
          </w:p>
        </w:tc>
        <w:tc>
          <w:tcPr>
            <w:tcW w:w="684" w:type="dxa"/>
            <w:shd w:val="clear" w:color="auto" w:fill="C4EFCE"/>
            <w:noWrap/>
            <w:vAlign w:val="center"/>
          </w:tcPr>
          <w:p w14:paraId="6D96543B" w14:textId="77777777" w:rsidR="00154AD2" w:rsidRDefault="007F6BF3">
            <w:pPr>
              <w:pStyle w:val="P68B1DB1-Normal12"/>
              <w:keepNext/>
              <w:spacing w:before="40" w:after="0" w:line="240" w:lineRule="auto"/>
              <w:jc w:val="center"/>
              <w:rPr>
                <w:rFonts w:eastAsia="Times New Roman" w:cstheme="minorHAnsi"/>
                <w:noProof/>
              </w:rPr>
            </w:pPr>
            <w:r>
              <w:rPr>
                <w:noProof/>
              </w:rPr>
              <w:t>2023</w:t>
            </w:r>
          </w:p>
        </w:tc>
        <w:tc>
          <w:tcPr>
            <w:tcW w:w="5223" w:type="dxa"/>
            <w:shd w:val="clear" w:color="auto" w:fill="C4EFCE"/>
          </w:tcPr>
          <w:p w14:paraId="3B2A3F9D" w14:textId="4D7CF0E8" w:rsidR="00154AD2" w:rsidRDefault="007F6BF3">
            <w:pPr>
              <w:pStyle w:val="P68B1DB1-Bodytext1013"/>
              <w:spacing w:before="40" w:after="0" w:line="240" w:lineRule="auto"/>
              <w:jc w:val="both"/>
              <w:rPr>
                <w:rFonts w:cstheme="minorHAnsi"/>
                <w:noProof/>
              </w:rPr>
            </w:pPr>
            <w:r>
              <w:rPr>
                <w:noProof/>
              </w:rPr>
              <w:t>Προκήρυξη διαγωνισμού για την απαλλαγή δέκα πλοίων θαλάσσιων εμπορευματικών και επιβατικών μεταφορών από τις ανθρακούχες εκπομπές, εκ των οποίων τουλάχιστον το 70 % των σκαφών υπερβαίνει τις 5 000 ολική χωρητικότητα (GT).</w:t>
            </w:r>
          </w:p>
          <w:p w14:paraId="5ED73E54" w14:textId="18EEA591" w:rsidR="00154AD2" w:rsidRDefault="007F6BF3">
            <w:pPr>
              <w:pStyle w:val="P68B1DB1-Bodytext1013"/>
              <w:spacing w:before="40" w:after="0" w:line="240" w:lineRule="auto"/>
              <w:jc w:val="both"/>
              <w:rPr>
                <w:rFonts w:eastAsia="@MS Mincho" w:cstheme="minorHAnsi"/>
                <w:noProof/>
              </w:rPr>
            </w:pPr>
            <w:r>
              <w:rPr>
                <w:noProof/>
              </w:rPr>
              <w:t>Οι όροι αναφοράς περιλαμβάνουν κριτήρια επιλεξιμότητας που διασφαλίζουν ότι τα επιλεγμένα έργα συμμορφώνονται με την τεχνική καθοδήγηση για την εφαρμογή της αρχής της «μη πρόκλησης σημαντικής βλάβης» (2021/C58/01) και συμβάλλουν στη μείωση της κατανάλωσης καυσίμου του πλοίου κατά τουλάχιστον 10 %, εκφρασμένη σε γραμμάρια καυσίμου ανά νεκρό βάρος ανά ναυτικό μίλι, σύμφωνα με τις απαιτήσεις που ορίζονται στην περιγραφή του μέτρου. Περιλαμβάνει επίσης την απαίτηση συμμόρφωσης με την ενωσιακή και την εθνική περιβαλλοντική νομοθεσία.</w:t>
            </w:r>
          </w:p>
        </w:tc>
      </w:tr>
      <w:tr w:rsidR="00154AD2" w14:paraId="37D8A87F" w14:textId="77777777">
        <w:trPr>
          <w:trHeight w:val="61"/>
        </w:trPr>
        <w:tc>
          <w:tcPr>
            <w:tcW w:w="1101" w:type="dxa"/>
            <w:shd w:val="clear" w:color="auto" w:fill="C4EFCE"/>
            <w:vAlign w:val="center"/>
          </w:tcPr>
          <w:p w14:paraId="5DBA9BD7" w14:textId="1EF5F715" w:rsidR="00154AD2" w:rsidRDefault="007F6BF3">
            <w:pPr>
              <w:pStyle w:val="P68B1DB1-Normal11"/>
              <w:keepNext/>
              <w:spacing w:after="0" w:line="240" w:lineRule="auto"/>
              <w:jc w:val="center"/>
              <w:rPr>
                <w:noProof/>
              </w:rPr>
            </w:pPr>
            <w:r>
              <w:rPr>
                <w:noProof/>
              </w:rPr>
              <w:t>10.18</w:t>
            </w:r>
          </w:p>
        </w:tc>
        <w:tc>
          <w:tcPr>
            <w:tcW w:w="1231" w:type="dxa"/>
            <w:shd w:val="clear" w:color="auto" w:fill="C4EFCE"/>
            <w:noWrap/>
            <w:vAlign w:val="center"/>
          </w:tcPr>
          <w:p w14:paraId="5AF95FF9" w14:textId="58BB736B" w:rsidR="00154AD2" w:rsidRDefault="007F6BF3">
            <w:pPr>
              <w:pStyle w:val="P68B1DB1-Bodytext1013"/>
              <w:spacing w:after="0"/>
              <w:jc w:val="center"/>
              <w:rPr>
                <w:rFonts w:cstheme="minorHAnsi"/>
                <w:noProof/>
              </w:rPr>
            </w:pPr>
            <w:r>
              <w:rPr>
                <w:noProof/>
              </w:rPr>
              <w:t>TC-C10-I07</w:t>
            </w:r>
          </w:p>
        </w:tc>
        <w:tc>
          <w:tcPr>
            <w:tcW w:w="1096" w:type="dxa"/>
            <w:shd w:val="clear" w:color="auto" w:fill="C4EFCE"/>
            <w:noWrap/>
            <w:vAlign w:val="center"/>
          </w:tcPr>
          <w:p w14:paraId="2BE3AE46" w14:textId="77777777" w:rsidR="00154AD2" w:rsidRDefault="007F6BF3">
            <w:pPr>
              <w:pStyle w:val="P68B1DB1-Normal12"/>
              <w:keepNext/>
              <w:spacing w:after="0" w:line="240" w:lineRule="auto"/>
              <w:jc w:val="center"/>
              <w:rPr>
                <w:rFonts w:eastAsia="Times New Roman" w:cstheme="minorHAnsi"/>
                <w:noProof/>
              </w:rPr>
            </w:pPr>
            <w:r>
              <w:rPr>
                <w:noProof/>
              </w:rPr>
              <w:t>T</w:t>
            </w:r>
          </w:p>
        </w:tc>
        <w:tc>
          <w:tcPr>
            <w:tcW w:w="1640" w:type="dxa"/>
            <w:shd w:val="clear" w:color="auto" w:fill="C4EFCE"/>
            <w:noWrap/>
            <w:vAlign w:val="center"/>
          </w:tcPr>
          <w:p w14:paraId="58A16C99" w14:textId="77777777" w:rsidR="00154AD2" w:rsidRDefault="007F6BF3">
            <w:pPr>
              <w:pStyle w:val="P68B1DB1-Normal12"/>
              <w:keepNext/>
              <w:spacing w:after="0" w:line="240" w:lineRule="auto"/>
              <w:jc w:val="center"/>
              <w:rPr>
                <w:rFonts w:eastAsia="Times New Roman" w:cstheme="minorHAnsi"/>
                <w:noProof/>
              </w:rPr>
            </w:pPr>
            <w:r>
              <w:rPr>
                <w:noProof/>
              </w:rPr>
              <w:t>Ολοκλήρωση παρεμβάσεων ενεργειακής απόδοσης για σκάφη</w:t>
            </w:r>
          </w:p>
        </w:tc>
        <w:tc>
          <w:tcPr>
            <w:tcW w:w="1231" w:type="dxa"/>
            <w:shd w:val="clear" w:color="auto" w:fill="C4EFCE"/>
            <w:noWrap/>
            <w:vAlign w:val="center"/>
          </w:tcPr>
          <w:p w14:paraId="43D01A20" w14:textId="77777777" w:rsidR="00154AD2" w:rsidRDefault="007F6BF3">
            <w:pPr>
              <w:pStyle w:val="P68B1DB1-Normal12"/>
              <w:keepNext/>
              <w:spacing w:after="0" w:line="240" w:lineRule="auto"/>
              <w:jc w:val="center"/>
              <w:rPr>
                <w:rFonts w:eastAsia="Times New Roman"/>
                <w:noProof/>
              </w:rPr>
            </w:pPr>
            <w:r>
              <w:rPr>
                <w:noProof/>
              </w:rPr>
              <w:t xml:space="preserve">Απόδειξη ολοκλήρωσης των παρεμβάσεων ενεργειακής απόδοσης για σκάφη </w:t>
            </w:r>
          </w:p>
        </w:tc>
        <w:tc>
          <w:tcPr>
            <w:tcW w:w="962" w:type="dxa"/>
            <w:shd w:val="clear" w:color="auto" w:fill="C4EFCE"/>
            <w:noWrap/>
            <w:vAlign w:val="center"/>
          </w:tcPr>
          <w:p w14:paraId="218710B9" w14:textId="77777777" w:rsidR="00154AD2" w:rsidRDefault="007F6BF3">
            <w:pPr>
              <w:pStyle w:val="P68B1DB1-Normal12"/>
              <w:keepNext/>
              <w:spacing w:after="0" w:line="240" w:lineRule="auto"/>
              <w:jc w:val="center"/>
              <w:rPr>
                <w:rFonts w:eastAsia="Times New Roman" w:cstheme="minorHAnsi"/>
                <w:noProof/>
              </w:rPr>
            </w:pPr>
            <w:r>
              <w:rPr>
                <w:noProof/>
              </w:rPr>
              <w:t>Αριθμός</w:t>
            </w:r>
          </w:p>
        </w:tc>
        <w:tc>
          <w:tcPr>
            <w:tcW w:w="961" w:type="dxa"/>
            <w:shd w:val="clear" w:color="auto" w:fill="C4EFCE"/>
            <w:noWrap/>
            <w:vAlign w:val="center"/>
          </w:tcPr>
          <w:p w14:paraId="55994D8A" w14:textId="77777777" w:rsidR="00154AD2" w:rsidRDefault="007F6BF3">
            <w:pPr>
              <w:pStyle w:val="P68B1DB1-Normal12"/>
              <w:keepNext/>
              <w:spacing w:after="0" w:line="240" w:lineRule="auto"/>
              <w:jc w:val="center"/>
              <w:rPr>
                <w:rFonts w:eastAsia="Times New Roman" w:cstheme="minorHAnsi"/>
                <w:noProof/>
              </w:rPr>
            </w:pPr>
            <w:r>
              <w:rPr>
                <w:noProof/>
              </w:rPr>
              <w:t>0</w:t>
            </w:r>
          </w:p>
        </w:tc>
        <w:tc>
          <w:tcPr>
            <w:tcW w:w="690" w:type="dxa"/>
            <w:shd w:val="clear" w:color="auto" w:fill="C4EFCE"/>
            <w:noWrap/>
            <w:vAlign w:val="center"/>
          </w:tcPr>
          <w:p w14:paraId="75409A25" w14:textId="77777777" w:rsidR="00154AD2" w:rsidRDefault="007F6BF3">
            <w:pPr>
              <w:pStyle w:val="P68B1DB1-Normal12"/>
              <w:keepNext/>
              <w:spacing w:after="0" w:line="240" w:lineRule="auto"/>
              <w:jc w:val="center"/>
              <w:rPr>
                <w:rFonts w:eastAsia="Times New Roman" w:cstheme="minorHAnsi"/>
                <w:noProof/>
              </w:rPr>
            </w:pPr>
            <w:r>
              <w:rPr>
                <w:noProof/>
              </w:rPr>
              <w:t>10</w:t>
            </w:r>
          </w:p>
        </w:tc>
        <w:tc>
          <w:tcPr>
            <w:tcW w:w="554" w:type="dxa"/>
            <w:shd w:val="clear" w:color="auto" w:fill="C4EFCE"/>
            <w:noWrap/>
            <w:vAlign w:val="center"/>
          </w:tcPr>
          <w:p w14:paraId="4A6676AD" w14:textId="77777777" w:rsidR="00154AD2" w:rsidRDefault="007F6BF3">
            <w:pPr>
              <w:pStyle w:val="P68B1DB1-Normal12"/>
              <w:keepNext/>
              <w:spacing w:after="0" w:line="240" w:lineRule="auto"/>
              <w:jc w:val="center"/>
              <w:rPr>
                <w:rFonts w:eastAsia="Times New Roman" w:cstheme="minorHAnsi"/>
                <w:noProof/>
              </w:rPr>
            </w:pPr>
            <w:r>
              <w:rPr>
                <w:noProof/>
              </w:rPr>
              <w:t>ΤΡΊΜΗΝΟ 2</w:t>
            </w:r>
          </w:p>
        </w:tc>
        <w:tc>
          <w:tcPr>
            <w:tcW w:w="684" w:type="dxa"/>
            <w:shd w:val="clear" w:color="auto" w:fill="C4EFCE"/>
            <w:noWrap/>
            <w:vAlign w:val="center"/>
          </w:tcPr>
          <w:p w14:paraId="57E3A0CA" w14:textId="77777777" w:rsidR="00154AD2" w:rsidRDefault="007F6BF3">
            <w:pPr>
              <w:pStyle w:val="P68B1DB1-Normal12"/>
              <w:keepNext/>
              <w:spacing w:after="0" w:line="240" w:lineRule="auto"/>
              <w:jc w:val="center"/>
              <w:rPr>
                <w:rFonts w:eastAsia="Times New Roman" w:cstheme="minorHAnsi"/>
                <w:noProof/>
              </w:rPr>
            </w:pPr>
            <w:r>
              <w:rPr>
                <w:noProof/>
              </w:rPr>
              <w:t>2026</w:t>
            </w:r>
          </w:p>
        </w:tc>
        <w:tc>
          <w:tcPr>
            <w:tcW w:w="5223" w:type="dxa"/>
            <w:shd w:val="clear" w:color="auto" w:fill="C4EFCE"/>
            <w:vAlign w:val="center"/>
          </w:tcPr>
          <w:p w14:paraId="512948BF" w14:textId="2C383CAF" w:rsidR="00154AD2" w:rsidRDefault="007F6BF3">
            <w:pPr>
              <w:pStyle w:val="P68B1DB1-Bodytext1013"/>
              <w:spacing w:before="40" w:after="0" w:line="240" w:lineRule="auto"/>
              <w:jc w:val="both"/>
              <w:rPr>
                <w:rFonts w:cstheme="minorBidi"/>
                <w:noProof/>
              </w:rPr>
            </w:pPr>
            <w:r>
              <w:rPr>
                <w:noProof/>
              </w:rPr>
              <w:t>Ολοκλήρωση παρεμβάσεων ενεργειακής απόδοσης για δέκα πλοία μεταφοράς εμπορευμάτων και επιβατών εκ των οποίων τουλάχιστον το 70 % των σκαφών υπερβαίνει τις 5 000 κόρους ολικής χωρητικότητας (GT).</w:t>
            </w:r>
          </w:p>
        </w:tc>
      </w:tr>
    </w:tbl>
    <w:p w14:paraId="51500205" w14:textId="77777777" w:rsidR="00154AD2" w:rsidRDefault="00154AD2">
      <w:pPr>
        <w:rPr>
          <w:noProof/>
        </w:rPr>
      </w:pPr>
    </w:p>
    <w:p w14:paraId="52BB7A4E" w14:textId="77777777" w:rsidR="00154AD2" w:rsidRDefault="00154AD2">
      <w:pPr>
        <w:keepNext/>
        <w:spacing w:before="40" w:after="0" w:line="259" w:lineRule="auto"/>
        <w:jc w:val="both"/>
        <w:rPr>
          <w:rFonts w:ascii="Times New Roman" w:eastAsiaTheme="minorEastAsia" w:hAnsi="Times New Roman" w:cs="Times New Roman"/>
          <w:noProof/>
          <w:sz w:val="24"/>
        </w:rPr>
        <w:sectPr w:rsidR="00154AD2" w:rsidSect="00ED5518">
          <w:headerReference w:type="even" r:id="rId228"/>
          <w:headerReference w:type="default" r:id="rId229"/>
          <w:footerReference w:type="even" r:id="rId230"/>
          <w:footerReference w:type="default" r:id="rId231"/>
          <w:headerReference w:type="first" r:id="rId232"/>
          <w:footerReference w:type="first" r:id="rId233"/>
          <w:pgSz w:w="16839" w:h="11907" w:orient="landscape"/>
          <w:pgMar w:top="1134" w:right="1134" w:bottom="1134" w:left="1134" w:header="567" w:footer="567" w:gutter="0"/>
          <w:cols w:space="720"/>
          <w:docGrid w:linePitch="360"/>
        </w:sectPr>
      </w:pPr>
    </w:p>
    <w:p w14:paraId="6761070D" w14:textId="3282687D" w:rsidR="00154AD2" w:rsidRDefault="007F6BF3">
      <w:pPr>
        <w:pStyle w:val="P68B1DB1-Normal3"/>
        <w:keepNext/>
        <w:spacing w:before="40" w:after="0" w:line="259" w:lineRule="auto"/>
        <w:ind w:left="130" w:firstLine="720"/>
        <w:jc w:val="both"/>
        <w:outlineLvl w:val="1"/>
        <w:rPr>
          <w:rFonts w:eastAsiaTheme="minorEastAsia" w:cs="Times New Roman"/>
          <w:noProof/>
        </w:rPr>
      </w:pPr>
      <w:r>
        <w:rPr>
          <w:noProof/>
        </w:rPr>
        <w:t>ΙΑ. ΣΥΝΙΣΤΏΣΑ 11: Απαλλαγή της βιομηχανίας από τις ανθρακούχες εκπομπές</w:t>
      </w:r>
    </w:p>
    <w:p w14:paraId="10587696"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συνιστώσα του πορτογαλικού σχεδίου ανάκαμψης και ανθεκτικότητας αντιμετωπίζει την πρόκληση της συμβολής της βιομηχανίας και των βιομηχανικών διεργασιών στην επίτευξη των στόχων του ουδέτερου ισοζυγίου διοξειδίου του άνθρακα, όπως προσδιορίζονται στον χάρτη πορείας για την ουδετερότητα ως προς τις ανθρακούχες εκπομπές 2050 και στο εθνικό σχέδιο για την ενέργεια και το κλίμα για το 2030. Αυτό απαιτεί δομικό μετασχηματισμό, με βάση την αναδιαμόρφωση της βιομηχανικής δραστηριότητας, τις αλλαγές στις διαδικασίες παραγωγής και τον τρόπο με τον οποίο χρησιμοποιούνται οι πόροι. </w:t>
      </w:r>
    </w:p>
    <w:p w14:paraId="2CCA0B72" w14:textId="77777777" w:rsidR="00154AD2" w:rsidRDefault="007F6BF3">
      <w:pPr>
        <w:pStyle w:val="P68B1DB1-Normal4"/>
        <w:keepNext/>
        <w:spacing w:before="40" w:after="0" w:line="259" w:lineRule="auto"/>
        <w:jc w:val="both"/>
        <w:rPr>
          <w:rFonts w:eastAsiaTheme="minorEastAsia" w:cs="Times New Roman"/>
          <w:noProof/>
        </w:rPr>
      </w:pPr>
      <w:r>
        <w:rPr>
          <w:noProof/>
        </w:rPr>
        <w:t>Το μέτρο αυτής της συνιστώσας αποσκοπεί στην προώθηση της απαλλαγής από τις ανθρακούχες εκπομπές, της ενεργειακής απόδοσης και της αποδοτικής χρήσης των πόρων, καθώς και της χρήσης εναλλακτικών πηγών ενέργειας στις βιομηχανικές διεργασίες. Τα προς στήριξη έργα συνδέονται επίσης με τις νέες τεχνολογίες, την καινοτομία και την ψηφιοποίηση της βιομηχανίας, επιδιώκοντας μεγαλύτερη αποτελεσματικότητα στις διάφορες παραγωγικές και οργανωτικές διαδικασίες.</w:t>
      </w:r>
    </w:p>
    <w:p w14:paraId="5E25DBAB" w14:textId="77777777" w:rsidR="00154AD2" w:rsidRDefault="007F6BF3">
      <w:pPr>
        <w:pStyle w:val="P68B1DB1-Normal4"/>
        <w:keepNext/>
        <w:spacing w:before="40" w:after="0" w:line="259" w:lineRule="auto"/>
        <w:jc w:val="both"/>
        <w:rPr>
          <w:rFonts w:eastAsiaTheme="minorEastAsia" w:cs="Times New Roman"/>
          <w:noProof/>
        </w:rPr>
      </w:pPr>
      <w:r>
        <w:rPr>
          <w:noProof/>
        </w:rPr>
        <w:t>Η συνιστώσα συμβάλλει στην κλιματική μετάβαση της πορτογαλικής βιομηχανίας και στηρίζει την ανταγωνιστικότητά της. Συμβάλλει στην εφαρμογή των ειδικών ανά χώρα συστάσεων σχετικά με τις επενδύσεις στην πράσινη μετάβαση, ιδίως όσον αφορά την καθαρή και αποδοτική παραγωγή και χρήση ενέργειας (ειδική ανά χώρα σύσταση 3 2020) και τις επενδύσεις στην έρευνα και την καινοτομία (ειδικές ανά χώρα συστάσεις 3 2019 και 2020).</w:t>
      </w:r>
    </w:p>
    <w:p w14:paraId="6D69255B"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75CB0606" w14:textId="77777777" w:rsidR="00154AD2" w:rsidRDefault="007F6BF3">
      <w:pPr>
        <w:pStyle w:val="P68B1DB1-Normal3"/>
        <w:keepNext/>
        <w:spacing w:before="40" w:after="0" w:line="259" w:lineRule="auto"/>
        <w:ind w:left="130" w:firstLine="720"/>
        <w:jc w:val="both"/>
        <w:outlineLvl w:val="1"/>
        <w:rPr>
          <w:rFonts w:eastAsiaTheme="minorEastAsia" w:cs="Times New Roman"/>
          <w:noProof/>
        </w:rPr>
      </w:pPr>
      <w:r>
        <w:rPr>
          <w:noProof/>
        </w:rPr>
        <w:t>ΙΑ.1. Περιγραφή των μεταρρυθμίσεων και των επενδύσεων που είναι επιλέξιμες για λήψη μη επιστρεπτέας χρηματοδοτικής στήριξης</w:t>
      </w:r>
    </w:p>
    <w:p w14:paraId="08B2F8AA" w14:textId="77777777"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Επένδυση TC-C11-I01: Απαλλαγή της βιομηχανίας από τις ανθρακούχες εκπομπές</w:t>
      </w:r>
    </w:p>
    <w:p w14:paraId="54FA3533"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επένδυση αυτή συνίσταται στην προώθηση και τη χρηματοδοτική στήριξη έργων καινοτομίας σε βιομηχανίες σε τέσσερις τομείς: </w:t>
      </w:r>
    </w:p>
    <w:p w14:paraId="1DD7BC26" w14:textId="77777777" w:rsidR="00154AD2" w:rsidRDefault="007F6BF3">
      <w:pPr>
        <w:pStyle w:val="P68B1DB1-Normal4"/>
        <w:keepNext/>
        <w:numPr>
          <w:ilvl w:val="0"/>
          <w:numId w:val="29"/>
        </w:numPr>
        <w:spacing w:before="40" w:after="160" w:line="259" w:lineRule="auto"/>
        <w:contextualSpacing/>
        <w:jc w:val="both"/>
        <w:rPr>
          <w:rFonts w:eastAsiaTheme="minorEastAsia" w:cs="Times New Roman"/>
          <w:noProof/>
        </w:rPr>
      </w:pPr>
      <w:r>
        <w:rPr>
          <w:noProof/>
        </w:rPr>
        <w:t>διεργασίες και τεχνολογίες χαμηλών ανθρακούχων εκπομπών: στόχος είναι η στήριξη της εισαγωγής νέων τεχνολογιών ή βελτιωμένων διαδικασιών παραγωγής για την απαλλαγή τους από τις ανθρακούχες εκπομπές, όπως μέσω της ενσωμάτωσης νέων πρώτων υλών και μέτρων κυκλικής οικονομίας, μέτρων καινοτομίας, της αντικατάστασης και/ή προσαρμογής του εξοπλισμού, της αύξησης του εξηλεκτρισμού της τελικής κατανάλωσης ενέργειας·</w:t>
      </w:r>
    </w:p>
    <w:p w14:paraId="7859B061" w14:textId="77777777" w:rsidR="00154AD2" w:rsidRDefault="007F6BF3">
      <w:pPr>
        <w:pStyle w:val="P68B1DB1-Normal4"/>
        <w:keepNext/>
        <w:numPr>
          <w:ilvl w:val="0"/>
          <w:numId w:val="29"/>
        </w:numPr>
        <w:spacing w:before="40" w:after="160" w:line="259" w:lineRule="auto"/>
        <w:contextualSpacing/>
        <w:jc w:val="both"/>
        <w:rPr>
          <w:rFonts w:eastAsiaTheme="minorEastAsia" w:cs="Times New Roman"/>
          <w:noProof/>
        </w:rPr>
      </w:pPr>
      <w:r>
        <w:rPr>
          <w:noProof/>
        </w:rPr>
        <w:t xml:space="preserve">μέτρα ενεργειακής απόδοσης: τα υποστηριζόμενα έργα αποσκοπούν στη μείωση της κατανάλωσης ενέργειας και των εκπομπών αερίων του θερμοκηπίου, όπως μέσω της βελτιστοποίησης ή της αντικατάστασης κινητήρων και εξοπλισμού, της βελτιστοποίησης των διαδικασιών, της υιοθέτησης συστημάτων παρακολούθησης και διαχείρισης της κατανάλωσης· </w:t>
      </w:r>
    </w:p>
    <w:p w14:paraId="23D06A62" w14:textId="77777777" w:rsidR="00154AD2" w:rsidRDefault="007F6BF3">
      <w:pPr>
        <w:pStyle w:val="P68B1DB1-Normal4"/>
        <w:keepNext/>
        <w:numPr>
          <w:ilvl w:val="0"/>
          <w:numId w:val="29"/>
        </w:numPr>
        <w:spacing w:before="40" w:after="120" w:line="240" w:lineRule="auto"/>
        <w:contextualSpacing/>
        <w:jc w:val="both"/>
        <w:rPr>
          <w:rFonts w:eastAsiaTheme="minorEastAsia" w:cs="Times New Roman"/>
          <w:noProof/>
        </w:rPr>
      </w:pPr>
      <w:r>
        <w:rPr>
          <w:noProof/>
        </w:rPr>
        <w:t xml:space="preserve">ενσωμάτωση και αποθήκευση ενέργειας από ανανεώσιμες πηγές, όπως μέσω της εγκατάστασης ηλιακών συστημάτων, της παραγωγής θερμότητας από ανανεώσιμες πηγές, της συμπαραγωγής υψηλής απόδοσης, της παραγωγής και της χρήσης ανανεώσιμου υδρογόνου και ανανεώσιμων αερίων, όπου οι τεχνολογικές επιλογές για την απαλλαγή από τις ανθρακούχες εκπομπές, μεταξύ άλλων μέσω του εξηλεκτρισμού, είναι πιο περιορισμένες· </w:t>
      </w:r>
    </w:p>
    <w:p w14:paraId="0D8DEFDF" w14:textId="77777777" w:rsidR="00154AD2" w:rsidRDefault="007F6BF3">
      <w:pPr>
        <w:pStyle w:val="P68B1DB1-Normal4"/>
        <w:keepNext/>
        <w:numPr>
          <w:ilvl w:val="0"/>
          <w:numId w:val="29"/>
        </w:numPr>
        <w:spacing w:before="40" w:after="120" w:line="240" w:lineRule="auto"/>
        <w:contextualSpacing/>
        <w:jc w:val="both"/>
        <w:rPr>
          <w:rFonts w:eastAsiaTheme="minorEastAsia" w:cs="Times New Roman"/>
          <w:noProof/>
        </w:rPr>
      </w:pPr>
      <w:r>
        <w:rPr>
          <w:noProof/>
        </w:rPr>
        <w:t>ανάπτυξη χαρτών πορείας για την απαλλαγή από τις ανθρακούχες εκπομπές και πρωτοβουλιών ανάπτυξης ικανοτήτων, όπως μέσω του εντοπισμού και της διάδοσης αποτελεσματικών τεχνολογικών λύσεων, δραστηριοτήτων κατάρτισης, πλατφορμών ανταλλαγής πληροφοριών.</w:t>
      </w:r>
    </w:p>
    <w:p w14:paraId="1937EF51" w14:textId="2F797FB0" w:rsidR="00154AD2" w:rsidRDefault="007F6BF3">
      <w:pPr>
        <w:pStyle w:val="P68B1DB1-Normal4"/>
        <w:keepNext/>
        <w:spacing w:before="40" w:after="0" w:line="259" w:lineRule="auto"/>
        <w:jc w:val="both"/>
        <w:rPr>
          <w:rFonts w:eastAsiaTheme="minorEastAsia" w:cs="Times New Roman"/>
          <w:noProof/>
        </w:rPr>
      </w:pPr>
      <w:r>
        <w:rPr>
          <w:noProof/>
        </w:rPr>
        <w:t xml:space="preserve">Η στήριξη χορηγείται μέσω διαδικασιών υποβολής προσφορών (2021-2024) τόσο σε μικρές και μεσαίες επιχειρήσεις όσο και σε μεγάλες επιχειρήσεις στους τομείς της βιομηχανίας και της παραγωγής ενέργειας, συμπεριλαμβανομένων φορέων διαχείρισης βιομηχανικών περιοχών, διαχειριστών συστημάτων μεταφοράς και διανομής ενέργειας, βιομηχανικών και ενεργειακών επιχειρηματικών ενώσεων και άλλων οντοτήτων. Η επένδυση αποσκοπεί στη στήριξη τουλάχιστον 310 έργων διαφόρων μεγεθών: μικρές (1 000 000 EUR κατά μέσο όρο), μεσαίες (5 000 000 EUR κατά μέσο όρο) και μεγάλες (10 000 000 EUR κατά μέσο όρο). Η πρόσκληση υποβολής προσφορών επικεντρώνεται στους τομείς με τη μεγαλύτερη ένταση εκπομπών αερίων του θερμοκηπίου, αλλά είναι ανοικτή σε ολόκληρο τον βιομηχανικό τομέα, καλύπτοντας τόσο τις εγκαταστάσεις ΣΕΔΕ όσο και τις εγκαταστάσεις εκτός ΣΕΔΕ. Τα έργα που επιλέγονται στο πλαίσιο του 024β τομέα παρέμβασης έχουν ως αποτέλεσμα μείωση των εκπομπών αερίων του θερμοκηπίου κατά τουλάχιστον 30 % στις οικείες βιομηχανικές εγκαταστάσεις, συμβάλλοντας στους κλιματικούς στόχους της Πορτογαλίας στο πλαίσιο της εφαρμογής του εθνικού σχεδίου για την ενέργεια και το κλίμα. </w:t>
      </w:r>
    </w:p>
    <w:p w14:paraId="11E4BDD6" w14:textId="77777777" w:rsidR="00154AD2" w:rsidRDefault="007F6BF3">
      <w:pPr>
        <w:pStyle w:val="P68B1DB1-Normal4"/>
        <w:keepNext/>
        <w:spacing w:before="40" w:after="0" w:line="259" w:lineRule="auto"/>
        <w:jc w:val="both"/>
        <w:rPr>
          <w:rFonts w:eastAsiaTheme="minorEastAsia" w:cs="Times New Roman"/>
          <w:noProof/>
        </w:rPr>
      </w:pPr>
      <w:r>
        <w:rPr>
          <w:noProof/>
        </w:rPr>
        <w:t>Προκειμένου να διασφαλιστεί ότι το μέτρο είναι σύμφωνο με την τεχνική καθοδήγηση σχετικά με την εφαρμογή της αρχής της «μη πρόκλησης σημαντικής βλάβης» (2021/C58/01), τα κριτήρια επιλεξιμότητας που περιλαμβάνονται σε όρους αναφοράς για επικείμενες προσκλήσεις υποβολής έργων αποκλείουν τον ακόλουθο κατάλογο δραστηριοτήτων: I) δραστηριότητες που σχετίζονται με ορυκτά καύσιμα, συμπεριλαμβανομένης της μεταγενέστερης χρήσης</w:t>
      </w:r>
      <w:r>
        <w:rPr>
          <w:noProof/>
        </w:rPr>
        <w:footnoteReference w:id="44"/>
      </w:r>
      <w:r>
        <w:rPr>
          <w:noProof/>
        </w:rPr>
        <w:t>· II) δραστηριότητες στο πλαίσιο του συστήματος εμπορίας δικαιωμάτων εκπομπής (ΣΕΔΕ) της ΕΕ που επιτυγχάνουν προβλεπόμενες εκπομπές αερίων του θερμοκηπίου που δεν είναι χαμηλότερες από τους σχετικούς δείκτες αναφοράς</w:t>
      </w:r>
      <w:r>
        <w:rPr>
          <w:noProof/>
        </w:rPr>
        <w:footnoteReference w:id="45"/>
      </w:r>
      <w:r>
        <w:rPr>
          <w:noProof/>
        </w:rPr>
        <w:t>· III) δραστηριότητες που σχετίζονται με χώρους υγειονομικής ταφής αποβλήτων, αποτεφρωτήρες</w:t>
      </w:r>
      <w:r>
        <w:rPr>
          <w:noProof/>
        </w:rPr>
        <w:footnoteReference w:id="46"/>
      </w:r>
      <w:r>
        <w:rPr>
          <w:noProof/>
        </w:rPr>
        <w:t xml:space="preserve"> και μονάδες μηχανικής βιολογικής επεξεργασίας</w:t>
      </w:r>
      <w:r>
        <w:rPr>
          <w:noProof/>
        </w:rPr>
        <w:footnoteReference w:id="47"/>
      </w:r>
      <w:r>
        <w:rPr>
          <w:noProof/>
        </w:rPr>
        <w:t>· και iv) δραστηριότητες στις οποίες η μακροπρόθεσμη διάθεση αποβλήτων μπορεί να βλάψει το περιβάλλον. Οι όροι εντολής απαιτούν επιπλέον να επιλέγονται μόνο οι δραστηριότητες που συμμορφώνονται με τη σχετική ενωσιακή και εθνική περιβαλλοντική νομοθεσία.</w:t>
      </w:r>
    </w:p>
    <w:p w14:paraId="371668F9" w14:textId="77777777" w:rsidR="00154AD2" w:rsidRDefault="007F6BF3">
      <w:pPr>
        <w:pStyle w:val="P68B1DB1-Normal4"/>
        <w:keepNext/>
        <w:spacing w:before="40" w:after="0" w:line="259" w:lineRule="auto"/>
        <w:jc w:val="both"/>
        <w:rPr>
          <w:rFonts w:eastAsiaTheme="minorEastAsia" w:cs="Times New Roman"/>
          <w:noProof/>
        </w:rPr>
      </w:pPr>
      <w:r>
        <w:rPr>
          <w:noProof/>
        </w:rPr>
        <w:t>Η υλοποίηση της επένδυσης θα ολοκληρωθεί έως τις 31 Δεκεμβρίου 2025.</w:t>
      </w:r>
    </w:p>
    <w:p w14:paraId="54B8E0F2" w14:textId="77777777" w:rsidR="00154AD2" w:rsidRDefault="00154AD2">
      <w:pPr>
        <w:keepNext/>
        <w:spacing w:before="40" w:after="0" w:line="259" w:lineRule="auto"/>
        <w:jc w:val="both"/>
        <w:rPr>
          <w:rFonts w:ascii="Times New Roman" w:eastAsiaTheme="minorEastAsia" w:hAnsi="Times New Roman" w:cs="Times New Roman"/>
          <w:noProof/>
          <w:sz w:val="24"/>
        </w:rPr>
        <w:sectPr w:rsidR="00154AD2" w:rsidSect="00E00EDD">
          <w:headerReference w:type="even" r:id="rId234"/>
          <w:headerReference w:type="default" r:id="rId235"/>
          <w:footerReference w:type="even" r:id="rId236"/>
          <w:footerReference w:type="default" r:id="rId237"/>
          <w:headerReference w:type="first" r:id="rId238"/>
          <w:footerReference w:type="first" r:id="rId239"/>
          <w:pgSz w:w="11907" w:h="16839"/>
          <w:pgMar w:top="1134" w:right="1134" w:bottom="1134" w:left="1134" w:header="567" w:footer="567" w:gutter="0"/>
          <w:cols w:space="720"/>
          <w:docGrid w:linePitch="360"/>
        </w:sectPr>
      </w:pPr>
    </w:p>
    <w:p w14:paraId="539A7A4E" w14:textId="77777777" w:rsidR="00154AD2" w:rsidRDefault="007F6BF3">
      <w:pPr>
        <w:pStyle w:val="P68B1DB1-Normal3"/>
        <w:keepNext/>
        <w:spacing w:before="40" w:after="0" w:line="259" w:lineRule="auto"/>
        <w:ind w:left="130" w:firstLine="720"/>
        <w:jc w:val="both"/>
        <w:outlineLvl w:val="1"/>
        <w:rPr>
          <w:rFonts w:eastAsiaTheme="minorEastAsia" w:cs="Times New Roman"/>
          <w:noProof/>
        </w:rPr>
      </w:pPr>
      <w:r>
        <w:rPr>
          <w:noProof/>
        </w:rPr>
        <w:t xml:space="preserve">ΙΑ.2. </w:t>
      </w:r>
      <w:r>
        <w:rPr>
          <w:noProof/>
        </w:rPr>
        <w:tab/>
        <w:t>Ορόσημα, στόχοι, δείκτες και χρονοδιάγραμμα για την παρακολούθηση και την υλοποίηση της μη επιστρεπτέας χρηματοδοτικής στήριξης</w:t>
      </w:r>
    </w:p>
    <w:p w14:paraId="6852ECBB" w14:textId="77777777" w:rsidR="00154AD2" w:rsidRDefault="00154AD2">
      <w:pPr>
        <w:keepNext/>
        <w:spacing w:before="40" w:after="0" w:line="259" w:lineRule="auto"/>
        <w:jc w:val="both"/>
        <w:rPr>
          <w:rFonts w:ascii="Times New Roman" w:eastAsiaTheme="minorEastAsia" w:hAnsi="Times New Roman" w:cs="Times New Roman"/>
          <w:noProof/>
          <w:sz w:val="24"/>
        </w:rPr>
      </w:pPr>
    </w:p>
    <w:tbl>
      <w:tblPr>
        <w:tblpPr w:leftFromText="180" w:rightFromText="180" w:vertAnchor="text" w:tblpX="-176" w:tblpY="1"/>
        <w:tblOverlap w:val="neve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55"/>
        <w:gridCol w:w="720"/>
        <w:gridCol w:w="3969"/>
      </w:tblGrid>
      <w:tr w:rsidR="00154AD2" w14:paraId="62BD13B6" w14:textId="77777777">
        <w:trPr>
          <w:trHeight w:val="910"/>
          <w:tblHeader/>
        </w:trPr>
        <w:tc>
          <w:tcPr>
            <w:tcW w:w="1135" w:type="dxa"/>
            <w:vMerge w:val="restart"/>
            <w:shd w:val="clear" w:color="auto" w:fill="BDD6EE"/>
            <w:vAlign w:val="center"/>
            <w:hideMark/>
          </w:tcPr>
          <w:p w14:paraId="5050BF70" w14:textId="77777777" w:rsidR="00154AD2" w:rsidRDefault="007F6BF3">
            <w:pPr>
              <w:pStyle w:val="P68B1DB1-Normal6"/>
              <w:spacing w:after="0" w:line="240" w:lineRule="auto"/>
              <w:jc w:val="center"/>
              <w:rPr>
                <w:rFonts w:eastAsia="Times New Roman" w:cs="Times New Roman"/>
                <w:noProof/>
              </w:rPr>
            </w:pPr>
            <w:r>
              <w:rPr>
                <w:noProof/>
              </w:rPr>
              <w:t>Αύξων αριθμός</w:t>
            </w:r>
          </w:p>
        </w:tc>
        <w:tc>
          <w:tcPr>
            <w:tcW w:w="1276" w:type="dxa"/>
            <w:vMerge w:val="restart"/>
            <w:shd w:val="clear" w:color="auto" w:fill="BDD6EE"/>
            <w:vAlign w:val="center"/>
            <w:hideMark/>
          </w:tcPr>
          <w:p w14:paraId="44CD0F0B" w14:textId="77777777" w:rsidR="00154AD2" w:rsidRDefault="007F6BF3">
            <w:pPr>
              <w:pStyle w:val="P68B1DB1-Normal6"/>
              <w:spacing w:after="0" w:line="240" w:lineRule="auto"/>
              <w:jc w:val="center"/>
              <w:rPr>
                <w:rFonts w:eastAsia="Times New Roman" w:cs="Times New Roman"/>
                <w:noProof/>
              </w:rPr>
            </w:pPr>
            <w:r>
              <w:rPr>
                <w:noProof/>
              </w:rPr>
              <w:t>Μέτρο (Μεταρρύθμιση ή Επενδύσεις)</w:t>
            </w:r>
          </w:p>
        </w:tc>
        <w:tc>
          <w:tcPr>
            <w:tcW w:w="1134" w:type="dxa"/>
            <w:shd w:val="clear" w:color="auto" w:fill="BDD6EE"/>
            <w:vAlign w:val="center"/>
            <w:hideMark/>
          </w:tcPr>
          <w:p w14:paraId="09C6ED4B" w14:textId="77777777" w:rsidR="00154AD2" w:rsidRDefault="007F6BF3">
            <w:pPr>
              <w:pStyle w:val="P68B1DB1-Normal6"/>
              <w:spacing w:after="0" w:line="240" w:lineRule="auto"/>
              <w:jc w:val="center"/>
              <w:rPr>
                <w:rFonts w:eastAsia="Times New Roman" w:cs="Times New Roman"/>
                <w:noProof/>
                <w:sz w:val="14"/>
              </w:rPr>
            </w:pPr>
            <w:r>
              <w:rPr>
                <w:noProof/>
              </w:rPr>
              <w:t>Milestone/</w:t>
            </w:r>
          </w:p>
        </w:tc>
        <w:tc>
          <w:tcPr>
            <w:tcW w:w="1701" w:type="dxa"/>
            <w:vMerge w:val="restart"/>
            <w:shd w:val="clear" w:color="auto" w:fill="BDD6EE"/>
            <w:vAlign w:val="center"/>
            <w:hideMark/>
          </w:tcPr>
          <w:p w14:paraId="2F8A16FC" w14:textId="77777777" w:rsidR="00154AD2" w:rsidRDefault="007F6BF3">
            <w:pPr>
              <w:pStyle w:val="P68B1DB1-Normal6"/>
              <w:spacing w:after="0" w:line="240" w:lineRule="auto"/>
              <w:jc w:val="center"/>
              <w:rPr>
                <w:rFonts w:eastAsia="Times New Roman" w:cs="Times New Roman"/>
                <w:noProof/>
              </w:rPr>
            </w:pPr>
            <w:r>
              <w:rPr>
                <w:noProof/>
              </w:rPr>
              <w:t>Όνομα</w:t>
            </w:r>
          </w:p>
        </w:tc>
        <w:tc>
          <w:tcPr>
            <w:tcW w:w="1275" w:type="dxa"/>
            <w:vMerge w:val="restart"/>
            <w:shd w:val="clear" w:color="auto" w:fill="BDD6EE"/>
            <w:vAlign w:val="center"/>
            <w:hideMark/>
          </w:tcPr>
          <w:p w14:paraId="5FA098FD" w14:textId="77777777" w:rsidR="00154AD2" w:rsidRDefault="007F6BF3">
            <w:pPr>
              <w:pStyle w:val="P68B1DB1-Normal6"/>
              <w:spacing w:after="0" w:line="240" w:lineRule="auto"/>
              <w:jc w:val="center"/>
              <w:rPr>
                <w:rFonts w:eastAsia="Times New Roman" w:cs="Times New Roman"/>
                <w:noProof/>
              </w:rPr>
            </w:pPr>
            <w:r>
              <w:rPr>
                <w:noProof/>
              </w:rPr>
              <w:t>Ποιοτικοί δείκτες (για τα ορόσημα)</w:t>
            </w:r>
          </w:p>
        </w:tc>
        <w:tc>
          <w:tcPr>
            <w:tcW w:w="2694" w:type="dxa"/>
            <w:gridSpan w:val="3"/>
            <w:shd w:val="clear" w:color="auto" w:fill="BDD6EE"/>
            <w:vAlign w:val="center"/>
            <w:hideMark/>
          </w:tcPr>
          <w:p w14:paraId="2F19FAC7" w14:textId="77777777" w:rsidR="00154AD2" w:rsidRDefault="007F6BF3">
            <w:pPr>
              <w:pStyle w:val="P68B1DB1-Normal6"/>
              <w:spacing w:after="0" w:line="240" w:lineRule="auto"/>
              <w:jc w:val="center"/>
              <w:rPr>
                <w:rFonts w:eastAsia="Times New Roman" w:cs="Times New Roman"/>
                <w:noProof/>
              </w:rPr>
            </w:pPr>
            <w:r>
              <w:rPr>
                <w:noProof/>
              </w:rPr>
              <w:t>Ποσοτικοί δείκτες (για τους στόχους)</w:t>
            </w:r>
          </w:p>
        </w:tc>
        <w:tc>
          <w:tcPr>
            <w:tcW w:w="1275" w:type="dxa"/>
            <w:gridSpan w:val="2"/>
            <w:shd w:val="clear" w:color="auto" w:fill="BDD6EE"/>
            <w:vAlign w:val="center"/>
            <w:hideMark/>
          </w:tcPr>
          <w:p w14:paraId="12B6681B" w14:textId="77777777" w:rsidR="00154AD2" w:rsidRDefault="007F6BF3">
            <w:pPr>
              <w:pStyle w:val="P68B1DB1-Normal6"/>
              <w:spacing w:after="0" w:line="240" w:lineRule="auto"/>
              <w:jc w:val="center"/>
              <w:rPr>
                <w:rFonts w:eastAsia="Times New Roman" w:cs="Times New Roman"/>
                <w:noProof/>
              </w:rPr>
            </w:pPr>
            <w:r>
              <w:rPr>
                <w:noProof/>
              </w:rPr>
              <w:t>Ενδεικτικό χρονοδιάγραμμα ολοκλήρωσης</w:t>
            </w:r>
          </w:p>
        </w:tc>
        <w:tc>
          <w:tcPr>
            <w:tcW w:w="3969" w:type="dxa"/>
            <w:vMerge w:val="restart"/>
            <w:shd w:val="clear" w:color="auto" w:fill="BDD6EE"/>
            <w:vAlign w:val="center"/>
            <w:hideMark/>
          </w:tcPr>
          <w:p w14:paraId="7AC4960B" w14:textId="77777777" w:rsidR="00154AD2" w:rsidRDefault="007F6BF3">
            <w:pPr>
              <w:pStyle w:val="P68B1DB1-Normal6"/>
              <w:spacing w:after="0" w:line="240" w:lineRule="auto"/>
              <w:jc w:val="center"/>
              <w:rPr>
                <w:rFonts w:eastAsia="Times New Roman" w:cs="Times New Roman"/>
                <w:noProof/>
              </w:rPr>
            </w:pPr>
            <w:r>
              <w:rPr>
                <w:noProof/>
              </w:rPr>
              <w:t>Περιγραφή και σαφής ορισμός κάθε ορόσημου και στόχου</w:t>
            </w:r>
          </w:p>
        </w:tc>
      </w:tr>
      <w:tr w:rsidR="00154AD2" w14:paraId="521639A7" w14:textId="77777777">
        <w:trPr>
          <w:trHeight w:val="470"/>
          <w:tblHeader/>
        </w:trPr>
        <w:tc>
          <w:tcPr>
            <w:tcW w:w="1135" w:type="dxa"/>
            <w:vMerge/>
            <w:vAlign w:val="center"/>
            <w:hideMark/>
          </w:tcPr>
          <w:p w14:paraId="0AAA26BB" w14:textId="77777777" w:rsidR="00154AD2" w:rsidRDefault="00154AD2">
            <w:pPr>
              <w:spacing w:after="0" w:line="240" w:lineRule="auto"/>
              <w:rPr>
                <w:rFonts w:ascii="Times New Roman" w:eastAsia="Times New Roman" w:hAnsi="Times New Roman" w:cs="Times New Roman"/>
                <w:b/>
                <w:noProof/>
                <w:sz w:val="18"/>
              </w:rPr>
            </w:pPr>
          </w:p>
        </w:tc>
        <w:tc>
          <w:tcPr>
            <w:tcW w:w="1276" w:type="dxa"/>
            <w:vMerge/>
            <w:vAlign w:val="center"/>
            <w:hideMark/>
          </w:tcPr>
          <w:p w14:paraId="3C9C7FD8" w14:textId="77777777" w:rsidR="00154AD2" w:rsidRDefault="00154AD2">
            <w:pPr>
              <w:spacing w:after="0" w:line="240" w:lineRule="auto"/>
              <w:rPr>
                <w:rFonts w:ascii="Times New Roman" w:eastAsia="Times New Roman" w:hAnsi="Times New Roman" w:cs="Times New Roman"/>
                <w:b/>
                <w:noProof/>
                <w:sz w:val="18"/>
              </w:rPr>
            </w:pPr>
          </w:p>
        </w:tc>
        <w:tc>
          <w:tcPr>
            <w:tcW w:w="1134" w:type="dxa"/>
            <w:shd w:val="clear" w:color="auto" w:fill="BDD6EE"/>
            <w:vAlign w:val="center"/>
            <w:hideMark/>
          </w:tcPr>
          <w:p w14:paraId="5AE145E1" w14:textId="77777777" w:rsidR="00154AD2" w:rsidRDefault="007F6BF3">
            <w:pPr>
              <w:pStyle w:val="P68B1DB1-Normal6"/>
              <w:spacing w:after="0" w:line="240" w:lineRule="auto"/>
              <w:jc w:val="center"/>
              <w:rPr>
                <w:rFonts w:eastAsia="Times New Roman" w:cs="Times New Roman"/>
                <w:noProof/>
                <w:sz w:val="14"/>
              </w:rPr>
            </w:pPr>
            <w:r>
              <w:rPr>
                <w:noProof/>
              </w:rPr>
              <w:t>Στόχος</w:t>
            </w:r>
          </w:p>
        </w:tc>
        <w:tc>
          <w:tcPr>
            <w:tcW w:w="1701" w:type="dxa"/>
            <w:vMerge/>
            <w:vAlign w:val="center"/>
            <w:hideMark/>
          </w:tcPr>
          <w:p w14:paraId="0F429C5D" w14:textId="77777777" w:rsidR="00154AD2" w:rsidRDefault="00154AD2">
            <w:pPr>
              <w:spacing w:after="0" w:line="240" w:lineRule="auto"/>
              <w:rPr>
                <w:rFonts w:ascii="Times New Roman" w:eastAsia="Times New Roman" w:hAnsi="Times New Roman" w:cs="Times New Roman"/>
                <w:b/>
                <w:noProof/>
                <w:sz w:val="18"/>
              </w:rPr>
            </w:pPr>
          </w:p>
        </w:tc>
        <w:tc>
          <w:tcPr>
            <w:tcW w:w="1275" w:type="dxa"/>
            <w:vMerge/>
            <w:vAlign w:val="center"/>
            <w:hideMark/>
          </w:tcPr>
          <w:p w14:paraId="0975442D" w14:textId="77777777" w:rsidR="00154AD2" w:rsidRDefault="00154AD2">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72C52226" w14:textId="77777777" w:rsidR="00154AD2" w:rsidRDefault="007F6BF3">
            <w:pPr>
              <w:pStyle w:val="P68B1DB1-Normal6"/>
              <w:spacing w:after="0" w:line="240" w:lineRule="auto"/>
              <w:jc w:val="center"/>
              <w:rPr>
                <w:rFonts w:eastAsia="Times New Roman" w:cs="Times New Roman"/>
                <w:noProof/>
              </w:rPr>
            </w:pPr>
            <w:r>
              <w:rPr>
                <w:noProof/>
              </w:rPr>
              <w:t>Μονάδα μέτρησης</w:t>
            </w:r>
          </w:p>
        </w:tc>
        <w:tc>
          <w:tcPr>
            <w:tcW w:w="992" w:type="dxa"/>
            <w:shd w:val="clear" w:color="auto" w:fill="BDD6EE"/>
            <w:vAlign w:val="center"/>
            <w:hideMark/>
          </w:tcPr>
          <w:p w14:paraId="0FBC07AA" w14:textId="77777777" w:rsidR="00154AD2" w:rsidRDefault="007F6BF3">
            <w:pPr>
              <w:pStyle w:val="P68B1DB1-Normal6"/>
              <w:spacing w:after="0" w:line="240" w:lineRule="auto"/>
              <w:jc w:val="center"/>
              <w:rPr>
                <w:rFonts w:eastAsia="Times New Roman" w:cs="Times New Roman"/>
                <w:noProof/>
              </w:rPr>
            </w:pPr>
            <w:r>
              <w:rPr>
                <w:noProof/>
              </w:rPr>
              <w:t>Γραμμή βάσης</w:t>
            </w:r>
          </w:p>
        </w:tc>
        <w:tc>
          <w:tcPr>
            <w:tcW w:w="709" w:type="dxa"/>
            <w:shd w:val="clear" w:color="auto" w:fill="BDD6EE"/>
            <w:vAlign w:val="center"/>
            <w:hideMark/>
          </w:tcPr>
          <w:p w14:paraId="3B7EC1FA" w14:textId="77777777" w:rsidR="00154AD2" w:rsidRDefault="007F6BF3">
            <w:pPr>
              <w:pStyle w:val="P68B1DB1-Normal6"/>
              <w:spacing w:after="0" w:line="240" w:lineRule="auto"/>
              <w:jc w:val="center"/>
              <w:rPr>
                <w:rFonts w:eastAsia="Times New Roman" w:cs="Times New Roman"/>
                <w:noProof/>
              </w:rPr>
            </w:pPr>
            <w:r>
              <w:rPr>
                <w:noProof/>
              </w:rPr>
              <w:t>Στόχοι</w:t>
            </w:r>
          </w:p>
        </w:tc>
        <w:tc>
          <w:tcPr>
            <w:tcW w:w="555" w:type="dxa"/>
            <w:shd w:val="clear" w:color="auto" w:fill="BDD6EE"/>
            <w:vAlign w:val="center"/>
            <w:hideMark/>
          </w:tcPr>
          <w:p w14:paraId="08E456A9" w14:textId="77777777" w:rsidR="00154AD2" w:rsidRDefault="007F6BF3">
            <w:pPr>
              <w:pStyle w:val="P68B1DB1-Normal6"/>
              <w:spacing w:after="0" w:line="240" w:lineRule="auto"/>
              <w:jc w:val="center"/>
              <w:rPr>
                <w:rFonts w:eastAsia="Times New Roman" w:cs="Times New Roman"/>
                <w:noProof/>
              </w:rPr>
            </w:pPr>
            <w:r>
              <w:rPr>
                <w:noProof/>
              </w:rPr>
              <w:t>Ε</w:t>
            </w:r>
          </w:p>
        </w:tc>
        <w:tc>
          <w:tcPr>
            <w:tcW w:w="720" w:type="dxa"/>
            <w:shd w:val="clear" w:color="auto" w:fill="BDD6EE"/>
            <w:vAlign w:val="center"/>
            <w:hideMark/>
          </w:tcPr>
          <w:p w14:paraId="3ADD45C5" w14:textId="77777777" w:rsidR="00154AD2" w:rsidRDefault="007F6BF3">
            <w:pPr>
              <w:pStyle w:val="P68B1DB1-Normal6"/>
              <w:spacing w:after="0" w:line="240" w:lineRule="auto"/>
              <w:jc w:val="center"/>
              <w:rPr>
                <w:rFonts w:eastAsia="Times New Roman" w:cs="Times New Roman"/>
                <w:noProof/>
              </w:rPr>
            </w:pPr>
            <w:r>
              <w:rPr>
                <w:noProof/>
              </w:rPr>
              <w:t>Έτος</w:t>
            </w:r>
          </w:p>
        </w:tc>
        <w:tc>
          <w:tcPr>
            <w:tcW w:w="3969" w:type="dxa"/>
            <w:vMerge/>
            <w:vAlign w:val="center"/>
            <w:hideMark/>
          </w:tcPr>
          <w:p w14:paraId="55CA6F21" w14:textId="77777777" w:rsidR="00154AD2" w:rsidRDefault="00154AD2">
            <w:pPr>
              <w:spacing w:after="0" w:line="240" w:lineRule="auto"/>
              <w:rPr>
                <w:rFonts w:ascii="Times New Roman" w:eastAsia="Times New Roman" w:hAnsi="Times New Roman" w:cs="Times New Roman"/>
                <w:b/>
                <w:noProof/>
                <w:sz w:val="18"/>
              </w:rPr>
            </w:pPr>
          </w:p>
        </w:tc>
      </w:tr>
      <w:tr w:rsidR="00154AD2" w14:paraId="528553E7" w14:textId="77777777">
        <w:trPr>
          <w:trHeight w:val="630"/>
        </w:trPr>
        <w:tc>
          <w:tcPr>
            <w:tcW w:w="1135" w:type="dxa"/>
            <w:shd w:val="clear" w:color="auto" w:fill="C4EFCE"/>
            <w:vAlign w:val="center"/>
            <w:hideMark/>
          </w:tcPr>
          <w:p w14:paraId="39AE8E64" w14:textId="77777777" w:rsidR="00154AD2" w:rsidRDefault="007F6BF3">
            <w:pPr>
              <w:pStyle w:val="P68B1DB1-Normal7"/>
              <w:spacing w:after="0" w:line="240" w:lineRule="auto"/>
              <w:jc w:val="center"/>
              <w:rPr>
                <w:rFonts w:eastAsia="Times New Roman" w:cs="Calibri"/>
                <w:noProof/>
              </w:rPr>
            </w:pPr>
            <w:r>
              <w:rPr>
                <w:noProof/>
              </w:rPr>
              <w:t>11.1</w:t>
            </w:r>
          </w:p>
        </w:tc>
        <w:tc>
          <w:tcPr>
            <w:tcW w:w="1276" w:type="dxa"/>
            <w:shd w:val="clear" w:color="auto" w:fill="C4EFCE"/>
            <w:noWrap/>
            <w:vAlign w:val="center"/>
            <w:hideMark/>
          </w:tcPr>
          <w:p w14:paraId="78995A2E" w14:textId="77777777" w:rsidR="00154AD2" w:rsidRDefault="007F6BF3">
            <w:pPr>
              <w:pStyle w:val="P68B1DB1-Normal8"/>
              <w:spacing w:after="0" w:line="240" w:lineRule="auto"/>
              <w:jc w:val="center"/>
              <w:rPr>
                <w:rFonts w:eastAsia="Times New Roman" w:cs="Calibri"/>
                <w:noProof/>
              </w:rPr>
            </w:pPr>
            <w:r>
              <w:rPr>
                <w:noProof/>
              </w:rPr>
              <w:t>TC-C11-I01</w:t>
            </w:r>
          </w:p>
        </w:tc>
        <w:tc>
          <w:tcPr>
            <w:tcW w:w="1134" w:type="dxa"/>
            <w:shd w:val="clear" w:color="auto" w:fill="C4EFCE"/>
            <w:noWrap/>
            <w:vAlign w:val="center"/>
            <w:hideMark/>
          </w:tcPr>
          <w:p w14:paraId="2E259E55"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7437F406" w14:textId="77777777" w:rsidR="00154AD2" w:rsidRDefault="007F6BF3">
            <w:pPr>
              <w:pStyle w:val="P68B1DB1-Normal8"/>
              <w:spacing w:after="0" w:line="240" w:lineRule="auto"/>
              <w:jc w:val="center"/>
              <w:rPr>
                <w:rFonts w:eastAsia="Times New Roman" w:cs="Calibri"/>
                <w:noProof/>
              </w:rPr>
            </w:pPr>
            <w:r>
              <w:rPr>
                <w:noProof/>
              </w:rPr>
              <w:t xml:space="preserve">Πρώτη πρόσκληση υποβολής προσφορών για έργα απανθρακοποίησης της βιομηχανίας </w:t>
            </w:r>
          </w:p>
        </w:tc>
        <w:tc>
          <w:tcPr>
            <w:tcW w:w="1275" w:type="dxa"/>
            <w:shd w:val="clear" w:color="auto" w:fill="C4EFCE"/>
            <w:noWrap/>
            <w:vAlign w:val="center"/>
            <w:hideMark/>
          </w:tcPr>
          <w:p w14:paraId="21997F85" w14:textId="77777777" w:rsidR="00154AD2" w:rsidRDefault="007F6BF3">
            <w:pPr>
              <w:pStyle w:val="P68B1DB1-Normal8"/>
              <w:spacing w:after="0" w:line="240" w:lineRule="auto"/>
              <w:jc w:val="center"/>
              <w:rPr>
                <w:rFonts w:eastAsia="Times New Roman" w:cs="Calibri"/>
                <w:noProof/>
              </w:rPr>
            </w:pPr>
            <w:r>
              <w:rPr>
                <w:noProof/>
              </w:rPr>
              <w:t>Η πρώτη πρόσκληση υποβολής προσφορών άνοιξε</w:t>
            </w:r>
          </w:p>
        </w:tc>
        <w:tc>
          <w:tcPr>
            <w:tcW w:w="993" w:type="dxa"/>
            <w:shd w:val="clear" w:color="auto" w:fill="C4EFCE"/>
            <w:noWrap/>
            <w:vAlign w:val="center"/>
            <w:hideMark/>
          </w:tcPr>
          <w:p w14:paraId="18BDD62E" w14:textId="77777777" w:rsidR="00154AD2" w:rsidRDefault="007F6BF3">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45CE536A" w14:textId="77777777" w:rsidR="00154AD2" w:rsidRDefault="007F6BF3">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1762E5E6" w14:textId="77777777" w:rsidR="00154AD2" w:rsidRDefault="007F6BF3">
            <w:pPr>
              <w:pStyle w:val="P68B1DB1-Normal8"/>
              <w:spacing w:after="0" w:line="240" w:lineRule="auto"/>
              <w:jc w:val="center"/>
              <w:rPr>
                <w:rFonts w:eastAsia="Times New Roman" w:cs="Calibri"/>
                <w:noProof/>
              </w:rPr>
            </w:pPr>
            <w:r>
              <w:rPr>
                <w:noProof/>
              </w:rPr>
              <w:t> </w:t>
            </w:r>
          </w:p>
        </w:tc>
        <w:tc>
          <w:tcPr>
            <w:tcW w:w="555" w:type="dxa"/>
            <w:shd w:val="clear" w:color="auto" w:fill="C4EFCE"/>
            <w:noWrap/>
            <w:vAlign w:val="center"/>
            <w:hideMark/>
          </w:tcPr>
          <w:p w14:paraId="481A5A9B"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20" w:type="dxa"/>
            <w:shd w:val="clear" w:color="auto" w:fill="C4EFCE"/>
            <w:noWrap/>
            <w:vAlign w:val="center"/>
            <w:hideMark/>
          </w:tcPr>
          <w:p w14:paraId="3612D309" w14:textId="77777777" w:rsidR="00154AD2" w:rsidRDefault="007F6BF3">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19006C92" w14:textId="77777777" w:rsidR="00154AD2" w:rsidRDefault="007F6BF3">
            <w:pPr>
              <w:pStyle w:val="P68B1DB1-Normal8"/>
              <w:spacing w:after="0" w:line="240" w:lineRule="auto"/>
              <w:jc w:val="both"/>
              <w:rPr>
                <w:rFonts w:eastAsia="Times New Roman" w:cs="Calibri"/>
                <w:noProof/>
              </w:rPr>
            </w:pPr>
            <w:r>
              <w:rPr>
                <w:noProof/>
              </w:rPr>
              <w:t xml:space="preserve">Άνοιγμα της πρώτης πρόσκλησης υποβολής προτάσεων για βιομηχανικά έργα απαλλαγής από τις ανθρακούχες εκπομπές που αφορούν τουλάχιστον έναν από τους ακόλουθους τομείς: διεργασίες και τεχνολογίες χαμηλών ανθρακούχων εκπομπών· θέσπιση μέτρων ενεργειακής απόδοσης· ενσωμάτωση ανανεώσιμων πηγών ενέργειας και αποθήκευση ενέργειας· και τη χειραφέτηση των επιχειρήσεων. </w:t>
            </w:r>
          </w:p>
          <w:p w14:paraId="730294B7" w14:textId="77777777" w:rsidR="00154AD2" w:rsidRDefault="007F6BF3">
            <w:pPr>
              <w:pStyle w:val="P68B1DB1-Normal8"/>
              <w:spacing w:after="0" w:line="240" w:lineRule="auto"/>
              <w:jc w:val="both"/>
              <w:rPr>
                <w:rFonts w:eastAsia="Times New Roman" w:cs="Calibri"/>
                <w:noProof/>
              </w:rPr>
            </w:pPr>
            <w:r>
              <w:rPr>
                <w:noProof/>
              </w:rPr>
              <w:t xml:space="preserve">Οι όροι αναφοράς περιλαμβάνουν κριτήρια επιλεξιμότητας που διασφαλίζουν ότι τα επιλεγμένα έργα συμμορφώνονται με την τεχνική καθοδήγηση σχετικά με την εφαρμογή της αρχής της «μη πρόκλησης σημαντικής βλάβης» (2021/C58/01) μέσω της χρήσης καταλόγου αποκλεισμού και της απαίτησης συμμόρφωσης με τη σχετική ενωσιακή και εθνική περιβαλλοντική νομοθεσία. </w:t>
            </w:r>
          </w:p>
          <w:p w14:paraId="0B36DB3C" w14:textId="349C80B6" w:rsidR="00154AD2" w:rsidRDefault="007F6BF3">
            <w:pPr>
              <w:pStyle w:val="P68B1DB1-Normal8"/>
              <w:spacing w:after="0" w:line="240" w:lineRule="auto"/>
              <w:jc w:val="both"/>
              <w:rPr>
                <w:rFonts w:eastAsia="Times New Roman" w:cs="Calibri"/>
                <w:noProof/>
              </w:rPr>
            </w:pPr>
            <w:r>
              <w:rPr>
                <w:noProof/>
              </w:rPr>
              <w:t>Η παρούσα πρόσκληση υποβολής προσφορών διασφαλίζει μέση μείωση κατά 30 % των άμεσων και έμμεσων εκπομπών αερίων του θερμοκηπίου για τις βιομηχανικές εγκαταστάσεις που λαμβάνουν στήριξη για έργα που αντιστοιχούν στο πεδίο παρέμβασης 024β. Τα έργα με την υψηλότερη απόδοση απαλλαγής από τις ανθρακούχες εκπομπές υποστηρίζονται κατά προτεραιότητα.</w:t>
            </w:r>
          </w:p>
        </w:tc>
      </w:tr>
      <w:tr w:rsidR="00154AD2" w14:paraId="04058E6B" w14:textId="77777777">
        <w:trPr>
          <w:trHeight w:val="630"/>
        </w:trPr>
        <w:tc>
          <w:tcPr>
            <w:tcW w:w="1135" w:type="dxa"/>
            <w:shd w:val="clear" w:color="auto" w:fill="C4EFCE"/>
            <w:vAlign w:val="center"/>
            <w:hideMark/>
          </w:tcPr>
          <w:p w14:paraId="2517AFD7" w14:textId="77777777" w:rsidR="00154AD2" w:rsidRDefault="007F6BF3">
            <w:pPr>
              <w:pStyle w:val="P68B1DB1-Normal7"/>
              <w:spacing w:after="0" w:line="240" w:lineRule="auto"/>
              <w:jc w:val="center"/>
              <w:rPr>
                <w:rFonts w:eastAsia="Times New Roman" w:cs="Calibri"/>
                <w:noProof/>
              </w:rPr>
            </w:pPr>
            <w:r>
              <w:rPr>
                <w:noProof/>
              </w:rPr>
              <w:t>11.2</w:t>
            </w:r>
          </w:p>
        </w:tc>
        <w:tc>
          <w:tcPr>
            <w:tcW w:w="1276" w:type="dxa"/>
            <w:shd w:val="clear" w:color="auto" w:fill="C4EFCE"/>
            <w:noWrap/>
            <w:vAlign w:val="center"/>
            <w:hideMark/>
          </w:tcPr>
          <w:p w14:paraId="18C1A1E0" w14:textId="77777777" w:rsidR="00154AD2" w:rsidRDefault="007F6BF3">
            <w:pPr>
              <w:pStyle w:val="P68B1DB1-Normal8"/>
              <w:spacing w:after="0" w:line="240" w:lineRule="auto"/>
              <w:jc w:val="center"/>
              <w:rPr>
                <w:rFonts w:eastAsia="Times New Roman" w:cs="Calibri"/>
                <w:noProof/>
              </w:rPr>
            </w:pPr>
            <w:r>
              <w:rPr>
                <w:noProof/>
              </w:rPr>
              <w:t>TC-C11-I01</w:t>
            </w:r>
          </w:p>
        </w:tc>
        <w:tc>
          <w:tcPr>
            <w:tcW w:w="1134" w:type="dxa"/>
            <w:shd w:val="clear" w:color="auto" w:fill="C4EFCE"/>
            <w:noWrap/>
            <w:vAlign w:val="center"/>
            <w:hideMark/>
          </w:tcPr>
          <w:p w14:paraId="576BCEE3"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5DECC35D" w14:textId="77777777" w:rsidR="00154AD2" w:rsidRDefault="007F6BF3">
            <w:pPr>
              <w:pStyle w:val="P68B1DB1-Normal8"/>
              <w:spacing w:after="0" w:line="240" w:lineRule="auto"/>
              <w:jc w:val="center"/>
              <w:rPr>
                <w:rFonts w:eastAsia="Times New Roman" w:cs="Calibri"/>
                <w:noProof/>
              </w:rPr>
            </w:pPr>
            <w:r>
              <w:rPr>
                <w:noProof/>
              </w:rPr>
              <w:t>Υπογραφή συμβάσεων για τη χορήγηση χρηματοδοτικής στήριξης</w:t>
            </w:r>
          </w:p>
        </w:tc>
        <w:tc>
          <w:tcPr>
            <w:tcW w:w="1275" w:type="dxa"/>
            <w:shd w:val="clear" w:color="auto" w:fill="C4EFCE"/>
            <w:noWrap/>
            <w:vAlign w:val="center"/>
            <w:hideMark/>
          </w:tcPr>
          <w:p w14:paraId="5F0FAC03" w14:textId="77777777" w:rsidR="00154AD2" w:rsidRDefault="007F6BF3">
            <w:pPr>
              <w:pStyle w:val="P68B1DB1-Normal8"/>
              <w:spacing w:after="0" w:line="240" w:lineRule="auto"/>
              <w:jc w:val="center"/>
              <w:rPr>
                <w:rFonts w:eastAsia="Times New Roman" w:cs="Calibri"/>
                <w:noProof/>
              </w:rPr>
            </w:pPr>
            <w:r>
              <w:rPr>
                <w:noProof/>
              </w:rPr>
              <w:t>Υπογραφή συμβάσεων για τη χορήγηση χρηματοδοτικής στήριξης</w:t>
            </w:r>
          </w:p>
        </w:tc>
        <w:tc>
          <w:tcPr>
            <w:tcW w:w="993" w:type="dxa"/>
            <w:shd w:val="clear" w:color="auto" w:fill="C4EFCE"/>
            <w:noWrap/>
            <w:vAlign w:val="center"/>
            <w:hideMark/>
          </w:tcPr>
          <w:p w14:paraId="7746D823" w14:textId="77777777" w:rsidR="00154AD2" w:rsidRDefault="007F6BF3">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73DEA9E0" w14:textId="77777777" w:rsidR="00154AD2" w:rsidRDefault="007F6BF3">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4027FD9F" w14:textId="77777777" w:rsidR="00154AD2" w:rsidRDefault="007F6BF3">
            <w:pPr>
              <w:pStyle w:val="P68B1DB1-Normal8"/>
              <w:spacing w:after="0" w:line="240" w:lineRule="auto"/>
              <w:rPr>
                <w:rFonts w:eastAsia="Times New Roman" w:cs="Calibri"/>
                <w:noProof/>
              </w:rPr>
            </w:pPr>
            <w:r>
              <w:rPr>
                <w:noProof/>
              </w:rPr>
              <w:t> </w:t>
            </w:r>
          </w:p>
        </w:tc>
        <w:tc>
          <w:tcPr>
            <w:tcW w:w="555" w:type="dxa"/>
            <w:shd w:val="clear" w:color="auto" w:fill="C4EFCE"/>
            <w:noWrap/>
            <w:vAlign w:val="center"/>
            <w:hideMark/>
          </w:tcPr>
          <w:p w14:paraId="5939915B"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20" w:type="dxa"/>
            <w:shd w:val="clear" w:color="auto" w:fill="C4EFCE"/>
            <w:noWrap/>
            <w:vAlign w:val="center"/>
            <w:hideMark/>
          </w:tcPr>
          <w:p w14:paraId="108A2CAC" w14:textId="77777777" w:rsidR="00154AD2" w:rsidRDefault="007F6BF3">
            <w:pPr>
              <w:pStyle w:val="P68B1DB1-Normal8"/>
              <w:spacing w:after="0" w:line="240" w:lineRule="auto"/>
              <w:jc w:val="center"/>
              <w:rPr>
                <w:rFonts w:eastAsia="Times New Roman" w:cs="Calibri"/>
                <w:noProof/>
              </w:rPr>
            </w:pPr>
            <w:r>
              <w:rPr>
                <w:noProof/>
              </w:rPr>
              <w:t>2023</w:t>
            </w:r>
          </w:p>
        </w:tc>
        <w:tc>
          <w:tcPr>
            <w:tcW w:w="3969" w:type="dxa"/>
            <w:shd w:val="clear" w:color="auto" w:fill="C4EFCE"/>
            <w:vAlign w:val="center"/>
            <w:hideMark/>
          </w:tcPr>
          <w:p w14:paraId="7EF1A53F" w14:textId="77777777" w:rsidR="00154AD2" w:rsidRDefault="007F6BF3">
            <w:pPr>
              <w:pStyle w:val="P68B1DB1-Normal8"/>
              <w:spacing w:after="0" w:line="240" w:lineRule="auto"/>
              <w:jc w:val="both"/>
              <w:rPr>
                <w:rFonts w:eastAsia="Times New Roman" w:cs="Calibri"/>
                <w:noProof/>
              </w:rPr>
            </w:pPr>
            <w:r>
              <w:rPr>
                <w:noProof/>
              </w:rPr>
              <w:t xml:space="preserve">Τουλάχιστον 383 000 000 EUR χορηγήθηκαν για έργα για βιομηχανικά έργα απαλλαγής από τις ανθρακούχες εκπομπές που αφορούν τουλάχιστον έναν από τους ακόλουθους τομείς: διεργασίες και τεχνολογίες χαμηλών ανθρακούχων εκπομπών· θέσπιση μέτρων ενεργειακής απόδοσης· ενσωμάτωση ανανεώσιμων πηγών ενέργειας και αποθήκευση ενέργειας· και τη χειραφέτηση των επιχειρήσεων. </w:t>
            </w:r>
          </w:p>
          <w:p w14:paraId="1FE08972" w14:textId="2AB1B821" w:rsidR="00154AD2" w:rsidRDefault="007F6BF3">
            <w:pPr>
              <w:pStyle w:val="P68B1DB1-Normal8"/>
              <w:spacing w:after="0" w:line="240" w:lineRule="auto"/>
              <w:jc w:val="both"/>
              <w:rPr>
                <w:rFonts w:eastAsia="Times New Roman" w:cs="Calibri"/>
                <w:noProof/>
              </w:rPr>
            </w:pPr>
            <w:r>
              <w:rPr>
                <w:noProof/>
              </w:rPr>
              <w:t>Η ανάθεση των συμβάσεων στα έργα που επιλέγονται στο πλαίσιο των ανταγωνιστικών προσκλήσεων υποβολής προτάσεων που αναφέρονται στο ανωτέρω ορόσημο διασφαλίζει τη συμμόρφωση με τις τεχνικές κατευθυντήριες γραμμές για την εφαρμογή της αρχής της «μη πρόκλησης σημαντικής βλάβης» (2021/C58/01) μέσω της χρήσης καταλόγου αποκλεισμού και της απαίτησης συμμόρφωσης με τη σχετική ενωσιακή και εθνική περιβαλλοντική νομοθεσία.</w:t>
            </w:r>
          </w:p>
        </w:tc>
      </w:tr>
      <w:tr w:rsidR="00154AD2" w14:paraId="73B08E92" w14:textId="77777777">
        <w:trPr>
          <w:trHeight w:val="1690"/>
        </w:trPr>
        <w:tc>
          <w:tcPr>
            <w:tcW w:w="1135" w:type="dxa"/>
            <w:shd w:val="clear" w:color="auto" w:fill="C4EFCE"/>
            <w:vAlign w:val="center"/>
            <w:hideMark/>
          </w:tcPr>
          <w:p w14:paraId="06C03D7F" w14:textId="77777777" w:rsidR="00154AD2" w:rsidRDefault="007F6BF3">
            <w:pPr>
              <w:pStyle w:val="P68B1DB1-Normal7"/>
              <w:spacing w:after="0" w:line="240" w:lineRule="auto"/>
              <w:jc w:val="center"/>
              <w:rPr>
                <w:rFonts w:eastAsia="Times New Roman" w:cs="Calibri"/>
                <w:noProof/>
              </w:rPr>
            </w:pPr>
            <w:r>
              <w:rPr>
                <w:noProof/>
              </w:rPr>
              <w:t>11.3</w:t>
            </w:r>
          </w:p>
        </w:tc>
        <w:tc>
          <w:tcPr>
            <w:tcW w:w="1276" w:type="dxa"/>
            <w:shd w:val="clear" w:color="auto" w:fill="C4EFCE"/>
            <w:noWrap/>
            <w:vAlign w:val="center"/>
            <w:hideMark/>
          </w:tcPr>
          <w:p w14:paraId="1803E8D0" w14:textId="77777777" w:rsidR="00154AD2" w:rsidRDefault="007F6BF3">
            <w:pPr>
              <w:pStyle w:val="P68B1DB1-Normal8"/>
              <w:spacing w:after="0" w:line="240" w:lineRule="auto"/>
              <w:jc w:val="center"/>
              <w:rPr>
                <w:rFonts w:eastAsia="Times New Roman" w:cs="Calibri"/>
                <w:noProof/>
              </w:rPr>
            </w:pPr>
            <w:r>
              <w:rPr>
                <w:noProof/>
              </w:rPr>
              <w:t>TC-C11-I01</w:t>
            </w:r>
          </w:p>
        </w:tc>
        <w:tc>
          <w:tcPr>
            <w:tcW w:w="1134" w:type="dxa"/>
            <w:shd w:val="clear" w:color="auto" w:fill="C4EFCE"/>
            <w:noWrap/>
            <w:vAlign w:val="center"/>
            <w:hideMark/>
          </w:tcPr>
          <w:p w14:paraId="69072576"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2351F05" w14:textId="77777777" w:rsidR="00154AD2" w:rsidRDefault="007F6BF3">
            <w:pPr>
              <w:pStyle w:val="P68B1DB1-Normal8"/>
              <w:spacing w:after="0" w:line="240" w:lineRule="auto"/>
              <w:jc w:val="center"/>
              <w:rPr>
                <w:rFonts w:eastAsia="Times New Roman" w:cs="Calibri"/>
                <w:noProof/>
              </w:rPr>
            </w:pPr>
            <w:r>
              <w:rPr>
                <w:noProof/>
              </w:rPr>
              <w:t>Χρηματοδοτική στήριξη σε έργα απαλλαγής της βιομηχανίας από τις ανθρακούχες εκπομπές</w:t>
            </w:r>
          </w:p>
        </w:tc>
        <w:tc>
          <w:tcPr>
            <w:tcW w:w="1275" w:type="dxa"/>
            <w:shd w:val="clear" w:color="auto" w:fill="C4EFCE"/>
            <w:noWrap/>
            <w:vAlign w:val="center"/>
            <w:hideMark/>
          </w:tcPr>
          <w:p w14:paraId="5AF3E605"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59CC3A89"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0AEE891E" w14:textId="77777777" w:rsidR="00154AD2" w:rsidRDefault="007F6BF3">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7C0EF439" w14:textId="63244C11" w:rsidR="00154AD2" w:rsidRDefault="007F6BF3">
            <w:pPr>
              <w:pStyle w:val="P68B1DB1-Normal8"/>
              <w:spacing w:after="0" w:line="240" w:lineRule="auto"/>
              <w:jc w:val="center"/>
              <w:rPr>
                <w:rFonts w:eastAsia="Times New Roman" w:cs="Calibri"/>
                <w:noProof/>
              </w:rPr>
            </w:pPr>
            <w:r>
              <w:rPr>
                <w:noProof/>
              </w:rPr>
              <w:t>310</w:t>
            </w:r>
          </w:p>
        </w:tc>
        <w:tc>
          <w:tcPr>
            <w:tcW w:w="555" w:type="dxa"/>
            <w:shd w:val="clear" w:color="auto" w:fill="C4EFCE"/>
            <w:noWrap/>
            <w:vAlign w:val="center"/>
            <w:hideMark/>
          </w:tcPr>
          <w:p w14:paraId="64BC34FA"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20" w:type="dxa"/>
            <w:shd w:val="clear" w:color="auto" w:fill="C4EFCE"/>
            <w:noWrap/>
            <w:vAlign w:val="center"/>
            <w:hideMark/>
          </w:tcPr>
          <w:p w14:paraId="234947D8" w14:textId="77777777" w:rsidR="00154AD2" w:rsidRDefault="007F6BF3">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4D55E7F5" w14:textId="77777777" w:rsidR="00154AD2" w:rsidRDefault="007F6BF3">
            <w:pPr>
              <w:pStyle w:val="P68B1DB1-Normal8"/>
              <w:spacing w:after="0" w:line="240" w:lineRule="auto"/>
              <w:jc w:val="both"/>
              <w:rPr>
                <w:rFonts w:eastAsia="Times New Roman" w:cs="Calibri"/>
                <w:noProof/>
              </w:rPr>
            </w:pPr>
            <w:r>
              <w:rPr>
                <w:noProof/>
              </w:rPr>
              <w:t xml:space="preserve">Αριθμός έργων που έλαβαν χρηματοδοτική στήριξη για την απαλλαγή της βιομηχανίας από τις ανθρακούχες εκπομπές και αφορούν τουλάχιστον έναν από τους ακόλουθους τομείς: διεργασίες και τεχνολογίες χαμηλών ανθρακούχων εκπομπών· θέσπιση μέτρων ενεργειακής απόδοσης· και ενσωμάτωση ανανεώσιμων πηγών ενέργειας και αποθήκευσης ενέργειας. Για τις υποστηριζόμενες βιομηχανικές εγκαταστάσεις διασφαλίζεται μείωση κατά μέσο όρο 30 % των άμεσων και έμμεσων εκπομπών αερίων του θερμοκηπίου για έργα που αντιστοιχούν στο πεδίο παρέμβασης 024β, και συμμόρφωση με τις τεχνικές κατευθυντήριες γραμμές «μη πρόκλησης σημαντικής βλάβης» (2021/C58/01), μεταξύ άλλων για εγκαταστάσεις που καλύπτονται από το σύστημα εμπορίας δικαιωμάτων εκπομπών της ΕΕ, ώστε να διασφαλιστεί ότι οι υποστηριζόμενες εγκαταστάσεις επιτυγχάνουν τις προβλεπόμενες εκπομπές αερίων του θερμοκηπίου που είναι χαμηλότερες από τον δείκτη αναφοράς που έχει καθοριστεί για τη δωρεάν κατανομή, όπως ορίζεται στον εκτελεστικό κανονισμό (ΕΕ) 2021/447 της Επιτροπής. </w:t>
            </w:r>
          </w:p>
        </w:tc>
      </w:tr>
    </w:tbl>
    <w:p w14:paraId="575A7ECF"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63D1B59A" w14:textId="77777777" w:rsidR="00154AD2" w:rsidRDefault="00154AD2">
      <w:pPr>
        <w:keepNext/>
        <w:spacing w:before="40" w:after="0" w:line="259" w:lineRule="auto"/>
        <w:jc w:val="both"/>
        <w:outlineLvl w:val="1"/>
        <w:rPr>
          <w:rFonts w:ascii="Times New Roman" w:eastAsiaTheme="minorEastAsia" w:hAnsi="Times New Roman" w:cs="Times New Roman"/>
          <w:noProof/>
          <w:sz w:val="24"/>
          <w:u w:val="single"/>
        </w:rPr>
        <w:sectPr w:rsidR="00154AD2" w:rsidSect="00E00EDD">
          <w:headerReference w:type="even" r:id="rId240"/>
          <w:headerReference w:type="default" r:id="rId241"/>
          <w:footerReference w:type="even" r:id="rId242"/>
          <w:footerReference w:type="default" r:id="rId243"/>
          <w:headerReference w:type="first" r:id="rId244"/>
          <w:footerReference w:type="first" r:id="rId245"/>
          <w:pgSz w:w="16839" w:h="11907" w:orient="landscape"/>
          <w:pgMar w:top="1134" w:right="1134" w:bottom="1134" w:left="1134" w:header="567" w:footer="567" w:gutter="0"/>
          <w:cols w:space="720"/>
          <w:docGrid w:linePitch="360"/>
        </w:sectPr>
      </w:pPr>
    </w:p>
    <w:p w14:paraId="7F30AF75" w14:textId="77777777" w:rsidR="00154AD2" w:rsidRDefault="007F6BF3">
      <w:pPr>
        <w:pStyle w:val="P68B1DB1-Normal3"/>
        <w:spacing w:before="40" w:after="0" w:line="259" w:lineRule="auto"/>
        <w:ind w:left="130" w:firstLine="720"/>
        <w:jc w:val="both"/>
        <w:outlineLvl w:val="1"/>
        <w:rPr>
          <w:rFonts w:eastAsiaTheme="minorEastAsia" w:cs="Times New Roman"/>
          <w:noProof/>
        </w:rPr>
      </w:pPr>
      <w:r>
        <w:rPr>
          <w:noProof/>
        </w:rPr>
        <w:t>L. ΣΥΝΙΣΤΏΣΑ 12: Βιοοικονομία</w:t>
      </w:r>
    </w:p>
    <w:p w14:paraId="09C80588" w14:textId="77777777" w:rsidR="00154AD2" w:rsidRDefault="007F6BF3">
      <w:pPr>
        <w:pStyle w:val="P68B1DB1-Normal4"/>
        <w:spacing w:before="40" w:after="0" w:line="259" w:lineRule="auto"/>
        <w:jc w:val="both"/>
        <w:rPr>
          <w:rFonts w:eastAsiaTheme="minorEastAsia" w:cs="Times New Roman"/>
          <w:noProof/>
        </w:rPr>
      </w:pPr>
      <w:r>
        <w:rPr>
          <w:noProof/>
        </w:rPr>
        <w:t xml:space="preserve">Η συνιστώσα αυτή αντιμετωπίζει την πρόκληση της ανάπτυξης μιας βιώσιμης, βιώσιμης, κυκλικής και ανταγωνιστικής βιοοικονομίας. Μια τέτοια μετάβαση αναμένεται να στηρίξει τον εκσυγχρονισμό και την ενοποίηση της βιομηχανίας με τη δημιουργία νέων αλυσίδων αξίας και πιο οικολογικών βιομηχανικών διαδικασιών. </w:t>
      </w:r>
    </w:p>
    <w:p w14:paraId="5988E6C8" w14:textId="77777777" w:rsidR="00154AD2" w:rsidRDefault="007F6BF3">
      <w:pPr>
        <w:pStyle w:val="P68B1DB1-Normal4"/>
        <w:spacing w:before="40" w:after="0" w:line="259" w:lineRule="auto"/>
        <w:jc w:val="both"/>
        <w:rPr>
          <w:rFonts w:eastAsiaTheme="minorEastAsia" w:cs="Times New Roman"/>
          <w:noProof/>
        </w:rPr>
      </w:pPr>
      <w:r>
        <w:rPr>
          <w:noProof/>
        </w:rPr>
        <w:t xml:space="preserve">Στόχος αυτής της συνιστώσας είναι η προώθηση και η επιτάχυνση της ανάπτυξης προϊόντων υψηλής προστιθέμενης αξίας από βιολογικούς πόρους ως εναλλακτική λύση στα υλικά ορυκτής προέλευσης.  </w:t>
      </w:r>
    </w:p>
    <w:p w14:paraId="740A5F38" w14:textId="1AE9A646" w:rsidR="00154AD2" w:rsidRDefault="007F6BF3">
      <w:pPr>
        <w:pStyle w:val="P68B1DB1-Normal4"/>
        <w:spacing w:before="40" w:after="0" w:line="259" w:lineRule="auto"/>
        <w:jc w:val="both"/>
        <w:rPr>
          <w:rFonts w:eastAsiaTheme="minorEastAsia" w:cs="Times New Roman"/>
          <w:noProof/>
        </w:rPr>
      </w:pPr>
      <w:r>
        <w:rPr>
          <w:noProof/>
        </w:rPr>
        <w:t xml:space="preserve">Τα μέτρα αυτής της συνιστώσας αποσκοπούν στη στήριξη των διαρθρωτικών αλλαγών που συνδέονται με την εν λόγω μετάβαση και συμβάλλουν στην αντιμετώπιση των σημερινών παγκόσμιων και τοπικών προκλήσεων, συμπεριλαμβανομένης της κλιματικής αλλαγής, της μείωσης της εξάρτησης από τους ορυκτούς πόρους και της βιώσιμης ανάπτυξης. Τρεις τομείς (κλωστοϋφαντουργικά προϊόντα και είδη ένδυσης, υποδήματα και φυσική ρητίνη) υποστηρίζονται ειδικά για την ανάπτυξη προϊόντων βιολογικής προέλευσης και για την αύξηση της αποδοτικότητας των πόρων. Η συνιστώσα στηρίζει την εφαρμογή των ειδικών ανά χώρα συστάσεων σχετικά με τις επενδύσεις στην πράσινη μετάβαση, ιδίως στην καθαρή και αποδοτική παραγωγή και χρήση ενέργειας (ειδική ανά χώρα σύσταση 3 2020), στις επενδύσεις στην έρευνα και την καινοτομία (ειδικές ανά χώρα συστάσεις 3 2019 και 2020) και στη μετάβαση προς μια κυκλική οικονομία, ιδίως με την αύξηση της πρόληψης της δημιουργίας αποβλήτων, της ανακύκλωσης και της επαναχρησιμοποίησης για την εκτροπή των αποβλήτων από χώρους υγειονομικής ταφής και αποτεφρωτήρες (ειδικές ανά χώρα συστάσεις 3 2022 και 2023). </w:t>
      </w:r>
    </w:p>
    <w:p w14:paraId="4CF3DC02" w14:textId="77777777" w:rsidR="00154AD2" w:rsidRDefault="007F6BF3">
      <w:pPr>
        <w:pStyle w:val="P68B1DB1-Normal4"/>
        <w:spacing w:before="40" w:after="0" w:line="259" w:lineRule="auto"/>
        <w:jc w:val="both"/>
        <w:rPr>
          <w:rFonts w:eastAsiaTheme="minorEastAsia" w:cs="Times New Roman"/>
          <w:noProof/>
        </w:rPr>
      </w:pPr>
      <w:r>
        <w:rPr>
          <w:noProof/>
        </w:rPr>
        <w:t>Αναμένεται ότι κανένα μέτρο στη συνιστώσα αυτή δεν βλάπτει σημαντικά τους περιβαλλοντικούς στόχους κατά την έννοια του άρθρου 17 του κανονισμού (ΕΕ) 2020/852, λαμβανομένης υπόψη της περιγραφής των μέτρων και των μέτρων μετριασμού που ορίζονται στο σχέδιο σύμφωνα με την τεχνική καθοδήγηση σχετικά με την αρχή της μη πρόκλησης σημαντικής βλάβης (2021/C58/01).</w:t>
      </w:r>
    </w:p>
    <w:p w14:paraId="424C0B86" w14:textId="77777777" w:rsidR="00154AD2" w:rsidRDefault="00154AD2">
      <w:pPr>
        <w:spacing w:before="40" w:after="0" w:line="259" w:lineRule="auto"/>
        <w:jc w:val="both"/>
        <w:rPr>
          <w:rFonts w:ascii="Times New Roman" w:eastAsiaTheme="minorEastAsia" w:hAnsi="Times New Roman" w:cs="Times New Roman"/>
          <w:noProof/>
          <w:sz w:val="24"/>
        </w:rPr>
      </w:pPr>
    </w:p>
    <w:p w14:paraId="7A62E280" w14:textId="77777777" w:rsidR="00154AD2" w:rsidRDefault="007F6BF3">
      <w:pPr>
        <w:pStyle w:val="P68B1DB1-Normal3"/>
        <w:spacing w:before="40" w:after="0" w:line="259" w:lineRule="auto"/>
        <w:ind w:left="130" w:firstLine="720"/>
        <w:jc w:val="both"/>
        <w:outlineLvl w:val="1"/>
        <w:rPr>
          <w:rFonts w:eastAsiaTheme="minorEastAsia" w:cs="Times New Roman"/>
          <w:noProof/>
        </w:rPr>
      </w:pPr>
      <w:r>
        <w:rPr>
          <w:noProof/>
        </w:rPr>
        <w:t>ΙΒ.1. Περιγραφή των μεταρρυθμίσεων και των επενδύσεων που είναι επιλέξιμες για λήψη μη επιστρεπτέας χρηματοδοτικής στήριξης</w:t>
      </w:r>
    </w:p>
    <w:p w14:paraId="3E984C00" w14:textId="77777777" w:rsidR="00154AD2" w:rsidRDefault="007F6BF3">
      <w:pPr>
        <w:pStyle w:val="P68B1DB1-Normal5"/>
        <w:spacing w:before="240" w:after="0" w:line="259" w:lineRule="auto"/>
        <w:ind w:left="851"/>
        <w:jc w:val="both"/>
        <w:outlineLvl w:val="2"/>
        <w:rPr>
          <w:rFonts w:eastAsiaTheme="minorEastAsia" w:cs="Times New Roman"/>
          <w:noProof/>
        </w:rPr>
      </w:pPr>
      <w:r>
        <w:rPr>
          <w:noProof/>
        </w:rPr>
        <w:t>Μεταρρύθμιση TC-r25: Βιώσιμη βιοοικονομία</w:t>
      </w:r>
    </w:p>
    <w:p w14:paraId="73A86D72" w14:textId="77777777" w:rsidR="00154AD2" w:rsidRDefault="007F6BF3">
      <w:pPr>
        <w:pStyle w:val="P68B1DB1-Normal4"/>
        <w:spacing w:before="40" w:after="0" w:line="259" w:lineRule="auto"/>
        <w:jc w:val="both"/>
        <w:rPr>
          <w:rFonts w:eastAsiaTheme="minorEastAsia" w:cs="Times New Roman"/>
          <w:noProof/>
        </w:rPr>
      </w:pPr>
      <w:r>
        <w:rPr>
          <w:noProof/>
        </w:rPr>
        <w:t>Στόχος της μεταρρύθμισης είναι η προώθηση και η παροχή κινήτρων για τη διατήρηση και την αποδοτική χρήση των βιολογικών πόρων. Η μεταρρύθμιση εντάσσεται στο σχέδιο δράσης της Πορτογαλίας για τη βιώσιμη βιοοικονομία, το οποίο υπόκειται σε δημόσια διαβούλευση και λειτουργεί ως στρατηγικό πλαίσιο για την εθνική βιώσιμη ανάπτυξη. Στο πλαίσιο της προσπάθειας για την προώθηση της βιοοικονομίας, η Πορτογαλία αξιολογεί επίσης φορολογικά κίνητρα που θα μπορούσαν να ενισχύσουν την υποκατάσταση των μη ανανεώσιμων φυσικών πόρων με άλλους πόρους βιολογικής προέλευσης.</w:t>
      </w:r>
    </w:p>
    <w:p w14:paraId="1F7B9944" w14:textId="77777777" w:rsidR="00154AD2" w:rsidRDefault="007F6BF3">
      <w:pPr>
        <w:pStyle w:val="P68B1DB1-Normal4"/>
        <w:spacing w:before="40" w:after="0" w:line="259" w:lineRule="auto"/>
        <w:jc w:val="both"/>
        <w:rPr>
          <w:rFonts w:eastAsiaTheme="minorEastAsia" w:cs="Times New Roman"/>
          <w:noProof/>
        </w:rPr>
      </w:pPr>
      <w:r>
        <w:rPr>
          <w:noProof/>
        </w:rPr>
        <w:t xml:space="preserve">Η μεταρρύθμιση συνίσταται σε ένα νέο γενικό σύστημα διαχείρισης αποβλήτων (RGGR) και στη συμπερίληψη κριτηρίων για την αγορά βιώσιμων προϊόντων βιολογικής προέλευσης στην αναθεώρηση της εθνικής στρατηγικής για τις πράσινες δημόσιες συμβάσεις. Η μεταρρύθμιση αυτή αποσκοπεί στην αντιμετώπιση των κύριων εμποδίων και περιορισμών που εντοπίστηκαν κατά την αξιοποίηση των βιολογικών πόρων για την ανάπτυξη βιώσιμης και κυκλικής βιοβιομηχανίας, με σεβασμό της αρχής της αλυσιδωτής χρήσης. </w:t>
      </w:r>
    </w:p>
    <w:p w14:paraId="63B37A13" w14:textId="77777777" w:rsidR="00154AD2" w:rsidRDefault="007F6BF3">
      <w:pPr>
        <w:pStyle w:val="P68B1DB1-Normal4"/>
        <w:spacing w:before="40" w:after="0" w:line="259" w:lineRule="auto"/>
        <w:jc w:val="both"/>
        <w:rPr>
          <w:rFonts w:eastAsiaTheme="minorEastAsia" w:cs="Times New Roman"/>
          <w:noProof/>
        </w:rPr>
      </w:pPr>
      <w:r>
        <w:rPr>
          <w:noProof/>
        </w:rPr>
        <w:t>Η εφαρμογή του νέου γενικού προγράμματος διαχείρισης αποβλήτων εξαλείφει τουλάχιστον τους περιορισμούς στη χρήση υποπροϊόντων ή αποβλήτων για νέα προϊόντα, απλουστεύοντας τις διαδικασίες για την ταξινόμηση ουσιών ή αντικειμένων ως υποπροϊόντων, μεταξύ άλλων και από άλλες χώρες της ΕΕ. Το νέο γενικό σχέδιο διαχείρισης αποβλήτων εγκρίθηκε τον Δεκέμβριο του 2020.</w:t>
      </w:r>
    </w:p>
    <w:p w14:paraId="775F29D4" w14:textId="53DA06AD" w:rsidR="00154AD2" w:rsidRDefault="007F6BF3">
      <w:pPr>
        <w:pStyle w:val="P68B1DB1-Normal4"/>
        <w:spacing w:before="40" w:after="0" w:line="259" w:lineRule="auto"/>
        <w:jc w:val="both"/>
        <w:rPr>
          <w:rFonts w:eastAsiaTheme="minorEastAsia" w:cs="Times New Roman"/>
          <w:noProof/>
        </w:rPr>
      </w:pPr>
      <w:r>
        <w:rPr>
          <w:noProof/>
        </w:rPr>
        <w:t xml:space="preserve">Η εθνική στρατηγική για τις πράσινες δημόσιες συμβάσεις αναθεωρείται ώστε να περιλαμβάνει τουλάχιστον υποχρεωτικά οικολογικά κριτήρια σχετικά με την προμήθεια υπηρεσιών και προϊόντων (ιδίως στον τομέα των κατασκευών), ενσωματώνοντας βιώσιμα προϊόντα βιολογικής προέλευσης. </w:t>
      </w:r>
    </w:p>
    <w:p w14:paraId="18D49EAF" w14:textId="77777777" w:rsidR="00154AD2" w:rsidRDefault="007F6BF3">
      <w:pPr>
        <w:pStyle w:val="P68B1DB1-Normal4"/>
        <w:keepNext/>
        <w:spacing w:before="40" w:after="0" w:line="259" w:lineRule="auto"/>
        <w:jc w:val="both"/>
        <w:rPr>
          <w:rFonts w:eastAsiaTheme="minorEastAsia" w:cs="Times New Roman"/>
          <w:noProof/>
        </w:rPr>
      </w:pPr>
      <w:r>
        <w:rPr>
          <w:noProof/>
        </w:rPr>
        <w:t>Η εφαρμογή της μεταρρύθμισης ολοκληρώνεται έως τις 30 Σεπτεμβρίου 2022.</w:t>
      </w:r>
    </w:p>
    <w:p w14:paraId="2FD84C02" w14:textId="77777777"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Επένδυση TC-C12-I01: Βιοοικονομία</w:t>
      </w:r>
    </w:p>
    <w:p w14:paraId="17E8B78E"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Στόχος της επένδυσης είναι η στήριξη της ενσωμάτωσης υλικών βιολογικής προέλευσης σε διαδικασίες παραγωγής σε τρεις τομείς: κλωστοϋφαντουργία και ενδύματα, υποδήματα και φυσική ρητίνη. </w:t>
      </w:r>
    </w:p>
    <w:p w14:paraId="55D6795C"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Το κύριο μέσο συνίσταται σε χρηματοδοτική στήριξη που χορηγείται μέσω προγραμματικών συμβάσεων με κοινοπραξίες, οι οποίες περιλαμβάνουν ιδρύματα Ε &amp; Ι, επιχειρήσεις και τελικούς χρήστες, και οι οποίες επιλέγονται μέσω ανταγωνιστικής διαδικασίας. Οι υποστηριζόμενες δραστηριότητες περιλαμβάνουν έργα έρευνας, ανάπτυξης και παραγωγικής καινοτομίας, έργα ψηφιοποίησης και προηγμένες τεχνολογίες παραγωγής, ειδικά προγράμματα κατάρτισης και ενδυνάμωσης, παραγωγή εγχώριας φυσικής ρητίνης και μέτρα ευαισθητοποίησης για τη βιώσιμη παραγωγή και κατανάλωση. Τα έργα που επιλέγονται συμβάλλουν τουλάχιστον στην ανάπτυξη της κυκλικής οικονομίας και στους στόχους μείωσης των εκπομπών στην Πορτογαλία. Τα έργα έχουν τους ακόλουθους στόχους: </w:t>
      </w:r>
    </w:p>
    <w:p w14:paraId="1FFA8FCC" w14:textId="77777777" w:rsidR="00154AD2" w:rsidRDefault="007F6BF3">
      <w:pPr>
        <w:pStyle w:val="P68B1DB1-Normal4"/>
        <w:keepNext/>
        <w:numPr>
          <w:ilvl w:val="0"/>
          <w:numId w:val="29"/>
        </w:numPr>
        <w:spacing w:before="40" w:after="160" w:line="259" w:lineRule="auto"/>
        <w:contextualSpacing/>
        <w:jc w:val="both"/>
        <w:rPr>
          <w:rFonts w:eastAsiaTheme="minorEastAsia" w:cs="Times New Roman"/>
          <w:noProof/>
        </w:rPr>
      </w:pPr>
      <w:r>
        <w:rPr>
          <w:noProof/>
        </w:rPr>
        <w:t xml:space="preserve">ανάπτυξη νέων διαδικασιών παραγωγής για τη δημιουργία προϊόντων υψηλότερης προστιθέμενης αξίας που ενσωματώνουν και εκμεταλλεύονται βιολογικούς πόρους (δασική βιομάζα, γεωργικά και αγροβιομηχανικά κατάλοιπα και υποπροϊόντα)· </w:t>
      </w:r>
    </w:p>
    <w:p w14:paraId="6A6B42A0" w14:textId="77777777" w:rsidR="00154AD2" w:rsidRDefault="007F6BF3">
      <w:pPr>
        <w:pStyle w:val="P68B1DB1-Normal4"/>
        <w:keepNext/>
        <w:numPr>
          <w:ilvl w:val="0"/>
          <w:numId w:val="29"/>
        </w:numPr>
        <w:spacing w:before="40" w:after="160" w:line="259" w:lineRule="auto"/>
        <w:contextualSpacing/>
        <w:jc w:val="both"/>
        <w:rPr>
          <w:rFonts w:eastAsiaTheme="minorEastAsia" w:cs="Times New Roman"/>
          <w:noProof/>
        </w:rPr>
      </w:pPr>
      <w:r>
        <w:rPr>
          <w:noProof/>
        </w:rPr>
        <w:t>ανάπτυξη τεχνολογικών διαδικασιών για τη βελτίωση της κυκλικότητας των τομέων της κλωστοϋφαντουργίας και της ένδυσης, της υπόδησης και της επεξεργασίας ρητίνης· και</w:t>
      </w:r>
    </w:p>
    <w:p w14:paraId="2FE7D2D6" w14:textId="77777777" w:rsidR="00154AD2" w:rsidRDefault="007F6BF3">
      <w:pPr>
        <w:pStyle w:val="P68B1DB1-Normal4"/>
        <w:keepNext/>
        <w:numPr>
          <w:ilvl w:val="0"/>
          <w:numId w:val="29"/>
        </w:numPr>
        <w:spacing w:before="40" w:after="160" w:line="259" w:lineRule="auto"/>
        <w:contextualSpacing/>
        <w:jc w:val="both"/>
        <w:rPr>
          <w:rFonts w:eastAsiaTheme="minorEastAsia" w:cs="Times New Roman"/>
          <w:noProof/>
        </w:rPr>
      </w:pPr>
      <w:r>
        <w:rPr>
          <w:noProof/>
        </w:rPr>
        <w:t>συμβολή στη διαχείριση των αποβλήτων σε αυτούς τους τομείς.</w:t>
      </w:r>
    </w:p>
    <w:p w14:paraId="6B9025FE" w14:textId="77777777" w:rsidR="00154AD2" w:rsidRDefault="007F6BF3">
      <w:pPr>
        <w:pStyle w:val="P68B1DB1-Normal4"/>
        <w:keepNext/>
        <w:spacing w:before="40" w:after="0" w:line="259" w:lineRule="auto"/>
        <w:jc w:val="both"/>
        <w:rPr>
          <w:rFonts w:eastAsiaTheme="minorEastAsia" w:cs="Times New Roman"/>
          <w:noProof/>
        </w:rPr>
      </w:pPr>
      <w:r>
        <w:rPr>
          <w:noProof/>
        </w:rPr>
        <w:t>Τα έργα έρευνας, ανάπτυξης και καινοτομίας υποστηρίζονται με στόχο την ανάπτυξη νέων διαδικασιών παραγωγής για τη δημιουργία προϊόντων υψηλότερης προστιθέμενης αξίας που ενσωματώνουν και εκμεταλλεύονται βιολογικούς πόρους (δασική βιομάζα, γεωργικά και αγροβιομηχανικά κατάλοιπα και υποπροϊόντα), τεχνολογικές διαδικασίες για τη βελτίωση της κυκλικότητας των τομέων της κλωστοϋφαντουργίας και της ένδυσης, της υπόδησης και της επεξεργασίας ρητίνης, καθώς και για τη συμβολή στη διαχείριση των αποβλήτων στους εν λόγω τομείς. Τα έργα που επιλέγονται συμβάλλουν στη μείωση των εκπομπών αερίων του θερμοκηπίου.</w:t>
      </w:r>
    </w:p>
    <w:p w14:paraId="140E81B4" w14:textId="77777777" w:rsidR="00154AD2" w:rsidRDefault="007F6BF3">
      <w:pPr>
        <w:pStyle w:val="P68B1DB1-Normal4"/>
        <w:keepNext/>
        <w:spacing w:before="40" w:after="0" w:line="259" w:lineRule="auto"/>
        <w:jc w:val="both"/>
        <w:rPr>
          <w:rFonts w:eastAsiaTheme="minorEastAsia" w:cs="Times New Roman"/>
          <w:noProof/>
        </w:rPr>
      </w:pPr>
      <w:r>
        <w:rPr>
          <w:noProof/>
        </w:rPr>
        <w:t>Τα μέτρα αυτά συμπληρώνονται από ειδικές και πρόσθετες προσκλήσεις υποβολής προσφορών για δραστηριότητες διαχείρισης δασών και παραγωγής φυσικής ρητίνης. Περιλαμβάνει την υποστήριξη δραστηριοτήτων πρόληψης πυρκαγιών από επαγγελματίες της παραγωγής ρητίνης, την αγορά μηχανημάτων και εξοπλισμού από το Ινστιτούτο για τη Φύση και τη Διατήρηση των Δασών (ICNF), καθώς και δραστηριότητες προστασίας και αποκατάστασης των θαλάσσιων δασών. Με την προώθηση της διαχείρισης των δασικών εκτάσεων, οι επενδύσεις αυτές συμβάλλουν στην πρόληψη και τον μετριασμό των επιπτώσεων των πυρκαγιών στις αγροτικές περιοχές, συμβάλλοντας στη μείωση των εκπομπών ρύπων στην ατμόσφαιρα.</w:t>
      </w:r>
    </w:p>
    <w:p w14:paraId="0B9296C2" w14:textId="77777777" w:rsidR="00154AD2" w:rsidRDefault="007F6BF3">
      <w:pPr>
        <w:keepNext/>
        <w:spacing w:before="40" w:after="0" w:line="259" w:lineRule="auto"/>
        <w:jc w:val="both"/>
        <w:rPr>
          <w:rFonts w:ascii="Times New Roman" w:eastAsiaTheme="minorEastAsia" w:hAnsi="Times New Roman" w:cs="Times New Roman"/>
          <w:noProof/>
          <w:sz w:val="24"/>
        </w:rPr>
      </w:pPr>
      <w:r>
        <w:rPr>
          <w:rFonts w:ascii="Times New Roman" w:hAnsi="Times New Roman"/>
          <w:noProof/>
          <w:sz w:val="24"/>
        </w:rPr>
        <w:t>Αναμένεται ότι το μέτρο αυτό δεν θα βλάψει σημαντικά τους περιβαλλοντικούς στόχους κατά την έννοια του άρθρου 17 του κανονισμού (ΕΕ) 2020/852, λαμβάνοντας υπόψη την περιγραφή του μέτρου και τα μέτρα μετριασμού που προβλέπονται στο σχέδιο ανάκαμψης και ανθεκτικότητας σύμφωνα με τις τεχνικές κατευθυντήριες γραμμές του DNSH (2021/C58/01). Ειδικότερα, για τη διασφάλιση της συμμόρφωσης με τις τεχνικές κατευθυντήριες γραμμές «μη πρόκλησης σημαντικής βλάβης» (2021/C58/01), τα οχήματα, τα μηχανήματα και ο εξοπλισμός που αγοράζονται από το Ινστιτούτο για τη Διατήρηση της Φύσης και των Δασών (ICNF) είναι μηδενικών εκπομπών. Όταν δεν υπάρχουν εναλλακτικές λύσεις μηδενικών εκπομπών, τα οχήματα, τα μηχανήματα και ο εξοπλισμός που πρόκειται να αγοραστούν αντιπροσωπεύουν τα βέλτιστα διαθέσιμα επίπεδα περιβαλλοντικών επιδόσεων στον τομέα. Επιπλέον, τα κριτήρια επιλεξιμότητας που περιλαμβάνονται στους όρους αναφοράς για επικείμενες προσκλήσεις υποβολής έργων δεν περιλαμβάνουν τον ακόλουθο κατάλογο δραστηριοτήτων: I) δραστηριότητες που σχετίζονται με ορυκτά καύσιμα, συμπεριλαμβανομένης της μεταγενέστερης χρήσης</w:t>
      </w:r>
      <w:r>
        <w:rPr>
          <w:rStyle w:val="FootnoteReference"/>
          <w:rFonts w:ascii="Times New Roman" w:hAnsi="Times New Roman" w:cs="Times New Roman"/>
          <w:noProof/>
          <w:sz w:val="24"/>
        </w:rPr>
        <w:footnoteReference w:id="48"/>
      </w:r>
      <w:r>
        <w:rPr>
          <w:rFonts w:ascii="Times New Roman" w:hAnsi="Times New Roman"/>
          <w:noProof/>
          <w:sz w:val="24"/>
        </w:rPr>
        <w:t>· II) δραστηριότητες στο πλαίσιο του συστήματος εμπορίας δικαιωμάτων εκπομπής (ΣΕΔΕ) της ΕΕ που επιτυγχάνουν προβλεπόμενες εκπομπές αερίων του θερμοκηπίου που δεν είναι χαμηλότερες από τους σχετικούς δείκτες αναφοράς</w:t>
      </w:r>
      <w:r>
        <w:rPr>
          <w:rStyle w:val="FootnoteReference"/>
          <w:rFonts w:ascii="Times New Roman" w:hAnsi="Times New Roman" w:cs="Times New Roman"/>
          <w:noProof/>
          <w:sz w:val="24"/>
        </w:rPr>
        <w:footnoteReference w:id="49"/>
      </w:r>
      <w:r>
        <w:rPr>
          <w:rFonts w:ascii="Times New Roman" w:hAnsi="Times New Roman"/>
          <w:noProof/>
          <w:sz w:val="24"/>
        </w:rPr>
        <w:t>· III) δραστηριότητες που σχετίζονται με χώρους υγειονομικής ταφής αποβλήτων, αποτεφρωτήρες</w:t>
      </w:r>
      <w:r>
        <w:rPr>
          <w:rStyle w:val="FootnoteReference"/>
          <w:rFonts w:ascii="Times New Roman" w:hAnsi="Times New Roman" w:cs="Times New Roman"/>
          <w:noProof/>
          <w:sz w:val="24"/>
        </w:rPr>
        <w:footnoteReference w:id="50"/>
      </w:r>
      <w:r>
        <w:rPr>
          <w:rFonts w:ascii="Times New Roman" w:hAnsi="Times New Roman"/>
          <w:noProof/>
          <w:sz w:val="24"/>
        </w:rPr>
        <w:t xml:space="preserve"> και μονάδες μηχανικής βιολογικής επεξεργασίας</w:t>
      </w:r>
      <w:r>
        <w:rPr>
          <w:rStyle w:val="FootnoteReference"/>
          <w:rFonts w:ascii="Times New Roman" w:hAnsi="Times New Roman" w:cs="Times New Roman"/>
          <w:noProof/>
          <w:sz w:val="24"/>
        </w:rPr>
        <w:footnoteReference w:id="51"/>
      </w:r>
      <w:r>
        <w:rPr>
          <w:rFonts w:ascii="Times New Roman" w:hAnsi="Times New Roman"/>
          <w:noProof/>
          <w:sz w:val="24"/>
        </w:rPr>
        <w:t>· και iv) δραστηριότητες στις οποίες η μακροπρόθεσμη διάθεση αποβλήτων μπορεί να βλάψει το περιβάλλον. Οι όροι εντολής απαιτούν επιπλέον να επιλέγονται μόνο οι δραστηριότητες που συμμορφώνονται με τη σχετική ενωσιακή και εθνική περιβαλλοντική νομοθεσία.</w:t>
      </w:r>
    </w:p>
    <w:p w14:paraId="68DD936F" w14:textId="77777777" w:rsidR="00154AD2" w:rsidRDefault="007F6BF3">
      <w:pPr>
        <w:pStyle w:val="P68B1DB1-Normal4"/>
        <w:keepNext/>
        <w:spacing w:before="40" w:after="0" w:line="259" w:lineRule="auto"/>
        <w:jc w:val="both"/>
        <w:rPr>
          <w:rFonts w:eastAsiaTheme="minorEastAsia" w:cs="Times New Roman"/>
          <w:noProof/>
        </w:rPr>
      </w:pPr>
      <w:r>
        <w:rPr>
          <w:noProof/>
        </w:rPr>
        <w:t>Η υλοποίηση της επένδυσης θα ολοκληρωθεί έως τις 31 Δεκεμβρίου 2025.</w:t>
      </w:r>
    </w:p>
    <w:p w14:paraId="433D486B" w14:textId="2448C9F9" w:rsidR="00154AD2" w:rsidRDefault="007F6BF3">
      <w:pPr>
        <w:pStyle w:val="P68B1DB1-Normal5"/>
        <w:keepNext/>
        <w:spacing w:before="240" w:after="0" w:line="259" w:lineRule="auto"/>
        <w:ind w:left="851"/>
        <w:jc w:val="both"/>
        <w:outlineLvl w:val="2"/>
        <w:rPr>
          <w:rFonts w:eastAsiaTheme="minorEastAsia" w:cs="Times New Roman"/>
          <w:noProof/>
        </w:rPr>
      </w:pPr>
      <w:bookmarkStart w:id="27" w:name="_Toc137472461"/>
      <w:r>
        <w:rPr>
          <w:noProof/>
        </w:rPr>
        <w:t>Μεταρρύθμιση TC-C12-r39: Προώθηση της κυκλικής οικονομίας και αποτελεσματικότερη διαχείριση των αποβλήτων</w:t>
      </w:r>
      <w:bookmarkEnd w:id="27"/>
    </w:p>
    <w:p w14:paraId="210FFEF3" w14:textId="794927BC" w:rsidR="00154AD2" w:rsidRDefault="007F6BF3">
      <w:pPr>
        <w:pStyle w:val="P68B1DB1-Normal4"/>
        <w:spacing w:beforeLines="40" w:before="96" w:after="0" w:line="22" w:lineRule="atLeast"/>
        <w:jc w:val="both"/>
        <w:rPr>
          <w:rFonts w:cs="Times New Roman"/>
          <w:noProof/>
        </w:rPr>
      </w:pPr>
      <w:r>
        <w:rPr>
          <w:noProof/>
        </w:rPr>
        <w:t>Η μεταρρύθμιση αποσκοπεί στη βελτίωση της πρόληψης της δημιουργίας αποβλήτων, της προετοιμασίας για επαναχρησιμοποίηση, της ανακύκλωσης και ανάκτησης και της εκτροπής των αποβλήτων, καθώς και στην προώθηση της κυκλικής οικονομίας.</w:t>
      </w:r>
    </w:p>
    <w:p w14:paraId="7DB46E17" w14:textId="77777777" w:rsidR="00154AD2" w:rsidRDefault="007F6BF3">
      <w:pPr>
        <w:pStyle w:val="P68B1DB1-Normal4"/>
        <w:spacing w:beforeLines="40" w:before="96" w:after="0" w:line="22" w:lineRule="atLeast"/>
        <w:rPr>
          <w:rFonts w:cs="Times New Roman"/>
          <w:noProof/>
        </w:rPr>
      </w:pPr>
      <w:r>
        <w:rPr>
          <w:noProof/>
        </w:rPr>
        <w:t xml:space="preserve">Η μεταρρύθμιση: </w:t>
      </w:r>
    </w:p>
    <w:p w14:paraId="0DF062F1" w14:textId="109C99E2" w:rsidR="00154AD2" w:rsidRDefault="007F6BF3">
      <w:pPr>
        <w:pStyle w:val="ListParagraph"/>
        <w:keepNext w:val="0"/>
        <w:numPr>
          <w:ilvl w:val="0"/>
          <w:numId w:val="81"/>
        </w:numPr>
        <w:spacing w:beforeLines="40" w:before="96" w:after="0" w:line="22" w:lineRule="atLeast"/>
        <w:rPr>
          <w:noProof/>
        </w:rPr>
      </w:pPr>
      <w:r>
        <w:rPr>
          <w:noProof/>
        </w:rPr>
        <w:t>Ενθάρρυνση του περαιτέρω οικολογικού σχεδιασμού στα μεταποιημένα προϊόντα μέσω της εναρμόνισης των κριτηρίων για την οικολογική διαφοροποίηση που πρέπει να χρησιμοποιούν οι παραγωγοί. Τα κριτήρια αυτά καθίστανται υποχρεωτικά για τους φορείς διαχείρισης (ενώσεις που εκπροσωπούν παραγωγούς προϊόντων, συσκευαστές και προμηθευτές υπηρεσιών συσκευασίας) για την εφαρμογή των ολοκληρωμένων συστημάτων που καλύπτονται από τη διευρυμένη ευθύνη του παραγωγού. Τα κριτήρια διασφαλίζουν ότι τα οικονομικά μοντέλα που προβλέπονται στο άρθρο 15 παράγραφος 3 και (4) του νομοθετικού διατάγματος αριθ. 152/D/2017 αντικατοπτρίζουν τον αντίκτυπο του προϊόντος στο περιβάλλον και το πραγματικό κόστος της διαχείρισης των αποβλήτων, και δημιουργούν οικονομικά κίνητρα για πιο ανθεκτικά, επισκευάσιμα και ανακυκλώσιμα προϊόντα μέσω της διαφοροποίησης των τελών που καταβάλλουν οι παραγωγοί.</w:t>
      </w:r>
    </w:p>
    <w:p w14:paraId="5A107152" w14:textId="3322BFE2" w:rsidR="00154AD2" w:rsidRDefault="007F6BF3">
      <w:pPr>
        <w:pStyle w:val="ListParagraph"/>
        <w:keepNext w:val="0"/>
        <w:numPr>
          <w:ilvl w:val="0"/>
          <w:numId w:val="81"/>
        </w:numPr>
        <w:spacing w:beforeLines="40" w:before="96" w:after="0" w:line="22" w:lineRule="atLeast"/>
        <w:rPr>
          <w:noProof/>
        </w:rPr>
      </w:pPr>
      <w:r>
        <w:rPr>
          <w:noProof/>
        </w:rPr>
        <w:t>Θέσπιση συστήματος παροχής κινήτρων για την ανάκτηση (σύστημα εγγύησης και επιστροφής χρημάτων) για μη επαναχρησιμοποιήσιμες φιάλες από πλαστικές ύλες, σιδηρούχα μέταλλα και αλουμίνιο.</w:t>
      </w:r>
    </w:p>
    <w:p w14:paraId="43D8325A" w14:textId="4B66E22A" w:rsidR="00154AD2" w:rsidRDefault="007F6BF3">
      <w:pPr>
        <w:pStyle w:val="ListParagraph"/>
        <w:keepNext w:val="0"/>
        <w:numPr>
          <w:ilvl w:val="0"/>
          <w:numId w:val="81"/>
        </w:numPr>
        <w:spacing w:beforeLines="40" w:before="96" w:after="0" w:line="22" w:lineRule="atLeast"/>
        <w:rPr>
          <w:noProof/>
        </w:rPr>
      </w:pPr>
      <w:r>
        <w:rPr>
          <w:noProof/>
        </w:rPr>
        <w:t xml:space="preserve">Μετά από μελέτη σκοπιμότητας, καθιέρωση συστήματος κινήτρων για την επιστροφή των διαφόρων κατηγοριών αποβλήτων ηλεκτρικού και ηλεκτρονικού εξοπλισμού. </w:t>
      </w:r>
    </w:p>
    <w:p w14:paraId="58107F2F" w14:textId="6A75DFA4" w:rsidR="00154AD2" w:rsidRDefault="007F6BF3">
      <w:pPr>
        <w:pStyle w:val="P68B1DB1-Normal4"/>
        <w:spacing w:beforeLines="40" w:before="96" w:after="0" w:line="22" w:lineRule="atLeast"/>
        <w:rPr>
          <w:rFonts w:cs="Times New Roman"/>
          <w:noProof/>
        </w:rPr>
      </w:pPr>
      <w:r>
        <w:rPr>
          <w:noProof/>
        </w:rPr>
        <w:t>Η εφαρμογή της μεταρρύθμισης ολοκληρώνεται έως τις 31 Δεκεμβρίου 2025.</w:t>
      </w:r>
    </w:p>
    <w:p w14:paraId="55469554"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719F8386" w14:textId="77777777" w:rsidR="00154AD2" w:rsidRDefault="00154AD2">
      <w:pPr>
        <w:keepNext/>
        <w:spacing w:before="40" w:after="0" w:line="259" w:lineRule="auto"/>
        <w:jc w:val="both"/>
        <w:rPr>
          <w:rFonts w:ascii="Times New Roman" w:eastAsiaTheme="minorEastAsia" w:hAnsi="Times New Roman" w:cs="Times New Roman"/>
          <w:noProof/>
          <w:sz w:val="24"/>
        </w:rPr>
        <w:sectPr w:rsidR="00154AD2" w:rsidSect="00E00EDD">
          <w:headerReference w:type="even" r:id="rId246"/>
          <w:headerReference w:type="default" r:id="rId247"/>
          <w:footerReference w:type="even" r:id="rId248"/>
          <w:footerReference w:type="default" r:id="rId249"/>
          <w:headerReference w:type="first" r:id="rId250"/>
          <w:footerReference w:type="first" r:id="rId251"/>
          <w:pgSz w:w="11907" w:h="16839"/>
          <w:pgMar w:top="1134" w:right="1134" w:bottom="1134" w:left="1134" w:header="567" w:footer="567" w:gutter="0"/>
          <w:cols w:space="720"/>
          <w:docGrid w:linePitch="360"/>
        </w:sectPr>
      </w:pPr>
    </w:p>
    <w:p w14:paraId="0F85B075" w14:textId="77777777" w:rsidR="00154AD2" w:rsidRDefault="007F6BF3">
      <w:pPr>
        <w:pStyle w:val="P68B1DB1-Normal3"/>
        <w:keepNext/>
        <w:spacing w:before="40" w:after="0" w:line="259" w:lineRule="auto"/>
        <w:ind w:left="130" w:firstLine="720"/>
        <w:jc w:val="both"/>
        <w:outlineLvl w:val="1"/>
        <w:rPr>
          <w:rFonts w:eastAsiaTheme="minorEastAsia" w:cs="Times New Roman"/>
          <w:noProof/>
        </w:rPr>
      </w:pPr>
      <w:r>
        <w:rPr>
          <w:noProof/>
        </w:rPr>
        <w:t xml:space="preserve">ΙΒ.2. </w:t>
      </w:r>
      <w:r>
        <w:rPr>
          <w:noProof/>
        </w:rPr>
        <w:tab/>
        <w:t>Ορόσημα, στόχοι, δείκτες και χρονοδιάγραμμα για την παρακολούθηση και την υλοποίηση της μη επιστρεπτέας χρηματοδοτικής στήριξης</w:t>
      </w:r>
    </w:p>
    <w:p w14:paraId="16CF26E3" w14:textId="77777777" w:rsidR="00154AD2" w:rsidRDefault="00154AD2">
      <w:pPr>
        <w:keepNext/>
        <w:spacing w:before="40" w:after="0" w:line="259" w:lineRule="auto"/>
        <w:jc w:val="both"/>
        <w:rPr>
          <w:rFonts w:ascii="Times New Roman" w:eastAsiaTheme="minorEastAsia" w:hAnsi="Times New Roman" w:cs="Times New Roman"/>
          <w:noProof/>
          <w:sz w:val="24"/>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154AD2" w14:paraId="100A85E9" w14:textId="77777777">
        <w:trPr>
          <w:trHeight w:val="910"/>
          <w:tblHeader/>
        </w:trPr>
        <w:tc>
          <w:tcPr>
            <w:tcW w:w="1135" w:type="dxa"/>
            <w:vMerge w:val="restart"/>
            <w:shd w:val="clear" w:color="auto" w:fill="BDD6EE"/>
            <w:vAlign w:val="center"/>
            <w:hideMark/>
          </w:tcPr>
          <w:p w14:paraId="241396A7" w14:textId="77777777" w:rsidR="00154AD2" w:rsidRDefault="007F6BF3">
            <w:pPr>
              <w:pStyle w:val="P68B1DB1-Normal6"/>
              <w:keepNext/>
              <w:spacing w:before="40" w:after="0" w:line="240" w:lineRule="auto"/>
              <w:jc w:val="center"/>
              <w:rPr>
                <w:rFonts w:eastAsia="Times New Roman" w:cs="Times New Roman"/>
                <w:noProof/>
              </w:rPr>
            </w:pPr>
            <w:r>
              <w:rPr>
                <w:noProof/>
              </w:rPr>
              <w:t>Αύξων αριθμός</w:t>
            </w:r>
          </w:p>
        </w:tc>
        <w:tc>
          <w:tcPr>
            <w:tcW w:w="1276" w:type="dxa"/>
            <w:vMerge w:val="restart"/>
            <w:shd w:val="clear" w:color="auto" w:fill="BDD6EE"/>
            <w:vAlign w:val="center"/>
            <w:hideMark/>
          </w:tcPr>
          <w:p w14:paraId="1E874363" w14:textId="77777777" w:rsidR="00154AD2" w:rsidRDefault="007F6BF3">
            <w:pPr>
              <w:pStyle w:val="P68B1DB1-Normal6"/>
              <w:keepNext/>
              <w:spacing w:before="40" w:after="0" w:line="240" w:lineRule="auto"/>
              <w:jc w:val="center"/>
              <w:rPr>
                <w:rFonts w:eastAsia="Times New Roman" w:cs="Times New Roman"/>
                <w:noProof/>
              </w:rPr>
            </w:pPr>
            <w:r>
              <w:rPr>
                <w:noProof/>
              </w:rPr>
              <w:t>Μέτρο (Μεταρρύθμιση ή Επενδύσεις)</w:t>
            </w:r>
          </w:p>
        </w:tc>
        <w:tc>
          <w:tcPr>
            <w:tcW w:w="1134" w:type="dxa"/>
            <w:vMerge w:val="restart"/>
            <w:shd w:val="clear" w:color="auto" w:fill="BDD6EE"/>
            <w:vAlign w:val="center"/>
            <w:hideMark/>
          </w:tcPr>
          <w:p w14:paraId="4630E1B7" w14:textId="031A1B2C" w:rsidR="00154AD2" w:rsidRDefault="007F6BF3">
            <w:pPr>
              <w:pStyle w:val="P68B1DB1-Normal6"/>
              <w:keepNext/>
              <w:spacing w:before="40" w:after="0" w:line="240" w:lineRule="auto"/>
              <w:jc w:val="center"/>
              <w:rPr>
                <w:rFonts w:eastAsia="Times New Roman" w:cs="Times New Roman"/>
                <w:noProof/>
              </w:rPr>
            </w:pPr>
            <w:r>
              <w:rPr>
                <w:noProof/>
              </w:rPr>
              <w:t>Milestone — Στόχος</w:t>
            </w:r>
          </w:p>
        </w:tc>
        <w:tc>
          <w:tcPr>
            <w:tcW w:w="1701" w:type="dxa"/>
            <w:vMerge w:val="restart"/>
            <w:shd w:val="clear" w:color="auto" w:fill="BDD6EE"/>
            <w:vAlign w:val="center"/>
            <w:hideMark/>
          </w:tcPr>
          <w:p w14:paraId="5C4FFE86" w14:textId="77777777" w:rsidR="00154AD2" w:rsidRDefault="007F6BF3">
            <w:pPr>
              <w:pStyle w:val="P68B1DB1-Normal6"/>
              <w:keepNext/>
              <w:spacing w:before="40" w:after="0" w:line="240" w:lineRule="auto"/>
              <w:jc w:val="center"/>
              <w:rPr>
                <w:rFonts w:eastAsia="Times New Roman" w:cs="Times New Roman"/>
                <w:noProof/>
              </w:rPr>
            </w:pPr>
            <w:r>
              <w:rPr>
                <w:noProof/>
              </w:rPr>
              <w:t>Όνομα</w:t>
            </w:r>
          </w:p>
        </w:tc>
        <w:tc>
          <w:tcPr>
            <w:tcW w:w="1275" w:type="dxa"/>
            <w:vMerge w:val="restart"/>
            <w:shd w:val="clear" w:color="auto" w:fill="BDD6EE"/>
            <w:vAlign w:val="center"/>
            <w:hideMark/>
          </w:tcPr>
          <w:p w14:paraId="03E43ABE" w14:textId="77777777" w:rsidR="00154AD2" w:rsidRDefault="007F6BF3">
            <w:pPr>
              <w:pStyle w:val="P68B1DB1-Normal6"/>
              <w:keepNext/>
              <w:spacing w:before="40" w:after="0" w:line="240" w:lineRule="auto"/>
              <w:jc w:val="center"/>
              <w:rPr>
                <w:rFonts w:eastAsia="Times New Roman" w:cs="Times New Roman"/>
                <w:noProof/>
              </w:rPr>
            </w:pPr>
            <w:r>
              <w:rPr>
                <w:noProof/>
              </w:rPr>
              <w:t>Ποιοτικοί δείκτες (για τα ορόσημα)</w:t>
            </w:r>
          </w:p>
        </w:tc>
        <w:tc>
          <w:tcPr>
            <w:tcW w:w="2694" w:type="dxa"/>
            <w:gridSpan w:val="3"/>
            <w:shd w:val="clear" w:color="auto" w:fill="BDD6EE"/>
            <w:vAlign w:val="center"/>
            <w:hideMark/>
          </w:tcPr>
          <w:p w14:paraId="65AE3941" w14:textId="77777777" w:rsidR="00154AD2" w:rsidRDefault="007F6BF3">
            <w:pPr>
              <w:pStyle w:val="P68B1DB1-Normal6"/>
              <w:keepNext/>
              <w:spacing w:before="40" w:after="0" w:line="240" w:lineRule="auto"/>
              <w:jc w:val="center"/>
              <w:rPr>
                <w:rFonts w:eastAsia="Times New Roman" w:cs="Times New Roman"/>
                <w:noProof/>
              </w:rPr>
            </w:pPr>
            <w:r>
              <w:rPr>
                <w:noProof/>
              </w:rPr>
              <w:t>Ποσοτικοί δείκτες (για τους στόχους)</w:t>
            </w:r>
          </w:p>
        </w:tc>
        <w:tc>
          <w:tcPr>
            <w:tcW w:w="1275" w:type="dxa"/>
            <w:gridSpan w:val="2"/>
            <w:shd w:val="clear" w:color="auto" w:fill="BDD6EE"/>
            <w:vAlign w:val="center"/>
            <w:hideMark/>
          </w:tcPr>
          <w:p w14:paraId="67D74F39" w14:textId="77777777" w:rsidR="00154AD2" w:rsidRDefault="007F6BF3">
            <w:pPr>
              <w:pStyle w:val="P68B1DB1-Normal6"/>
              <w:keepNext/>
              <w:spacing w:before="40" w:after="0" w:line="240" w:lineRule="auto"/>
              <w:jc w:val="center"/>
              <w:rPr>
                <w:rFonts w:eastAsia="Times New Roman" w:cs="Times New Roman"/>
                <w:noProof/>
              </w:rPr>
            </w:pPr>
            <w:r>
              <w:rPr>
                <w:noProof/>
              </w:rPr>
              <w:t>Ενδεικτικό χρονοδιάγραμμα ολοκλήρωσης</w:t>
            </w:r>
          </w:p>
        </w:tc>
        <w:tc>
          <w:tcPr>
            <w:tcW w:w="3969" w:type="dxa"/>
            <w:vMerge w:val="restart"/>
            <w:shd w:val="clear" w:color="auto" w:fill="BDD6EE"/>
            <w:vAlign w:val="center"/>
            <w:hideMark/>
          </w:tcPr>
          <w:p w14:paraId="4A072B07" w14:textId="77777777" w:rsidR="00154AD2" w:rsidRDefault="007F6BF3">
            <w:pPr>
              <w:pStyle w:val="P68B1DB1-Normal6"/>
              <w:keepNext/>
              <w:spacing w:before="40" w:after="0" w:line="240" w:lineRule="auto"/>
              <w:jc w:val="center"/>
              <w:rPr>
                <w:rFonts w:eastAsia="Times New Roman" w:cs="Times New Roman"/>
                <w:noProof/>
              </w:rPr>
            </w:pPr>
            <w:r>
              <w:rPr>
                <w:noProof/>
              </w:rPr>
              <w:t>Περιγραφή και σαφής ορισμός κάθε ορόσημου και στόχου</w:t>
            </w:r>
          </w:p>
        </w:tc>
      </w:tr>
      <w:tr w:rsidR="00154AD2" w14:paraId="3776A702" w14:textId="77777777">
        <w:trPr>
          <w:trHeight w:val="470"/>
          <w:tblHeader/>
        </w:trPr>
        <w:tc>
          <w:tcPr>
            <w:tcW w:w="1135" w:type="dxa"/>
            <w:vMerge/>
            <w:vAlign w:val="center"/>
            <w:hideMark/>
          </w:tcPr>
          <w:p w14:paraId="7EBFF15D" w14:textId="77777777" w:rsidR="00154AD2" w:rsidRDefault="00154AD2">
            <w:pPr>
              <w:keepNext/>
              <w:spacing w:before="40" w:after="0" w:line="240" w:lineRule="auto"/>
              <w:jc w:val="both"/>
              <w:rPr>
                <w:rFonts w:ascii="Times New Roman" w:eastAsia="Times New Roman" w:hAnsi="Times New Roman" w:cs="Times New Roman"/>
                <w:b/>
                <w:noProof/>
                <w:sz w:val="18"/>
              </w:rPr>
            </w:pPr>
          </w:p>
        </w:tc>
        <w:tc>
          <w:tcPr>
            <w:tcW w:w="1276" w:type="dxa"/>
            <w:vMerge/>
            <w:vAlign w:val="center"/>
            <w:hideMark/>
          </w:tcPr>
          <w:p w14:paraId="249B860E" w14:textId="77777777" w:rsidR="00154AD2" w:rsidRDefault="00154AD2">
            <w:pPr>
              <w:keepNext/>
              <w:spacing w:before="40" w:after="0" w:line="240" w:lineRule="auto"/>
              <w:jc w:val="both"/>
              <w:rPr>
                <w:rFonts w:ascii="Times New Roman" w:eastAsia="Times New Roman" w:hAnsi="Times New Roman" w:cs="Times New Roman"/>
                <w:b/>
                <w:noProof/>
                <w:sz w:val="18"/>
              </w:rPr>
            </w:pPr>
          </w:p>
        </w:tc>
        <w:tc>
          <w:tcPr>
            <w:tcW w:w="1134" w:type="dxa"/>
            <w:vMerge/>
            <w:shd w:val="clear" w:color="auto" w:fill="BDD6EE"/>
            <w:vAlign w:val="center"/>
            <w:hideMark/>
          </w:tcPr>
          <w:p w14:paraId="7D7297EE" w14:textId="160E856C" w:rsidR="00154AD2" w:rsidRDefault="00154AD2">
            <w:pPr>
              <w:keepNext/>
              <w:spacing w:before="40" w:after="0" w:line="240" w:lineRule="auto"/>
              <w:jc w:val="center"/>
              <w:rPr>
                <w:rFonts w:ascii="Times New Roman" w:eastAsia="Times New Roman" w:hAnsi="Times New Roman" w:cs="Times New Roman"/>
                <w:b/>
                <w:noProof/>
                <w:sz w:val="14"/>
              </w:rPr>
            </w:pPr>
          </w:p>
        </w:tc>
        <w:tc>
          <w:tcPr>
            <w:tcW w:w="1701" w:type="dxa"/>
            <w:vMerge/>
            <w:vAlign w:val="center"/>
            <w:hideMark/>
          </w:tcPr>
          <w:p w14:paraId="303B854A" w14:textId="77777777" w:rsidR="00154AD2" w:rsidRDefault="00154AD2">
            <w:pPr>
              <w:keepNext/>
              <w:spacing w:before="40" w:after="0" w:line="240" w:lineRule="auto"/>
              <w:jc w:val="both"/>
              <w:rPr>
                <w:rFonts w:ascii="Times New Roman" w:eastAsia="Times New Roman" w:hAnsi="Times New Roman" w:cs="Times New Roman"/>
                <w:b/>
                <w:noProof/>
                <w:sz w:val="18"/>
              </w:rPr>
            </w:pPr>
          </w:p>
        </w:tc>
        <w:tc>
          <w:tcPr>
            <w:tcW w:w="1275" w:type="dxa"/>
            <w:vMerge/>
            <w:vAlign w:val="center"/>
            <w:hideMark/>
          </w:tcPr>
          <w:p w14:paraId="76753D39" w14:textId="77777777" w:rsidR="00154AD2" w:rsidRDefault="00154AD2">
            <w:pPr>
              <w:keepNext/>
              <w:spacing w:before="40" w:after="0" w:line="240" w:lineRule="auto"/>
              <w:jc w:val="both"/>
              <w:rPr>
                <w:rFonts w:ascii="Times New Roman" w:eastAsia="Times New Roman" w:hAnsi="Times New Roman" w:cs="Times New Roman"/>
                <w:b/>
                <w:noProof/>
                <w:sz w:val="18"/>
              </w:rPr>
            </w:pPr>
          </w:p>
        </w:tc>
        <w:tc>
          <w:tcPr>
            <w:tcW w:w="993" w:type="dxa"/>
            <w:shd w:val="clear" w:color="auto" w:fill="BDD6EE"/>
            <w:vAlign w:val="center"/>
            <w:hideMark/>
          </w:tcPr>
          <w:p w14:paraId="0ABAAFA4" w14:textId="77777777" w:rsidR="00154AD2" w:rsidRDefault="007F6BF3">
            <w:pPr>
              <w:pStyle w:val="P68B1DB1-Normal6"/>
              <w:keepNext/>
              <w:spacing w:before="40" w:after="0" w:line="240" w:lineRule="auto"/>
              <w:jc w:val="center"/>
              <w:rPr>
                <w:rFonts w:eastAsia="Times New Roman" w:cs="Times New Roman"/>
                <w:noProof/>
              </w:rPr>
            </w:pPr>
            <w:r>
              <w:rPr>
                <w:noProof/>
              </w:rPr>
              <w:t>Μονάδα μέτρησης</w:t>
            </w:r>
          </w:p>
        </w:tc>
        <w:tc>
          <w:tcPr>
            <w:tcW w:w="992" w:type="dxa"/>
            <w:shd w:val="clear" w:color="auto" w:fill="BDD6EE"/>
            <w:vAlign w:val="center"/>
            <w:hideMark/>
          </w:tcPr>
          <w:p w14:paraId="36F0EAD7" w14:textId="77777777" w:rsidR="00154AD2" w:rsidRDefault="007F6BF3">
            <w:pPr>
              <w:pStyle w:val="P68B1DB1-Normal6"/>
              <w:keepNext/>
              <w:spacing w:before="40" w:after="0" w:line="240" w:lineRule="auto"/>
              <w:jc w:val="center"/>
              <w:rPr>
                <w:rFonts w:eastAsia="Times New Roman" w:cs="Times New Roman"/>
                <w:noProof/>
              </w:rPr>
            </w:pPr>
            <w:r>
              <w:rPr>
                <w:noProof/>
              </w:rPr>
              <w:t>Γραμμή βάσης</w:t>
            </w:r>
          </w:p>
        </w:tc>
        <w:tc>
          <w:tcPr>
            <w:tcW w:w="709" w:type="dxa"/>
            <w:shd w:val="clear" w:color="auto" w:fill="BDD6EE"/>
            <w:vAlign w:val="center"/>
            <w:hideMark/>
          </w:tcPr>
          <w:p w14:paraId="536DFFCA" w14:textId="77777777" w:rsidR="00154AD2" w:rsidRDefault="007F6BF3">
            <w:pPr>
              <w:pStyle w:val="P68B1DB1-Normal6"/>
              <w:keepNext/>
              <w:spacing w:before="40" w:after="0" w:line="240" w:lineRule="auto"/>
              <w:jc w:val="center"/>
              <w:rPr>
                <w:rFonts w:eastAsia="Times New Roman" w:cs="Times New Roman"/>
                <w:noProof/>
              </w:rPr>
            </w:pPr>
            <w:r>
              <w:rPr>
                <w:noProof/>
              </w:rPr>
              <w:t>Στόχοι</w:t>
            </w:r>
          </w:p>
        </w:tc>
        <w:tc>
          <w:tcPr>
            <w:tcW w:w="567" w:type="dxa"/>
            <w:shd w:val="clear" w:color="auto" w:fill="BDD6EE"/>
            <w:vAlign w:val="center"/>
            <w:hideMark/>
          </w:tcPr>
          <w:p w14:paraId="3DFABF60" w14:textId="77777777" w:rsidR="00154AD2" w:rsidRDefault="007F6BF3">
            <w:pPr>
              <w:pStyle w:val="P68B1DB1-Normal6"/>
              <w:keepNext/>
              <w:spacing w:before="40" w:after="0" w:line="240" w:lineRule="auto"/>
              <w:jc w:val="center"/>
              <w:rPr>
                <w:rFonts w:eastAsia="Times New Roman" w:cs="Times New Roman"/>
                <w:noProof/>
              </w:rPr>
            </w:pPr>
            <w:r>
              <w:rPr>
                <w:noProof/>
              </w:rPr>
              <w:t>Ε</w:t>
            </w:r>
          </w:p>
        </w:tc>
        <w:tc>
          <w:tcPr>
            <w:tcW w:w="708" w:type="dxa"/>
            <w:shd w:val="clear" w:color="auto" w:fill="BDD6EE"/>
            <w:vAlign w:val="center"/>
            <w:hideMark/>
          </w:tcPr>
          <w:p w14:paraId="578C9B4B" w14:textId="77777777" w:rsidR="00154AD2" w:rsidRDefault="007F6BF3">
            <w:pPr>
              <w:pStyle w:val="P68B1DB1-Normal6"/>
              <w:keepNext/>
              <w:spacing w:before="40" w:after="0" w:line="240" w:lineRule="auto"/>
              <w:jc w:val="center"/>
              <w:rPr>
                <w:rFonts w:eastAsia="Times New Roman" w:cs="Times New Roman"/>
                <w:noProof/>
              </w:rPr>
            </w:pPr>
            <w:r>
              <w:rPr>
                <w:noProof/>
              </w:rPr>
              <w:t>Έτος</w:t>
            </w:r>
          </w:p>
        </w:tc>
        <w:tc>
          <w:tcPr>
            <w:tcW w:w="3969" w:type="dxa"/>
            <w:vMerge/>
            <w:vAlign w:val="center"/>
            <w:hideMark/>
          </w:tcPr>
          <w:p w14:paraId="482E68C8" w14:textId="77777777" w:rsidR="00154AD2" w:rsidRDefault="00154AD2">
            <w:pPr>
              <w:keepNext/>
              <w:spacing w:before="40" w:after="0" w:line="240" w:lineRule="auto"/>
              <w:jc w:val="both"/>
              <w:rPr>
                <w:rFonts w:ascii="Times New Roman" w:eastAsia="Times New Roman" w:hAnsi="Times New Roman" w:cs="Times New Roman"/>
                <w:b/>
                <w:noProof/>
                <w:sz w:val="18"/>
              </w:rPr>
            </w:pPr>
          </w:p>
        </w:tc>
      </w:tr>
      <w:tr w:rsidR="00154AD2" w14:paraId="635E01FA" w14:textId="77777777">
        <w:trPr>
          <w:trHeight w:val="509"/>
        </w:trPr>
        <w:tc>
          <w:tcPr>
            <w:tcW w:w="1135" w:type="dxa"/>
            <w:vMerge w:val="restart"/>
            <w:shd w:val="clear" w:color="auto" w:fill="C4EFCE"/>
            <w:vAlign w:val="center"/>
            <w:hideMark/>
          </w:tcPr>
          <w:p w14:paraId="5DF1D636" w14:textId="77777777" w:rsidR="00154AD2" w:rsidRDefault="007F6BF3">
            <w:pPr>
              <w:pStyle w:val="P68B1DB1-Normal7"/>
              <w:keepNext/>
              <w:spacing w:before="40" w:after="0" w:line="240" w:lineRule="auto"/>
              <w:jc w:val="center"/>
              <w:rPr>
                <w:rFonts w:eastAsia="Times New Roman" w:cs="Calibri"/>
                <w:noProof/>
              </w:rPr>
            </w:pPr>
            <w:r>
              <w:rPr>
                <w:noProof/>
              </w:rPr>
              <w:t>12.1</w:t>
            </w:r>
          </w:p>
        </w:tc>
        <w:tc>
          <w:tcPr>
            <w:tcW w:w="1276" w:type="dxa"/>
            <w:vMerge w:val="restart"/>
            <w:shd w:val="clear" w:color="auto" w:fill="C4EFCE"/>
            <w:noWrap/>
            <w:vAlign w:val="center"/>
            <w:hideMark/>
          </w:tcPr>
          <w:p w14:paraId="21B3B155" w14:textId="77777777" w:rsidR="00154AD2" w:rsidRDefault="007F6BF3">
            <w:pPr>
              <w:pStyle w:val="P68B1DB1-Normal8"/>
              <w:keepNext/>
              <w:spacing w:before="40" w:after="0" w:line="240" w:lineRule="auto"/>
              <w:jc w:val="center"/>
              <w:rPr>
                <w:rFonts w:eastAsia="Times New Roman" w:cs="Calibri"/>
                <w:noProof/>
              </w:rPr>
            </w:pPr>
            <w:r>
              <w:rPr>
                <w:noProof/>
              </w:rPr>
              <w:t>TC-C12-I01</w:t>
            </w:r>
          </w:p>
        </w:tc>
        <w:tc>
          <w:tcPr>
            <w:tcW w:w="1134" w:type="dxa"/>
            <w:vMerge w:val="restart"/>
            <w:shd w:val="clear" w:color="auto" w:fill="C4EFCE"/>
            <w:noWrap/>
            <w:vAlign w:val="center"/>
            <w:hideMark/>
          </w:tcPr>
          <w:p w14:paraId="05A6C9F2" w14:textId="77777777" w:rsidR="00154AD2" w:rsidRDefault="007F6BF3">
            <w:pPr>
              <w:pStyle w:val="P68B1DB1-Normal8"/>
              <w:keepNext/>
              <w:spacing w:before="40" w:after="0" w:line="240" w:lineRule="auto"/>
              <w:jc w:val="center"/>
              <w:rPr>
                <w:rFonts w:eastAsia="Times New Roman" w:cs="Calibri"/>
                <w:noProof/>
              </w:rPr>
            </w:pPr>
            <w:r>
              <w:rPr>
                <w:noProof/>
              </w:rPr>
              <w:t>M</w:t>
            </w:r>
          </w:p>
        </w:tc>
        <w:tc>
          <w:tcPr>
            <w:tcW w:w="1701" w:type="dxa"/>
            <w:vMerge w:val="restart"/>
            <w:shd w:val="clear" w:color="auto" w:fill="C4EFCE"/>
            <w:noWrap/>
            <w:vAlign w:val="center"/>
            <w:hideMark/>
          </w:tcPr>
          <w:p w14:paraId="6A9E0800" w14:textId="77777777" w:rsidR="00154AD2" w:rsidRDefault="007F6BF3">
            <w:pPr>
              <w:pStyle w:val="P68B1DB1-Normal8"/>
              <w:keepNext/>
              <w:spacing w:before="40" w:after="0" w:line="240" w:lineRule="auto"/>
              <w:jc w:val="center"/>
              <w:rPr>
                <w:rFonts w:eastAsia="Times New Roman" w:cs="Calibri"/>
                <w:noProof/>
              </w:rPr>
            </w:pPr>
            <w:r>
              <w:rPr>
                <w:noProof/>
              </w:rPr>
              <w:t xml:space="preserve">Υπογραφή του πρωτοκόλλου του 2021 του προγράμματος «Resineiros Vigilantes» </w:t>
            </w:r>
          </w:p>
        </w:tc>
        <w:tc>
          <w:tcPr>
            <w:tcW w:w="1275" w:type="dxa"/>
            <w:vMerge w:val="restart"/>
            <w:shd w:val="clear" w:color="auto" w:fill="C4EFCE"/>
            <w:noWrap/>
            <w:vAlign w:val="center"/>
            <w:hideMark/>
          </w:tcPr>
          <w:p w14:paraId="4BA5E5F4" w14:textId="77777777" w:rsidR="00154AD2" w:rsidRDefault="007F6BF3">
            <w:pPr>
              <w:pStyle w:val="P68B1DB1-Normal8"/>
              <w:keepNext/>
              <w:spacing w:before="40" w:after="0" w:line="240" w:lineRule="auto"/>
              <w:jc w:val="center"/>
              <w:rPr>
                <w:rFonts w:eastAsia="Times New Roman" w:cs="Calibri"/>
                <w:noProof/>
              </w:rPr>
            </w:pPr>
            <w:r>
              <w:rPr>
                <w:noProof/>
              </w:rPr>
              <w:t xml:space="preserve"> Υπογραφή του πρωτοκόλλου του 2021 του προγράμματος «Resineiros Vigilantes»</w:t>
            </w:r>
          </w:p>
        </w:tc>
        <w:tc>
          <w:tcPr>
            <w:tcW w:w="993" w:type="dxa"/>
            <w:vMerge w:val="restart"/>
            <w:shd w:val="clear" w:color="auto" w:fill="C4EFCE"/>
            <w:noWrap/>
            <w:vAlign w:val="center"/>
            <w:hideMark/>
          </w:tcPr>
          <w:p w14:paraId="3673A871" w14:textId="77777777" w:rsidR="00154AD2" w:rsidRDefault="007F6BF3">
            <w:pPr>
              <w:pStyle w:val="P68B1DB1-Normal8"/>
              <w:keepNext/>
              <w:spacing w:before="40" w:after="0" w:line="240" w:lineRule="auto"/>
              <w:jc w:val="center"/>
              <w:rPr>
                <w:rFonts w:eastAsia="Times New Roman" w:cs="Calibri"/>
                <w:noProof/>
              </w:rPr>
            </w:pPr>
            <w:r>
              <w:rPr>
                <w:noProof/>
              </w:rPr>
              <w:t> </w:t>
            </w:r>
          </w:p>
        </w:tc>
        <w:tc>
          <w:tcPr>
            <w:tcW w:w="992" w:type="dxa"/>
            <w:vMerge w:val="restart"/>
            <w:shd w:val="clear" w:color="auto" w:fill="C4EFCE"/>
            <w:noWrap/>
            <w:vAlign w:val="center"/>
            <w:hideMark/>
          </w:tcPr>
          <w:p w14:paraId="0E11D8FC" w14:textId="77777777" w:rsidR="00154AD2" w:rsidRDefault="007F6BF3">
            <w:pPr>
              <w:pStyle w:val="P68B1DB1-Normal8"/>
              <w:keepNext/>
              <w:spacing w:before="40" w:after="0" w:line="240" w:lineRule="auto"/>
              <w:jc w:val="center"/>
              <w:rPr>
                <w:rFonts w:eastAsia="Times New Roman" w:cs="Calibri"/>
                <w:noProof/>
              </w:rPr>
            </w:pPr>
            <w:r>
              <w:rPr>
                <w:noProof/>
              </w:rPr>
              <w:t> </w:t>
            </w:r>
          </w:p>
        </w:tc>
        <w:tc>
          <w:tcPr>
            <w:tcW w:w="709" w:type="dxa"/>
            <w:vMerge w:val="restart"/>
            <w:shd w:val="clear" w:color="auto" w:fill="C4EFCE"/>
            <w:noWrap/>
            <w:vAlign w:val="center"/>
            <w:hideMark/>
          </w:tcPr>
          <w:p w14:paraId="5DBDFE88" w14:textId="77777777" w:rsidR="00154AD2" w:rsidRDefault="007F6BF3">
            <w:pPr>
              <w:pStyle w:val="P68B1DB1-Normal8"/>
              <w:keepNext/>
              <w:spacing w:before="40" w:after="0" w:line="240" w:lineRule="auto"/>
              <w:jc w:val="center"/>
              <w:rPr>
                <w:rFonts w:eastAsia="Times New Roman" w:cs="Calibri"/>
                <w:noProof/>
              </w:rPr>
            </w:pPr>
            <w:r>
              <w:rPr>
                <w:noProof/>
              </w:rPr>
              <w:t> </w:t>
            </w:r>
          </w:p>
        </w:tc>
        <w:tc>
          <w:tcPr>
            <w:tcW w:w="567" w:type="dxa"/>
            <w:vMerge w:val="restart"/>
            <w:shd w:val="clear" w:color="auto" w:fill="C4EFCE"/>
            <w:noWrap/>
            <w:vAlign w:val="center"/>
            <w:hideMark/>
          </w:tcPr>
          <w:p w14:paraId="5CDA9014" w14:textId="77777777" w:rsidR="00154AD2" w:rsidRDefault="007F6BF3">
            <w:pPr>
              <w:pStyle w:val="P68B1DB1-Normal8"/>
              <w:keepNext/>
              <w:spacing w:before="40" w:after="0" w:line="240" w:lineRule="auto"/>
              <w:jc w:val="center"/>
              <w:rPr>
                <w:rFonts w:eastAsia="Times New Roman" w:cs="Calibri"/>
                <w:noProof/>
              </w:rPr>
            </w:pPr>
            <w:r>
              <w:rPr>
                <w:noProof/>
              </w:rPr>
              <w:t>ΤΡΊΜΗΝΟ 3</w:t>
            </w:r>
          </w:p>
        </w:tc>
        <w:tc>
          <w:tcPr>
            <w:tcW w:w="708" w:type="dxa"/>
            <w:vMerge w:val="restart"/>
            <w:shd w:val="clear" w:color="auto" w:fill="C4EFCE"/>
            <w:noWrap/>
            <w:vAlign w:val="center"/>
            <w:hideMark/>
          </w:tcPr>
          <w:p w14:paraId="47D645F4" w14:textId="77777777" w:rsidR="00154AD2" w:rsidRDefault="007F6BF3">
            <w:pPr>
              <w:pStyle w:val="P68B1DB1-Normal8"/>
              <w:keepNext/>
              <w:spacing w:before="40" w:after="0" w:line="240" w:lineRule="auto"/>
              <w:jc w:val="center"/>
              <w:rPr>
                <w:rFonts w:eastAsia="Times New Roman" w:cs="Calibri"/>
                <w:noProof/>
              </w:rPr>
            </w:pPr>
            <w:r>
              <w:rPr>
                <w:noProof/>
              </w:rPr>
              <w:t>2021</w:t>
            </w:r>
          </w:p>
        </w:tc>
        <w:tc>
          <w:tcPr>
            <w:tcW w:w="3969" w:type="dxa"/>
            <w:vMerge w:val="restart"/>
            <w:shd w:val="clear" w:color="auto" w:fill="C4EFCE"/>
            <w:vAlign w:val="center"/>
            <w:hideMark/>
          </w:tcPr>
          <w:p w14:paraId="024670B2" w14:textId="77777777" w:rsidR="00154AD2" w:rsidRDefault="007F6BF3">
            <w:pPr>
              <w:pStyle w:val="P68B1DB1-Normal8"/>
              <w:keepNext/>
              <w:spacing w:before="40" w:after="0" w:line="240" w:lineRule="auto"/>
              <w:jc w:val="both"/>
              <w:rPr>
                <w:rFonts w:eastAsia="Times New Roman" w:cs="Calibri"/>
                <w:noProof/>
              </w:rPr>
            </w:pPr>
            <w:r>
              <w:rPr>
                <w:noProof/>
              </w:rPr>
              <w:t>Σύναψη πρωτοκόλλου μεταξύ του Ινστιτούτου Προστασίας της Φύσης και των Δασών, I.P. και της Εθνικής Επαγγελματικής Ένωσης Παραγωγών ρητίνης (Resipinus) για την επιτήρηση και τον εντοπισμό των πυρκαγιών στις αγροτικές περιοχές.</w:t>
            </w:r>
          </w:p>
        </w:tc>
      </w:tr>
      <w:tr w:rsidR="00154AD2" w14:paraId="5DB127A4" w14:textId="77777777">
        <w:trPr>
          <w:trHeight w:val="509"/>
        </w:trPr>
        <w:tc>
          <w:tcPr>
            <w:tcW w:w="1135" w:type="dxa"/>
            <w:vMerge/>
            <w:vAlign w:val="center"/>
            <w:hideMark/>
          </w:tcPr>
          <w:p w14:paraId="287EBF32" w14:textId="77777777" w:rsidR="00154AD2" w:rsidRDefault="00154AD2">
            <w:pPr>
              <w:keepNext/>
              <w:spacing w:before="40" w:after="0" w:line="240" w:lineRule="auto"/>
              <w:jc w:val="both"/>
              <w:rPr>
                <w:rFonts w:ascii="Calibri" w:eastAsia="Times New Roman" w:hAnsi="Calibri" w:cs="Calibri"/>
                <w:b/>
                <w:noProof/>
                <w:sz w:val="16"/>
              </w:rPr>
            </w:pPr>
          </w:p>
        </w:tc>
        <w:tc>
          <w:tcPr>
            <w:tcW w:w="1276" w:type="dxa"/>
            <w:vMerge/>
            <w:vAlign w:val="center"/>
            <w:hideMark/>
          </w:tcPr>
          <w:p w14:paraId="2179B6CF" w14:textId="77777777" w:rsidR="00154AD2" w:rsidRDefault="00154AD2">
            <w:pPr>
              <w:keepNext/>
              <w:spacing w:before="40" w:after="0" w:line="240" w:lineRule="auto"/>
              <w:jc w:val="both"/>
              <w:rPr>
                <w:rFonts w:ascii="Calibri" w:eastAsia="Times New Roman" w:hAnsi="Calibri" w:cs="Calibri"/>
                <w:noProof/>
                <w:sz w:val="16"/>
              </w:rPr>
            </w:pPr>
          </w:p>
        </w:tc>
        <w:tc>
          <w:tcPr>
            <w:tcW w:w="1134" w:type="dxa"/>
            <w:vMerge/>
            <w:vAlign w:val="center"/>
            <w:hideMark/>
          </w:tcPr>
          <w:p w14:paraId="5566EE47" w14:textId="77777777" w:rsidR="00154AD2" w:rsidRDefault="00154AD2">
            <w:pPr>
              <w:keepNext/>
              <w:spacing w:before="40" w:after="0" w:line="240" w:lineRule="auto"/>
              <w:jc w:val="both"/>
              <w:rPr>
                <w:rFonts w:ascii="Calibri" w:eastAsia="Times New Roman" w:hAnsi="Calibri" w:cs="Calibri"/>
                <w:noProof/>
                <w:sz w:val="16"/>
              </w:rPr>
            </w:pPr>
          </w:p>
        </w:tc>
        <w:tc>
          <w:tcPr>
            <w:tcW w:w="1701" w:type="dxa"/>
            <w:vMerge/>
            <w:vAlign w:val="center"/>
            <w:hideMark/>
          </w:tcPr>
          <w:p w14:paraId="68CFF3C8" w14:textId="77777777" w:rsidR="00154AD2" w:rsidRDefault="00154AD2">
            <w:pPr>
              <w:keepNext/>
              <w:spacing w:before="40" w:after="0" w:line="240" w:lineRule="auto"/>
              <w:jc w:val="both"/>
              <w:rPr>
                <w:rFonts w:ascii="Calibri" w:eastAsia="Times New Roman" w:hAnsi="Calibri" w:cs="Calibri"/>
                <w:noProof/>
                <w:sz w:val="16"/>
              </w:rPr>
            </w:pPr>
          </w:p>
        </w:tc>
        <w:tc>
          <w:tcPr>
            <w:tcW w:w="1275" w:type="dxa"/>
            <w:vMerge/>
            <w:vAlign w:val="center"/>
            <w:hideMark/>
          </w:tcPr>
          <w:p w14:paraId="0CC81F45" w14:textId="77777777" w:rsidR="00154AD2" w:rsidRDefault="00154AD2">
            <w:pPr>
              <w:keepNext/>
              <w:spacing w:before="40" w:after="0" w:line="240" w:lineRule="auto"/>
              <w:jc w:val="both"/>
              <w:rPr>
                <w:rFonts w:ascii="Calibri" w:eastAsia="Times New Roman" w:hAnsi="Calibri" w:cs="Calibri"/>
                <w:noProof/>
                <w:sz w:val="16"/>
              </w:rPr>
            </w:pPr>
          </w:p>
        </w:tc>
        <w:tc>
          <w:tcPr>
            <w:tcW w:w="993" w:type="dxa"/>
            <w:vMerge/>
            <w:vAlign w:val="center"/>
            <w:hideMark/>
          </w:tcPr>
          <w:p w14:paraId="746444D9" w14:textId="77777777" w:rsidR="00154AD2" w:rsidRDefault="00154AD2">
            <w:pPr>
              <w:keepNext/>
              <w:spacing w:before="40" w:after="0" w:line="240" w:lineRule="auto"/>
              <w:jc w:val="both"/>
              <w:rPr>
                <w:rFonts w:ascii="Calibri" w:eastAsia="Times New Roman" w:hAnsi="Calibri" w:cs="Calibri"/>
                <w:noProof/>
                <w:sz w:val="16"/>
              </w:rPr>
            </w:pPr>
          </w:p>
        </w:tc>
        <w:tc>
          <w:tcPr>
            <w:tcW w:w="992" w:type="dxa"/>
            <w:vMerge/>
            <w:vAlign w:val="center"/>
            <w:hideMark/>
          </w:tcPr>
          <w:p w14:paraId="45B22E2B" w14:textId="77777777" w:rsidR="00154AD2" w:rsidRDefault="00154AD2">
            <w:pPr>
              <w:keepNext/>
              <w:spacing w:before="40" w:after="0" w:line="240" w:lineRule="auto"/>
              <w:jc w:val="both"/>
              <w:rPr>
                <w:rFonts w:ascii="Calibri" w:eastAsia="Times New Roman" w:hAnsi="Calibri" w:cs="Calibri"/>
                <w:noProof/>
                <w:sz w:val="16"/>
              </w:rPr>
            </w:pPr>
          </w:p>
        </w:tc>
        <w:tc>
          <w:tcPr>
            <w:tcW w:w="709" w:type="dxa"/>
            <w:vMerge/>
            <w:vAlign w:val="center"/>
            <w:hideMark/>
          </w:tcPr>
          <w:p w14:paraId="5FA212D8" w14:textId="77777777" w:rsidR="00154AD2" w:rsidRDefault="00154AD2">
            <w:pPr>
              <w:keepNext/>
              <w:spacing w:before="40" w:after="0" w:line="240" w:lineRule="auto"/>
              <w:jc w:val="both"/>
              <w:rPr>
                <w:rFonts w:ascii="Calibri" w:eastAsia="Times New Roman" w:hAnsi="Calibri" w:cs="Calibri"/>
                <w:noProof/>
                <w:sz w:val="16"/>
              </w:rPr>
            </w:pPr>
          </w:p>
        </w:tc>
        <w:tc>
          <w:tcPr>
            <w:tcW w:w="567" w:type="dxa"/>
            <w:vMerge/>
            <w:vAlign w:val="center"/>
            <w:hideMark/>
          </w:tcPr>
          <w:p w14:paraId="67B9BF89" w14:textId="77777777" w:rsidR="00154AD2" w:rsidRDefault="00154AD2">
            <w:pPr>
              <w:keepNext/>
              <w:spacing w:before="40" w:after="0" w:line="240" w:lineRule="auto"/>
              <w:jc w:val="both"/>
              <w:rPr>
                <w:rFonts w:ascii="Calibri" w:eastAsia="Times New Roman" w:hAnsi="Calibri" w:cs="Calibri"/>
                <w:noProof/>
                <w:sz w:val="16"/>
              </w:rPr>
            </w:pPr>
          </w:p>
        </w:tc>
        <w:tc>
          <w:tcPr>
            <w:tcW w:w="708" w:type="dxa"/>
            <w:vMerge/>
            <w:vAlign w:val="center"/>
            <w:hideMark/>
          </w:tcPr>
          <w:p w14:paraId="5BF5C728" w14:textId="77777777" w:rsidR="00154AD2" w:rsidRDefault="00154AD2">
            <w:pPr>
              <w:keepNext/>
              <w:spacing w:before="40" w:after="0" w:line="240" w:lineRule="auto"/>
              <w:jc w:val="both"/>
              <w:rPr>
                <w:rFonts w:ascii="Calibri" w:eastAsia="Times New Roman" w:hAnsi="Calibri" w:cs="Calibri"/>
                <w:noProof/>
                <w:sz w:val="16"/>
              </w:rPr>
            </w:pPr>
          </w:p>
        </w:tc>
        <w:tc>
          <w:tcPr>
            <w:tcW w:w="3969" w:type="dxa"/>
            <w:vMerge/>
            <w:vAlign w:val="center"/>
            <w:hideMark/>
          </w:tcPr>
          <w:p w14:paraId="7EE621F1" w14:textId="77777777" w:rsidR="00154AD2" w:rsidRDefault="00154AD2">
            <w:pPr>
              <w:keepNext/>
              <w:spacing w:before="40" w:after="0" w:line="240" w:lineRule="auto"/>
              <w:jc w:val="both"/>
              <w:rPr>
                <w:rFonts w:ascii="Calibri" w:eastAsia="Times New Roman" w:hAnsi="Calibri" w:cs="Calibri"/>
                <w:noProof/>
                <w:sz w:val="16"/>
              </w:rPr>
            </w:pPr>
          </w:p>
        </w:tc>
      </w:tr>
      <w:tr w:rsidR="00154AD2" w14:paraId="67ABFFD7" w14:textId="77777777">
        <w:trPr>
          <w:trHeight w:val="630"/>
        </w:trPr>
        <w:tc>
          <w:tcPr>
            <w:tcW w:w="1135" w:type="dxa"/>
            <w:shd w:val="clear" w:color="auto" w:fill="C4EFCE"/>
            <w:vAlign w:val="center"/>
            <w:hideMark/>
          </w:tcPr>
          <w:p w14:paraId="704A999D" w14:textId="77777777" w:rsidR="00154AD2" w:rsidRDefault="007F6BF3">
            <w:pPr>
              <w:pStyle w:val="P68B1DB1-Normal7"/>
              <w:keepNext/>
              <w:spacing w:before="40" w:after="0" w:line="240" w:lineRule="auto"/>
              <w:jc w:val="center"/>
              <w:rPr>
                <w:rFonts w:eastAsia="Times New Roman" w:cs="Calibri"/>
                <w:noProof/>
              </w:rPr>
            </w:pPr>
            <w:r>
              <w:rPr>
                <w:noProof/>
              </w:rPr>
              <w:t>12.2</w:t>
            </w:r>
          </w:p>
        </w:tc>
        <w:tc>
          <w:tcPr>
            <w:tcW w:w="1276" w:type="dxa"/>
            <w:shd w:val="clear" w:color="auto" w:fill="C4EFCE"/>
            <w:noWrap/>
            <w:vAlign w:val="center"/>
            <w:hideMark/>
          </w:tcPr>
          <w:p w14:paraId="78F41078" w14:textId="77777777" w:rsidR="00154AD2" w:rsidRDefault="007F6BF3">
            <w:pPr>
              <w:pStyle w:val="P68B1DB1-Normal8"/>
              <w:keepNext/>
              <w:spacing w:before="40" w:after="0" w:line="240" w:lineRule="auto"/>
              <w:jc w:val="center"/>
              <w:rPr>
                <w:rFonts w:eastAsia="Times New Roman" w:cs="Calibri"/>
                <w:noProof/>
              </w:rPr>
            </w:pPr>
            <w:r>
              <w:rPr>
                <w:noProof/>
              </w:rPr>
              <w:t>TC-C12-I01</w:t>
            </w:r>
          </w:p>
        </w:tc>
        <w:tc>
          <w:tcPr>
            <w:tcW w:w="1134" w:type="dxa"/>
            <w:shd w:val="clear" w:color="auto" w:fill="C4EFCE"/>
            <w:noWrap/>
            <w:vAlign w:val="center"/>
            <w:hideMark/>
          </w:tcPr>
          <w:p w14:paraId="4628D649" w14:textId="77777777" w:rsidR="00154AD2" w:rsidRDefault="007F6BF3">
            <w:pPr>
              <w:pStyle w:val="P68B1DB1-Normal8"/>
              <w:keepNext/>
              <w:spacing w:before="40" w:after="0" w:line="240" w:lineRule="auto"/>
              <w:jc w:val="center"/>
              <w:rPr>
                <w:rFonts w:eastAsia="Times New Roman" w:cs="Calibri"/>
                <w:noProof/>
              </w:rPr>
            </w:pPr>
            <w:r>
              <w:rPr>
                <w:noProof/>
              </w:rPr>
              <w:t>M</w:t>
            </w:r>
          </w:p>
        </w:tc>
        <w:tc>
          <w:tcPr>
            <w:tcW w:w="1701" w:type="dxa"/>
            <w:shd w:val="clear" w:color="auto" w:fill="C4EFCE"/>
            <w:noWrap/>
            <w:vAlign w:val="center"/>
            <w:hideMark/>
          </w:tcPr>
          <w:p w14:paraId="27B190C1" w14:textId="77777777" w:rsidR="00154AD2" w:rsidRDefault="007F6BF3">
            <w:pPr>
              <w:pStyle w:val="P68B1DB1-Normal8"/>
              <w:keepNext/>
              <w:spacing w:before="40" w:after="0" w:line="240" w:lineRule="auto"/>
              <w:jc w:val="center"/>
              <w:rPr>
                <w:rFonts w:eastAsia="Times New Roman" w:cs="Calibri"/>
                <w:noProof/>
              </w:rPr>
            </w:pPr>
            <w:r>
              <w:rPr>
                <w:noProof/>
              </w:rPr>
              <w:t>Έγκριση των έργων που υπέβαλαν οι κοινοπραξίες για την ανάπτυξη νέων προϊόντων, τεχνολογιών και διαδικασιών βιοοικονομίας στους τομείς της κλωστοϋφαντουργίας και της ένδυσης, της υπόδησης και της φυσικής ρητίνης</w:t>
            </w:r>
          </w:p>
        </w:tc>
        <w:tc>
          <w:tcPr>
            <w:tcW w:w="1275" w:type="dxa"/>
            <w:shd w:val="clear" w:color="auto" w:fill="C4EFCE"/>
            <w:noWrap/>
            <w:vAlign w:val="center"/>
            <w:hideMark/>
          </w:tcPr>
          <w:p w14:paraId="620AF49C" w14:textId="77777777" w:rsidR="00154AD2" w:rsidRDefault="007F6BF3">
            <w:pPr>
              <w:pStyle w:val="P68B1DB1-Normal8"/>
              <w:keepNext/>
              <w:spacing w:before="40" w:after="0" w:line="240" w:lineRule="auto"/>
              <w:jc w:val="center"/>
              <w:rPr>
                <w:rFonts w:eastAsia="Times New Roman" w:cs="Calibri"/>
                <w:noProof/>
              </w:rPr>
            </w:pPr>
            <w:r>
              <w:rPr>
                <w:noProof/>
              </w:rPr>
              <w:t>Έγκριση των έργων για την ανάπτυξη νέων προϊόντων, τεχνολογιών και διαδικασιών βιοοικονομίας</w:t>
            </w:r>
          </w:p>
        </w:tc>
        <w:tc>
          <w:tcPr>
            <w:tcW w:w="993" w:type="dxa"/>
            <w:shd w:val="clear" w:color="auto" w:fill="C4EFCE"/>
            <w:noWrap/>
            <w:vAlign w:val="center"/>
            <w:hideMark/>
          </w:tcPr>
          <w:p w14:paraId="5956DCDC" w14:textId="77777777" w:rsidR="00154AD2" w:rsidRDefault="007F6BF3">
            <w:pPr>
              <w:pStyle w:val="P68B1DB1-Normal8"/>
              <w:keepNext/>
              <w:spacing w:before="40" w:after="0" w:line="240" w:lineRule="auto"/>
              <w:jc w:val="center"/>
              <w:rPr>
                <w:rFonts w:eastAsia="Times New Roman" w:cs="Calibri"/>
                <w:noProof/>
              </w:rPr>
            </w:pPr>
            <w:r>
              <w:rPr>
                <w:noProof/>
              </w:rPr>
              <w:t> </w:t>
            </w:r>
          </w:p>
        </w:tc>
        <w:tc>
          <w:tcPr>
            <w:tcW w:w="992" w:type="dxa"/>
            <w:shd w:val="clear" w:color="auto" w:fill="C4EFCE"/>
            <w:noWrap/>
            <w:vAlign w:val="center"/>
            <w:hideMark/>
          </w:tcPr>
          <w:p w14:paraId="7463DC1B" w14:textId="77777777" w:rsidR="00154AD2" w:rsidRDefault="007F6BF3">
            <w:pPr>
              <w:pStyle w:val="P68B1DB1-Normal8"/>
              <w:keepNext/>
              <w:spacing w:before="40" w:after="0" w:line="240" w:lineRule="auto"/>
              <w:jc w:val="center"/>
              <w:rPr>
                <w:rFonts w:eastAsia="Times New Roman" w:cs="Calibri"/>
                <w:noProof/>
              </w:rPr>
            </w:pPr>
            <w:r>
              <w:rPr>
                <w:noProof/>
              </w:rPr>
              <w:t> </w:t>
            </w:r>
          </w:p>
        </w:tc>
        <w:tc>
          <w:tcPr>
            <w:tcW w:w="709" w:type="dxa"/>
            <w:shd w:val="clear" w:color="auto" w:fill="C4EFCE"/>
            <w:noWrap/>
            <w:vAlign w:val="center"/>
            <w:hideMark/>
          </w:tcPr>
          <w:p w14:paraId="35FFDF23" w14:textId="77777777" w:rsidR="00154AD2" w:rsidRDefault="007F6BF3">
            <w:pPr>
              <w:pStyle w:val="P68B1DB1-Normal8"/>
              <w:keepNext/>
              <w:spacing w:before="40" w:after="0" w:line="240" w:lineRule="auto"/>
              <w:jc w:val="center"/>
              <w:rPr>
                <w:rFonts w:eastAsia="Times New Roman" w:cs="Calibri"/>
                <w:noProof/>
              </w:rPr>
            </w:pPr>
            <w:r>
              <w:rPr>
                <w:noProof/>
              </w:rPr>
              <w:t> </w:t>
            </w:r>
          </w:p>
        </w:tc>
        <w:tc>
          <w:tcPr>
            <w:tcW w:w="567" w:type="dxa"/>
            <w:shd w:val="clear" w:color="auto" w:fill="C4EFCE"/>
            <w:noWrap/>
            <w:vAlign w:val="center"/>
            <w:hideMark/>
          </w:tcPr>
          <w:p w14:paraId="342007C6" w14:textId="77777777" w:rsidR="00154AD2" w:rsidRDefault="007F6BF3">
            <w:pPr>
              <w:pStyle w:val="P68B1DB1-Normal8"/>
              <w:keepNext/>
              <w:spacing w:before="40" w:after="0" w:line="240" w:lineRule="auto"/>
              <w:jc w:val="center"/>
              <w:rPr>
                <w:rFonts w:eastAsia="Times New Roman" w:cs="Calibri"/>
                <w:noProof/>
              </w:rPr>
            </w:pPr>
            <w:r>
              <w:rPr>
                <w:noProof/>
              </w:rPr>
              <w:t>ΤΡΊΜΗΝΟ 2</w:t>
            </w:r>
          </w:p>
        </w:tc>
        <w:tc>
          <w:tcPr>
            <w:tcW w:w="708" w:type="dxa"/>
            <w:shd w:val="clear" w:color="auto" w:fill="C4EFCE"/>
            <w:noWrap/>
            <w:vAlign w:val="center"/>
            <w:hideMark/>
          </w:tcPr>
          <w:p w14:paraId="4BD70A66" w14:textId="77777777" w:rsidR="00154AD2" w:rsidRDefault="007F6BF3">
            <w:pPr>
              <w:pStyle w:val="P68B1DB1-Normal8"/>
              <w:keepNext/>
              <w:spacing w:before="40" w:after="0" w:line="240" w:lineRule="auto"/>
              <w:jc w:val="center"/>
              <w:rPr>
                <w:rFonts w:eastAsia="Times New Roman" w:cs="Calibri"/>
                <w:noProof/>
              </w:rPr>
            </w:pPr>
            <w:r>
              <w:rPr>
                <w:noProof/>
              </w:rPr>
              <w:t>2022</w:t>
            </w:r>
          </w:p>
        </w:tc>
        <w:tc>
          <w:tcPr>
            <w:tcW w:w="3969" w:type="dxa"/>
            <w:shd w:val="clear" w:color="auto" w:fill="C4EFCE"/>
            <w:vAlign w:val="center"/>
            <w:hideMark/>
          </w:tcPr>
          <w:p w14:paraId="0EDAFC67" w14:textId="77777777" w:rsidR="00154AD2" w:rsidRDefault="007F6BF3">
            <w:pPr>
              <w:pStyle w:val="P68B1DB1-Normal8"/>
              <w:keepNext/>
              <w:spacing w:before="40" w:after="0" w:line="240" w:lineRule="auto"/>
              <w:jc w:val="both"/>
              <w:rPr>
                <w:rFonts w:eastAsia="Times New Roman" w:cs="Calibri"/>
                <w:noProof/>
              </w:rPr>
            </w:pPr>
            <w:r>
              <w:rPr>
                <w:noProof/>
              </w:rPr>
              <w:t xml:space="preserve">Έγκριση από την επιτροπή επιλογής των έργων που υπέβαλαν οι κοινοπραξίες για την ανάπτυξη νέων προϊόντων, τεχνολογιών και διαδικασιών βιοοικονομίας στους τομείς της κλωστοϋφαντουργίας και της ένδυσης, της υπόδησης και της φυσικής ρητίνης. </w:t>
            </w:r>
          </w:p>
          <w:p w14:paraId="7E2CA1C9" w14:textId="77777777" w:rsidR="00154AD2" w:rsidRDefault="007F6BF3">
            <w:pPr>
              <w:pStyle w:val="P68B1DB1-Normal8"/>
              <w:keepNext/>
              <w:spacing w:before="40" w:after="0" w:line="240" w:lineRule="auto"/>
              <w:jc w:val="both"/>
              <w:rPr>
                <w:rFonts w:eastAsia="Times New Roman" w:cs="Calibri"/>
                <w:noProof/>
              </w:rPr>
            </w:pPr>
            <w:r>
              <w:rPr>
                <w:noProof/>
              </w:rPr>
              <w:t xml:space="preserve">Τα έργα που υποβάλλονται από τις κοινοπραξίες για στήριξη εμπίπτουν σε ένα από τα ακόλουθα προγράμματα: «Προώθηση της βιώσιμης και κυκλικής βιοοικονομίας στον τομέα της κλωστοϋφαντουργίας και της ένδυσης», «Προώθηση της βιώσιμης και κυκλικής βιοοικονομίας στον τομέα των υποδημάτων» και «Προώθηση και αξιοποίηση της φυσικής ρητίνης». </w:t>
            </w:r>
          </w:p>
          <w:p w14:paraId="373315BC" w14:textId="57EEC5F1" w:rsidR="00154AD2" w:rsidRDefault="007F6BF3">
            <w:pPr>
              <w:pStyle w:val="P68B1DB1-Normal8"/>
              <w:keepNext/>
              <w:spacing w:before="40" w:after="0" w:line="240" w:lineRule="auto"/>
              <w:jc w:val="both"/>
              <w:rPr>
                <w:rFonts w:eastAsia="Times New Roman" w:cs="Calibri"/>
                <w:noProof/>
              </w:rPr>
            </w:pPr>
            <w:r>
              <w:rPr>
                <w:noProof/>
              </w:rPr>
              <w:t xml:space="preserve">Επικεντρώνονται σε μια οικονομία χαμηλών εκπομπών διοξειδίου του άνθρακα, στην ανθεκτικότητα και στην προσαρμογή στην κλιματική αλλαγή μέσω της εφαρμογής λύσεων καθαρής τεχνολογίας, εναλλακτικών λύσεων χαμηλού αντικτύπου και της χρήσης βέλτιστων διαθέσιμων τεχνικών. Τα κριτήρια επιλογής για τα έργα απαιτούν όλα τα υποστηριζόμενα έργα Ε &amp; Ι να διασφαλίζουν τη μείωση των άμεσων και έμμεσων εκπομπών άνθρακα. </w:t>
            </w:r>
          </w:p>
          <w:p w14:paraId="13B6D23C" w14:textId="3DD59F32" w:rsidR="00154AD2" w:rsidRDefault="007F6BF3">
            <w:pPr>
              <w:pStyle w:val="P68B1DB1-Normal8"/>
              <w:keepNext/>
              <w:spacing w:before="40" w:after="0" w:line="240" w:lineRule="auto"/>
              <w:jc w:val="both"/>
              <w:rPr>
                <w:rFonts w:eastAsia="Times New Roman" w:cs="Calibri"/>
                <w:noProof/>
              </w:rPr>
            </w:pPr>
            <w:r>
              <w:rPr>
                <w:noProof/>
              </w:rPr>
              <w:t>Τα επιλεγμένα έργα συμμορφώνονται με την τεχνική καθοδήγηση για την εφαρμογή της αρχής της «μη πρόκλησης σημαντικής βλάβης» (2021/C58/01) μέσω της χρήσης καταλόγου αποκλεισμού και της απαίτησης συμμόρφωσης με τη σχετική ενωσιακή και εθνική περιβαλλοντική νομοθεσία.</w:t>
            </w:r>
          </w:p>
        </w:tc>
      </w:tr>
      <w:tr w:rsidR="00154AD2" w14:paraId="1F72AFA7" w14:textId="77777777">
        <w:trPr>
          <w:trHeight w:val="640"/>
        </w:trPr>
        <w:tc>
          <w:tcPr>
            <w:tcW w:w="1135" w:type="dxa"/>
            <w:shd w:val="clear" w:color="auto" w:fill="C4EFCE"/>
            <w:vAlign w:val="center"/>
            <w:hideMark/>
          </w:tcPr>
          <w:p w14:paraId="79604885" w14:textId="77777777" w:rsidR="00154AD2" w:rsidRDefault="007F6BF3">
            <w:pPr>
              <w:pStyle w:val="P68B1DB1-Normal7"/>
              <w:keepNext/>
              <w:spacing w:before="40" w:after="0" w:line="240" w:lineRule="auto"/>
              <w:jc w:val="center"/>
              <w:rPr>
                <w:rFonts w:eastAsia="Times New Roman" w:cs="Calibri"/>
                <w:noProof/>
              </w:rPr>
            </w:pPr>
            <w:r>
              <w:rPr>
                <w:noProof/>
              </w:rPr>
              <w:t>12.3</w:t>
            </w:r>
          </w:p>
        </w:tc>
        <w:tc>
          <w:tcPr>
            <w:tcW w:w="1276" w:type="dxa"/>
            <w:shd w:val="clear" w:color="auto" w:fill="C4EFCE"/>
            <w:noWrap/>
            <w:vAlign w:val="center"/>
            <w:hideMark/>
          </w:tcPr>
          <w:p w14:paraId="7DCAFD0A" w14:textId="77777777" w:rsidR="00154AD2" w:rsidRDefault="007F6BF3">
            <w:pPr>
              <w:pStyle w:val="P68B1DB1-Normal8"/>
              <w:keepNext/>
              <w:spacing w:before="40" w:after="0" w:line="240" w:lineRule="auto"/>
              <w:jc w:val="center"/>
              <w:rPr>
                <w:rFonts w:eastAsia="Times New Roman" w:cs="Calibri"/>
                <w:noProof/>
              </w:rPr>
            </w:pPr>
            <w:r>
              <w:rPr>
                <w:noProof/>
              </w:rPr>
              <w:t>TC-C12-I01</w:t>
            </w:r>
          </w:p>
        </w:tc>
        <w:tc>
          <w:tcPr>
            <w:tcW w:w="1134" w:type="dxa"/>
            <w:shd w:val="clear" w:color="auto" w:fill="C4EFCE"/>
            <w:noWrap/>
            <w:vAlign w:val="center"/>
            <w:hideMark/>
          </w:tcPr>
          <w:p w14:paraId="6F5A6A08" w14:textId="77777777" w:rsidR="00154AD2" w:rsidRDefault="007F6BF3">
            <w:pPr>
              <w:pStyle w:val="P68B1DB1-Normal8"/>
              <w:keepNext/>
              <w:spacing w:before="40" w:after="0" w:line="240" w:lineRule="auto"/>
              <w:jc w:val="center"/>
              <w:rPr>
                <w:rFonts w:eastAsia="Times New Roman" w:cs="Calibri"/>
                <w:noProof/>
              </w:rPr>
            </w:pPr>
            <w:r>
              <w:rPr>
                <w:noProof/>
              </w:rPr>
              <w:t>T</w:t>
            </w:r>
          </w:p>
        </w:tc>
        <w:tc>
          <w:tcPr>
            <w:tcW w:w="1701" w:type="dxa"/>
            <w:shd w:val="clear" w:color="auto" w:fill="C4EFCE"/>
            <w:noWrap/>
            <w:vAlign w:val="center"/>
            <w:hideMark/>
          </w:tcPr>
          <w:p w14:paraId="7AA2A96B" w14:textId="77777777" w:rsidR="00154AD2" w:rsidRDefault="007F6BF3">
            <w:pPr>
              <w:pStyle w:val="P68B1DB1-Normal8"/>
              <w:keepNext/>
              <w:spacing w:before="40" w:after="0" w:line="240" w:lineRule="auto"/>
              <w:jc w:val="center"/>
              <w:rPr>
                <w:rFonts w:eastAsia="Times New Roman" w:cs="Calibri"/>
                <w:noProof/>
              </w:rPr>
            </w:pPr>
            <w:r>
              <w:rPr>
                <w:noProof/>
              </w:rPr>
              <w:t xml:space="preserve">Νέα προϊόντα, τεχνολογίες και πιλοτικές διαδικασίες που ενσωματώνουν πόρους βιολογικής βάσης </w:t>
            </w:r>
          </w:p>
        </w:tc>
        <w:tc>
          <w:tcPr>
            <w:tcW w:w="1275" w:type="dxa"/>
            <w:shd w:val="clear" w:color="auto" w:fill="C4EFCE"/>
            <w:noWrap/>
            <w:vAlign w:val="center"/>
            <w:hideMark/>
          </w:tcPr>
          <w:p w14:paraId="4D4A5918" w14:textId="77777777" w:rsidR="00154AD2" w:rsidRDefault="007F6BF3">
            <w:pPr>
              <w:pStyle w:val="P68B1DB1-Normal8"/>
              <w:keepNext/>
              <w:spacing w:before="40" w:after="0" w:line="240" w:lineRule="auto"/>
              <w:jc w:val="center"/>
              <w:rPr>
                <w:rFonts w:eastAsia="Times New Roman" w:cs="Calibri"/>
                <w:noProof/>
              </w:rPr>
            </w:pPr>
            <w:r>
              <w:rPr>
                <w:noProof/>
              </w:rPr>
              <w:t> </w:t>
            </w:r>
          </w:p>
        </w:tc>
        <w:tc>
          <w:tcPr>
            <w:tcW w:w="993" w:type="dxa"/>
            <w:shd w:val="clear" w:color="auto" w:fill="C4EFCE"/>
            <w:noWrap/>
            <w:vAlign w:val="center"/>
            <w:hideMark/>
          </w:tcPr>
          <w:p w14:paraId="3848C4DC" w14:textId="77777777" w:rsidR="00154AD2" w:rsidRDefault="007F6BF3">
            <w:pPr>
              <w:pStyle w:val="P68B1DB1-Normal8"/>
              <w:keepNext/>
              <w:spacing w:before="40" w:after="0" w:line="240" w:lineRule="auto"/>
              <w:jc w:val="center"/>
              <w:rPr>
                <w:rFonts w:eastAsia="Times New Roman" w:cs="Calibri"/>
                <w:noProof/>
              </w:rPr>
            </w:pPr>
            <w:r>
              <w:rPr>
                <w:noProof/>
              </w:rPr>
              <w:t> Αριθμός</w:t>
            </w:r>
          </w:p>
        </w:tc>
        <w:tc>
          <w:tcPr>
            <w:tcW w:w="992" w:type="dxa"/>
            <w:shd w:val="clear" w:color="auto" w:fill="C4EFCE"/>
            <w:noWrap/>
            <w:vAlign w:val="center"/>
            <w:hideMark/>
          </w:tcPr>
          <w:p w14:paraId="5AB50F47" w14:textId="77777777" w:rsidR="00154AD2" w:rsidRDefault="007F6BF3">
            <w:pPr>
              <w:pStyle w:val="P68B1DB1-Normal8"/>
              <w:keepNext/>
              <w:spacing w:before="40" w:after="0" w:line="240" w:lineRule="auto"/>
              <w:jc w:val="center"/>
              <w:rPr>
                <w:rFonts w:eastAsia="Times New Roman" w:cs="Calibri"/>
                <w:noProof/>
              </w:rPr>
            </w:pPr>
            <w:r>
              <w:rPr>
                <w:noProof/>
              </w:rPr>
              <w:t> 0</w:t>
            </w:r>
          </w:p>
        </w:tc>
        <w:tc>
          <w:tcPr>
            <w:tcW w:w="709" w:type="dxa"/>
            <w:shd w:val="clear" w:color="auto" w:fill="C4EFCE"/>
            <w:noWrap/>
            <w:vAlign w:val="center"/>
            <w:hideMark/>
          </w:tcPr>
          <w:p w14:paraId="6F17EB16" w14:textId="77777777" w:rsidR="00154AD2" w:rsidRDefault="007F6BF3">
            <w:pPr>
              <w:pStyle w:val="P68B1DB1-Normal8"/>
              <w:keepNext/>
              <w:spacing w:before="40" w:after="0" w:line="240" w:lineRule="auto"/>
              <w:jc w:val="center"/>
              <w:rPr>
                <w:rFonts w:eastAsia="Times New Roman" w:cs="Calibri"/>
                <w:noProof/>
              </w:rPr>
            </w:pPr>
            <w:r>
              <w:rPr>
                <w:noProof/>
              </w:rPr>
              <w:t> 15</w:t>
            </w:r>
          </w:p>
        </w:tc>
        <w:tc>
          <w:tcPr>
            <w:tcW w:w="567" w:type="dxa"/>
            <w:shd w:val="clear" w:color="auto" w:fill="C4EFCE"/>
            <w:noWrap/>
            <w:vAlign w:val="center"/>
            <w:hideMark/>
          </w:tcPr>
          <w:p w14:paraId="03A29219" w14:textId="77777777" w:rsidR="00154AD2" w:rsidRDefault="007F6BF3">
            <w:pPr>
              <w:pStyle w:val="P68B1DB1-Normal8"/>
              <w:keepNext/>
              <w:spacing w:before="40"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0ECB7A2A" w14:textId="77777777" w:rsidR="00154AD2" w:rsidRDefault="007F6BF3">
            <w:pPr>
              <w:pStyle w:val="P68B1DB1-Normal8"/>
              <w:keepNext/>
              <w:spacing w:before="40" w:after="0" w:line="240" w:lineRule="auto"/>
              <w:jc w:val="center"/>
              <w:rPr>
                <w:rFonts w:eastAsia="Times New Roman" w:cs="Calibri"/>
                <w:noProof/>
              </w:rPr>
            </w:pPr>
            <w:r>
              <w:rPr>
                <w:noProof/>
              </w:rPr>
              <w:t>2025</w:t>
            </w:r>
          </w:p>
        </w:tc>
        <w:tc>
          <w:tcPr>
            <w:tcW w:w="3969" w:type="dxa"/>
            <w:shd w:val="clear" w:color="auto" w:fill="C4EFCE"/>
            <w:vAlign w:val="center"/>
            <w:hideMark/>
          </w:tcPr>
          <w:p w14:paraId="2F1A4FC3" w14:textId="77777777" w:rsidR="00154AD2" w:rsidRDefault="007F6BF3">
            <w:pPr>
              <w:pStyle w:val="P68B1DB1-Normal8"/>
              <w:keepNext/>
              <w:spacing w:before="40" w:after="0" w:line="240" w:lineRule="auto"/>
              <w:jc w:val="both"/>
              <w:rPr>
                <w:rFonts w:eastAsia="Times New Roman" w:cs="Calibri"/>
                <w:noProof/>
              </w:rPr>
            </w:pPr>
            <w:r>
              <w:rPr>
                <w:noProof/>
              </w:rPr>
              <w:t>Νέα προϊόντα, τεχνολογίες και πιλοτικές διαδικασίες που ενσωματώνουν πόρους βιολογικής προέλευσης. Αυτό περιλαμβάνει τουλάχιστον 10 νέα προϊόντα ή τεχνολογίες (επίπεδο τεχνολογικής ετοιμότητας 6-7) και τουλάχιστον 5 βιομηχανικές πιλοτικές διαδικασίες (επίπεδο τεχνολογικής ετοιμότητας 7-9) στους ακόλουθους τομείς: κλωστοϋφαντουργία, υποδήματα, παραγωγή ρητίνης.</w:t>
            </w:r>
          </w:p>
        </w:tc>
      </w:tr>
      <w:tr w:rsidR="00154AD2" w14:paraId="029AA38F" w14:textId="77777777">
        <w:trPr>
          <w:trHeight w:val="430"/>
        </w:trPr>
        <w:tc>
          <w:tcPr>
            <w:tcW w:w="1135" w:type="dxa"/>
            <w:shd w:val="clear" w:color="auto" w:fill="C4EFCE"/>
            <w:vAlign w:val="center"/>
            <w:hideMark/>
          </w:tcPr>
          <w:p w14:paraId="0DC95BE8" w14:textId="77777777" w:rsidR="00154AD2" w:rsidRDefault="007F6BF3">
            <w:pPr>
              <w:pStyle w:val="P68B1DB1-Normal7"/>
              <w:keepNext/>
              <w:spacing w:before="40" w:after="0" w:line="240" w:lineRule="auto"/>
              <w:jc w:val="center"/>
              <w:rPr>
                <w:rFonts w:eastAsia="Times New Roman" w:cs="Calibri"/>
                <w:noProof/>
              </w:rPr>
            </w:pPr>
            <w:r>
              <w:rPr>
                <w:noProof/>
              </w:rPr>
              <w:t>12.4</w:t>
            </w:r>
          </w:p>
        </w:tc>
        <w:tc>
          <w:tcPr>
            <w:tcW w:w="1276" w:type="dxa"/>
            <w:shd w:val="clear" w:color="auto" w:fill="C4EFCE"/>
            <w:noWrap/>
            <w:vAlign w:val="center"/>
            <w:hideMark/>
          </w:tcPr>
          <w:p w14:paraId="00D79CA4" w14:textId="77777777" w:rsidR="00154AD2" w:rsidRDefault="007F6BF3">
            <w:pPr>
              <w:pStyle w:val="P68B1DB1-Normal8"/>
              <w:keepNext/>
              <w:spacing w:before="40" w:after="0" w:line="240" w:lineRule="auto"/>
              <w:jc w:val="center"/>
              <w:rPr>
                <w:rFonts w:eastAsia="Times New Roman" w:cs="Calibri"/>
                <w:noProof/>
              </w:rPr>
            </w:pPr>
            <w:r>
              <w:rPr>
                <w:noProof/>
              </w:rPr>
              <w:t>TC-C12-I01</w:t>
            </w:r>
          </w:p>
        </w:tc>
        <w:tc>
          <w:tcPr>
            <w:tcW w:w="1134" w:type="dxa"/>
            <w:shd w:val="clear" w:color="auto" w:fill="C4EFCE"/>
            <w:noWrap/>
            <w:vAlign w:val="center"/>
            <w:hideMark/>
          </w:tcPr>
          <w:p w14:paraId="6AA0EC62" w14:textId="77777777" w:rsidR="00154AD2" w:rsidRDefault="007F6BF3">
            <w:pPr>
              <w:pStyle w:val="P68B1DB1-Normal8"/>
              <w:keepNext/>
              <w:spacing w:before="40" w:after="0" w:line="240" w:lineRule="auto"/>
              <w:jc w:val="center"/>
              <w:rPr>
                <w:rFonts w:eastAsia="Times New Roman" w:cs="Calibri"/>
                <w:noProof/>
              </w:rPr>
            </w:pPr>
            <w:r>
              <w:rPr>
                <w:noProof/>
              </w:rPr>
              <w:t>T</w:t>
            </w:r>
          </w:p>
        </w:tc>
        <w:tc>
          <w:tcPr>
            <w:tcW w:w="1701" w:type="dxa"/>
            <w:shd w:val="clear" w:color="auto" w:fill="C4EFCE"/>
            <w:noWrap/>
            <w:vAlign w:val="center"/>
            <w:hideMark/>
          </w:tcPr>
          <w:p w14:paraId="3A995D45" w14:textId="77777777" w:rsidR="00154AD2" w:rsidRDefault="007F6BF3">
            <w:pPr>
              <w:pStyle w:val="P68B1DB1-Normal8"/>
              <w:keepNext/>
              <w:spacing w:before="40" w:after="0" w:line="240" w:lineRule="auto"/>
              <w:jc w:val="center"/>
              <w:rPr>
                <w:rFonts w:eastAsia="Times New Roman" w:cs="Calibri"/>
                <w:noProof/>
              </w:rPr>
            </w:pPr>
            <w:r>
              <w:rPr>
                <w:noProof/>
              </w:rPr>
              <w:t>Ανάπτυξη θαλάσσιων πεύκων με δυναμικό παραγωγής ρητίνης</w:t>
            </w:r>
          </w:p>
        </w:tc>
        <w:tc>
          <w:tcPr>
            <w:tcW w:w="1275" w:type="dxa"/>
            <w:shd w:val="clear" w:color="auto" w:fill="C4EFCE"/>
            <w:noWrap/>
            <w:vAlign w:val="center"/>
            <w:hideMark/>
          </w:tcPr>
          <w:p w14:paraId="289BF410" w14:textId="77777777" w:rsidR="00154AD2" w:rsidRDefault="007F6BF3">
            <w:pPr>
              <w:pStyle w:val="P68B1DB1-Normal8"/>
              <w:keepNext/>
              <w:spacing w:before="40" w:after="0" w:line="240" w:lineRule="auto"/>
              <w:jc w:val="center"/>
              <w:rPr>
                <w:rFonts w:eastAsia="Times New Roman" w:cs="Calibri"/>
                <w:noProof/>
              </w:rPr>
            </w:pPr>
            <w:r>
              <w:rPr>
                <w:noProof/>
              </w:rPr>
              <w:t> </w:t>
            </w:r>
          </w:p>
        </w:tc>
        <w:tc>
          <w:tcPr>
            <w:tcW w:w="993" w:type="dxa"/>
            <w:shd w:val="clear" w:color="auto" w:fill="C4EFCE"/>
            <w:noWrap/>
            <w:vAlign w:val="center"/>
            <w:hideMark/>
          </w:tcPr>
          <w:p w14:paraId="01EED50B" w14:textId="77777777" w:rsidR="00154AD2" w:rsidRDefault="007F6BF3">
            <w:pPr>
              <w:pStyle w:val="P68B1DB1-Normal8"/>
              <w:keepNext/>
              <w:spacing w:before="40" w:after="0" w:line="240" w:lineRule="auto"/>
              <w:jc w:val="center"/>
              <w:rPr>
                <w:rFonts w:eastAsia="Times New Roman" w:cs="Calibri"/>
                <w:noProof/>
              </w:rPr>
            </w:pPr>
            <w:r>
              <w:rPr>
                <w:noProof/>
              </w:rPr>
              <w:t>εκτάρια</w:t>
            </w:r>
          </w:p>
        </w:tc>
        <w:tc>
          <w:tcPr>
            <w:tcW w:w="992" w:type="dxa"/>
            <w:shd w:val="clear" w:color="auto" w:fill="C4EFCE"/>
            <w:noWrap/>
            <w:vAlign w:val="center"/>
            <w:hideMark/>
          </w:tcPr>
          <w:p w14:paraId="426FC88F" w14:textId="77777777" w:rsidR="00154AD2" w:rsidRDefault="007F6BF3">
            <w:pPr>
              <w:pStyle w:val="P68B1DB1-Normal8"/>
              <w:keepNext/>
              <w:spacing w:before="40" w:after="0" w:line="240" w:lineRule="auto"/>
              <w:jc w:val="center"/>
              <w:rPr>
                <w:rFonts w:eastAsia="Times New Roman" w:cs="Calibri"/>
                <w:noProof/>
              </w:rPr>
            </w:pPr>
            <w:r>
              <w:rPr>
                <w:noProof/>
              </w:rPr>
              <w:t>0</w:t>
            </w:r>
          </w:p>
        </w:tc>
        <w:tc>
          <w:tcPr>
            <w:tcW w:w="709" w:type="dxa"/>
            <w:shd w:val="clear" w:color="auto" w:fill="C4EFCE"/>
            <w:noWrap/>
            <w:vAlign w:val="center"/>
            <w:hideMark/>
          </w:tcPr>
          <w:p w14:paraId="556DED51" w14:textId="77777777" w:rsidR="00154AD2" w:rsidRDefault="007F6BF3">
            <w:pPr>
              <w:pStyle w:val="P68B1DB1-Normal8"/>
              <w:keepNext/>
              <w:spacing w:before="40" w:after="0" w:line="240" w:lineRule="auto"/>
              <w:jc w:val="center"/>
              <w:rPr>
                <w:rFonts w:eastAsia="Times New Roman" w:cs="Calibri"/>
                <w:noProof/>
              </w:rPr>
            </w:pPr>
            <w:r>
              <w:rPr>
                <w:noProof/>
              </w:rPr>
              <w:t>8500</w:t>
            </w:r>
          </w:p>
        </w:tc>
        <w:tc>
          <w:tcPr>
            <w:tcW w:w="567" w:type="dxa"/>
            <w:shd w:val="clear" w:color="auto" w:fill="C4EFCE"/>
            <w:noWrap/>
            <w:vAlign w:val="center"/>
            <w:hideMark/>
          </w:tcPr>
          <w:p w14:paraId="75362553" w14:textId="77777777" w:rsidR="00154AD2" w:rsidRDefault="007F6BF3">
            <w:pPr>
              <w:pStyle w:val="P68B1DB1-Normal8"/>
              <w:keepNext/>
              <w:spacing w:before="40"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3942C662" w14:textId="77777777" w:rsidR="00154AD2" w:rsidRDefault="007F6BF3">
            <w:pPr>
              <w:pStyle w:val="P68B1DB1-Normal8"/>
              <w:keepNext/>
              <w:spacing w:before="40" w:after="0" w:line="240" w:lineRule="auto"/>
              <w:jc w:val="center"/>
              <w:rPr>
                <w:rFonts w:eastAsia="Times New Roman" w:cs="Calibri"/>
                <w:noProof/>
              </w:rPr>
            </w:pPr>
            <w:r>
              <w:rPr>
                <w:noProof/>
              </w:rPr>
              <w:t>2025</w:t>
            </w:r>
          </w:p>
        </w:tc>
        <w:tc>
          <w:tcPr>
            <w:tcW w:w="3969" w:type="dxa"/>
            <w:shd w:val="clear" w:color="auto" w:fill="C4EFCE"/>
            <w:vAlign w:val="center"/>
            <w:hideMark/>
          </w:tcPr>
          <w:p w14:paraId="51C1605D" w14:textId="77777777" w:rsidR="00154AD2" w:rsidRDefault="007F6BF3">
            <w:pPr>
              <w:pStyle w:val="P68B1DB1-Normal8"/>
              <w:keepNext/>
              <w:spacing w:before="40" w:after="0" w:line="240" w:lineRule="auto"/>
              <w:jc w:val="both"/>
              <w:rPr>
                <w:rFonts w:eastAsia="Times New Roman" w:cs="Calibri"/>
                <w:noProof/>
              </w:rPr>
            </w:pPr>
            <w:r>
              <w:rPr>
                <w:noProof/>
              </w:rPr>
              <w:t>Η έκταση των θαλάσσιων πεύκων αναπτύσσεται με τη χρήση τεχνικών φυσικής αναγέννησης και το κλάδεμα ρητινών κλαδιών.</w:t>
            </w:r>
          </w:p>
        </w:tc>
      </w:tr>
      <w:tr w:rsidR="00154AD2" w14:paraId="06448507" w14:textId="77777777">
        <w:trPr>
          <w:trHeight w:val="509"/>
        </w:trPr>
        <w:tc>
          <w:tcPr>
            <w:tcW w:w="1135" w:type="dxa"/>
            <w:vMerge w:val="restart"/>
            <w:shd w:val="clear" w:color="auto" w:fill="C4EFCE"/>
            <w:vAlign w:val="center"/>
            <w:hideMark/>
          </w:tcPr>
          <w:p w14:paraId="01815B47" w14:textId="77777777" w:rsidR="00154AD2" w:rsidRDefault="007F6BF3">
            <w:pPr>
              <w:pStyle w:val="P68B1DB1-Normal7"/>
              <w:keepNext/>
              <w:spacing w:before="40" w:after="0" w:line="240" w:lineRule="auto"/>
              <w:jc w:val="center"/>
              <w:rPr>
                <w:rFonts w:eastAsia="Times New Roman" w:cs="Calibri"/>
                <w:noProof/>
              </w:rPr>
            </w:pPr>
            <w:r>
              <w:rPr>
                <w:noProof/>
              </w:rPr>
              <w:t>12.5</w:t>
            </w:r>
          </w:p>
        </w:tc>
        <w:tc>
          <w:tcPr>
            <w:tcW w:w="1276" w:type="dxa"/>
            <w:vMerge w:val="restart"/>
            <w:shd w:val="clear" w:color="auto" w:fill="C4EFCE"/>
            <w:noWrap/>
            <w:vAlign w:val="center"/>
            <w:hideMark/>
          </w:tcPr>
          <w:p w14:paraId="5A975A5B" w14:textId="77777777" w:rsidR="00154AD2" w:rsidRDefault="007F6BF3">
            <w:pPr>
              <w:pStyle w:val="P68B1DB1-Normal8"/>
              <w:keepNext/>
              <w:spacing w:before="40" w:after="0" w:line="240" w:lineRule="auto"/>
              <w:jc w:val="center"/>
              <w:rPr>
                <w:rFonts w:eastAsia="Times New Roman" w:cs="Calibri"/>
                <w:noProof/>
              </w:rPr>
            </w:pPr>
            <w:r>
              <w:rPr>
                <w:noProof/>
              </w:rPr>
              <w:t>TC-C12-r25</w:t>
            </w:r>
          </w:p>
        </w:tc>
        <w:tc>
          <w:tcPr>
            <w:tcW w:w="1134" w:type="dxa"/>
            <w:vMerge w:val="restart"/>
            <w:shd w:val="clear" w:color="auto" w:fill="C4EFCE"/>
            <w:noWrap/>
            <w:vAlign w:val="center"/>
            <w:hideMark/>
          </w:tcPr>
          <w:p w14:paraId="7B72424B" w14:textId="77777777" w:rsidR="00154AD2" w:rsidRDefault="007F6BF3">
            <w:pPr>
              <w:pStyle w:val="P68B1DB1-Normal8"/>
              <w:keepNext/>
              <w:spacing w:before="40" w:after="0" w:line="240" w:lineRule="auto"/>
              <w:jc w:val="center"/>
              <w:rPr>
                <w:rFonts w:eastAsia="Times New Roman" w:cs="Calibri"/>
                <w:noProof/>
              </w:rPr>
            </w:pPr>
            <w:r>
              <w:rPr>
                <w:noProof/>
              </w:rPr>
              <w:t>M</w:t>
            </w:r>
          </w:p>
        </w:tc>
        <w:tc>
          <w:tcPr>
            <w:tcW w:w="1701" w:type="dxa"/>
            <w:vMerge w:val="restart"/>
            <w:shd w:val="clear" w:color="auto" w:fill="C4EFCE"/>
            <w:noWrap/>
            <w:vAlign w:val="center"/>
            <w:hideMark/>
          </w:tcPr>
          <w:p w14:paraId="69664442" w14:textId="77777777" w:rsidR="00154AD2" w:rsidRDefault="007F6BF3">
            <w:pPr>
              <w:pStyle w:val="P68B1DB1-Normal8"/>
              <w:keepNext/>
              <w:spacing w:before="40" w:after="0" w:line="240" w:lineRule="auto"/>
              <w:jc w:val="center"/>
              <w:rPr>
                <w:rFonts w:eastAsia="Times New Roman" w:cs="Calibri"/>
                <w:noProof/>
              </w:rPr>
            </w:pPr>
            <w:r>
              <w:rPr>
                <w:noProof/>
              </w:rPr>
              <w:t>Έναρξη ισχύος του νέου γενικού καθεστώτος διαχείρισης αποβλήτων</w:t>
            </w:r>
          </w:p>
        </w:tc>
        <w:tc>
          <w:tcPr>
            <w:tcW w:w="1275" w:type="dxa"/>
            <w:vMerge w:val="restart"/>
            <w:shd w:val="clear" w:color="auto" w:fill="C4EFCE"/>
            <w:noWrap/>
            <w:vAlign w:val="center"/>
            <w:hideMark/>
          </w:tcPr>
          <w:p w14:paraId="1355927D" w14:textId="77777777" w:rsidR="00154AD2" w:rsidRDefault="007F6BF3">
            <w:pPr>
              <w:pStyle w:val="P68B1DB1-Normal8"/>
              <w:keepNext/>
              <w:spacing w:before="40" w:after="0" w:line="240" w:lineRule="auto"/>
              <w:jc w:val="center"/>
              <w:rPr>
                <w:rFonts w:eastAsia="Times New Roman" w:cs="Calibri"/>
                <w:noProof/>
              </w:rPr>
            </w:pPr>
            <w:r>
              <w:rPr>
                <w:noProof/>
              </w:rPr>
              <w:t>Έναρξη ισχύος του νέου γενικού καθεστώτος διαχείρισης αποβλήτων</w:t>
            </w:r>
          </w:p>
        </w:tc>
        <w:tc>
          <w:tcPr>
            <w:tcW w:w="993" w:type="dxa"/>
            <w:vMerge w:val="restart"/>
            <w:shd w:val="clear" w:color="auto" w:fill="C4EFCE"/>
            <w:noWrap/>
            <w:vAlign w:val="center"/>
            <w:hideMark/>
          </w:tcPr>
          <w:p w14:paraId="54E17836" w14:textId="77777777" w:rsidR="00154AD2" w:rsidRDefault="007F6BF3">
            <w:pPr>
              <w:pStyle w:val="P68B1DB1-Normal8"/>
              <w:keepNext/>
              <w:spacing w:before="40" w:after="0" w:line="240" w:lineRule="auto"/>
              <w:jc w:val="center"/>
              <w:rPr>
                <w:rFonts w:eastAsia="Times New Roman" w:cs="Calibri"/>
                <w:noProof/>
              </w:rPr>
            </w:pPr>
            <w:r>
              <w:rPr>
                <w:noProof/>
              </w:rPr>
              <w:t> </w:t>
            </w:r>
          </w:p>
        </w:tc>
        <w:tc>
          <w:tcPr>
            <w:tcW w:w="992" w:type="dxa"/>
            <w:vMerge w:val="restart"/>
            <w:shd w:val="clear" w:color="auto" w:fill="C4EFCE"/>
            <w:noWrap/>
            <w:vAlign w:val="center"/>
            <w:hideMark/>
          </w:tcPr>
          <w:p w14:paraId="68CD8F4C" w14:textId="77777777" w:rsidR="00154AD2" w:rsidRDefault="007F6BF3">
            <w:pPr>
              <w:pStyle w:val="P68B1DB1-Normal8"/>
              <w:keepNext/>
              <w:spacing w:before="40" w:after="0" w:line="240" w:lineRule="auto"/>
              <w:jc w:val="center"/>
              <w:rPr>
                <w:rFonts w:eastAsia="Times New Roman" w:cs="Calibri"/>
                <w:noProof/>
              </w:rPr>
            </w:pPr>
            <w:r>
              <w:rPr>
                <w:noProof/>
              </w:rPr>
              <w:t> </w:t>
            </w:r>
          </w:p>
        </w:tc>
        <w:tc>
          <w:tcPr>
            <w:tcW w:w="709" w:type="dxa"/>
            <w:vMerge w:val="restart"/>
            <w:shd w:val="clear" w:color="auto" w:fill="C4EFCE"/>
            <w:noWrap/>
            <w:vAlign w:val="center"/>
            <w:hideMark/>
          </w:tcPr>
          <w:p w14:paraId="30FF5517" w14:textId="77777777" w:rsidR="00154AD2" w:rsidRDefault="007F6BF3">
            <w:pPr>
              <w:pStyle w:val="P68B1DB1-Normal8"/>
              <w:keepNext/>
              <w:spacing w:before="40" w:after="0" w:line="240" w:lineRule="auto"/>
              <w:jc w:val="center"/>
              <w:rPr>
                <w:rFonts w:eastAsia="Times New Roman" w:cs="Calibri"/>
                <w:noProof/>
              </w:rPr>
            </w:pPr>
            <w:r>
              <w:rPr>
                <w:noProof/>
              </w:rPr>
              <w:t> </w:t>
            </w:r>
          </w:p>
        </w:tc>
        <w:tc>
          <w:tcPr>
            <w:tcW w:w="567" w:type="dxa"/>
            <w:vMerge w:val="restart"/>
            <w:shd w:val="clear" w:color="auto" w:fill="C4EFCE"/>
            <w:noWrap/>
            <w:vAlign w:val="center"/>
            <w:hideMark/>
          </w:tcPr>
          <w:p w14:paraId="4E701E35" w14:textId="77777777" w:rsidR="00154AD2" w:rsidRDefault="007F6BF3">
            <w:pPr>
              <w:pStyle w:val="P68B1DB1-Normal8"/>
              <w:keepNext/>
              <w:spacing w:before="40" w:after="0" w:line="240" w:lineRule="auto"/>
              <w:jc w:val="center"/>
              <w:rPr>
                <w:rFonts w:eastAsia="Times New Roman" w:cs="Calibri"/>
                <w:noProof/>
              </w:rPr>
            </w:pPr>
            <w:r>
              <w:rPr>
                <w:noProof/>
              </w:rPr>
              <w:t>ΤΡΊΜΗΝΟ 3</w:t>
            </w:r>
          </w:p>
        </w:tc>
        <w:tc>
          <w:tcPr>
            <w:tcW w:w="708" w:type="dxa"/>
            <w:vMerge w:val="restart"/>
            <w:shd w:val="clear" w:color="auto" w:fill="C4EFCE"/>
            <w:noWrap/>
            <w:vAlign w:val="center"/>
            <w:hideMark/>
          </w:tcPr>
          <w:p w14:paraId="3E43C2B4" w14:textId="77777777" w:rsidR="00154AD2" w:rsidRDefault="007F6BF3">
            <w:pPr>
              <w:pStyle w:val="P68B1DB1-Normal8"/>
              <w:keepNext/>
              <w:spacing w:before="40" w:after="0" w:line="240" w:lineRule="auto"/>
              <w:jc w:val="center"/>
              <w:rPr>
                <w:rFonts w:eastAsia="Times New Roman" w:cs="Calibri"/>
                <w:noProof/>
              </w:rPr>
            </w:pPr>
            <w:r>
              <w:rPr>
                <w:noProof/>
              </w:rPr>
              <w:t>2021</w:t>
            </w:r>
          </w:p>
        </w:tc>
        <w:tc>
          <w:tcPr>
            <w:tcW w:w="3969" w:type="dxa"/>
            <w:vMerge w:val="restart"/>
            <w:shd w:val="clear" w:color="auto" w:fill="C4EFCE"/>
            <w:vAlign w:val="center"/>
            <w:hideMark/>
          </w:tcPr>
          <w:p w14:paraId="48913900" w14:textId="77777777" w:rsidR="00154AD2" w:rsidRDefault="007F6BF3">
            <w:pPr>
              <w:pStyle w:val="P68B1DB1-Normal8"/>
              <w:keepNext/>
              <w:spacing w:before="40" w:after="0" w:line="240" w:lineRule="auto"/>
              <w:jc w:val="both"/>
              <w:rPr>
                <w:rFonts w:eastAsia="Times New Roman" w:cs="Calibri"/>
                <w:noProof/>
              </w:rPr>
            </w:pPr>
            <w:r>
              <w:rPr>
                <w:noProof/>
              </w:rPr>
              <w:t>Έναρξη ισχύος του νέου γενικού συστήματος διαχείρισης αποβλήτων (RGGR) που απλουστεύει τη διοικητική διαδικασία και μειώνει το κόστος που συνδέεται με τη χρήση υποπροϊόντων.</w:t>
            </w:r>
          </w:p>
        </w:tc>
      </w:tr>
      <w:tr w:rsidR="00154AD2" w14:paraId="586A7CD8" w14:textId="77777777">
        <w:trPr>
          <w:trHeight w:val="509"/>
        </w:trPr>
        <w:tc>
          <w:tcPr>
            <w:tcW w:w="1135" w:type="dxa"/>
            <w:vMerge/>
            <w:vAlign w:val="center"/>
            <w:hideMark/>
          </w:tcPr>
          <w:p w14:paraId="0DB010B9" w14:textId="77777777" w:rsidR="00154AD2" w:rsidRDefault="00154AD2">
            <w:pPr>
              <w:keepNext/>
              <w:spacing w:before="40" w:after="0" w:line="240" w:lineRule="auto"/>
              <w:jc w:val="both"/>
              <w:rPr>
                <w:rFonts w:ascii="Calibri" w:eastAsia="Times New Roman" w:hAnsi="Calibri" w:cs="Calibri"/>
                <w:b/>
                <w:noProof/>
                <w:sz w:val="16"/>
              </w:rPr>
            </w:pPr>
          </w:p>
        </w:tc>
        <w:tc>
          <w:tcPr>
            <w:tcW w:w="1276" w:type="dxa"/>
            <w:vMerge/>
            <w:vAlign w:val="center"/>
            <w:hideMark/>
          </w:tcPr>
          <w:p w14:paraId="367E3F02" w14:textId="77777777" w:rsidR="00154AD2" w:rsidRDefault="00154AD2">
            <w:pPr>
              <w:keepNext/>
              <w:spacing w:before="40" w:after="0" w:line="240" w:lineRule="auto"/>
              <w:jc w:val="both"/>
              <w:rPr>
                <w:rFonts w:ascii="Calibri" w:eastAsia="Times New Roman" w:hAnsi="Calibri" w:cs="Calibri"/>
                <w:noProof/>
                <w:sz w:val="16"/>
              </w:rPr>
            </w:pPr>
          </w:p>
        </w:tc>
        <w:tc>
          <w:tcPr>
            <w:tcW w:w="1134" w:type="dxa"/>
            <w:vMerge/>
            <w:vAlign w:val="center"/>
            <w:hideMark/>
          </w:tcPr>
          <w:p w14:paraId="2443F33D" w14:textId="77777777" w:rsidR="00154AD2" w:rsidRDefault="00154AD2">
            <w:pPr>
              <w:keepNext/>
              <w:spacing w:before="40" w:after="0" w:line="240" w:lineRule="auto"/>
              <w:jc w:val="both"/>
              <w:rPr>
                <w:rFonts w:ascii="Calibri" w:eastAsia="Times New Roman" w:hAnsi="Calibri" w:cs="Calibri"/>
                <w:noProof/>
                <w:sz w:val="16"/>
              </w:rPr>
            </w:pPr>
          </w:p>
        </w:tc>
        <w:tc>
          <w:tcPr>
            <w:tcW w:w="1701" w:type="dxa"/>
            <w:vMerge/>
            <w:vAlign w:val="center"/>
            <w:hideMark/>
          </w:tcPr>
          <w:p w14:paraId="5DD737E3" w14:textId="77777777" w:rsidR="00154AD2" w:rsidRDefault="00154AD2">
            <w:pPr>
              <w:keepNext/>
              <w:spacing w:before="40" w:after="0" w:line="240" w:lineRule="auto"/>
              <w:jc w:val="both"/>
              <w:rPr>
                <w:rFonts w:ascii="Calibri" w:eastAsia="Times New Roman" w:hAnsi="Calibri" w:cs="Calibri"/>
                <w:noProof/>
                <w:sz w:val="16"/>
              </w:rPr>
            </w:pPr>
          </w:p>
        </w:tc>
        <w:tc>
          <w:tcPr>
            <w:tcW w:w="1275" w:type="dxa"/>
            <w:vMerge/>
            <w:vAlign w:val="center"/>
            <w:hideMark/>
          </w:tcPr>
          <w:p w14:paraId="2487D94E" w14:textId="77777777" w:rsidR="00154AD2" w:rsidRDefault="00154AD2">
            <w:pPr>
              <w:keepNext/>
              <w:spacing w:before="40" w:after="0" w:line="240" w:lineRule="auto"/>
              <w:jc w:val="both"/>
              <w:rPr>
                <w:rFonts w:ascii="Calibri" w:eastAsia="Times New Roman" w:hAnsi="Calibri" w:cs="Calibri"/>
                <w:noProof/>
                <w:sz w:val="16"/>
              </w:rPr>
            </w:pPr>
          </w:p>
        </w:tc>
        <w:tc>
          <w:tcPr>
            <w:tcW w:w="993" w:type="dxa"/>
            <w:vMerge/>
            <w:vAlign w:val="center"/>
            <w:hideMark/>
          </w:tcPr>
          <w:p w14:paraId="0AA85703" w14:textId="77777777" w:rsidR="00154AD2" w:rsidRDefault="00154AD2">
            <w:pPr>
              <w:keepNext/>
              <w:spacing w:before="40" w:after="0" w:line="240" w:lineRule="auto"/>
              <w:jc w:val="both"/>
              <w:rPr>
                <w:rFonts w:ascii="Calibri" w:eastAsia="Times New Roman" w:hAnsi="Calibri" w:cs="Calibri"/>
                <w:noProof/>
                <w:sz w:val="16"/>
              </w:rPr>
            </w:pPr>
          </w:p>
        </w:tc>
        <w:tc>
          <w:tcPr>
            <w:tcW w:w="992" w:type="dxa"/>
            <w:vMerge/>
            <w:vAlign w:val="center"/>
            <w:hideMark/>
          </w:tcPr>
          <w:p w14:paraId="771EC11D" w14:textId="77777777" w:rsidR="00154AD2" w:rsidRDefault="00154AD2">
            <w:pPr>
              <w:keepNext/>
              <w:spacing w:before="40" w:after="0" w:line="240" w:lineRule="auto"/>
              <w:jc w:val="both"/>
              <w:rPr>
                <w:rFonts w:ascii="Calibri" w:eastAsia="Times New Roman" w:hAnsi="Calibri" w:cs="Calibri"/>
                <w:noProof/>
                <w:sz w:val="16"/>
              </w:rPr>
            </w:pPr>
          </w:p>
        </w:tc>
        <w:tc>
          <w:tcPr>
            <w:tcW w:w="709" w:type="dxa"/>
            <w:vMerge/>
            <w:vAlign w:val="center"/>
            <w:hideMark/>
          </w:tcPr>
          <w:p w14:paraId="71E36A1F" w14:textId="77777777" w:rsidR="00154AD2" w:rsidRDefault="00154AD2">
            <w:pPr>
              <w:keepNext/>
              <w:spacing w:before="40" w:after="0" w:line="240" w:lineRule="auto"/>
              <w:jc w:val="both"/>
              <w:rPr>
                <w:rFonts w:ascii="Calibri" w:eastAsia="Times New Roman" w:hAnsi="Calibri" w:cs="Calibri"/>
                <w:noProof/>
                <w:sz w:val="16"/>
              </w:rPr>
            </w:pPr>
          </w:p>
        </w:tc>
        <w:tc>
          <w:tcPr>
            <w:tcW w:w="567" w:type="dxa"/>
            <w:vMerge/>
            <w:vAlign w:val="center"/>
            <w:hideMark/>
          </w:tcPr>
          <w:p w14:paraId="3C6B1961" w14:textId="77777777" w:rsidR="00154AD2" w:rsidRDefault="00154AD2">
            <w:pPr>
              <w:keepNext/>
              <w:spacing w:before="40" w:after="0" w:line="240" w:lineRule="auto"/>
              <w:jc w:val="both"/>
              <w:rPr>
                <w:rFonts w:ascii="Calibri" w:eastAsia="Times New Roman" w:hAnsi="Calibri" w:cs="Calibri"/>
                <w:noProof/>
                <w:sz w:val="16"/>
              </w:rPr>
            </w:pPr>
          </w:p>
        </w:tc>
        <w:tc>
          <w:tcPr>
            <w:tcW w:w="708" w:type="dxa"/>
            <w:vMerge/>
            <w:vAlign w:val="center"/>
            <w:hideMark/>
          </w:tcPr>
          <w:p w14:paraId="73B96A4A" w14:textId="77777777" w:rsidR="00154AD2" w:rsidRDefault="00154AD2">
            <w:pPr>
              <w:keepNext/>
              <w:spacing w:before="40" w:after="0" w:line="240" w:lineRule="auto"/>
              <w:jc w:val="both"/>
              <w:rPr>
                <w:rFonts w:ascii="Calibri" w:eastAsia="Times New Roman" w:hAnsi="Calibri" w:cs="Calibri"/>
                <w:noProof/>
                <w:sz w:val="16"/>
              </w:rPr>
            </w:pPr>
          </w:p>
        </w:tc>
        <w:tc>
          <w:tcPr>
            <w:tcW w:w="3969" w:type="dxa"/>
            <w:vMerge/>
            <w:vAlign w:val="center"/>
            <w:hideMark/>
          </w:tcPr>
          <w:p w14:paraId="2B2F80BC" w14:textId="77777777" w:rsidR="00154AD2" w:rsidRDefault="00154AD2">
            <w:pPr>
              <w:keepNext/>
              <w:spacing w:before="40" w:after="0" w:line="240" w:lineRule="auto"/>
              <w:jc w:val="both"/>
              <w:rPr>
                <w:rFonts w:ascii="Calibri" w:eastAsia="Times New Roman" w:hAnsi="Calibri" w:cs="Calibri"/>
                <w:noProof/>
                <w:sz w:val="16"/>
              </w:rPr>
            </w:pPr>
          </w:p>
        </w:tc>
      </w:tr>
      <w:tr w:rsidR="00154AD2" w14:paraId="2697EE8C" w14:textId="77777777">
        <w:trPr>
          <w:trHeight w:val="640"/>
        </w:trPr>
        <w:tc>
          <w:tcPr>
            <w:tcW w:w="1135" w:type="dxa"/>
            <w:shd w:val="clear" w:color="auto" w:fill="C4EFCE"/>
            <w:vAlign w:val="center"/>
            <w:hideMark/>
          </w:tcPr>
          <w:p w14:paraId="08444E6D" w14:textId="77777777" w:rsidR="00154AD2" w:rsidRDefault="007F6BF3">
            <w:pPr>
              <w:pStyle w:val="P68B1DB1-Normal7"/>
              <w:keepNext/>
              <w:spacing w:before="40" w:after="0" w:line="240" w:lineRule="auto"/>
              <w:jc w:val="center"/>
              <w:rPr>
                <w:rFonts w:eastAsia="Times New Roman" w:cs="Calibri"/>
                <w:noProof/>
              </w:rPr>
            </w:pPr>
            <w:r>
              <w:rPr>
                <w:noProof/>
              </w:rPr>
              <w:t>12.6</w:t>
            </w:r>
          </w:p>
        </w:tc>
        <w:tc>
          <w:tcPr>
            <w:tcW w:w="1276" w:type="dxa"/>
            <w:shd w:val="clear" w:color="auto" w:fill="C4EFCE"/>
            <w:noWrap/>
            <w:vAlign w:val="center"/>
            <w:hideMark/>
          </w:tcPr>
          <w:p w14:paraId="3F816AEA" w14:textId="77777777" w:rsidR="00154AD2" w:rsidRDefault="007F6BF3">
            <w:pPr>
              <w:pStyle w:val="P68B1DB1-Normal8"/>
              <w:keepNext/>
              <w:spacing w:before="40" w:after="0" w:line="240" w:lineRule="auto"/>
              <w:jc w:val="center"/>
              <w:rPr>
                <w:rFonts w:eastAsia="Times New Roman" w:cs="Calibri"/>
                <w:noProof/>
              </w:rPr>
            </w:pPr>
            <w:r>
              <w:rPr>
                <w:noProof/>
              </w:rPr>
              <w:t>TC-C12-r25</w:t>
            </w:r>
          </w:p>
        </w:tc>
        <w:tc>
          <w:tcPr>
            <w:tcW w:w="1134" w:type="dxa"/>
            <w:shd w:val="clear" w:color="auto" w:fill="C4EFCE"/>
            <w:noWrap/>
            <w:vAlign w:val="center"/>
            <w:hideMark/>
          </w:tcPr>
          <w:p w14:paraId="62EF5924" w14:textId="77777777" w:rsidR="00154AD2" w:rsidRDefault="007F6BF3">
            <w:pPr>
              <w:pStyle w:val="P68B1DB1-Normal8"/>
              <w:keepNext/>
              <w:spacing w:before="40" w:after="0" w:line="240" w:lineRule="auto"/>
              <w:jc w:val="center"/>
              <w:rPr>
                <w:rFonts w:eastAsia="Times New Roman" w:cs="Calibri"/>
                <w:noProof/>
              </w:rPr>
            </w:pPr>
            <w:r>
              <w:rPr>
                <w:noProof/>
              </w:rPr>
              <w:t>M</w:t>
            </w:r>
          </w:p>
        </w:tc>
        <w:tc>
          <w:tcPr>
            <w:tcW w:w="1701" w:type="dxa"/>
            <w:shd w:val="clear" w:color="auto" w:fill="C4EFCE"/>
            <w:noWrap/>
            <w:vAlign w:val="center"/>
            <w:hideMark/>
          </w:tcPr>
          <w:p w14:paraId="133B9485" w14:textId="77777777" w:rsidR="00154AD2" w:rsidRDefault="007F6BF3">
            <w:pPr>
              <w:pStyle w:val="P68B1DB1-Normal8"/>
              <w:keepNext/>
              <w:spacing w:before="40" w:after="0" w:line="240" w:lineRule="auto"/>
              <w:jc w:val="center"/>
              <w:rPr>
                <w:rFonts w:eastAsia="Times New Roman" w:cs="Calibri"/>
                <w:noProof/>
              </w:rPr>
            </w:pPr>
            <w:r>
              <w:rPr>
                <w:noProof/>
              </w:rPr>
              <w:t xml:space="preserve">Έναρξη ισχύος της αναθεωρημένης εθνικής στρατηγικής για τις πράσινες δημόσιες συμβάσεις  </w:t>
            </w:r>
          </w:p>
        </w:tc>
        <w:tc>
          <w:tcPr>
            <w:tcW w:w="1275" w:type="dxa"/>
            <w:shd w:val="clear" w:color="auto" w:fill="C4EFCE"/>
            <w:noWrap/>
            <w:vAlign w:val="center"/>
            <w:hideMark/>
          </w:tcPr>
          <w:p w14:paraId="6FBD6F01" w14:textId="77777777" w:rsidR="00154AD2" w:rsidRDefault="007F6BF3">
            <w:pPr>
              <w:pStyle w:val="P68B1DB1-Normal8"/>
              <w:keepNext/>
              <w:spacing w:before="40" w:after="0" w:line="240" w:lineRule="auto"/>
              <w:jc w:val="center"/>
              <w:rPr>
                <w:rFonts w:eastAsia="Times New Roman" w:cs="Calibri"/>
                <w:noProof/>
              </w:rPr>
            </w:pPr>
            <w:r>
              <w:rPr>
                <w:noProof/>
              </w:rPr>
              <w:t xml:space="preserve"> Έναρξη ισχύος της αναθεωρημένης εθνικής στρατηγικής για τις πράσινες δημόσιες συμβάσεις</w:t>
            </w:r>
          </w:p>
        </w:tc>
        <w:tc>
          <w:tcPr>
            <w:tcW w:w="993" w:type="dxa"/>
            <w:shd w:val="clear" w:color="auto" w:fill="C4EFCE"/>
            <w:noWrap/>
            <w:vAlign w:val="center"/>
            <w:hideMark/>
          </w:tcPr>
          <w:p w14:paraId="51587E83" w14:textId="77777777" w:rsidR="00154AD2" w:rsidRDefault="007F6BF3">
            <w:pPr>
              <w:pStyle w:val="P68B1DB1-Normal8"/>
              <w:keepNext/>
              <w:spacing w:before="40" w:after="0" w:line="240" w:lineRule="auto"/>
              <w:jc w:val="center"/>
              <w:rPr>
                <w:rFonts w:eastAsia="Times New Roman" w:cs="Calibri"/>
                <w:noProof/>
              </w:rPr>
            </w:pPr>
            <w:r>
              <w:rPr>
                <w:noProof/>
              </w:rPr>
              <w:t> </w:t>
            </w:r>
          </w:p>
        </w:tc>
        <w:tc>
          <w:tcPr>
            <w:tcW w:w="992" w:type="dxa"/>
            <w:shd w:val="clear" w:color="auto" w:fill="C4EFCE"/>
            <w:noWrap/>
            <w:vAlign w:val="center"/>
            <w:hideMark/>
          </w:tcPr>
          <w:p w14:paraId="4AFA38E3" w14:textId="77777777" w:rsidR="00154AD2" w:rsidRDefault="007F6BF3">
            <w:pPr>
              <w:pStyle w:val="P68B1DB1-Normal8"/>
              <w:keepNext/>
              <w:spacing w:before="40" w:after="0" w:line="240" w:lineRule="auto"/>
              <w:jc w:val="center"/>
              <w:rPr>
                <w:rFonts w:eastAsia="Times New Roman" w:cs="Calibri"/>
                <w:noProof/>
              </w:rPr>
            </w:pPr>
            <w:r>
              <w:rPr>
                <w:noProof/>
              </w:rPr>
              <w:t> </w:t>
            </w:r>
          </w:p>
        </w:tc>
        <w:tc>
          <w:tcPr>
            <w:tcW w:w="709" w:type="dxa"/>
            <w:shd w:val="clear" w:color="auto" w:fill="C4EFCE"/>
            <w:noWrap/>
            <w:vAlign w:val="center"/>
            <w:hideMark/>
          </w:tcPr>
          <w:p w14:paraId="7C65395F" w14:textId="77777777" w:rsidR="00154AD2" w:rsidRDefault="007F6BF3">
            <w:pPr>
              <w:pStyle w:val="P68B1DB1-Normal8"/>
              <w:keepNext/>
              <w:spacing w:before="40" w:after="0" w:line="240" w:lineRule="auto"/>
              <w:jc w:val="center"/>
              <w:rPr>
                <w:rFonts w:eastAsia="Times New Roman" w:cs="Calibri"/>
                <w:noProof/>
              </w:rPr>
            </w:pPr>
            <w:r>
              <w:rPr>
                <w:noProof/>
              </w:rPr>
              <w:t> </w:t>
            </w:r>
          </w:p>
        </w:tc>
        <w:tc>
          <w:tcPr>
            <w:tcW w:w="567" w:type="dxa"/>
            <w:shd w:val="clear" w:color="auto" w:fill="C4EFCE"/>
            <w:noWrap/>
            <w:vAlign w:val="center"/>
            <w:hideMark/>
          </w:tcPr>
          <w:p w14:paraId="5256FAB4" w14:textId="77777777" w:rsidR="00154AD2" w:rsidRDefault="007F6BF3">
            <w:pPr>
              <w:pStyle w:val="P68B1DB1-Normal8"/>
              <w:keepNext/>
              <w:spacing w:before="40" w:after="0" w:line="240" w:lineRule="auto"/>
              <w:jc w:val="center"/>
              <w:rPr>
                <w:rFonts w:eastAsia="Times New Roman" w:cs="Calibri"/>
                <w:noProof/>
              </w:rPr>
            </w:pPr>
            <w:r>
              <w:rPr>
                <w:noProof/>
              </w:rPr>
              <w:t>ΤΡΊΜΗΝΟ 3</w:t>
            </w:r>
          </w:p>
        </w:tc>
        <w:tc>
          <w:tcPr>
            <w:tcW w:w="708" w:type="dxa"/>
            <w:shd w:val="clear" w:color="auto" w:fill="C4EFCE"/>
            <w:noWrap/>
            <w:vAlign w:val="center"/>
            <w:hideMark/>
          </w:tcPr>
          <w:p w14:paraId="6DDCBBB5" w14:textId="77777777" w:rsidR="00154AD2" w:rsidRDefault="007F6BF3">
            <w:pPr>
              <w:pStyle w:val="P68B1DB1-Normal8"/>
              <w:keepNext/>
              <w:spacing w:before="40" w:after="0" w:line="240" w:lineRule="auto"/>
              <w:jc w:val="center"/>
              <w:rPr>
                <w:rFonts w:eastAsia="Times New Roman" w:cs="Calibri"/>
                <w:noProof/>
              </w:rPr>
            </w:pPr>
            <w:r>
              <w:rPr>
                <w:noProof/>
              </w:rPr>
              <w:t>2022</w:t>
            </w:r>
          </w:p>
        </w:tc>
        <w:tc>
          <w:tcPr>
            <w:tcW w:w="3969" w:type="dxa"/>
            <w:shd w:val="clear" w:color="auto" w:fill="C4EFCE"/>
            <w:vAlign w:val="center"/>
            <w:hideMark/>
          </w:tcPr>
          <w:p w14:paraId="4819F34F" w14:textId="77777777" w:rsidR="00154AD2" w:rsidRDefault="007F6BF3">
            <w:pPr>
              <w:pStyle w:val="P68B1DB1-Normal8"/>
              <w:keepNext/>
              <w:spacing w:before="40" w:after="0" w:line="240" w:lineRule="auto"/>
              <w:jc w:val="both"/>
              <w:rPr>
                <w:rFonts w:eastAsia="Times New Roman" w:cs="Calibri"/>
                <w:noProof/>
              </w:rPr>
            </w:pPr>
            <w:r>
              <w:rPr>
                <w:noProof/>
              </w:rPr>
              <w:t>Έναρξη ισχύος της αναθεωρημένης εθνικής στρατηγικής για τις πράσινες δημόσιες συμβάσεις, η οποία καθορίζει οικολογικά κριτήρια σχετικά με την προμήθεια υπηρεσιών και προϊόντων που ενσωματώνουν βιώσιμα υλικά βιολογικής προέλευσης, μεταξύ άλλων μέσω της εισαγωγής υποχρεωτικών οικολογικών κριτηρίων.</w:t>
            </w:r>
          </w:p>
        </w:tc>
      </w:tr>
      <w:tr w:rsidR="00154AD2" w14:paraId="16B20D57" w14:textId="77777777">
        <w:trPr>
          <w:trHeight w:val="640"/>
        </w:trPr>
        <w:tc>
          <w:tcPr>
            <w:tcW w:w="1135" w:type="dxa"/>
            <w:shd w:val="clear" w:color="auto" w:fill="C4EFCE"/>
            <w:vAlign w:val="center"/>
          </w:tcPr>
          <w:p w14:paraId="39C49F59" w14:textId="55C321DD" w:rsidR="00154AD2" w:rsidRDefault="007F6BF3">
            <w:pPr>
              <w:pStyle w:val="P68B1DB1-Normal11"/>
              <w:keepNext/>
              <w:spacing w:before="40" w:after="0" w:line="240" w:lineRule="auto"/>
              <w:jc w:val="center"/>
              <w:rPr>
                <w:rFonts w:eastAsia="Times New Roman" w:cstheme="minorHAnsi"/>
                <w:noProof/>
              </w:rPr>
            </w:pPr>
            <w:r>
              <w:rPr>
                <w:noProof/>
              </w:rPr>
              <w:t>12.7</w:t>
            </w:r>
          </w:p>
        </w:tc>
        <w:tc>
          <w:tcPr>
            <w:tcW w:w="1276" w:type="dxa"/>
            <w:shd w:val="clear" w:color="auto" w:fill="C4EFCE"/>
            <w:noWrap/>
            <w:vAlign w:val="center"/>
          </w:tcPr>
          <w:p w14:paraId="4721E143" w14:textId="51E9943A" w:rsidR="00154AD2" w:rsidRDefault="007F6BF3">
            <w:pPr>
              <w:pStyle w:val="P68B1DB1-Normal12"/>
              <w:keepNext/>
              <w:spacing w:before="40" w:after="0" w:line="240" w:lineRule="auto"/>
              <w:jc w:val="center"/>
              <w:rPr>
                <w:rFonts w:eastAsia="Times New Roman" w:cstheme="minorHAnsi"/>
                <w:noProof/>
              </w:rPr>
            </w:pPr>
            <w:r>
              <w:rPr>
                <w:noProof/>
              </w:rPr>
              <w:t>TC-C12-r39</w:t>
            </w:r>
          </w:p>
        </w:tc>
        <w:tc>
          <w:tcPr>
            <w:tcW w:w="1134" w:type="dxa"/>
            <w:shd w:val="clear" w:color="auto" w:fill="C4EFCE"/>
            <w:noWrap/>
            <w:vAlign w:val="center"/>
          </w:tcPr>
          <w:p w14:paraId="79CBAF90" w14:textId="55797804" w:rsidR="00154AD2" w:rsidRDefault="007F6BF3">
            <w:pPr>
              <w:pStyle w:val="P68B1DB1-Normal12"/>
              <w:keepNext/>
              <w:spacing w:before="40" w:after="0" w:line="240" w:lineRule="auto"/>
              <w:jc w:val="center"/>
              <w:rPr>
                <w:rFonts w:eastAsia="Times New Roman" w:cstheme="minorHAnsi"/>
                <w:noProof/>
              </w:rPr>
            </w:pPr>
            <w:r>
              <w:rPr>
                <w:noProof/>
              </w:rPr>
              <w:t>M</w:t>
            </w:r>
          </w:p>
        </w:tc>
        <w:tc>
          <w:tcPr>
            <w:tcW w:w="1701" w:type="dxa"/>
            <w:shd w:val="clear" w:color="auto" w:fill="C4EFCE"/>
            <w:noWrap/>
            <w:vAlign w:val="center"/>
          </w:tcPr>
          <w:p w14:paraId="161B1A8E" w14:textId="2FFE12A3" w:rsidR="00154AD2" w:rsidRDefault="007F6BF3">
            <w:pPr>
              <w:pStyle w:val="P68B1DB1-Normal12"/>
              <w:keepNext/>
              <w:spacing w:before="40" w:after="0" w:line="240" w:lineRule="auto"/>
              <w:jc w:val="center"/>
              <w:rPr>
                <w:rFonts w:eastAsia="Times New Roman" w:cstheme="minorHAnsi"/>
                <w:noProof/>
              </w:rPr>
            </w:pPr>
            <w:r>
              <w:rPr>
                <w:noProof/>
              </w:rPr>
              <w:t>Έναρξη ισχύος του εναρμονισμένου ορισμού των κριτηρίων για την οικολογική διαφοροποίηση</w:t>
            </w:r>
          </w:p>
        </w:tc>
        <w:tc>
          <w:tcPr>
            <w:tcW w:w="1275" w:type="dxa"/>
            <w:shd w:val="clear" w:color="auto" w:fill="C4EFCE"/>
            <w:noWrap/>
            <w:vAlign w:val="center"/>
          </w:tcPr>
          <w:p w14:paraId="28D67B26" w14:textId="01B175F2" w:rsidR="00154AD2" w:rsidRDefault="007F6BF3">
            <w:pPr>
              <w:pStyle w:val="P68B1DB1-Normal12"/>
              <w:keepNext/>
              <w:spacing w:before="40" w:after="0" w:line="240" w:lineRule="auto"/>
              <w:jc w:val="center"/>
              <w:rPr>
                <w:rFonts w:eastAsia="Times New Roman" w:cstheme="minorHAnsi"/>
                <w:noProof/>
              </w:rPr>
            </w:pPr>
            <w:r>
              <w:rPr>
                <w:noProof/>
              </w:rPr>
              <w:t>Διάταξη της νομικής πράξης που αναφέρει την έναρξη ισχύος του εναρμονισμένου ορισμού των κριτηρίων για την οικολογική διαφοροποίηση</w:t>
            </w:r>
          </w:p>
        </w:tc>
        <w:tc>
          <w:tcPr>
            <w:tcW w:w="993" w:type="dxa"/>
            <w:shd w:val="clear" w:color="auto" w:fill="C4EFCE"/>
            <w:noWrap/>
            <w:vAlign w:val="center"/>
          </w:tcPr>
          <w:p w14:paraId="473F382C" w14:textId="77777777" w:rsidR="00154AD2" w:rsidRDefault="00154AD2">
            <w:pPr>
              <w:keepNext/>
              <w:spacing w:before="40" w:after="0" w:line="240" w:lineRule="auto"/>
              <w:jc w:val="center"/>
              <w:rPr>
                <w:rFonts w:eastAsia="Times New Roman" w:cstheme="minorHAnsi"/>
                <w:noProof/>
                <w:sz w:val="16"/>
              </w:rPr>
            </w:pPr>
          </w:p>
        </w:tc>
        <w:tc>
          <w:tcPr>
            <w:tcW w:w="992" w:type="dxa"/>
            <w:shd w:val="clear" w:color="auto" w:fill="C4EFCE"/>
            <w:noWrap/>
            <w:vAlign w:val="center"/>
          </w:tcPr>
          <w:p w14:paraId="5F5AC1E1" w14:textId="77777777" w:rsidR="00154AD2" w:rsidRDefault="00154AD2">
            <w:pPr>
              <w:keepNext/>
              <w:spacing w:before="40" w:after="0" w:line="240" w:lineRule="auto"/>
              <w:jc w:val="center"/>
              <w:rPr>
                <w:rFonts w:eastAsia="Times New Roman" w:cstheme="minorHAnsi"/>
                <w:noProof/>
                <w:sz w:val="16"/>
              </w:rPr>
            </w:pPr>
          </w:p>
        </w:tc>
        <w:tc>
          <w:tcPr>
            <w:tcW w:w="709" w:type="dxa"/>
            <w:shd w:val="clear" w:color="auto" w:fill="C4EFCE"/>
            <w:noWrap/>
            <w:vAlign w:val="center"/>
          </w:tcPr>
          <w:p w14:paraId="37CCC309" w14:textId="77777777" w:rsidR="00154AD2" w:rsidRDefault="00154AD2">
            <w:pPr>
              <w:keepNext/>
              <w:spacing w:before="40" w:after="0" w:line="240" w:lineRule="auto"/>
              <w:jc w:val="center"/>
              <w:rPr>
                <w:rFonts w:eastAsia="Times New Roman" w:cstheme="minorHAnsi"/>
                <w:noProof/>
                <w:sz w:val="16"/>
              </w:rPr>
            </w:pPr>
          </w:p>
        </w:tc>
        <w:tc>
          <w:tcPr>
            <w:tcW w:w="567" w:type="dxa"/>
            <w:shd w:val="clear" w:color="auto" w:fill="C4EFCE"/>
            <w:noWrap/>
            <w:vAlign w:val="center"/>
          </w:tcPr>
          <w:p w14:paraId="4562F222" w14:textId="2D8B530C" w:rsidR="00154AD2" w:rsidRDefault="007F6BF3">
            <w:pPr>
              <w:pStyle w:val="P68B1DB1-Normal12"/>
              <w:keepNext/>
              <w:spacing w:before="40" w:after="0" w:line="240" w:lineRule="auto"/>
              <w:jc w:val="center"/>
              <w:rPr>
                <w:rFonts w:eastAsia="Times New Roman" w:cstheme="minorHAnsi"/>
                <w:noProof/>
              </w:rPr>
            </w:pPr>
            <w:r>
              <w:rPr>
                <w:noProof/>
              </w:rPr>
              <w:t>ΤΡΊΜΗΝΟ 4</w:t>
            </w:r>
          </w:p>
        </w:tc>
        <w:tc>
          <w:tcPr>
            <w:tcW w:w="708" w:type="dxa"/>
            <w:shd w:val="clear" w:color="auto" w:fill="C4EFCE"/>
            <w:noWrap/>
            <w:vAlign w:val="center"/>
          </w:tcPr>
          <w:p w14:paraId="7FEFCF39" w14:textId="54FDBFEF" w:rsidR="00154AD2" w:rsidRDefault="007F6BF3">
            <w:pPr>
              <w:pStyle w:val="P68B1DB1-Normal12"/>
              <w:keepNext/>
              <w:spacing w:before="40" w:after="0" w:line="240" w:lineRule="auto"/>
              <w:jc w:val="center"/>
              <w:rPr>
                <w:rFonts w:eastAsia="Times New Roman" w:cstheme="minorHAnsi"/>
                <w:noProof/>
              </w:rPr>
            </w:pPr>
            <w:r>
              <w:rPr>
                <w:noProof/>
              </w:rPr>
              <w:t>2023</w:t>
            </w:r>
          </w:p>
        </w:tc>
        <w:tc>
          <w:tcPr>
            <w:tcW w:w="3969" w:type="dxa"/>
            <w:shd w:val="clear" w:color="auto" w:fill="C4EFCE"/>
            <w:vAlign w:val="center"/>
          </w:tcPr>
          <w:p w14:paraId="2DEDCBD9" w14:textId="1740201F" w:rsidR="00154AD2" w:rsidRDefault="007F6BF3">
            <w:pPr>
              <w:pStyle w:val="P68B1DB1-Normal12"/>
              <w:keepNext/>
              <w:spacing w:before="40" w:after="0" w:line="240" w:lineRule="auto"/>
              <w:jc w:val="both"/>
              <w:rPr>
                <w:rFonts w:eastAsia="Times New Roman" w:cstheme="minorHAnsi"/>
                <w:noProof/>
              </w:rPr>
            </w:pPr>
            <w:r>
              <w:rPr>
                <w:noProof/>
              </w:rPr>
              <w:t>Έναρξη ισχύος νομικής πράξης που καθορίζει εναρμονισμένο και υποχρεωτικό ορισμό των κριτηρίων για την οικολογική διαφοροποίηση των οικονομικών οφελών σε ολοκληρωμένα συστήματα στο πλαίσιο της διευρυμένης ευθύνης του παραγωγού.</w:t>
            </w:r>
          </w:p>
        </w:tc>
      </w:tr>
      <w:tr w:rsidR="00154AD2" w14:paraId="62815762" w14:textId="77777777">
        <w:trPr>
          <w:trHeight w:val="640"/>
        </w:trPr>
        <w:tc>
          <w:tcPr>
            <w:tcW w:w="1135" w:type="dxa"/>
            <w:shd w:val="clear" w:color="auto" w:fill="C4EFCE"/>
            <w:vAlign w:val="center"/>
          </w:tcPr>
          <w:p w14:paraId="07AC7261" w14:textId="275A6E6F" w:rsidR="00154AD2" w:rsidRDefault="007F6BF3">
            <w:pPr>
              <w:pStyle w:val="P68B1DB1-Normal11"/>
              <w:keepNext/>
              <w:spacing w:before="40" w:after="0" w:line="240" w:lineRule="auto"/>
              <w:jc w:val="center"/>
              <w:rPr>
                <w:rFonts w:eastAsia="Times New Roman" w:cstheme="minorHAnsi"/>
                <w:noProof/>
              </w:rPr>
            </w:pPr>
            <w:r>
              <w:rPr>
                <w:noProof/>
              </w:rPr>
              <w:t>12.8</w:t>
            </w:r>
          </w:p>
        </w:tc>
        <w:tc>
          <w:tcPr>
            <w:tcW w:w="1276" w:type="dxa"/>
            <w:shd w:val="clear" w:color="auto" w:fill="C4EFCE"/>
            <w:noWrap/>
            <w:vAlign w:val="center"/>
          </w:tcPr>
          <w:p w14:paraId="7DACBA0B" w14:textId="5F170093" w:rsidR="00154AD2" w:rsidRDefault="007F6BF3">
            <w:pPr>
              <w:pStyle w:val="P68B1DB1-Normal12"/>
              <w:keepNext/>
              <w:spacing w:before="40" w:after="0" w:line="240" w:lineRule="auto"/>
              <w:jc w:val="center"/>
              <w:rPr>
                <w:rFonts w:eastAsia="Times New Roman" w:cstheme="minorHAnsi"/>
                <w:noProof/>
              </w:rPr>
            </w:pPr>
            <w:r>
              <w:rPr>
                <w:noProof/>
              </w:rPr>
              <w:t>TC-C12-r39</w:t>
            </w:r>
          </w:p>
        </w:tc>
        <w:tc>
          <w:tcPr>
            <w:tcW w:w="1134" w:type="dxa"/>
            <w:shd w:val="clear" w:color="auto" w:fill="C4EFCE"/>
            <w:noWrap/>
            <w:vAlign w:val="center"/>
          </w:tcPr>
          <w:p w14:paraId="666A2AC9" w14:textId="0BD59B92" w:rsidR="00154AD2" w:rsidRDefault="007F6BF3">
            <w:pPr>
              <w:pStyle w:val="P68B1DB1-Normal12"/>
              <w:keepNext/>
              <w:spacing w:before="40" w:after="0" w:line="240" w:lineRule="auto"/>
              <w:jc w:val="center"/>
              <w:rPr>
                <w:rFonts w:eastAsia="Times New Roman" w:cstheme="minorHAnsi"/>
                <w:noProof/>
              </w:rPr>
            </w:pPr>
            <w:r>
              <w:rPr>
                <w:noProof/>
              </w:rPr>
              <w:t>M</w:t>
            </w:r>
          </w:p>
        </w:tc>
        <w:tc>
          <w:tcPr>
            <w:tcW w:w="1701" w:type="dxa"/>
            <w:shd w:val="clear" w:color="auto" w:fill="C4EFCE"/>
            <w:noWrap/>
            <w:vAlign w:val="center"/>
          </w:tcPr>
          <w:p w14:paraId="11F8455A" w14:textId="4FE660FF" w:rsidR="00154AD2" w:rsidRDefault="007F6BF3">
            <w:pPr>
              <w:pStyle w:val="P68B1DB1-Normal12"/>
              <w:keepNext/>
              <w:spacing w:before="40" w:after="0" w:line="240" w:lineRule="auto"/>
              <w:jc w:val="center"/>
              <w:rPr>
                <w:rFonts w:eastAsia="Times New Roman" w:cstheme="minorHAnsi"/>
                <w:noProof/>
              </w:rPr>
            </w:pPr>
            <w:r>
              <w:rPr>
                <w:noProof/>
              </w:rPr>
              <w:t>Σύστημα παροχής κινήτρων για την ανάκτηση (σύστημα εγγύησης και επιστροφής χρημάτων) για πλαστικές φιάλες μιας χρήσης, σιδηρούχα μέταλλα και αλουμίνιο</w:t>
            </w:r>
          </w:p>
        </w:tc>
        <w:tc>
          <w:tcPr>
            <w:tcW w:w="1275" w:type="dxa"/>
            <w:shd w:val="clear" w:color="auto" w:fill="C4EFCE"/>
            <w:noWrap/>
            <w:vAlign w:val="center"/>
          </w:tcPr>
          <w:p w14:paraId="7C89497C" w14:textId="1EB460B7" w:rsidR="00154AD2" w:rsidRDefault="007F6BF3">
            <w:pPr>
              <w:pStyle w:val="P68B1DB1-Normal12"/>
              <w:keepNext/>
              <w:spacing w:before="40" w:after="0" w:line="240" w:lineRule="auto"/>
              <w:jc w:val="center"/>
              <w:rPr>
                <w:rFonts w:eastAsia="Times New Roman" w:cstheme="minorHAnsi"/>
                <w:noProof/>
              </w:rPr>
            </w:pPr>
            <w:r>
              <w:rPr>
                <w:noProof/>
              </w:rPr>
              <w:t xml:space="preserve">Θέση σε λειτουργία του συστήματος εγγύησης και επιστροφής </w:t>
            </w:r>
          </w:p>
        </w:tc>
        <w:tc>
          <w:tcPr>
            <w:tcW w:w="993" w:type="dxa"/>
            <w:shd w:val="clear" w:color="auto" w:fill="C4EFCE"/>
            <w:noWrap/>
            <w:vAlign w:val="center"/>
          </w:tcPr>
          <w:p w14:paraId="39D5184D" w14:textId="77777777" w:rsidR="00154AD2" w:rsidRDefault="00154AD2">
            <w:pPr>
              <w:keepNext/>
              <w:spacing w:before="40" w:after="0" w:line="240" w:lineRule="auto"/>
              <w:jc w:val="center"/>
              <w:rPr>
                <w:rFonts w:eastAsia="Times New Roman" w:cstheme="minorHAnsi"/>
                <w:noProof/>
                <w:sz w:val="16"/>
              </w:rPr>
            </w:pPr>
          </w:p>
        </w:tc>
        <w:tc>
          <w:tcPr>
            <w:tcW w:w="992" w:type="dxa"/>
            <w:shd w:val="clear" w:color="auto" w:fill="C4EFCE"/>
            <w:noWrap/>
            <w:vAlign w:val="center"/>
          </w:tcPr>
          <w:p w14:paraId="3F121E5C" w14:textId="77777777" w:rsidR="00154AD2" w:rsidRDefault="00154AD2">
            <w:pPr>
              <w:keepNext/>
              <w:spacing w:before="40" w:after="0" w:line="240" w:lineRule="auto"/>
              <w:jc w:val="center"/>
              <w:rPr>
                <w:rFonts w:eastAsia="Times New Roman" w:cstheme="minorHAnsi"/>
                <w:noProof/>
                <w:sz w:val="16"/>
              </w:rPr>
            </w:pPr>
          </w:p>
        </w:tc>
        <w:tc>
          <w:tcPr>
            <w:tcW w:w="709" w:type="dxa"/>
            <w:shd w:val="clear" w:color="auto" w:fill="C4EFCE"/>
            <w:noWrap/>
            <w:vAlign w:val="center"/>
          </w:tcPr>
          <w:p w14:paraId="352387D7" w14:textId="77777777" w:rsidR="00154AD2" w:rsidRDefault="00154AD2">
            <w:pPr>
              <w:keepNext/>
              <w:spacing w:before="40" w:after="0" w:line="240" w:lineRule="auto"/>
              <w:jc w:val="center"/>
              <w:rPr>
                <w:rFonts w:eastAsia="Times New Roman" w:cstheme="minorHAnsi"/>
                <w:noProof/>
                <w:sz w:val="16"/>
              </w:rPr>
            </w:pPr>
          </w:p>
        </w:tc>
        <w:tc>
          <w:tcPr>
            <w:tcW w:w="567" w:type="dxa"/>
            <w:shd w:val="clear" w:color="auto" w:fill="C4EFCE"/>
            <w:noWrap/>
            <w:vAlign w:val="center"/>
          </w:tcPr>
          <w:p w14:paraId="2F1F0378" w14:textId="3C6501CE" w:rsidR="00154AD2" w:rsidRDefault="007F6BF3">
            <w:pPr>
              <w:pStyle w:val="P68B1DB1-Normal12"/>
              <w:keepNext/>
              <w:spacing w:before="40" w:after="0" w:line="240" w:lineRule="auto"/>
              <w:jc w:val="center"/>
              <w:rPr>
                <w:rFonts w:eastAsia="Times New Roman" w:cstheme="minorHAnsi"/>
                <w:noProof/>
              </w:rPr>
            </w:pPr>
            <w:r>
              <w:rPr>
                <w:noProof/>
              </w:rPr>
              <w:t>ΤΡΊΜΗΝΟ 4</w:t>
            </w:r>
          </w:p>
        </w:tc>
        <w:tc>
          <w:tcPr>
            <w:tcW w:w="708" w:type="dxa"/>
            <w:shd w:val="clear" w:color="auto" w:fill="C4EFCE"/>
            <w:noWrap/>
            <w:vAlign w:val="center"/>
          </w:tcPr>
          <w:p w14:paraId="53D4ED8E" w14:textId="0A031EF8" w:rsidR="00154AD2" w:rsidRDefault="007F6BF3">
            <w:pPr>
              <w:pStyle w:val="P68B1DB1-Normal12"/>
              <w:keepNext/>
              <w:spacing w:before="40" w:after="0" w:line="240" w:lineRule="auto"/>
              <w:jc w:val="center"/>
              <w:rPr>
                <w:rFonts w:eastAsia="Times New Roman" w:cstheme="minorHAnsi"/>
                <w:noProof/>
              </w:rPr>
            </w:pPr>
            <w:r>
              <w:rPr>
                <w:noProof/>
              </w:rPr>
              <w:t>2023</w:t>
            </w:r>
          </w:p>
        </w:tc>
        <w:tc>
          <w:tcPr>
            <w:tcW w:w="3969" w:type="dxa"/>
            <w:shd w:val="clear" w:color="auto" w:fill="C4EFCE"/>
            <w:vAlign w:val="center"/>
          </w:tcPr>
          <w:p w14:paraId="2AAA4E0F" w14:textId="1222BCF4" w:rsidR="00154AD2" w:rsidRDefault="007F6BF3">
            <w:pPr>
              <w:pStyle w:val="P68B1DB1-Normal12"/>
              <w:keepNext/>
              <w:spacing w:before="40" w:after="0" w:line="240" w:lineRule="auto"/>
              <w:jc w:val="both"/>
              <w:rPr>
                <w:rFonts w:eastAsia="Times New Roman" w:cstheme="minorHAnsi"/>
                <w:noProof/>
              </w:rPr>
            </w:pPr>
            <w:r>
              <w:rPr>
                <w:noProof/>
              </w:rPr>
              <w:t>Ένα σύστημα εγγύησης και επιστροφής τίθεται σε λειτουργία και εφαρμόζεται για τις πλαστικές φιάλες μιας χρήσης, τα σιδηρούχα μέταλλα και το αλουμίνιο.</w:t>
            </w:r>
          </w:p>
        </w:tc>
      </w:tr>
      <w:tr w:rsidR="00154AD2" w14:paraId="32FCFF9B" w14:textId="77777777">
        <w:trPr>
          <w:trHeight w:val="640"/>
        </w:trPr>
        <w:tc>
          <w:tcPr>
            <w:tcW w:w="1135" w:type="dxa"/>
            <w:shd w:val="clear" w:color="auto" w:fill="C4EFCE"/>
            <w:vAlign w:val="center"/>
          </w:tcPr>
          <w:p w14:paraId="616AFCCE" w14:textId="0499EDB2" w:rsidR="00154AD2" w:rsidRDefault="007F6BF3">
            <w:pPr>
              <w:pStyle w:val="P68B1DB1-Normal11"/>
              <w:keepNext/>
              <w:spacing w:before="40" w:after="0" w:line="240" w:lineRule="auto"/>
              <w:jc w:val="center"/>
              <w:rPr>
                <w:rFonts w:eastAsia="Times New Roman" w:cstheme="minorHAnsi"/>
                <w:noProof/>
              </w:rPr>
            </w:pPr>
            <w:r>
              <w:rPr>
                <w:noProof/>
              </w:rPr>
              <w:t>12.9</w:t>
            </w:r>
          </w:p>
        </w:tc>
        <w:tc>
          <w:tcPr>
            <w:tcW w:w="1276" w:type="dxa"/>
            <w:shd w:val="clear" w:color="auto" w:fill="C4EFCE"/>
            <w:noWrap/>
            <w:vAlign w:val="center"/>
          </w:tcPr>
          <w:p w14:paraId="6071425A" w14:textId="403D2E54" w:rsidR="00154AD2" w:rsidRDefault="007F6BF3">
            <w:pPr>
              <w:pStyle w:val="P68B1DB1-Normal12"/>
              <w:keepNext/>
              <w:spacing w:before="40" w:after="0" w:line="240" w:lineRule="auto"/>
              <w:jc w:val="center"/>
              <w:rPr>
                <w:rFonts w:eastAsia="Times New Roman" w:cstheme="minorHAnsi"/>
                <w:noProof/>
              </w:rPr>
            </w:pPr>
            <w:r>
              <w:rPr>
                <w:noProof/>
              </w:rPr>
              <w:t>TC-C12-r39</w:t>
            </w:r>
          </w:p>
        </w:tc>
        <w:tc>
          <w:tcPr>
            <w:tcW w:w="1134" w:type="dxa"/>
            <w:shd w:val="clear" w:color="auto" w:fill="C4EFCE"/>
            <w:noWrap/>
            <w:vAlign w:val="center"/>
          </w:tcPr>
          <w:p w14:paraId="740B5687" w14:textId="64AAC94A" w:rsidR="00154AD2" w:rsidRDefault="007F6BF3">
            <w:pPr>
              <w:pStyle w:val="P68B1DB1-Normal12"/>
              <w:keepNext/>
              <w:spacing w:before="40" w:after="0" w:line="240" w:lineRule="auto"/>
              <w:jc w:val="center"/>
              <w:rPr>
                <w:rFonts w:eastAsia="Times New Roman" w:cstheme="minorHAnsi"/>
                <w:noProof/>
              </w:rPr>
            </w:pPr>
            <w:r>
              <w:rPr>
                <w:noProof/>
              </w:rPr>
              <w:t>M</w:t>
            </w:r>
          </w:p>
        </w:tc>
        <w:tc>
          <w:tcPr>
            <w:tcW w:w="1701" w:type="dxa"/>
            <w:shd w:val="clear" w:color="auto" w:fill="C4EFCE"/>
            <w:noWrap/>
            <w:vAlign w:val="center"/>
          </w:tcPr>
          <w:p w14:paraId="72035F18" w14:textId="06F91A11" w:rsidR="00154AD2" w:rsidRDefault="007F6BF3">
            <w:pPr>
              <w:pStyle w:val="P68B1DB1-Normal12"/>
              <w:keepNext/>
              <w:spacing w:before="40" w:after="0" w:line="240" w:lineRule="auto"/>
              <w:jc w:val="center"/>
              <w:rPr>
                <w:rFonts w:eastAsia="Times New Roman" w:cstheme="minorHAnsi"/>
                <w:noProof/>
              </w:rPr>
            </w:pPr>
            <w:r>
              <w:rPr>
                <w:noProof/>
              </w:rPr>
              <w:t>Σύστημα επιστροφής ηλεκτρικών αποβλήτων και ηλεκτρονικού εξοπλισμού</w:t>
            </w:r>
          </w:p>
        </w:tc>
        <w:tc>
          <w:tcPr>
            <w:tcW w:w="1275" w:type="dxa"/>
            <w:shd w:val="clear" w:color="auto" w:fill="C4EFCE"/>
            <w:noWrap/>
            <w:vAlign w:val="center"/>
          </w:tcPr>
          <w:p w14:paraId="066404D9" w14:textId="7C6AF3C2" w:rsidR="00154AD2" w:rsidRDefault="007F6BF3">
            <w:pPr>
              <w:pStyle w:val="P68B1DB1-Normal12"/>
              <w:keepNext/>
              <w:spacing w:before="40" w:after="0" w:line="240" w:lineRule="auto"/>
              <w:jc w:val="center"/>
              <w:rPr>
                <w:rFonts w:eastAsia="Times New Roman" w:cstheme="minorHAnsi"/>
                <w:noProof/>
              </w:rPr>
            </w:pPr>
            <w:r>
              <w:rPr>
                <w:noProof/>
              </w:rPr>
              <w:t>Διάταξη της νομοθεσίας που αναφέρει την έναρξη ισχύος της νομοθεσίας</w:t>
            </w:r>
          </w:p>
        </w:tc>
        <w:tc>
          <w:tcPr>
            <w:tcW w:w="993" w:type="dxa"/>
            <w:shd w:val="clear" w:color="auto" w:fill="C4EFCE"/>
            <w:noWrap/>
            <w:vAlign w:val="center"/>
          </w:tcPr>
          <w:p w14:paraId="461AA650" w14:textId="77777777" w:rsidR="00154AD2" w:rsidRDefault="00154AD2">
            <w:pPr>
              <w:keepNext/>
              <w:spacing w:before="40" w:after="0" w:line="240" w:lineRule="auto"/>
              <w:jc w:val="center"/>
              <w:rPr>
                <w:rFonts w:eastAsia="Times New Roman" w:cstheme="minorHAnsi"/>
                <w:noProof/>
                <w:sz w:val="16"/>
              </w:rPr>
            </w:pPr>
          </w:p>
        </w:tc>
        <w:tc>
          <w:tcPr>
            <w:tcW w:w="992" w:type="dxa"/>
            <w:shd w:val="clear" w:color="auto" w:fill="C4EFCE"/>
            <w:noWrap/>
            <w:vAlign w:val="center"/>
          </w:tcPr>
          <w:p w14:paraId="076B2EB9" w14:textId="77777777" w:rsidR="00154AD2" w:rsidRDefault="00154AD2">
            <w:pPr>
              <w:keepNext/>
              <w:spacing w:before="40" w:after="0" w:line="240" w:lineRule="auto"/>
              <w:jc w:val="center"/>
              <w:rPr>
                <w:rFonts w:eastAsia="Times New Roman" w:cstheme="minorHAnsi"/>
                <w:noProof/>
                <w:sz w:val="16"/>
              </w:rPr>
            </w:pPr>
          </w:p>
        </w:tc>
        <w:tc>
          <w:tcPr>
            <w:tcW w:w="709" w:type="dxa"/>
            <w:shd w:val="clear" w:color="auto" w:fill="C4EFCE"/>
            <w:noWrap/>
            <w:vAlign w:val="center"/>
          </w:tcPr>
          <w:p w14:paraId="35EC12A6" w14:textId="77777777" w:rsidR="00154AD2" w:rsidRDefault="00154AD2">
            <w:pPr>
              <w:keepNext/>
              <w:spacing w:before="40" w:after="0" w:line="240" w:lineRule="auto"/>
              <w:jc w:val="center"/>
              <w:rPr>
                <w:rFonts w:eastAsia="Times New Roman" w:cstheme="minorHAnsi"/>
                <w:noProof/>
                <w:sz w:val="16"/>
              </w:rPr>
            </w:pPr>
          </w:p>
        </w:tc>
        <w:tc>
          <w:tcPr>
            <w:tcW w:w="567" w:type="dxa"/>
            <w:shd w:val="clear" w:color="auto" w:fill="C4EFCE"/>
            <w:noWrap/>
            <w:vAlign w:val="center"/>
          </w:tcPr>
          <w:p w14:paraId="3C9440EC" w14:textId="7A24AD19" w:rsidR="00154AD2" w:rsidRDefault="007F6BF3">
            <w:pPr>
              <w:pStyle w:val="P68B1DB1-Normal12"/>
              <w:keepNext/>
              <w:spacing w:before="40" w:after="0" w:line="240" w:lineRule="auto"/>
              <w:jc w:val="center"/>
              <w:rPr>
                <w:rFonts w:eastAsia="Times New Roman" w:cstheme="minorHAnsi"/>
                <w:noProof/>
              </w:rPr>
            </w:pPr>
            <w:r>
              <w:rPr>
                <w:noProof/>
              </w:rPr>
              <w:t>ΤΡΊΜΗΝΟ 4</w:t>
            </w:r>
          </w:p>
        </w:tc>
        <w:tc>
          <w:tcPr>
            <w:tcW w:w="708" w:type="dxa"/>
            <w:shd w:val="clear" w:color="auto" w:fill="C4EFCE"/>
            <w:noWrap/>
            <w:vAlign w:val="center"/>
          </w:tcPr>
          <w:p w14:paraId="1E8B76AD" w14:textId="6C11828E" w:rsidR="00154AD2" w:rsidRDefault="007F6BF3">
            <w:pPr>
              <w:pStyle w:val="P68B1DB1-Normal12"/>
              <w:keepNext/>
              <w:spacing w:before="40" w:after="0" w:line="240" w:lineRule="auto"/>
              <w:jc w:val="center"/>
              <w:rPr>
                <w:rFonts w:eastAsia="Times New Roman" w:cstheme="minorHAnsi"/>
                <w:noProof/>
              </w:rPr>
            </w:pPr>
            <w:r>
              <w:rPr>
                <w:noProof/>
              </w:rPr>
              <w:t>2025</w:t>
            </w:r>
          </w:p>
        </w:tc>
        <w:tc>
          <w:tcPr>
            <w:tcW w:w="3969" w:type="dxa"/>
            <w:shd w:val="clear" w:color="auto" w:fill="C4EFCE"/>
            <w:vAlign w:val="center"/>
          </w:tcPr>
          <w:p w14:paraId="675495A0" w14:textId="1CFE3794" w:rsidR="00154AD2" w:rsidRDefault="007F6BF3">
            <w:pPr>
              <w:pStyle w:val="P68B1DB1-Normal12"/>
              <w:keepNext/>
              <w:spacing w:before="40" w:after="0" w:line="240" w:lineRule="auto"/>
              <w:jc w:val="both"/>
              <w:rPr>
                <w:rFonts w:eastAsia="Times New Roman"/>
                <w:noProof/>
              </w:rPr>
            </w:pPr>
            <w:r>
              <w:rPr>
                <w:noProof/>
              </w:rPr>
              <w:t>Μετά από ανεξάρτητη μελέτη σκοπιμότητας και εφόσον η μελέτη είναι θετική, τίθεται σε ισχύ νομοθεσία η οποία καθορίζει το νομικό πλαίσιο για την εισαγωγή συστήματος επιστροφής των ηλεκτρικών και ηλεκτρονικών αποβλήτων.</w:t>
            </w:r>
          </w:p>
        </w:tc>
      </w:tr>
    </w:tbl>
    <w:p w14:paraId="2DA74A53"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 </w:t>
      </w:r>
    </w:p>
    <w:p w14:paraId="05DB275A"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11FB5CD6" w14:textId="77777777" w:rsidR="00154AD2" w:rsidRDefault="00154AD2">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154AD2" w:rsidSect="00E00EDD">
          <w:headerReference w:type="even" r:id="rId252"/>
          <w:headerReference w:type="default" r:id="rId253"/>
          <w:footerReference w:type="even" r:id="rId254"/>
          <w:footerReference w:type="default" r:id="rId255"/>
          <w:headerReference w:type="first" r:id="rId256"/>
          <w:footerReference w:type="first" r:id="rId257"/>
          <w:pgSz w:w="16839" w:h="11907" w:orient="landscape"/>
          <w:pgMar w:top="1134" w:right="1134" w:bottom="1134" w:left="1134" w:header="567" w:footer="567" w:gutter="0"/>
          <w:cols w:space="720"/>
          <w:docGrid w:linePitch="360"/>
        </w:sectPr>
      </w:pPr>
    </w:p>
    <w:p w14:paraId="73252C7F" w14:textId="77777777" w:rsidR="00154AD2" w:rsidRDefault="007F6BF3">
      <w:pPr>
        <w:pStyle w:val="P68B1DB1-Normal3"/>
        <w:keepNext/>
        <w:spacing w:before="40" w:after="0" w:line="259" w:lineRule="auto"/>
        <w:ind w:left="130" w:firstLine="720"/>
        <w:jc w:val="both"/>
        <w:outlineLvl w:val="1"/>
        <w:rPr>
          <w:rFonts w:eastAsiaTheme="minorEastAsia" w:cs="Times New Roman"/>
          <w:smallCaps/>
          <w:noProof/>
        </w:rPr>
      </w:pPr>
      <w:r>
        <w:rPr>
          <w:noProof/>
        </w:rPr>
        <w:t>Μ.</w:t>
      </w:r>
      <w:r>
        <w:rPr>
          <w:smallCaps/>
          <w:noProof/>
        </w:rPr>
        <w:t xml:space="preserve"> ΣΥΝΙΣΤΏΣΑ 1</w:t>
      </w:r>
      <w:r>
        <w:rPr>
          <w:noProof/>
        </w:rPr>
        <w:t>3</w:t>
      </w:r>
      <w:r>
        <w:rPr>
          <w:smallCaps/>
          <w:noProof/>
        </w:rPr>
        <w:t xml:space="preserve">: </w:t>
      </w:r>
      <w:r>
        <w:rPr>
          <w:noProof/>
        </w:rPr>
        <w:t>Ενεργειακή απόδοση των κτιρίων</w:t>
      </w:r>
    </w:p>
    <w:p w14:paraId="7428EB29" w14:textId="77777777" w:rsidR="00154AD2" w:rsidRDefault="007F6BF3">
      <w:pPr>
        <w:pStyle w:val="P68B1DB1-Normal4"/>
        <w:keepNext/>
        <w:spacing w:beforeLines="40" w:before="96" w:after="0" w:line="22" w:lineRule="atLeast"/>
        <w:jc w:val="both"/>
        <w:rPr>
          <w:rFonts w:eastAsia="Times New Roman" w:cs="Times New Roman"/>
          <w:noProof/>
        </w:rPr>
      </w:pPr>
      <w:r>
        <w:rPr>
          <w:noProof/>
        </w:rPr>
        <w:t xml:space="preserve">Η συνιστώσα αντιμετωπίζει τις ακόλουθες προκλήσεις. Ο οικιακός τομέας αντιπροσωπεύει το 18 % της κατανάλωσης ενέργειας και ο τομέας των υπηρεσιών το 14 %. Ως εκ τούτου, τα κτίρια διαδραματίζουν σημαντικό ρόλο για την Πορτογαλία όσον αφορά την επίτευξη των στόχων της για ουδέτερο ισοζύγιο διοξειδίου του άνθρακα. Τα μέτρα στον τομέα αυτό, και ιδίως στο οικιστικό τμήμα, μπορούν επίσης να συμβάλουν στην άμβλυνση της ενεργειακής φτώχειας, η οποία εξακολουθεί να αποτελεί σημαντικό πρόβλημα στην Πορτογαλία, καθώς το ποσοστό των νοικοκυριών που δεν είναι σε θέση να διατηρήσουν τα σπίτια επαρκώς ζεστά παραμένει στο 19 % το 2019. Η Πορτογαλία έχει δεσμευτεί να επιτύχει ουδέτερο ισοζύγιο διοξειδίου του άνθρακα έως το 2050 και, ως εκ τούτου, πρέπει να προωθήσει την </w:t>
      </w:r>
      <w:r>
        <w:rPr>
          <w:noProof/>
          <w:shd w:val="clear" w:color="auto" w:fill="FFFFFF"/>
        </w:rPr>
        <w:t xml:space="preserve">απαλλαγή του κτιριακού δυναμικού της από τις ανθρακούχες εκπομπές, </w:t>
      </w:r>
      <w:r>
        <w:rPr>
          <w:noProof/>
        </w:rPr>
        <w:t>βελτιώνοντας παράλληλα τις συνθήκες στέγασης (άνεση και ποιότητα στους εσωτερικούς χώρους) και την οικονομική προσιτότητα. Αυτό επιτυγχάνεται με την αύξηση της ενεργειακής απόδοσης των κτιρίων, με τον συνδυασμό της ενεργειακής απόδοσης και των ανανεώσιμων πηγών ενέργειας με τον εξηλεκτρισμό, και με τη στόχευση ιδίως των νοικοκυριών χαμηλού εισοδήματος για την αντιμετώπιση της ενεργειακής φτώχειας.</w:t>
      </w:r>
    </w:p>
    <w:p w14:paraId="60D27ACE" w14:textId="77777777" w:rsidR="00154AD2" w:rsidRDefault="007F6BF3">
      <w:pPr>
        <w:pStyle w:val="P68B1DB1-Normal4"/>
        <w:widowControl w:val="0"/>
        <w:spacing w:beforeLines="40" w:before="96" w:after="161" w:line="22" w:lineRule="atLeast"/>
        <w:jc w:val="both"/>
        <w:rPr>
          <w:rFonts w:eastAsia="Calibri" w:cs="Times New Roman"/>
          <w:noProof/>
        </w:rPr>
      </w:pPr>
      <w:r>
        <w:rPr>
          <w:noProof/>
        </w:rPr>
        <w:t>Εντοπίζονται ορισμένες «αστοχίες της αγοράς», οι οποίες αντιστοιχούν σε σειρά προβλημάτων που τείνουν να καθυστερούν τη μετατροπή του κτιριακού αποθέματος και την αξιοποίηση της δυνητικής εξοικονόμησης ενέργειας, όπως:</w:t>
      </w:r>
    </w:p>
    <w:p w14:paraId="05BE14DE" w14:textId="77777777" w:rsidR="00154AD2" w:rsidRDefault="007F6BF3">
      <w:pPr>
        <w:pStyle w:val="P68B1DB1-Normal4"/>
        <w:keepNext/>
        <w:widowControl w:val="0"/>
        <w:numPr>
          <w:ilvl w:val="0"/>
          <w:numId w:val="50"/>
        </w:numPr>
        <w:spacing w:beforeLines="40" w:before="96" w:after="161" w:line="22" w:lineRule="atLeast"/>
        <w:jc w:val="both"/>
        <w:rPr>
          <w:rFonts w:eastAsia="Calibri" w:cs="Times New Roman"/>
          <w:noProof/>
        </w:rPr>
      </w:pPr>
      <w:r>
        <w:rPr>
          <w:noProof/>
        </w:rPr>
        <w:t>έλλειψη κατανόησης της χρήσης ενέργειας και της δυνητικής εξοικονόμησης·</w:t>
      </w:r>
    </w:p>
    <w:p w14:paraId="68334EEE" w14:textId="77777777" w:rsidR="00154AD2" w:rsidRDefault="007F6BF3">
      <w:pPr>
        <w:pStyle w:val="P68B1DB1-Normal4"/>
        <w:keepNext/>
        <w:widowControl w:val="0"/>
        <w:numPr>
          <w:ilvl w:val="0"/>
          <w:numId w:val="50"/>
        </w:numPr>
        <w:spacing w:beforeLines="40" w:before="96" w:after="161" w:line="22" w:lineRule="atLeast"/>
        <w:jc w:val="both"/>
        <w:rPr>
          <w:rFonts w:eastAsia="Calibri" w:cs="Times New Roman"/>
          <w:noProof/>
        </w:rPr>
      </w:pPr>
      <w:r>
        <w:rPr>
          <w:noProof/>
        </w:rPr>
        <w:t>περιορισμένη δραστηριότητα ανακαίνισης και κατασκευής σε συνθήκες μετά τη χρηματοπιστωτική κρίση·</w:t>
      </w:r>
    </w:p>
    <w:p w14:paraId="1367E8D7" w14:textId="77777777" w:rsidR="00154AD2" w:rsidRDefault="007F6BF3">
      <w:pPr>
        <w:pStyle w:val="P68B1DB1-Normal4"/>
        <w:keepNext/>
        <w:widowControl w:val="0"/>
        <w:numPr>
          <w:ilvl w:val="0"/>
          <w:numId w:val="50"/>
        </w:numPr>
        <w:spacing w:beforeLines="40" w:before="96" w:after="161" w:line="22" w:lineRule="atLeast"/>
        <w:jc w:val="both"/>
        <w:rPr>
          <w:rFonts w:eastAsia="Calibri" w:cs="Times New Roman"/>
          <w:noProof/>
        </w:rPr>
      </w:pPr>
      <w:r>
        <w:rPr>
          <w:noProof/>
        </w:rPr>
        <w:t>έλλειψη ελκυστικών χρηματοδοτικών προϊόντων·</w:t>
      </w:r>
    </w:p>
    <w:p w14:paraId="145C348F" w14:textId="77777777" w:rsidR="00154AD2" w:rsidRDefault="007F6BF3">
      <w:pPr>
        <w:pStyle w:val="P68B1DB1-Normal4"/>
        <w:keepNext/>
        <w:widowControl w:val="0"/>
        <w:numPr>
          <w:ilvl w:val="0"/>
          <w:numId w:val="50"/>
        </w:numPr>
        <w:spacing w:beforeLines="40" w:before="96" w:after="161" w:line="22" w:lineRule="atLeast"/>
        <w:jc w:val="both"/>
        <w:rPr>
          <w:rFonts w:eastAsia="Calibri" w:cs="Times New Roman"/>
          <w:noProof/>
        </w:rPr>
      </w:pPr>
      <w:r>
        <w:rPr>
          <w:noProof/>
        </w:rPr>
        <w:t>περιορισμένες πληροφορίες σχετικά με το κτιριακό απόθεμα· και</w:t>
      </w:r>
    </w:p>
    <w:p w14:paraId="30590B1F" w14:textId="77777777" w:rsidR="00154AD2" w:rsidRDefault="007F6BF3">
      <w:pPr>
        <w:pStyle w:val="P68B1DB1-Normal4"/>
        <w:keepNext/>
        <w:widowControl w:val="0"/>
        <w:numPr>
          <w:ilvl w:val="0"/>
          <w:numId w:val="50"/>
        </w:numPr>
        <w:spacing w:beforeLines="40" w:before="96" w:after="161" w:line="22" w:lineRule="atLeast"/>
        <w:jc w:val="both"/>
        <w:rPr>
          <w:rFonts w:eastAsia="Calibri" w:cs="Times New Roman"/>
          <w:noProof/>
        </w:rPr>
      </w:pPr>
      <w:r>
        <w:rPr>
          <w:noProof/>
        </w:rPr>
        <w:t>η περιορισμένη διάδοση αποδοτικών και έξυπνων τεχνολογιών.</w:t>
      </w:r>
    </w:p>
    <w:p w14:paraId="630C6E70" w14:textId="77777777" w:rsidR="00154AD2" w:rsidRDefault="007F6BF3">
      <w:pPr>
        <w:pStyle w:val="P68B1DB1-Normal4"/>
        <w:spacing w:beforeLines="40" w:before="96" w:after="0" w:line="22" w:lineRule="atLeast"/>
        <w:jc w:val="both"/>
        <w:rPr>
          <w:rFonts w:eastAsiaTheme="minorEastAsia" w:cs="Times New Roman"/>
          <w:noProof/>
        </w:rPr>
      </w:pPr>
      <w:r>
        <w:rPr>
          <w:noProof/>
        </w:rPr>
        <w:t xml:space="preserve">Στόχοι της συνιστώσας είναι η ανακαίνιση δημόσιων και ιδιωτικών κτιρίων για τη βελτίωση της ενεργειακής τους απόδοσης και άνεσης, με παράλληλη μείωση του ενεργειακού κόστους και της εξάρτησης της χώρας, των εκπομπών αερίων του θερμοκηπίου και της ενεργειακής εξάρτησης, ο μετριασμός της ενεργειακής φτώχειας και η ενσωμάτωση ανανεώσιμων πηγών ενέργειας στο δομημένο περιβάλλον. Αυτό αναμένεται να αποφέρει πολυάριθμα κοινωνικά, περιβαλλοντικά και οικονομικά οφέλη για τους πολίτες και τις επιχειρήσεις, όπως η δημιουργία τοπικών θέσεων εργασίας και η μείωση της ατμοσφαιρικής ρύπανσης. </w:t>
      </w:r>
    </w:p>
    <w:p w14:paraId="6EF5B825" w14:textId="77777777" w:rsidR="00154AD2" w:rsidRDefault="007F6BF3">
      <w:pPr>
        <w:pStyle w:val="P68B1DB1-Normal4"/>
        <w:spacing w:beforeLines="40" w:before="96" w:after="0" w:line="22" w:lineRule="atLeast"/>
        <w:jc w:val="both"/>
        <w:rPr>
          <w:rFonts w:eastAsiaTheme="minorEastAsia" w:cs="Times New Roman"/>
          <w:noProof/>
        </w:rPr>
      </w:pPr>
      <w:r>
        <w:rPr>
          <w:noProof/>
        </w:rPr>
        <w:t xml:space="preserve">Η συνιστώσα στηρίζει την εφαρμογή της ειδικής ανά χώρα σύστασης σχετικά με τις επενδύσεις στην κλιματική μετάβαση, ιδίως όσον αφορά την καθαρή και αποδοτική παραγωγή και χρήση ενέργειας (ειδική ανά χώρα σύσταση 3 2020). Συνδέεται με την εμβληματική πρωτοβουλία Renovate και αποτελεί επίσης μέρος της πράσινης μετάβασης. </w:t>
      </w:r>
    </w:p>
    <w:p w14:paraId="63A64E23" w14:textId="77777777" w:rsidR="00154AD2" w:rsidRDefault="007F6BF3">
      <w:pPr>
        <w:pStyle w:val="P68B1DB1-Normal4"/>
        <w:spacing w:beforeLines="40" w:before="96" w:after="0" w:line="22" w:lineRule="atLeast"/>
        <w:jc w:val="both"/>
        <w:rPr>
          <w:rFonts w:eastAsiaTheme="minorEastAsia" w:cs="Times New Roman"/>
          <w:noProof/>
        </w:rPr>
      </w:pPr>
      <w:r>
        <w:rPr>
          <w:noProof/>
        </w:rPr>
        <w:t>Αναμένεται ότι κανένα μέτρο στη συνιστώσα αυτή δεν βλάπτει σημαντικά τους περιβαλλοντικούς στόχους κατά την έννοια του άρθρου 17 του κανονισμού (ΕΕ) 2020/852, λαμβανομένης υπόψη της περιγραφής των μέτρων και των μέτρων μετριασμού που ορίζονται στο σχέδιο σύμφωνα με την τεχνική καθοδήγηση σχετικά με την αρχή της μη πρόκλησης σημαντικής βλάβης (2021/C58/01).</w:t>
      </w:r>
    </w:p>
    <w:p w14:paraId="3504A60C" w14:textId="77777777" w:rsidR="00154AD2" w:rsidRDefault="00154AD2">
      <w:pPr>
        <w:spacing w:beforeLines="40" w:before="96" w:after="0" w:line="22" w:lineRule="atLeast"/>
        <w:jc w:val="both"/>
        <w:rPr>
          <w:rFonts w:ascii="Times New Roman" w:eastAsiaTheme="minorEastAsia" w:hAnsi="Times New Roman" w:cs="Times New Roman"/>
          <w:noProof/>
        </w:rPr>
      </w:pPr>
    </w:p>
    <w:p w14:paraId="7E1087BA" w14:textId="77777777" w:rsidR="00154AD2" w:rsidRDefault="007F6BF3">
      <w:pPr>
        <w:pStyle w:val="P68B1DB1-Normal3"/>
        <w:spacing w:before="40" w:after="0" w:line="259" w:lineRule="auto"/>
        <w:ind w:left="130" w:firstLine="720"/>
        <w:jc w:val="both"/>
        <w:outlineLvl w:val="1"/>
        <w:rPr>
          <w:rFonts w:eastAsiaTheme="minorEastAsia" w:cs="Times New Roman"/>
          <w:noProof/>
        </w:rPr>
      </w:pPr>
      <w:r>
        <w:rPr>
          <w:noProof/>
        </w:rPr>
        <w:t>Μ.1. Περιγραφή των μεταρρυθμίσεων και των επενδύσεων που είναι επιλέξιμες για λήψη μη επιστρεπτέας χρηματοδοτικής στήριξης</w:t>
      </w:r>
    </w:p>
    <w:p w14:paraId="5B33E3CE" w14:textId="77777777" w:rsidR="00154AD2" w:rsidRDefault="007F6BF3">
      <w:pPr>
        <w:pStyle w:val="P68B1DB1-Normal5"/>
        <w:spacing w:before="240" w:after="0" w:line="240" w:lineRule="auto"/>
        <w:ind w:left="851"/>
        <w:jc w:val="both"/>
        <w:outlineLvl w:val="2"/>
        <w:rPr>
          <w:rFonts w:eastAsiaTheme="minorEastAsia" w:cs="Times New Roman"/>
          <w:noProof/>
        </w:rPr>
      </w:pPr>
      <w:r>
        <w:rPr>
          <w:noProof/>
        </w:rPr>
        <w:t>Επένδυση TC-C13-I01: Ενεργειακή απόδοση σε οικιστικά κτίρια</w:t>
      </w:r>
    </w:p>
    <w:p w14:paraId="70B72BC7" w14:textId="77777777" w:rsidR="00154AD2" w:rsidRDefault="007F6BF3">
      <w:pPr>
        <w:pStyle w:val="P68B1DB1-Normal4"/>
        <w:keepNext/>
        <w:spacing w:before="40" w:after="0" w:line="259" w:lineRule="auto"/>
        <w:jc w:val="both"/>
        <w:rPr>
          <w:rFonts w:eastAsiaTheme="minorEastAsia" w:cs="Times New Roman"/>
          <w:noProof/>
        </w:rPr>
      </w:pPr>
      <w:r>
        <w:rPr>
          <w:noProof/>
        </w:rPr>
        <w:t>Οι στόχοι της επένδυσης αυτής είναι η προώθηση της</w:t>
      </w:r>
      <w:r>
        <w:rPr>
          <w:noProof/>
          <w:shd w:val="clear" w:color="auto" w:fill="FFFFFF"/>
        </w:rPr>
        <w:t xml:space="preserve"> ενεργειακής ανακαίνισης ιδιωτικών οικιστικών κτιρίων</w:t>
      </w:r>
      <w:r>
        <w:rPr>
          <w:noProof/>
        </w:rPr>
        <w:t xml:space="preserve">, η υιοθέτηση ενεργειακά αποδοτικών λύσεων, η αντικατάσταση μη αποδοτικού εξοπλισμού και η αύξηση της εγκατεστημένης ικανότητας για την προώθηση της ενεργειακής απόδοσης και της αποδοτικής χρήσης των πόρων, η ενίσχυση της αυτοκατανάλωσης ενέργειας από ανανεώσιμες πηγές και η αντιμετώπιση της ενεργειακής φτώχειας. </w:t>
      </w:r>
    </w:p>
    <w:p w14:paraId="3E17583F" w14:textId="77777777" w:rsidR="00154AD2" w:rsidRDefault="007F6BF3">
      <w:pPr>
        <w:pStyle w:val="P68B1DB1-Normal4"/>
        <w:keepNext/>
        <w:spacing w:before="40" w:after="0" w:line="259" w:lineRule="auto"/>
        <w:jc w:val="both"/>
        <w:rPr>
          <w:rFonts w:eastAsiaTheme="minorEastAsia" w:cs="Times New Roman"/>
          <w:noProof/>
        </w:rPr>
      </w:pPr>
      <w:r>
        <w:rPr>
          <w:noProof/>
        </w:rPr>
        <w:t>Η επένδυση συνίσταται στα ακόλουθα μέτρα:</w:t>
      </w:r>
    </w:p>
    <w:p w14:paraId="20A1328B" w14:textId="77777777" w:rsidR="00154AD2" w:rsidRDefault="007F6BF3">
      <w:pPr>
        <w:pStyle w:val="P68B1DB1-Normal4"/>
        <w:keepNext/>
        <w:widowControl w:val="0"/>
        <w:numPr>
          <w:ilvl w:val="0"/>
          <w:numId w:val="59"/>
        </w:numPr>
        <w:spacing w:before="40" w:after="136" w:line="240" w:lineRule="auto"/>
        <w:jc w:val="both"/>
        <w:rPr>
          <w:rFonts w:ascii="Calibri" w:eastAsia="Calibri" w:hAnsi="Calibri" w:cs="Calibri"/>
          <w:noProof/>
          <w:sz w:val="21"/>
        </w:rPr>
      </w:pPr>
      <w:r>
        <w:rPr>
          <w:noProof/>
        </w:rPr>
        <w:t>Στήριξη του κόστους των έργων (συνήθως μεταξύ 50 % και 70 % του συνολικού κόστους) για την προώθηση της ανακαίνισης, της ενεργειακής απόδοσης, της απαλλαγής από τις ανθρακούχες εκπομπές, της αποδοτικής χρήσης του νερού και της κυκλικής οικονομίας στα κτίρια. Αυτό γίνεται μέσω προκηρύξεων που δημοσιεύονται ετησίως.</w:t>
      </w:r>
    </w:p>
    <w:p w14:paraId="631CC72D" w14:textId="77777777" w:rsidR="00154AD2" w:rsidRDefault="007F6BF3">
      <w:pPr>
        <w:pStyle w:val="P68B1DB1-Normal4"/>
        <w:keepNext/>
        <w:widowControl w:val="0"/>
        <w:numPr>
          <w:ilvl w:val="0"/>
          <w:numId w:val="59"/>
        </w:numPr>
        <w:spacing w:before="40" w:after="136" w:line="240" w:lineRule="auto"/>
        <w:jc w:val="both"/>
        <w:rPr>
          <w:rFonts w:ascii="Calibri" w:eastAsia="Calibri" w:hAnsi="Calibri" w:cs="Calibri"/>
          <w:noProof/>
          <w:sz w:val="21"/>
        </w:rPr>
      </w:pPr>
      <w:r>
        <w:rPr>
          <w:noProof/>
        </w:rPr>
        <w:t xml:space="preserve">Για τα νοικοκυριά χαμηλού εισοδήματος που αντιμετωπίζουν ενεργειακή φτώχεια (όπου μπορεί να επιδοτηθεί έως και το 100 % του κόστους), οι δράσεις αυτές απαιτούν στενότερη συνεργασία μεταξύ κεντρικών και τοπικών αρχών και άλλων φορέων, όπως τοπικές ενώσεις. </w:t>
      </w:r>
      <w:r>
        <w:rPr>
          <w:i/>
          <w:noProof/>
        </w:rPr>
        <w:t>Οι vales</w:t>
      </w:r>
      <w:r>
        <w:rPr>
          <w:noProof/>
        </w:rPr>
        <w:t xml:space="preserve"> eficiência, ή κουπόνια ενεργειακής απόδοσης, αξίας κατά μέσο όρο 1 300 EUR έκαστο, εκδίδονται και παραδίδονται σε νοικοκυριά που αντιμετωπίζουν ενεργειακή φτώχεια, τα οποία παρέχουν στον αποδέκτη ορισμένα έργα, ενεργειακά αποδοτικές λύσεις, εξοπλισμό και εξηλεκτρισμό των χρήσεων ενέργειας.</w:t>
      </w:r>
    </w:p>
    <w:p w14:paraId="6211EA87" w14:textId="77777777" w:rsidR="00154AD2" w:rsidRDefault="007F6BF3">
      <w:pPr>
        <w:pStyle w:val="P68B1DB1-Normal4"/>
        <w:keepNext/>
        <w:numPr>
          <w:ilvl w:val="0"/>
          <w:numId w:val="60"/>
        </w:numPr>
        <w:spacing w:before="40" w:after="160" w:line="259" w:lineRule="auto"/>
        <w:contextualSpacing/>
        <w:jc w:val="both"/>
        <w:rPr>
          <w:rFonts w:eastAsiaTheme="minorEastAsia" w:cs="Times New Roman"/>
          <w:noProof/>
        </w:rPr>
      </w:pPr>
      <w:r>
        <w:rPr>
          <w:noProof/>
        </w:rPr>
        <w:t xml:space="preserve">Το υποστηρικτικό υλικό διαδίδεται για να βοηθήσει στη λήψη αποφάσεων σχετικά με τα βέλτιστα μέτρα ενεργειακής απόδοσης που πρέπει να ληφθούν. </w:t>
      </w:r>
    </w:p>
    <w:p w14:paraId="645F2D6F" w14:textId="77777777" w:rsidR="00154AD2" w:rsidRDefault="007F6BF3">
      <w:pPr>
        <w:pStyle w:val="P68B1DB1-Normal4"/>
        <w:keepNext/>
        <w:numPr>
          <w:ilvl w:val="0"/>
          <w:numId w:val="60"/>
        </w:numPr>
        <w:spacing w:before="40" w:after="160" w:line="259" w:lineRule="auto"/>
        <w:contextualSpacing/>
        <w:jc w:val="both"/>
        <w:rPr>
          <w:rFonts w:eastAsiaTheme="minorEastAsia" w:cs="Times New Roman"/>
          <w:noProof/>
        </w:rPr>
      </w:pPr>
      <w:r>
        <w:rPr>
          <w:noProof/>
        </w:rPr>
        <w:t>Διατίθενται επίσης δίαυλοι επικοινωνίας και υπηρεσίες μίας στάσης για την αποσαφήνιση των αμφιβολιών σχετικά με τον τρόπο εξασφάλισης αυτής της στήριξης, σε συντονισμό με διάφορες εθνικές και τοπικές οντότητες, ώστε οι καταναλωτές να μπορούν να λαμβάνουν τις καλύτερες επενδυτικές αποφάσεις.</w:t>
      </w:r>
    </w:p>
    <w:p w14:paraId="325EE6D9" w14:textId="77777777" w:rsidR="00154AD2" w:rsidRDefault="007F6BF3">
      <w:pPr>
        <w:pStyle w:val="P68B1DB1-Normal4"/>
        <w:keepNext/>
        <w:spacing w:before="40" w:after="0" w:line="259" w:lineRule="auto"/>
        <w:jc w:val="both"/>
        <w:rPr>
          <w:rFonts w:eastAsiaTheme="minorEastAsia" w:cs="Times New Roman"/>
          <w:noProof/>
        </w:rPr>
      </w:pPr>
      <w:r>
        <w:rPr>
          <w:noProof/>
        </w:rPr>
        <w:t>Η σχεδιαζόμενη επένδυση αποσκοπεί στην επίτευξη μέσης εξοικονόμησης περίπου 200 χΤΙΠ πρωτογενούς ενέργειας και μείωσης των εκπομπών CO2 κατά περίπου 150 kt.</w:t>
      </w:r>
    </w:p>
    <w:p w14:paraId="7DCADF68" w14:textId="77777777" w:rsidR="00154AD2" w:rsidRDefault="007F6BF3">
      <w:pPr>
        <w:pStyle w:val="P68B1DB1-Normal4"/>
        <w:keepNext/>
        <w:spacing w:before="40" w:after="0" w:line="259" w:lineRule="auto"/>
        <w:jc w:val="both"/>
        <w:rPr>
          <w:rFonts w:eastAsiaTheme="minorEastAsia" w:cs="Times New Roman"/>
          <w:noProof/>
        </w:rPr>
      </w:pPr>
      <w:r>
        <w:rPr>
          <w:noProof/>
        </w:rPr>
        <w:t>Η υλοποίηση της επένδυσης θα ολοκληρωθεί έως τις 31 Δεκεμβρίου 2025.</w:t>
      </w:r>
    </w:p>
    <w:p w14:paraId="6AE98B0B" w14:textId="77777777" w:rsidR="00154AD2" w:rsidRDefault="007F6BF3">
      <w:pPr>
        <w:pStyle w:val="P68B1DB1-Normal5"/>
        <w:spacing w:before="240" w:after="0" w:line="240" w:lineRule="auto"/>
        <w:ind w:left="851"/>
        <w:jc w:val="both"/>
        <w:outlineLvl w:val="2"/>
        <w:rPr>
          <w:rFonts w:eastAsiaTheme="minorEastAsia" w:cs="Times New Roman"/>
          <w:noProof/>
        </w:rPr>
      </w:pPr>
      <w:r>
        <w:rPr>
          <w:noProof/>
        </w:rPr>
        <w:t>Επένδυση TC-C13-I02: Ενεργειακή απόδοση των κτιρίων της κεντρικής δημόσιας διοίκησης</w:t>
      </w:r>
    </w:p>
    <w:p w14:paraId="1C88255A" w14:textId="77777777" w:rsidR="00154AD2" w:rsidRDefault="007F6BF3">
      <w:pPr>
        <w:pStyle w:val="P68B1DB1-Normal19"/>
        <w:keepNext/>
        <w:spacing w:before="40" w:after="0" w:line="259" w:lineRule="auto"/>
        <w:jc w:val="both"/>
        <w:rPr>
          <w:rFonts w:eastAsiaTheme="minorEastAsia" w:cs="Times New Roman"/>
          <w:noProof/>
          <w:sz w:val="16"/>
        </w:rPr>
      </w:pPr>
      <w:r>
        <w:rPr>
          <w:noProof/>
          <w:sz w:val="24"/>
        </w:rPr>
        <w:t>Στόχος της επένδυσης αυτής είναι η προώθηση της</w:t>
      </w:r>
      <w:r>
        <w:rPr>
          <w:noProof/>
          <w:sz w:val="24"/>
          <w:shd w:val="clear" w:color="auto" w:fill="FFFFFF"/>
        </w:rPr>
        <w:t xml:space="preserve"> ενεργειακής ανακαίνισης των κτιρίων της κεντρικής δημόσιας διοίκησης,</w:t>
      </w:r>
      <w:r>
        <w:rPr>
          <w:noProof/>
          <w:sz w:val="24"/>
        </w:rPr>
        <w:t xml:space="preserve"> η προώθηση της ενεργειακής απόδοσης και της αποδοτικής χρήσης των πόρων και η ενίσχυση της αυτοκατανάλωσης ενέργειας από ανανεώσιμες πηγές</w:t>
      </w:r>
      <w:r>
        <w:rPr>
          <w:noProof/>
          <w:sz w:val="16"/>
        </w:rPr>
        <w:t xml:space="preserve">. </w:t>
      </w:r>
    </w:p>
    <w:p w14:paraId="2E0DA704"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επένδυση αυτή συνίσταται σε μέτρα για την προώθηση της ανακαίνισης, της ενεργειακής απόδοσης, της απαλλαγής από τις ανθρακούχες εκπομπές, της αποδοτικής χρήσης του νερού και της κυκλικής οικονομίας στα κτίρια. </w:t>
      </w:r>
    </w:p>
    <w:p w14:paraId="5CCD1C91" w14:textId="77777777" w:rsidR="00154AD2" w:rsidRDefault="007F6BF3">
      <w:pPr>
        <w:pStyle w:val="P68B1DB1-Normal4"/>
        <w:keepNext/>
        <w:numPr>
          <w:ilvl w:val="0"/>
          <w:numId w:val="30"/>
        </w:numPr>
        <w:spacing w:before="40" w:after="160" w:line="240" w:lineRule="auto"/>
        <w:contextualSpacing/>
        <w:jc w:val="both"/>
        <w:rPr>
          <w:rFonts w:eastAsiaTheme="minorEastAsia" w:cs="Times New Roman"/>
          <w:noProof/>
        </w:rPr>
      </w:pPr>
      <w:r>
        <w:rPr>
          <w:noProof/>
        </w:rPr>
        <w:t xml:space="preserve">Προκηρύξεις προκηρύσσονται ετησίως για τους διάφορους τύπους παρεμβάσεων στον τομέα των κτιρίων, οι οποίες πρέπει να προσδιορίζονται στα σχέδια απόδοσης που θα καταρτιστούν, στο πλαίσιο του ευρωπαϊκού σχεδίου δράσης ECO.AP 2030 για την οικολογική καινοτομία. Η ECO.AP 2030 είναι επίσης διαθέσιμη για την παροχή τεχνικής υποστήριξης στις κεντρικές δημόσιες αρχές για τον προσδιορισμό των έργων και την προώθηση της υλοποίησής τους. </w:t>
      </w:r>
    </w:p>
    <w:p w14:paraId="43CDD7E4" w14:textId="77777777" w:rsidR="00154AD2" w:rsidRDefault="007F6BF3">
      <w:pPr>
        <w:pStyle w:val="P68B1DB1-Normal4"/>
        <w:keepNext/>
        <w:numPr>
          <w:ilvl w:val="0"/>
          <w:numId w:val="30"/>
        </w:numPr>
        <w:spacing w:before="40" w:after="160" w:line="240" w:lineRule="auto"/>
        <w:contextualSpacing/>
        <w:jc w:val="both"/>
        <w:rPr>
          <w:rFonts w:eastAsiaTheme="minorEastAsia" w:cs="Times New Roman"/>
          <w:noProof/>
        </w:rPr>
      </w:pPr>
      <w:r>
        <w:rPr>
          <w:noProof/>
        </w:rPr>
        <w:t xml:space="preserve">Το υποστηρικτικό υλικό διανέμεται στους υπαλλήλους της δημόσιας διοίκησης για να τους βοηθήσει να αποφασίσουν τα βέλτιστα μέτρα ενεργειακής απόδοσης που πρέπει να ληφθούν. </w:t>
      </w:r>
    </w:p>
    <w:p w14:paraId="4AE03146" w14:textId="77777777" w:rsidR="00154AD2" w:rsidRDefault="007F6BF3">
      <w:pPr>
        <w:pStyle w:val="P68B1DB1-Normal4"/>
        <w:keepNext/>
        <w:spacing w:before="40" w:after="0" w:line="259" w:lineRule="auto"/>
        <w:jc w:val="both"/>
        <w:rPr>
          <w:rFonts w:eastAsiaTheme="minorEastAsia" w:cs="Times New Roman"/>
          <w:noProof/>
        </w:rPr>
      </w:pPr>
      <w:r>
        <w:rPr>
          <w:noProof/>
        </w:rPr>
        <w:t>Η σχεδιαζόμενη επένδυση αποσκοπεί στην επίτευξη μέσης εξοικονόμησης περίπου 185 χΤΙΠ πρωτογενούς ενέργειας και στη μείωση των εκπομπών CO</w:t>
      </w:r>
      <w:r>
        <w:rPr>
          <w:noProof/>
          <w:vertAlign w:val="subscript"/>
        </w:rPr>
        <w:t>2</w:t>
      </w:r>
      <w:r>
        <w:rPr>
          <w:noProof/>
        </w:rPr>
        <w:t xml:space="preserve"> κατά περίπου 140 kt.</w:t>
      </w:r>
    </w:p>
    <w:p w14:paraId="15CF3667" w14:textId="77777777" w:rsidR="00154AD2" w:rsidRDefault="007F6BF3">
      <w:pPr>
        <w:pStyle w:val="P68B1DB1-Normal4"/>
        <w:keepNext/>
        <w:spacing w:before="40" w:after="0" w:line="259" w:lineRule="auto"/>
        <w:jc w:val="both"/>
        <w:rPr>
          <w:rFonts w:eastAsiaTheme="minorEastAsia" w:cs="Times New Roman"/>
          <w:noProof/>
        </w:rPr>
      </w:pPr>
      <w:r>
        <w:rPr>
          <w:noProof/>
        </w:rPr>
        <w:t>Η υλοποίηση της επένδυσης θα ολοκληρωθεί έως τις 31 Δεκεμβρίου 2025.</w:t>
      </w:r>
    </w:p>
    <w:p w14:paraId="4966DD71" w14:textId="77777777" w:rsidR="00154AD2" w:rsidRDefault="007F6BF3">
      <w:pPr>
        <w:pStyle w:val="P68B1DB1-Normal5"/>
        <w:spacing w:before="240" w:after="0" w:line="240" w:lineRule="auto"/>
        <w:ind w:left="851"/>
        <w:jc w:val="both"/>
        <w:outlineLvl w:val="2"/>
        <w:rPr>
          <w:rFonts w:eastAsiaTheme="minorEastAsia" w:cs="Times New Roman"/>
          <w:noProof/>
        </w:rPr>
      </w:pPr>
      <w:r>
        <w:rPr>
          <w:noProof/>
        </w:rPr>
        <w:t>Επένδυση TC-C13-I03: Ενεργειακή απόδοση κτιρίων που χρησιμοποιούνται από τον τομέα των υπηρεσιών</w:t>
      </w:r>
    </w:p>
    <w:p w14:paraId="0A4A1198" w14:textId="77777777" w:rsidR="00154AD2" w:rsidRDefault="007F6BF3">
      <w:pPr>
        <w:pStyle w:val="P68B1DB1-Normal4"/>
        <w:spacing w:before="40" w:after="0" w:line="240" w:lineRule="auto"/>
        <w:jc w:val="both"/>
        <w:rPr>
          <w:rFonts w:eastAsiaTheme="minorEastAsia" w:cs="Times New Roman"/>
          <w:noProof/>
        </w:rPr>
      </w:pPr>
      <w:r>
        <w:rPr>
          <w:noProof/>
        </w:rPr>
        <w:t xml:space="preserve">Στόχος της επένδυσης αυτής είναι η προώθηση της </w:t>
      </w:r>
      <w:r>
        <w:rPr>
          <w:noProof/>
          <w:shd w:val="clear" w:color="auto" w:fill="FFFFFF"/>
        </w:rPr>
        <w:t>ενεργειακής ανακαίνισης των κτιρίων που χρησιμοποιούνται από τον τομέα των υπηρεσιών, η</w:t>
      </w:r>
      <w:r>
        <w:rPr>
          <w:noProof/>
        </w:rPr>
        <w:t xml:space="preserve"> προώθηση της ενεργειακής απόδοσης και της αποδοτικής χρήσης των πόρων, η ενίσχυση της αυτοκατανάλωσης παραγωγής ενέργειας από ανανεώσιμες πηγές. </w:t>
      </w:r>
    </w:p>
    <w:p w14:paraId="5691AA04" w14:textId="77777777" w:rsidR="00154AD2" w:rsidRDefault="007F6BF3">
      <w:pPr>
        <w:pStyle w:val="P68B1DB1-Normal4"/>
        <w:spacing w:before="40" w:after="0" w:line="240" w:lineRule="auto"/>
        <w:jc w:val="both"/>
        <w:rPr>
          <w:rFonts w:eastAsiaTheme="minorEastAsia" w:cs="Times New Roman"/>
          <w:noProof/>
        </w:rPr>
      </w:pPr>
      <w:r>
        <w:rPr>
          <w:noProof/>
        </w:rPr>
        <w:t>Η επένδυση αυτή συνίσταται στα ακόλουθα μέτρα:</w:t>
      </w:r>
    </w:p>
    <w:p w14:paraId="2D344554" w14:textId="77777777" w:rsidR="00154AD2" w:rsidRDefault="007F6BF3">
      <w:pPr>
        <w:pStyle w:val="P68B1DB1-Normal4"/>
        <w:keepNext/>
        <w:numPr>
          <w:ilvl w:val="0"/>
          <w:numId w:val="30"/>
        </w:numPr>
        <w:spacing w:before="40" w:after="160" w:line="240" w:lineRule="auto"/>
        <w:contextualSpacing/>
        <w:jc w:val="both"/>
        <w:rPr>
          <w:rFonts w:eastAsiaTheme="minorEastAsia" w:cs="Times New Roman"/>
          <w:noProof/>
        </w:rPr>
      </w:pPr>
      <w:r>
        <w:rPr>
          <w:noProof/>
        </w:rPr>
        <w:t xml:space="preserve">Προκηρύσσονται ετησίως προκηρύξεις για την υποβολή αίτησης στήριξης (συνήθως μεταξύ 50 % και 70 % του συνολικού κόστους) για τον επιμερισμό του εν λόγω κόστους στους διάφορους τύπους παρεμβάσεων για τα κτίρια με σκοπό τη βελτίωση των ενεργειακών και περιβαλλοντικών επιδόσεών τους. </w:t>
      </w:r>
    </w:p>
    <w:p w14:paraId="4954743E" w14:textId="77777777" w:rsidR="00154AD2" w:rsidRDefault="007F6BF3">
      <w:pPr>
        <w:pStyle w:val="P68B1DB1-Normal4"/>
        <w:keepNext/>
        <w:numPr>
          <w:ilvl w:val="0"/>
          <w:numId w:val="30"/>
        </w:numPr>
        <w:spacing w:before="40" w:after="160" w:line="240" w:lineRule="auto"/>
        <w:contextualSpacing/>
        <w:jc w:val="both"/>
        <w:rPr>
          <w:rFonts w:eastAsiaTheme="minorEastAsia" w:cs="Times New Roman"/>
          <w:noProof/>
        </w:rPr>
      </w:pPr>
      <w:r>
        <w:rPr>
          <w:noProof/>
        </w:rPr>
        <w:t xml:space="preserve">Το υποστηρικτικό υλικό διαδίδεται για να βοηθήσει στη λήψη αποφάσεων σχετικά με τα βέλτιστα μέτρα ενεργειακής απόδοσης που πρέπει να ληφθούν. </w:t>
      </w:r>
    </w:p>
    <w:p w14:paraId="47FC485D" w14:textId="77777777" w:rsidR="00154AD2" w:rsidRDefault="007F6BF3">
      <w:pPr>
        <w:pStyle w:val="P68B1DB1-Normal4"/>
        <w:keepNext/>
        <w:numPr>
          <w:ilvl w:val="0"/>
          <w:numId w:val="30"/>
        </w:numPr>
        <w:spacing w:before="40" w:after="160" w:line="240" w:lineRule="auto"/>
        <w:contextualSpacing/>
        <w:jc w:val="both"/>
        <w:rPr>
          <w:rFonts w:eastAsiaTheme="minorEastAsia" w:cs="Times New Roman"/>
          <w:noProof/>
        </w:rPr>
      </w:pPr>
      <w:r>
        <w:rPr>
          <w:noProof/>
        </w:rPr>
        <w:t>Διατίθενται επίσης δίαυλοι επικοινωνίας για την αποσαφήνιση των αμφιβολιών σχετικά με τον τρόπο εξασφάλισης αυτής της στήριξης, σε συντονισμό με διάφορες εθνικές και τοπικές οντότητες, ώστε οι καταναλωτές να μπορούν να λαμβάνουν τις καλύτερες επενδυτικές αποφάσεις.</w:t>
      </w:r>
    </w:p>
    <w:p w14:paraId="3470E975" w14:textId="77777777" w:rsidR="00154AD2" w:rsidRDefault="007F6BF3">
      <w:pPr>
        <w:pStyle w:val="P68B1DB1-Normal4"/>
        <w:spacing w:before="40" w:after="0" w:line="240" w:lineRule="auto"/>
        <w:jc w:val="both"/>
        <w:rPr>
          <w:rFonts w:eastAsiaTheme="minorEastAsia" w:cs="Times New Roman"/>
          <w:noProof/>
        </w:rPr>
      </w:pPr>
      <w:r>
        <w:rPr>
          <w:noProof/>
        </w:rPr>
        <w:t>Η σχεδιαζόμενη επένδυση αποσκοπεί στην επίτευξη μέσης εξοικονόμησης περίπου 50 χΤΙΠ πρωτογενούς ενέργειας και στη μείωση των εκπομπών CO</w:t>
      </w:r>
      <w:r>
        <w:rPr>
          <w:noProof/>
          <w:vertAlign w:val="subscript"/>
        </w:rPr>
        <w:t>2</w:t>
      </w:r>
      <w:r>
        <w:rPr>
          <w:noProof/>
        </w:rPr>
        <w:t xml:space="preserve"> κατά περίπου 30 kt.</w:t>
      </w:r>
    </w:p>
    <w:p w14:paraId="55C9613B" w14:textId="77777777" w:rsidR="00154AD2" w:rsidRDefault="007F6BF3">
      <w:pPr>
        <w:pStyle w:val="P68B1DB1-Normal4"/>
        <w:spacing w:before="40" w:after="0" w:line="240" w:lineRule="auto"/>
        <w:jc w:val="both"/>
        <w:rPr>
          <w:rFonts w:eastAsiaTheme="minorEastAsia" w:cs="Times New Roman"/>
          <w:noProof/>
        </w:rPr>
        <w:sectPr w:rsidR="00154AD2" w:rsidSect="00E00EDD">
          <w:headerReference w:type="even" r:id="rId258"/>
          <w:headerReference w:type="default" r:id="rId259"/>
          <w:footerReference w:type="even" r:id="rId260"/>
          <w:footerReference w:type="default" r:id="rId261"/>
          <w:headerReference w:type="first" r:id="rId262"/>
          <w:footerReference w:type="first" r:id="rId263"/>
          <w:pgSz w:w="11907" w:h="16839"/>
          <w:pgMar w:top="1134" w:right="1134" w:bottom="1134" w:left="1134" w:header="567" w:footer="567" w:gutter="0"/>
          <w:cols w:space="720"/>
          <w:docGrid w:linePitch="360"/>
        </w:sectPr>
      </w:pPr>
      <w:r>
        <w:rPr>
          <w:noProof/>
        </w:rPr>
        <w:t>Η υλοποίηση της επένδυσης θα ολοκληρωθεί έως τις 31 Δεκεμβρίου 2025.</w:t>
      </w:r>
    </w:p>
    <w:p w14:paraId="29A3F2EB" w14:textId="77777777" w:rsidR="00154AD2" w:rsidRDefault="007F6BF3">
      <w:pPr>
        <w:pStyle w:val="P68B1DB1-Normal3"/>
        <w:spacing w:before="40" w:after="0" w:line="259" w:lineRule="auto"/>
        <w:ind w:left="130" w:firstLine="720"/>
        <w:jc w:val="both"/>
        <w:outlineLvl w:val="1"/>
        <w:rPr>
          <w:rFonts w:eastAsiaTheme="minorEastAsia" w:cs="Times New Roman"/>
          <w:noProof/>
        </w:rPr>
      </w:pPr>
      <w:r>
        <w:rPr>
          <w:noProof/>
        </w:rPr>
        <w:t>Μ.2. Ορόσημα, στόχοι, δείκτες και χρονοδιάγραμμα για την παρακολούθηση και την υλοποίηση της μη επιστρεπτέας χρηματοδοτικής στήριξης</w:t>
      </w:r>
    </w:p>
    <w:p w14:paraId="11AAFD16" w14:textId="77777777" w:rsidR="00154AD2" w:rsidRDefault="00154AD2">
      <w:pPr>
        <w:keepNext/>
        <w:spacing w:before="40" w:after="0" w:line="259" w:lineRule="auto"/>
        <w:jc w:val="both"/>
        <w:rPr>
          <w:rFonts w:ascii="Times New Roman" w:eastAsiaTheme="minorEastAsia" w:hAnsi="Times New Roman" w:cs="Times New Roman"/>
          <w:noProof/>
          <w:sz w:val="24"/>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850"/>
        <w:gridCol w:w="992"/>
        <w:gridCol w:w="426"/>
        <w:gridCol w:w="708"/>
        <w:gridCol w:w="3969"/>
      </w:tblGrid>
      <w:tr w:rsidR="00154AD2" w14:paraId="0E0C05EE" w14:textId="77777777">
        <w:trPr>
          <w:trHeight w:val="910"/>
          <w:tblHeader/>
        </w:trPr>
        <w:tc>
          <w:tcPr>
            <w:tcW w:w="1135" w:type="dxa"/>
            <w:vMerge w:val="restart"/>
            <w:shd w:val="clear" w:color="auto" w:fill="BDD6EE"/>
            <w:vAlign w:val="center"/>
            <w:hideMark/>
          </w:tcPr>
          <w:p w14:paraId="67BBF50E" w14:textId="77777777" w:rsidR="00154AD2" w:rsidRDefault="007F6BF3">
            <w:pPr>
              <w:pStyle w:val="P68B1DB1-Normal6"/>
              <w:spacing w:after="0" w:line="240" w:lineRule="auto"/>
              <w:jc w:val="center"/>
              <w:rPr>
                <w:rFonts w:eastAsia="Times New Roman" w:cs="Times New Roman"/>
                <w:noProof/>
              </w:rPr>
            </w:pPr>
            <w:r>
              <w:rPr>
                <w:noProof/>
              </w:rPr>
              <w:t>Αύξων αριθμός</w:t>
            </w:r>
          </w:p>
        </w:tc>
        <w:tc>
          <w:tcPr>
            <w:tcW w:w="1276" w:type="dxa"/>
            <w:vMerge w:val="restart"/>
            <w:shd w:val="clear" w:color="auto" w:fill="BDD6EE"/>
            <w:vAlign w:val="center"/>
            <w:hideMark/>
          </w:tcPr>
          <w:p w14:paraId="30B4FF8A" w14:textId="77777777" w:rsidR="00154AD2" w:rsidRDefault="007F6BF3">
            <w:pPr>
              <w:pStyle w:val="P68B1DB1-Normal6"/>
              <w:spacing w:after="0" w:line="240" w:lineRule="auto"/>
              <w:jc w:val="center"/>
              <w:rPr>
                <w:rFonts w:eastAsia="Times New Roman" w:cs="Times New Roman"/>
                <w:noProof/>
              </w:rPr>
            </w:pPr>
            <w:r>
              <w:rPr>
                <w:noProof/>
              </w:rPr>
              <w:t>Μέτρο (Μεταρρύθμιση ή Επενδύσεις)</w:t>
            </w:r>
          </w:p>
        </w:tc>
        <w:tc>
          <w:tcPr>
            <w:tcW w:w="1134" w:type="dxa"/>
            <w:vMerge w:val="restart"/>
            <w:shd w:val="clear" w:color="auto" w:fill="BDD6EE"/>
            <w:vAlign w:val="center"/>
            <w:hideMark/>
          </w:tcPr>
          <w:p w14:paraId="2ABC28BA" w14:textId="6B49251B" w:rsidR="00154AD2" w:rsidRDefault="007F6BF3">
            <w:pPr>
              <w:pStyle w:val="P68B1DB1-Normal6"/>
              <w:spacing w:after="0" w:line="240" w:lineRule="auto"/>
              <w:jc w:val="center"/>
              <w:rPr>
                <w:rFonts w:eastAsia="Times New Roman" w:cs="Times New Roman"/>
                <w:noProof/>
                <w:sz w:val="14"/>
              </w:rPr>
            </w:pPr>
            <w:r>
              <w:rPr>
                <w:noProof/>
              </w:rPr>
              <w:t>Ορόσημο/Στόχος</w:t>
            </w:r>
          </w:p>
        </w:tc>
        <w:tc>
          <w:tcPr>
            <w:tcW w:w="1701" w:type="dxa"/>
            <w:vMerge w:val="restart"/>
            <w:shd w:val="clear" w:color="auto" w:fill="BDD6EE"/>
            <w:vAlign w:val="center"/>
            <w:hideMark/>
          </w:tcPr>
          <w:p w14:paraId="0F732803" w14:textId="77777777" w:rsidR="00154AD2" w:rsidRDefault="007F6BF3">
            <w:pPr>
              <w:pStyle w:val="P68B1DB1-Normal6"/>
              <w:spacing w:after="0" w:line="240" w:lineRule="auto"/>
              <w:jc w:val="center"/>
              <w:rPr>
                <w:rFonts w:eastAsia="Times New Roman" w:cs="Times New Roman"/>
                <w:noProof/>
              </w:rPr>
            </w:pPr>
            <w:r>
              <w:rPr>
                <w:noProof/>
              </w:rPr>
              <w:t>Όνομα</w:t>
            </w:r>
          </w:p>
        </w:tc>
        <w:tc>
          <w:tcPr>
            <w:tcW w:w="1275" w:type="dxa"/>
            <w:vMerge w:val="restart"/>
            <w:shd w:val="clear" w:color="auto" w:fill="BDD6EE"/>
            <w:vAlign w:val="center"/>
            <w:hideMark/>
          </w:tcPr>
          <w:p w14:paraId="4FD2B6A8" w14:textId="77777777" w:rsidR="00154AD2" w:rsidRDefault="007F6BF3">
            <w:pPr>
              <w:pStyle w:val="P68B1DB1-Normal6"/>
              <w:spacing w:after="0" w:line="240" w:lineRule="auto"/>
              <w:jc w:val="center"/>
              <w:rPr>
                <w:rFonts w:eastAsia="Times New Roman" w:cs="Times New Roman"/>
                <w:noProof/>
              </w:rPr>
            </w:pPr>
            <w:r>
              <w:rPr>
                <w:noProof/>
              </w:rPr>
              <w:t>Ποιοτικοί δείκτες (για τα ορόσημα)</w:t>
            </w:r>
          </w:p>
        </w:tc>
        <w:tc>
          <w:tcPr>
            <w:tcW w:w="2835" w:type="dxa"/>
            <w:gridSpan w:val="3"/>
            <w:shd w:val="clear" w:color="auto" w:fill="BDD6EE"/>
            <w:vAlign w:val="center"/>
            <w:hideMark/>
          </w:tcPr>
          <w:p w14:paraId="61B63461" w14:textId="77777777" w:rsidR="00154AD2" w:rsidRDefault="007F6BF3">
            <w:pPr>
              <w:pStyle w:val="P68B1DB1-Normal6"/>
              <w:spacing w:after="0" w:line="240" w:lineRule="auto"/>
              <w:jc w:val="center"/>
              <w:rPr>
                <w:rFonts w:eastAsia="Times New Roman" w:cs="Times New Roman"/>
                <w:noProof/>
              </w:rPr>
            </w:pPr>
            <w:r>
              <w:rPr>
                <w:noProof/>
              </w:rPr>
              <w:t>Ποσοτικοί δείκτες (για τους στόχους)</w:t>
            </w:r>
          </w:p>
        </w:tc>
        <w:tc>
          <w:tcPr>
            <w:tcW w:w="1134" w:type="dxa"/>
            <w:gridSpan w:val="2"/>
            <w:shd w:val="clear" w:color="auto" w:fill="BDD6EE"/>
            <w:vAlign w:val="center"/>
            <w:hideMark/>
          </w:tcPr>
          <w:p w14:paraId="260455EA" w14:textId="77777777" w:rsidR="00154AD2" w:rsidRDefault="007F6BF3">
            <w:pPr>
              <w:pStyle w:val="P68B1DB1-Normal6"/>
              <w:spacing w:after="0" w:line="240" w:lineRule="auto"/>
              <w:jc w:val="center"/>
              <w:rPr>
                <w:rFonts w:eastAsia="Times New Roman" w:cs="Times New Roman"/>
                <w:noProof/>
              </w:rPr>
            </w:pPr>
            <w:r>
              <w:rPr>
                <w:noProof/>
              </w:rPr>
              <w:t>Ενδεικτικό χρονοδιάγραμμα ολοκλήρωσης</w:t>
            </w:r>
          </w:p>
        </w:tc>
        <w:tc>
          <w:tcPr>
            <w:tcW w:w="3969" w:type="dxa"/>
            <w:vMerge w:val="restart"/>
            <w:shd w:val="clear" w:color="auto" w:fill="BDD6EE"/>
            <w:vAlign w:val="center"/>
            <w:hideMark/>
          </w:tcPr>
          <w:p w14:paraId="0F60C256" w14:textId="77777777" w:rsidR="00154AD2" w:rsidRDefault="007F6BF3">
            <w:pPr>
              <w:pStyle w:val="P68B1DB1-Normal6"/>
              <w:spacing w:after="0" w:line="240" w:lineRule="auto"/>
              <w:jc w:val="center"/>
              <w:rPr>
                <w:rFonts w:eastAsia="Times New Roman" w:cs="Times New Roman"/>
                <w:noProof/>
              </w:rPr>
            </w:pPr>
            <w:r>
              <w:rPr>
                <w:noProof/>
              </w:rPr>
              <w:t>Περιγραφή και σαφής ορισμός κάθε ορόσημου και στόχου</w:t>
            </w:r>
          </w:p>
        </w:tc>
      </w:tr>
      <w:tr w:rsidR="00154AD2" w14:paraId="3FAB00E2" w14:textId="77777777">
        <w:trPr>
          <w:trHeight w:val="470"/>
          <w:tblHeader/>
        </w:trPr>
        <w:tc>
          <w:tcPr>
            <w:tcW w:w="1135" w:type="dxa"/>
            <w:vMerge/>
            <w:vAlign w:val="center"/>
            <w:hideMark/>
          </w:tcPr>
          <w:p w14:paraId="7E4C4723" w14:textId="77777777" w:rsidR="00154AD2" w:rsidRDefault="00154AD2">
            <w:pPr>
              <w:spacing w:after="0" w:line="240" w:lineRule="auto"/>
              <w:rPr>
                <w:rFonts w:ascii="Times New Roman" w:eastAsia="Times New Roman" w:hAnsi="Times New Roman" w:cs="Times New Roman"/>
                <w:b/>
                <w:noProof/>
                <w:sz w:val="18"/>
              </w:rPr>
            </w:pPr>
          </w:p>
        </w:tc>
        <w:tc>
          <w:tcPr>
            <w:tcW w:w="1276" w:type="dxa"/>
            <w:vMerge/>
            <w:vAlign w:val="center"/>
            <w:hideMark/>
          </w:tcPr>
          <w:p w14:paraId="4F51F516" w14:textId="77777777" w:rsidR="00154AD2" w:rsidRDefault="00154AD2">
            <w:pPr>
              <w:spacing w:after="0" w:line="240" w:lineRule="auto"/>
              <w:rPr>
                <w:rFonts w:ascii="Times New Roman" w:eastAsia="Times New Roman" w:hAnsi="Times New Roman" w:cs="Times New Roman"/>
                <w:b/>
                <w:noProof/>
                <w:sz w:val="18"/>
              </w:rPr>
            </w:pPr>
          </w:p>
        </w:tc>
        <w:tc>
          <w:tcPr>
            <w:tcW w:w="1134" w:type="dxa"/>
            <w:vMerge/>
            <w:shd w:val="clear" w:color="auto" w:fill="BDD6EE"/>
            <w:vAlign w:val="center"/>
            <w:hideMark/>
          </w:tcPr>
          <w:p w14:paraId="16343213" w14:textId="293593C9" w:rsidR="00154AD2" w:rsidRDefault="00154AD2">
            <w:pPr>
              <w:spacing w:after="0" w:line="240" w:lineRule="auto"/>
              <w:jc w:val="center"/>
              <w:rPr>
                <w:rFonts w:ascii="Times New Roman" w:eastAsia="Times New Roman" w:hAnsi="Times New Roman" w:cs="Times New Roman"/>
                <w:b/>
                <w:noProof/>
                <w:sz w:val="14"/>
              </w:rPr>
            </w:pPr>
          </w:p>
        </w:tc>
        <w:tc>
          <w:tcPr>
            <w:tcW w:w="1701" w:type="dxa"/>
            <w:vMerge/>
            <w:vAlign w:val="center"/>
            <w:hideMark/>
          </w:tcPr>
          <w:p w14:paraId="6B71B7A6" w14:textId="77777777" w:rsidR="00154AD2" w:rsidRDefault="00154AD2">
            <w:pPr>
              <w:spacing w:after="0" w:line="240" w:lineRule="auto"/>
              <w:rPr>
                <w:rFonts w:ascii="Times New Roman" w:eastAsia="Times New Roman" w:hAnsi="Times New Roman" w:cs="Times New Roman"/>
                <w:b/>
                <w:noProof/>
                <w:sz w:val="18"/>
              </w:rPr>
            </w:pPr>
          </w:p>
        </w:tc>
        <w:tc>
          <w:tcPr>
            <w:tcW w:w="1275" w:type="dxa"/>
            <w:vMerge/>
            <w:vAlign w:val="center"/>
            <w:hideMark/>
          </w:tcPr>
          <w:p w14:paraId="049F56B7" w14:textId="77777777" w:rsidR="00154AD2" w:rsidRDefault="00154AD2">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6FCE643F" w14:textId="77777777" w:rsidR="00154AD2" w:rsidRDefault="007F6BF3">
            <w:pPr>
              <w:pStyle w:val="P68B1DB1-Normal6"/>
              <w:spacing w:after="0" w:line="240" w:lineRule="auto"/>
              <w:jc w:val="center"/>
              <w:rPr>
                <w:rFonts w:eastAsia="Times New Roman" w:cs="Times New Roman"/>
                <w:noProof/>
              </w:rPr>
            </w:pPr>
            <w:r>
              <w:rPr>
                <w:noProof/>
              </w:rPr>
              <w:t>Μονάδα μέτρησης</w:t>
            </w:r>
          </w:p>
        </w:tc>
        <w:tc>
          <w:tcPr>
            <w:tcW w:w="850" w:type="dxa"/>
            <w:shd w:val="clear" w:color="auto" w:fill="BDD6EE"/>
            <w:vAlign w:val="center"/>
            <w:hideMark/>
          </w:tcPr>
          <w:p w14:paraId="5BE8C6D0" w14:textId="77777777" w:rsidR="00154AD2" w:rsidRDefault="007F6BF3">
            <w:pPr>
              <w:pStyle w:val="P68B1DB1-Normal6"/>
              <w:spacing w:after="0" w:line="240" w:lineRule="auto"/>
              <w:jc w:val="center"/>
              <w:rPr>
                <w:rFonts w:eastAsia="Times New Roman" w:cs="Times New Roman"/>
                <w:noProof/>
              </w:rPr>
            </w:pPr>
            <w:r>
              <w:rPr>
                <w:noProof/>
              </w:rPr>
              <w:t>Βάση αναφοράς</w:t>
            </w:r>
          </w:p>
        </w:tc>
        <w:tc>
          <w:tcPr>
            <w:tcW w:w="992" w:type="dxa"/>
            <w:shd w:val="clear" w:color="auto" w:fill="BDD6EE"/>
            <w:vAlign w:val="center"/>
            <w:hideMark/>
          </w:tcPr>
          <w:p w14:paraId="0C1FF235" w14:textId="77777777" w:rsidR="00154AD2" w:rsidRDefault="007F6BF3">
            <w:pPr>
              <w:pStyle w:val="P68B1DB1-Normal6"/>
              <w:spacing w:after="0" w:line="240" w:lineRule="auto"/>
              <w:jc w:val="center"/>
              <w:rPr>
                <w:rFonts w:eastAsia="Times New Roman" w:cs="Times New Roman"/>
                <w:noProof/>
              </w:rPr>
            </w:pPr>
            <w:r>
              <w:rPr>
                <w:noProof/>
              </w:rPr>
              <w:t>Στόχοι</w:t>
            </w:r>
          </w:p>
        </w:tc>
        <w:tc>
          <w:tcPr>
            <w:tcW w:w="426" w:type="dxa"/>
            <w:shd w:val="clear" w:color="auto" w:fill="BDD6EE"/>
            <w:vAlign w:val="center"/>
            <w:hideMark/>
          </w:tcPr>
          <w:p w14:paraId="409B8A29" w14:textId="77777777" w:rsidR="00154AD2" w:rsidRDefault="007F6BF3">
            <w:pPr>
              <w:pStyle w:val="P68B1DB1-Normal6"/>
              <w:spacing w:after="0" w:line="240" w:lineRule="auto"/>
              <w:jc w:val="center"/>
              <w:rPr>
                <w:rFonts w:eastAsia="Times New Roman" w:cs="Times New Roman"/>
                <w:noProof/>
              </w:rPr>
            </w:pPr>
            <w:r>
              <w:rPr>
                <w:noProof/>
              </w:rPr>
              <w:t>Ε</w:t>
            </w:r>
          </w:p>
        </w:tc>
        <w:tc>
          <w:tcPr>
            <w:tcW w:w="708" w:type="dxa"/>
            <w:shd w:val="clear" w:color="auto" w:fill="BDD6EE"/>
            <w:vAlign w:val="center"/>
            <w:hideMark/>
          </w:tcPr>
          <w:p w14:paraId="2A10157F" w14:textId="77777777" w:rsidR="00154AD2" w:rsidRDefault="007F6BF3">
            <w:pPr>
              <w:pStyle w:val="P68B1DB1-Normal6"/>
              <w:spacing w:after="0" w:line="240" w:lineRule="auto"/>
              <w:jc w:val="center"/>
              <w:rPr>
                <w:rFonts w:eastAsia="Times New Roman" w:cs="Times New Roman"/>
                <w:noProof/>
              </w:rPr>
            </w:pPr>
            <w:r>
              <w:rPr>
                <w:noProof/>
              </w:rPr>
              <w:t>Έτος</w:t>
            </w:r>
          </w:p>
        </w:tc>
        <w:tc>
          <w:tcPr>
            <w:tcW w:w="3969" w:type="dxa"/>
            <w:vMerge/>
            <w:vAlign w:val="center"/>
            <w:hideMark/>
          </w:tcPr>
          <w:p w14:paraId="4615715E" w14:textId="77777777" w:rsidR="00154AD2" w:rsidRDefault="00154AD2">
            <w:pPr>
              <w:spacing w:after="0" w:line="240" w:lineRule="auto"/>
              <w:rPr>
                <w:rFonts w:ascii="Times New Roman" w:eastAsia="Times New Roman" w:hAnsi="Times New Roman" w:cs="Times New Roman"/>
                <w:b/>
                <w:noProof/>
                <w:sz w:val="18"/>
              </w:rPr>
            </w:pPr>
          </w:p>
        </w:tc>
      </w:tr>
      <w:tr w:rsidR="00154AD2" w14:paraId="606EC8F0" w14:textId="77777777">
        <w:trPr>
          <w:trHeight w:val="420"/>
        </w:trPr>
        <w:tc>
          <w:tcPr>
            <w:tcW w:w="1135" w:type="dxa"/>
            <w:shd w:val="clear" w:color="auto" w:fill="C4EFCE"/>
            <w:vAlign w:val="center"/>
            <w:hideMark/>
          </w:tcPr>
          <w:p w14:paraId="1E4DC0DC" w14:textId="77777777" w:rsidR="00154AD2" w:rsidRDefault="007F6BF3">
            <w:pPr>
              <w:pStyle w:val="P68B1DB1-Normal7"/>
              <w:spacing w:after="0" w:line="240" w:lineRule="auto"/>
              <w:jc w:val="center"/>
              <w:rPr>
                <w:rFonts w:eastAsia="Times New Roman" w:cs="Calibri"/>
                <w:noProof/>
              </w:rPr>
            </w:pPr>
            <w:r>
              <w:rPr>
                <w:noProof/>
              </w:rPr>
              <w:t>13.1</w:t>
            </w:r>
          </w:p>
        </w:tc>
        <w:tc>
          <w:tcPr>
            <w:tcW w:w="1276" w:type="dxa"/>
            <w:shd w:val="clear" w:color="auto" w:fill="C4EFCE"/>
            <w:noWrap/>
            <w:vAlign w:val="center"/>
            <w:hideMark/>
          </w:tcPr>
          <w:p w14:paraId="27EC7AD6" w14:textId="77777777" w:rsidR="00154AD2" w:rsidRDefault="007F6BF3">
            <w:pPr>
              <w:pStyle w:val="P68B1DB1-Normal8"/>
              <w:spacing w:after="0" w:line="240" w:lineRule="auto"/>
              <w:jc w:val="both"/>
              <w:rPr>
                <w:rFonts w:eastAsia="Times New Roman" w:cs="Calibri"/>
                <w:noProof/>
              </w:rPr>
            </w:pPr>
            <w:r>
              <w:rPr>
                <w:noProof/>
              </w:rPr>
              <w:t>TC-C13-I01</w:t>
            </w:r>
          </w:p>
        </w:tc>
        <w:tc>
          <w:tcPr>
            <w:tcW w:w="1134" w:type="dxa"/>
            <w:shd w:val="clear" w:color="auto" w:fill="C4EFCE"/>
            <w:noWrap/>
            <w:vAlign w:val="center"/>
            <w:hideMark/>
          </w:tcPr>
          <w:p w14:paraId="36311F16" w14:textId="77777777" w:rsidR="00154AD2" w:rsidRDefault="007F6BF3">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15826370" w14:textId="77777777" w:rsidR="00154AD2" w:rsidRDefault="007F6BF3">
            <w:pPr>
              <w:pStyle w:val="P68B1DB1-Normal8"/>
              <w:spacing w:after="0" w:line="240" w:lineRule="auto"/>
              <w:rPr>
                <w:rFonts w:eastAsia="Times New Roman" w:cs="Calibri"/>
                <w:noProof/>
              </w:rPr>
            </w:pPr>
            <w:r>
              <w:rPr>
                <w:noProof/>
              </w:rPr>
              <w:t>Ενεργειακή απόδοση ανακαινίσεων ιδιωτικών οικιστικών κτιρίων</w:t>
            </w:r>
          </w:p>
        </w:tc>
        <w:tc>
          <w:tcPr>
            <w:tcW w:w="1275" w:type="dxa"/>
            <w:shd w:val="clear" w:color="auto" w:fill="C4EFCE"/>
            <w:noWrap/>
            <w:vAlign w:val="center"/>
            <w:hideMark/>
          </w:tcPr>
          <w:p w14:paraId="462D8E5D" w14:textId="77777777" w:rsidR="00154AD2" w:rsidRDefault="007F6BF3">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5CBB54FC" w14:textId="77777777" w:rsidR="00154AD2" w:rsidRDefault="007F6BF3">
            <w:pPr>
              <w:pStyle w:val="P68B1DB1-Normal8"/>
              <w:spacing w:after="0" w:line="240" w:lineRule="auto"/>
              <w:jc w:val="center"/>
              <w:rPr>
                <w:rFonts w:eastAsia="Times New Roman" w:cs="Calibri"/>
                <w:noProof/>
              </w:rPr>
            </w:pPr>
            <w:r>
              <w:rPr>
                <w:noProof/>
              </w:rPr>
              <w:t>m²</w:t>
            </w:r>
          </w:p>
        </w:tc>
        <w:tc>
          <w:tcPr>
            <w:tcW w:w="850" w:type="dxa"/>
            <w:shd w:val="clear" w:color="auto" w:fill="C4EFCE"/>
            <w:noWrap/>
            <w:vAlign w:val="center"/>
            <w:hideMark/>
          </w:tcPr>
          <w:p w14:paraId="19B8212A" w14:textId="77777777" w:rsidR="00154AD2" w:rsidRDefault="007F6BF3">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47DD0506" w14:textId="77777777" w:rsidR="00154AD2" w:rsidRDefault="007F6BF3">
            <w:pPr>
              <w:pStyle w:val="P68B1DB1-Normal8"/>
              <w:spacing w:after="0" w:line="240" w:lineRule="auto"/>
              <w:jc w:val="both"/>
              <w:rPr>
                <w:rFonts w:eastAsia="Times New Roman" w:cs="Calibri"/>
                <w:noProof/>
              </w:rPr>
            </w:pPr>
            <w:r>
              <w:rPr>
                <w:noProof/>
              </w:rPr>
              <w:t>830 000</w:t>
            </w:r>
          </w:p>
        </w:tc>
        <w:tc>
          <w:tcPr>
            <w:tcW w:w="426" w:type="dxa"/>
            <w:shd w:val="clear" w:color="auto" w:fill="C4EFCE"/>
            <w:noWrap/>
            <w:vAlign w:val="center"/>
            <w:hideMark/>
          </w:tcPr>
          <w:p w14:paraId="05169CF0" w14:textId="77777777" w:rsidR="00154AD2" w:rsidRDefault="007F6BF3">
            <w:pPr>
              <w:pStyle w:val="P68B1DB1-Normal8"/>
              <w:spacing w:after="0" w:line="240" w:lineRule="auto"/>
              <w:jc w:val="both"/>
              <w:rPr>
                <w:rFonts w:eastAsia="Times New Roman" w:cs="Calibri"/>
                <w:noProof/>
              </w:rPr>
            </w:pPr>
            <w:r>
              <w:rPr>
                <w:noProof/>
              </w:rPr>
              <w:t>ΤΡΊΜΗΝΟ 2</w:t>
            </w:r>
          </w:p>
        </w:tc>
        <w:tc>
          <w:tcPr>
            <w:tcW w:w="708" w:type="dxa"/>
            <w:shd w:val="clear" w:color="auto" w:fill="C4EFCE"/>
            <w:noWrap/>
            <w:vAlign w:val="center"/>
            <w:hideMark/>
          </w:tcPr>
          <w:p w14:paraId="4F8F49ED" w14:textId="77777777" w:rsidR="00154AD2" w:rsidRDefault="007F6BF3">
            <w:pPr>
              <w:pStyle w:val="P68B1DB1-Normal8"/>
              <w:spacing w:after="0" w:line="240" w:lineRule="auto"/>
              <w:jc w:val="both"/>
              <w:rPr>
                <w:rFonts w:eastAsia="Times New Roman" w:cs="Calibri"/>
                <w:noProof/>
              </w:rPr>
            </w:pPr>
            <w:r>
              <w:rPr>
                <w:noProof/>
              </w:rPr>
              <w:t>2024</w:t>
            </w:r>
          </w:p>
        </w:tc>
        <w:tc>
          <w:tcPr>
            <w:tcW w:w="3969" w:type="dxa"/>
            <w:shd w:val="clear" w:color="auto" w:fill="C4EFCE"/>
            <w:vAlign w:val="center"/>
            <w:hideMark/>
          </w:tcPr>
          <w:p w14:paraId="4713DF6A" w14:textId="77777777" w:rsidR="00154AD2" w:rsidRDefault="007F6BF3">
            <w:pPr>
              <w:pStyle w:val="P68B1DB1-Normal8"/>
              <w:spacing w:after="0" w:line="240" w:lineRule="auto"/>
              <w:jc w:val="both"/>
              <w:rPr>
                <w:rFonts w:eastAsia="Times New Roman" w:cs="Calibri"/>
                <w:noProof/>
              </w:rPr>
            </w:pPr>
            <w:r>
              <w:rPr>
                <w:noProof/>
              </w:rPr>
              <w:t>Έκταση ανακαινισμένων ιδιωτικών οικιστικών κτιρίων. Οι ανακαινίσεις ενεργειακής απόδοσης επιτυγχάνουν, κατά μέσο όρο, τουλάχιστον μεσαίας κλίμακας ανακαίνιση, όπως ορίζεται στη σύσταση της Επιτροπής για την ανακαίνιση κτιρίων (ΕΕ) 2019/786.</w:t>
            </w:r>
          </w:p>
        </w:tc>
      </w:tr>
      <w:tr w:rsidR="00154AD2" w14:paraId="1017303B" w14:textId="77777777">
        <w:trPr>
          <w:trHeight w:val="420"/>
        </w:trPr>
        <w:tc>
          <w:tcPr>
            <w:tcW w:w="1135" w:type="dxa"/>
            <w:shd w:val="clear" w:color="auto" w:fill="C4EFCE"/>
            <w:vAlign w:val="center"/>
            <w:hideMark/>
          </w:tcPr>
          <w:p w14:paraId="10D598D6" w14:textId="77777777" w:rsidR="00154AD2" w:rsidRDefault="007F6BF3">
            <w:pPr>
              <w:pStyle w:val="P68B1DB1-Normal7"/>
              <w:spacing w:after="0" w:line="240" w:lineRule="auto"/>
              <w:jc w:val="center"/>
              <w:rPr>
                <w:rFonts w:eastAsia="Times New Roman" w:cs="Calibri"/>
                <w:noProof/>
              </w:rPr>
            </w:pPr>
            <w:r>
              <w:rPr>
                <w:noProof/>
              </w:rPr>
              <w:t>13.2</w:t>
            </w:r>
          </w:p>
        </w:tc>
        <w:tc>
          <w:tcPr>
            <w:tcW w:w="1276" w:type="dxa"/>
            <w:shd w:val="clear" w:color="auto" w:fill="C4EFCE"/>
            <w:noWrap/>
            <w:vAlign w:val="center"/>
            <w:hideMark/>
          </w:tcPr>
          <w:p w14:paraId="6D5511F8" w14:textId="77777777" w:rsidR="00154AD2" w:rsidRDefault="007F6BF3">
            <w:pPr>
              <w:pStyle w:val="P68B1DB1-Normal8"/>
              <w:spacing w:after="0" w:line="240" w:lineRule="auto"/>
              <w:jc w:val="both"/>
              <w:rPr>
                <w:rFonts w:eastAsia="Times New Roman" w:cs="Calibri"/>
                <w:noProof/>
              </w:rPr>
            </w:pPr>
            <w:r>
              <w:rPr>
                <w:noProof/>
              </w:rPr>
              <w:t>TC-C13-I01</w:t>
            </w:r>
          </w:p>
        </w:tc>
        <w:tc>
          <w:tcPr>
            <w:tcW w:w="1134" w:type="dxa"/>
            <w:shd w:val="clear" w:color="auto" w:fill="C4EFCE"/>
            <w:noWrap/>
            <w:vAlign w:val="center"/>
            <w:hideMark/>
          </w:tcPr>
          <w:p w14:paraId="739F5B31" w14:textId="77777777" w:rsidR="00154AD2" w:rsidRDefault="007F6BF3">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437A49A2" w14:textId="77777777" w:rsidR="00154AD2" w:rsidRDefault="007F6BF3">
            <w:pPr>
              <w:pStyle w:val="P68B1DB1-Normal8"/>
              <w:spacing w:after="0" w:line="240" w:lineRule="auto"/>
              <w:rPr>
                <w:rFonts w:eastAsia="Times New Roman" w:cs="Calibri"/>
                <w:noProof/>
              </w:rPr>
            </w:pPr>
            <w:r>
              <w:rPr>
                <w:noProof/>
              </w:rPr>
              <w:t xml:space="preserve">Ενεργειακή απόδοση ανακαινίσεων ιδιωτικών οικιστικών κτιρίων </w:t>
            </w:r>
          </w:p>
        </w:tc>
        <w:tc>
          <w:tcPr>
            <w:tcW w:w="1275" w:type="dxa"/>
            <w:shd w:val="clear" w:color="auto" w:fill="C4EFCE"/>
            <w:noWrap/>
            <w:vAlign w:val="center"/>
            <w:hideMark/>
          </w:tcPr>
          <w:p w14:paraId="456795CE" w14:textId="77777777" w:rsidR="00154AD2" w:rsidRDefault="007F6BF3">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31EAE464" w14:textId="77777777" w:rsidR="00154AD2" w:rsidRDefault="007F6BF3">
            <w:pPr>
              <w:pStyle w:val="P68B1DB1-Normal8"/>
              <w:spacing w:after="0" w:line="240" w:lineRule="auto"/>
              <w:jc w:val="center"/>
              <w:rPr>
                <w:rFonts w:eastAsia="Times New Roman" w:cs="Calibri"/>
                <w:noProof/>
              </w:rPr>
            </w:pPr>
            <w:r>
              <w:rPr>
                <w:noProof/>
              </w:rPr>
              <w:t>m²</w:t>
            </w:r>
          </w:p>
        </w:tc>
        <w:tc>
          <w:tcPr>
            <w:tcW w:w="850" w:type="dxa"/>
            <w:shd w:val="clear" w:color="auto" w:fill="C4EFCE"/>
            <w:noWrap/>
            <w:vAlign w:val="center"/>
            <w:hideMark/>
          </w:tcPr>
          <w:p w14:paraId="1B48A107" w14:textId="77777777" w:rsidR="00154AD2" w:rsidRDefault="007F6BF3">
            <w:pPr>
              <w:pStyle w:val="P68B1DB1-Normal8"/>
              <w:spacing w:after="0" w:line="240" w:lineRule="auto"/>
              <w:jc w:val="center"/>
              <w:rPr>
                <w:rFonts w:eastAsia="Times New Roman" w:cs="Calibri"/>
                <w:noProof/>
              </w:rPr>
            </w:pPr>
            <w:r>
              <w:rPr>
                <w:noProof/>
              </w:rPr>
              <w:t>830 000</w:t>
            </w:r>
          </w:p>
        </w:tc>
        <w:tc>
          <w:tcPr>
            <w:tcW w:w="992" w:type="dxa"/>
            <w:shd w:val="clear" w:color="auto" w:fill="C4EFCE"/>
            <w:noWrap/>
            <w:vAlign w:val="center"/>
            <w:hideMark/>
          </w:tcPr>
          <w:p w14:paraId="4C565512" w14:textId="77777777" w:rsidR="00154AD2" w:rsidRDefault="007F6BF3">
            <w:pPr>
              <w:pStyle w:val="P68B1DB1-Normal8"/>
              <w:spacing w:after="0" w:line="240" w:lineRule="auto"/>
              <w:jc w:val="both"/>
              <w:rPr>
                <w:rFonts w:eastAsia="Times New Roman" w:cs="Calibri"/>
                <w:noProof/>
              </w:rPr>
            </w:pPr>
            <w:r>
              <w:rPr>
                <w:noProof/>
              </w:rPr>
              <w:t>1 020 000</w:t>
            </w:r>
          </w:p>
        </w:tc>
        <w:tc>
          <w:tcPr>
            <w:tcW w:w="426" w:type="dxa"/>
            <w:shd w:val="clear" w:color="auto" w:fill="C4EFCE"/>
            <w:noWrap/>
            <w:vAlign w:val="center"/>
            <w:hideMark/>
          </w:tcPr>
          <w:p w14:paraId="270A70FA" w14:textId="77777777" w:rsidR="00154AD2" w:rsidRDefault="007F6BF3">
            <w:pPr>
              <w:pStyle w:val="P68B1DB1-Normal8"/>
              <w:spacing w:after="0" w:line="240" w:lineRule="auto"/>
              <w:jc w:val="both"/>
              <w:rPr>
                <w:rFonts w:eastAsia="Times New Roman" w:cs="Calibri"/>
                <w:noProof/>
              </w:rPr>
            </w:pPr>
            <w:r>
              <w:rPr>
                <w:noProof/>
              </w:rPr>
              <w:t>ΤΡΊΜΗΝΟ 2</w:t>
            </w:r>
          </w:p>
        </w:tc>
        <w:tc>
          <w:tcPr>
            <w:tcW w:w="708" w:type="dxa"/>
            <w:shd w:val="clear" w:color="auto" w:fill="C4EFCE"/>
            <w:noWrap/>
            <w:vAlign w:val="center"/>
            <w:hideMark/>
          </w:tcPr>
          <w:p w14:paraId="569CEDB4" w14:textId="77777777" w:rsidR="00154AD2" w:rsidRDefault="007F6BF3">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5D57E5C9" w14:textId="77777777" w:rsidR="00154AD2" w:rsidRDefault="007F6BF3">
            <w:pPr>
              <w:pStyle w:val="P68B1DB1-Normal8"/>
              <w:spacing w:after="0" w:line="240" w:lineRule="auto"/>
              <w:jc w:val="both"/>
              <w:rPr>
                <w:rFonts w:eastAsia="Times New Roman" w:cs="Calibri"/>
                <w:noProof/>
              </w:rPr>
            </w:pPr>
            <w:r>
              <w:rPr>
                <w:noProof/>
              </w:rPr>
              <w:t>Έκταση ανακαινισμένων ιδιωτικών οικιστικών κτιρίων. Οι ανακαινίσεις ενεργειακής απόδοσης επιτυγχάνουν, κατά μέσο όρο, τουλάχιστον μεσαίας κλίμακας ανακαίνιση, όπως ορίζεται στη σύσταση της Επιτροπής για την ανακαίνιση κτιρίων (ΕΕ) 2019/786</w:t>
            </w:r>
          </w:p>
        </w:tc>
      </w:tr>
      <w:tr w:rsidR="00154AD2" w14:paraId="2393B3AE" w14:textId="77777777">
        <w:trPr>
          <w:trHeight w:val="1060"/>
        </w:trPr>
        <w:tc>
          <w:tcPr>
            <w:tcW w:w="1135" w:type="dxa"/>
            <w:shd w:val="clear" w:color="auto" w:fill="C4EFCE"/>
            <w:vAlign w:val="center"/>
            <w:hideMark/>
          </w:tcPr>
          <w:p w14:paraId="67D8B225" w14:textId="77777777" w:rsidR="00154AD2" w:rsidRDefault="007F6BF3">
            <w:pPr>
              <w:pStyle w:val="P68B1DB1-Normal7"/>
              <w:spacing w:after="0" w:line="240" w:lineRule="auto"/>
              <w:jc w:val="center"/>
              <w:rPr>
                <w:rFonts w:eastAsia="Times New Roman" w:cs="Calibri"/>
                <w:noProof/>
              </w:rPr>
            </w:pPr>
            <w:r>
              <w:rPr>
                <w:noProof/>
              </w:rPr>
              <w:t>13.3</w:t>
            </w:r>
          </w:p>
        </w:tc>
        <w:tc>
          <w:tcPr>
            <w:tcW w:w="1276" w:type="dxa"/>
            <w:shd w:val="clear" w:color="auto" w:fill="C4EFCE"/>
            <w:noWrap/>
            <w:vAlign w:val="center"/>
            <w:hideMark/>
          </w:tcPr>
          <w:p w14:paraId="7F372A8D" w14:textId="77777777" w:rsidR="00154AD2" w:rsidRDefault="007F6BF3">
            <w:pPr>
              <w:pStyle w:val="P68B1DB1-Normal8"/>
              <w:spacing w:after="0" w:line="240" w:lineRule="auto"/>
              <w:jc w:val="both"/>
              <w:rPr>
                <w:rFonts w:eastAsia="Times New Roman" w:cs="Calibri"/>
                <w:noProof/>
              </w:rPr>
            </w:pPr>
            <w:r>
              <w:rPr>
                <w:noProof/>
              </w:rPr>
              <w:t>TC-C13-I01</w:t>
            </w:r>
          </w:p>
        </w:tc>
        <w:tc>
          <w:tcPr>
            <w:tcW w:w="1134" w:type="dxa"/>
            <w:shd w:val="clear" w:color="auto" w:fill="C4EFCE"/>
            <w:noWrap/>
            <w:vAlign w:val="center"/>
            <w:hideMark/>
          </w:tcPr>
          <w:p w14:paraId="02685FC2" w14:textId="77777777" w:rsidR="00154AD2" w:rsidRDefault="007F6BF3">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792E44C1" w14:textId="77777777" w:rsidR="00154AD2" w:rsidRDefault="007F6BF3">
            <w:pPr>
              <w:pStyle w:val="P68B1DB1-Normal8"/>
              <w:spacing w:after="0" w:line="240" w:lineRule="auto"/>
              <w:rPr>
                <w:rFonts w:eastAsia="Times New Roman" w:cs="Calibri"/>
                <w:noProof/>
              </w:rPr>
            </w:pPr>
            <w:r>
              <w:rPr>
                <w:noProof/>
              </w:rPr>
              <w:t>«Κουπόνια απόδοσης» που διανέμονται σε νοικοκυριά που αντιμετωπίζουν ενεργειακή φτώχεια για την αντικατάσταση παλαιού εξοπλισμού και την υιοθέτηση ενεργειακά αποδοτικών λύσεων</w:t>
            </w:r>
          </w:p>
        </w:tc>
        <w:tc>
          <w:tcPr>
            <w:tcW w:w="1275" w:type="dxa"/>
            <w:shd w:val="clear" w:color="auto" w:fill="C4EFCE"/>
            <w:noWrap/>
            <w:vAlign w:val="center"/>
            <w:hideMark/>
          </w:tcPr>
          <w:p w14:paraId="7F10918E" w14:textId="77777777" w:rsidR="00154AD2" w:rsidRDefault="007F6BF3">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39ACE5A7"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850" w:type="dxa"/>
            <w:shd w:val="clear" w:color="auto" w:fill="C4EFCE"/>
            <w:noWrap/>
            <w:vAlign w:val="center"/>
            <w:hideMark/>
          </w:tcPr>
          <w:p w14:paraId="38F31541" w14:textId="77777777" w:rsidR="00154AD2" w:rsidRDefault="007F6BF3">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6083336E" w14:textId="77777777" w:rsidR="00154AD2" w:rsidRDefault="007F6BF3">
            <w:pPr>
              <w:pStyle w:val="P68B1DB1-Normal8"/>
              <w:spacing w:after="0" w:line="240" w:lineRule="auto"/>
              <w:jc w:val="both"/>
              <w:rPr>
                <w:rFonts w:eastAsia="Times New Roman" w:cs="Calibri"/>
                <w:noProof/>
              </w:rPr>
            </w:pPr>
            <w:r>
              <w:rPr>
                <w:noProof/>
              </w:rPr>
              <w:t>100 000</w:t>
            </w:r>
          </w:p>
        </w:tc>
        <w:tc>
          <w:tcPr>
            <w:tcW w:w="426" w:type="dxa"/>
            <w:shd w:val="clear" w:color="auto" w:fill="C4EFCE"/>
            <w:noWrap/>
            <w:vAlign w:val="center"/>
            <w:hideMark/>
          </w:tcPr>
          <w:p w14:paraId="2458F47B" w14:textId="77777777" w:rsidR="00154AD2" w:rsidRDefault="007F6BF3">
            <w:pPr>
              <w:pStyle w:val="P68B1DB1-Normal8"/>
              <w:spacing w:after="0" w:line="240" w:lineRule="auto"/>
              <w:jc w:val="both"/>
              <w:rPr>
                <w:rFonts w:eastAsia="Times New Roman" w:cs="Calibri"/>
                <w:noProof/>
              </w:rPr>
            </w:pPr>
            <w:r>
              <w:rPr>
                <w:noProof/>
              </w:rPr>
              <w:t>ΤΡΊΜΗΝΟ 3</w:t>
            </w:r>
          </w:p>
        </w:tc>
        <w:tc>
          <w:tcPr>
            <w:tcW w:w="708" w:type="dxa"/>
            <w:shd w:val="clear" w:color="auto" w:fill="C4EFCE"/>
            <w:noWrap/>
            <w:vAlign w:val="center"/>
            <w:hideMark/>
          </w:tcPr>
          <w:p w14:paraId="03A7CD48" w14:textId="77777777" w:rsidR="00154AD2" w:rsidRDefault="007F6BF3">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577AF848" w14:textId="77777777" w:rsidR="00154AD2" w:rsidRDefault="007F6BF3">
            <w:pPr>
              <w:pStyle w:val="P68B1DB1-Normal8"/>
              <w:spacing w:after="0" w:line="240" w:lineRule="auto"/>
              <w:jc w:val="both"/>
              <w:rPr>
                <w:rFonts w:eastAsia="Times New Roman" w:cs="Calibri"/>
                <w:noProof/>
              </w:rPr>
            </w:pPr>
            <w:r>
              <w:rPr>
                <w:noProof/>
              </w:rPr>
              <w:t>Αριθμός «κουπονιών απόδοσης» αξίας, κατά μέσο όρο, EUR 1300/voucher, που διανέμονται σε νοικοκυριά που αντιμετωπίζουν ενεργειακή φτώχεια (του σύμπαντος των νοικοκυριών που επωφελούνται από το κοινωνικό ενεργειακό τιμολόγιο), για την αγορά ενεργειακά αποδοτικού εξοπλισμού, όπως αντλίες θερμότητας, καθώς και για την εκτέλεση εργασιών για τη βελτίωση της ενεργειακής απόδοσης του ίδιου του νοικοκυριού. Περιλαμβάνει υπηρεσίες εγκατάστασης και συλλογή προηγούμενου εξοπλισμού (μεταφορά του σε περιβαλλοντικά υπεύθυνο τελικό προορισμό).</w:t>
            </w:r>
          </w:p>
        </w:tc>
      </w:tr>
      <w:tr w:rsidR="00154AD2" w14:paraId="0B0E361D" w14:textId="77777777">
        <w:trPr>
          <w:trHeight w:val="640"/>
        </w:trPr>
        <w:tc>
          <w:tcPr>
            <w:tcW w:w="1135" w:type="dxa"/>
            <w:shd w:val="clear" w:color="auto" w:fill="C4EFCE"/>
            <w:vAlign w:val="center"/>
            <w:hideMark/>
          </w:tcPr>
          <w:p w14:paraId="7460E5A9" w14:textId="77777777" w:rsidR="00154AD2" w:rsidRDefault="007F6BF3">
            <w:pPr>
              <w:pStyle w:val="P68B1DB1-Normal7"/>
              <w:spacing w:after="0" w:line="240" w:lineRule="auto"/>
              <w:jc w:val="center"/>
              <w:rPr>
                <w:rFonts w:eastAsia="Times New Roman" w:cs="Calibri"/>
                <w:noProof/>
              </w:rPr>
            </w:pPr>
            <w:r>
              <w:rPr>
                <w:noProof/>
              </w:rPr>
              <w:t>13.4</w:t>
            </w:r>
          </w:p>
        </w:tc>
        <w:tc>
          <w:tcPr>
            <w:tcW w:w="1276" w:type="dxa"/>
            <w:shd w:val="clear" w:color="auto" w:fill="C4EFCE"/>
            <w:noWrap/>
            <w:vAlign w:val="center"/>
            <w:hideMark/>
          </w:tcPr>
          <w:p w14:paraId="4457813A" w14:textId="77777777" w:rsidR="00154AD2" w:rsidRDefault="007F6BF3">
            <w:pPr>
              <w:pStyle w:val="P68B1DB1-Normal8"/>
              <w:spacing w:after="0" w:line="240" w:lineRule="auto"/>
              <w:jc w:val="both"/>
              <w:rPr>
                <w:rFonts w:eastAsia="Times New Roman" w:cs="Calibri"/>
                <w:noProof/>
              </w:rPr>
            </w:pPr>
            <w:r>
              <w:rPr>
                <w:noProof/>
              </w:rPr>
              <w:t>TC-C13-I01</w:t>
            </w:r>
          </w:p>
        </w:tc>
        <w:tc>
          <w:tcPr>
            <w:tcW w:w="1134" w:type="dxa"/>
            <w:shd w:val="clear" w:color="auto" w:fill="C4EFCE"/>
            <w:noWrap/>
            <w:vAlign w:val="center"/>
            <w:hideMark/>
          </w:tcPr>
          <w:p w14:paraId="6C055939" w14:textId="77777777" w:rsidR="00154AD2" w:rsidRDefault="007F6BF3">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243CC0AB" w14:textId="77777777" w:rsidR="00154AD2" w:rsidRDefault="007F6BF3">
            <w:pPr>
              <w:pStyle w:val="P68B1DB1-Normal8"/>
              <w:spacing w:after="0" w:line="240" w:lineRule="auto"/>
              <w:rPr>
                <w:rFonts w:eastAsia="Times New Roman" w:cs="Calibri"/>
                <w:noProof/>
              </w:rPr>
            </w:pPr>
            <w:r>
              <w:rPr>
                <w:noProof/>
              </w:rPr>
              <w:t>Πρόσθετη ικανότητα παραγωγής ενέργειας από ανανεώσιμες πηγές για αυτοκατανάλωση και για χρήση σε κοινότητες ανανεώσιμων πηγών ενέργειας στον ιδιωτικό οικιστικό τομέα</w:t>
            </w:r>
          </w:p>
        </w:tc>
        <w:tc>
          <w:tcPr>
            <w:tcW w:w="1275" w:type="dxa"/>
            <w:shd w:val="clear" w:color="auto" w:fill="C4EFCE"/>
            <w:noWrap/>
            <w:vAlign w:val="center"/>
            <w:hideMark/>
          </w:tcPr>
          <w:p w14:paraId="49B81565" w14:textId="77777777" w:rsidR="00154AD2" w:rsidRDefault="007F6BF3">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3619A327" w14:textId="77777777" w:rsidR="00154AD2" w:rsidRDefault="007F6BF3">
            <w:pPr>
              <w:pStyle w:val="P68B1DB1-Normal8"/>
              <w:spacing w:after="0" w:line="240" w:lineRule="auto"/>
              <w:jc w:val="center"/>
              <w:rPr>
                <w:rFonts w:eastAsia="Times New Roman" w:cs="Calibri"/>
                <w:noProof/>
              </w:rPr>
            </w:pPr>
            <w:r>
              <w:rPr>
                <w:noProof/>
              </w:rPr>
              <w:t>MW</w:t>
            </w:r>
          </w:p>
        </w:tc>
        <w:tc>
          <w:tcPr>
            <w:tcW w:w="850" w:type="dxa"/>
            <w:shd w:val="clear" w:color="auto" w:fill="C4EFCE"/>
            <w:noWrap/>
            <w:vAlign w:val="center"/>
            <w:hideMark/>
          </w:tcPr>
          <w:p w14:paraId="1094D262" w14:textId="77777777" w:rsidR="00154AD2" w:rsidRDefault="007F6BF3">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3857AA75" w14:textId="77777777" w:rsidR="00154AD2" w:rsidRDefault="007F6BF3">
            <w:pPr>
              <w:pStyle w:val="P68B1DB1-Normal8"/>
              <w:spacing w:after="0" w:line="240" w:lineRule="auto"/>
              <w:jc w:val="both"/>
              <w:rPr>
                <w:rFonts w:eastAsia="Times New Roman" w:cs="Calibri"/>
                <w:noProof/>
              </w:rPr>
            </w:pPr>
            <w:r>
              <w:rPr>
                <w:noProof/>
              </w:rPr>
              <w:t>35</w:t>
            </w:r>
          </w:p>
        </w:tc>
        <w:tc>
          <w:tcPr>
            <w:tcW w:w="426" w:type="dxa"/>
            <w:shd w:val="clear" w:color="auto" w:fill="C4EFCE"/>
            <w:noWrap/>
            <w:vAlign w:val="center"/>
            <w:hideMark/>
          </w:tcPr>
          <w:p w14:paraId="16330E77" w14:textId="77777777" w:rsidR="00154AD2" w:rsidRDefault="007F6BF3">
            <w:pPr>
              <w:pStyle w:val="P68B1DB1-Normal8"/>
              <w:spacing w:after="0" w:line="240" w:lineRule="auto"/>
              <w:jc w:val="both"/>
              <w:rPr>
                <w:rFonts w:eastAsia="Times New Roman" w:cs="Calibri"/>
                <w:noProof/>
              </w:rPr>
            </w:pPr>
            <w:r>
              <w:rPr>
                <w:noProof/>
              </w:rPr>
              <w:t>ΤΡΊΜΗΝΟ 4</w:t>
            </w:r>
          </w:p>
        </w:tc>
        <w:tc>
          <w:tcPr>
            <w:tcW w:w="708" w:type="dxa"/>
            <w:shd w:val="clear" w:color="auto" w:fill="C4EFCE"/>
            <w:noWrap/>
            <w:vAlign w:val="center"/>
            <w:hideMark/>
          </w:tcPr>
          <w:p w14:paraId="3FBEBB67" w14:textId="77777777" w:rsidR="00154AD2" w:rsidRDefault="007F6BF3">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132845E6" w14:textId="77777777" w:rsidR="00154AD2" w:rsidRDefault="007F6BF3">
            <w:pPr>
              <w:pStyle w:val="P68B1DB1-Normal8"/>
              <w:spacing w:after="0" w:line="240" w:lineRule="auto"/>
              <w:jc w:val="both"/>
              <w:rPr>
                <w:rFonts w:eastAsia="Times New Roman" w:cs="Calibri"/>
                <w:noProof/>
              </w:rPr>
            </w:pPr>
            <w:r>
              <w:rPr>
                <w:noProof/>
              </w:rPr>
              <w:t>Πρόσθετη ικανότητα παραγωγής ενέργειας από ανανεώσιμες πηγές (όπως φωτοβολταϊκά πάνελ και συσσωρευτές όπως ωριμάζει αυτή η τεχνολογία) εγκατεστημένη για αυτοκατανάλωση και για χρήση σε κοινότητες ανανεώσιμων πηγών ενέργειας στον ιδιωτικό οικιστικό τομέα.</w:t>
            </w:r>
          </w:p>
        </w:tc>
      </w:tr>
      <w:tr w:rsidR="00154AD2" w14:paraId="72822A32" w14:textId="77777777">
        <w:trPr>
          <w:trHeight w:val="420"/>
        </w:trPr>
        <w:tc>
          <w:tcPr>
            <w:tcW w:w="1135" w:type="dxa"/>
            <w:shd w:val="clear" w:color="auto" w:fill="C4EFCE"/>
            <w:vAlign w:val="center"/>
            <w:hideMark/>
          </w:tcPr>
          <w:p w14:paraId="3B3EBACC" w14:textId="77777777" w:rsidR="00154AD2" w:rsidRDefault="007F6BF3">
            <w:pPr>
              <w:pStyle w:val="P68B1DB1-Normal7"/>
              <w:spacing w:after="0" w:line="240" w:lineRule="auto"/>
              <w:jc w:val="center"/>
              <w:rPr>
                <w:rFonts w:eastAsia="Times New Roman" w:cs="Calibri"/>
                <w:noProof/>
              </w:rPr>
            </w:pPr>
            <w:r>
              <w:rPr>
                <w:noProof/>
              </w:rPr>
              <w:t>13.5</w:t>
            </w:r>
          </w:p>
        </w:tc>
        <w:tc>
          <w:tcPr>
            <w:tcW w:w="1276" w:type="dxa"/>
            <w:shd w:val="clear" w:color="auto" w:fill="C4EFCE"/>
            <w:noWrap/>
            <w:vAlign w:val="center"/>
            <w:hideMark/>
          </w:tcPr>
          <w:p w14:paraId="7090E9CA" w14:textId="77777777" w:rsidR="00154AD2" w:rsidRDefault="007F6BF3">
            <w:pPr>
              <w:pStyle w:val="P68B1DB1-Normal8"/>
              <w:spacing w:after="0" w:line="240" w:lineRule="auto"/>
              <w:jc w:val="both"/>
              <w:rPr>
                <w:rFonts w:eastAsia="Times New Roman" w:cs="Calibri"/>
                <w:noProof/>
              </w:rPr>
            </w:pPr>
            <w:r>
              <w:rPr>
                <w:noProof/>
              </w:rPr>
              <w:t>TC-C13-I02</w:t>
            </w:r>
          </w:p>
        </w:tc>
        <w:tc>
          <w:tcPr>
            <w:tcW w:w="1134" w:type="dxa"/>
            <w:shd w:val="clear" w:color="auto" w:fill="C4EFCE"/>
            <w:noWrap/>
            <w:vAlign w:val="center"/>
            <w:hideMark/>
          </w:tcPr>
          <w:p w14:paraId="0265E7BE" w14:textId="77777777" w:rsidR="00154AD2" w:rsidRDefault="007F6BF3">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1A781328" w14:textId="77777777" w:rsidR="00154AD2" w:rsidRDefault="007F6BF3">
            <w:pPr>
              <w:pStyle w:val="P68B1DB1-Normal8"/>
              <w:spacing w:after="0" w:line="240" w:lineRule="auto"/>
              <w:jc w:val="both"/>
              <w:rPr>
                <w:rFonts w:eastAsia="Times New Roman" w:cs="Calibri"/>
                <w:noProof/>
              </w:rPr>
            </w:pPr>
            <w:r>
              <w:rPr>
                <w:noProof/>
              </w:rPr>
              <w:t>Ενεργειακή απόδοση των κτιρίων της κεντρικής δημόσιας διοίκησης</w:t>
            </w:r>
          </w:p>
        </w:tc>
        <w:tc>
          <w:tcPr>
            <w:tcW w:w="1275" w:type="dxa"/>
            <w:shd w:val="clear" w:color="auto" w:fill="C4EFCE"/>
            <w:noWrap/>
            <w:vAlign w:val="center"/>
            <w:hideMark/>
          </w:tcPr>
          <w:p w14:paraId="0B83A2AE" w14:textId="77777777" w:rsidR="00154AD2" w:rsidRDefault="007F6BF3">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540499B8" w14:textId="77777777" w:rsidR="00154AD2" w:rsidRDefault="007F6BF3">
            <w:pPr>
              <w:pStyle w:val="P68B1DB1-Normal8"/>
              <w:spacing w:after="0" w:line="240" w:lineRule="auto"/>
              <w:jc w:val="center"/>
              <w:rPr>
                <w:rFonts w:eastAsia="Times New Roman" w:cs="Calibri"/>
                <w:noProof/>
              </w:rPr>
            </w:pPr>
            <w:r>
              <w:rPr>
                <w:noProof/>
              </w:rPr>
              <w:t>m²</w:t>
            </w:r>
          </w:p>
        </w:tc>
        <w:tc>
          <w:tcPr>
            <w:tcW w:w="850" w:type="dxa"/>
            <w:shd w:val="clear" w:color="auto" w:fill="C4EFCE"/>
            <w:noWrap/>
            <w:vAlign w:val="center"/>
            <w:hideMark/>
          </w:tcPr>
          <w:p w14:paraId="4F89FDA3" w14:textId="77777777" w:rsidR="00154AD2" w:rsidRDefault="007F6BF3">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7BD42F3A" w14:textId="77777777" w:rsidR="00154AD2" w:rsidRDefault="007F6BF3">
            <w:pPr>
              <w:pStyle w:val="P68B1DB1-Normal8"/>
              <w:spacing w:after="0" w:line="240" w:lineRule="auto"/>
              <w:jc w:val="both"/>
              <w:rPr>
                <w:rFonts w:eastAsia="Times New Roman" w:cs="Calibri"/>
                <w:noProof/>
              </w:rPr>
            </w:pPr>
            <w:r>
              <w:rPr>
                <w:noProof/>
              </w:rPr>
              <w:t>1 065 000</w:t>
            </w:r>
          </w:p>
        </w:tc>
        <w:tc>
          <w:tcPr>
            <w:tcW w:w="426" w:type="dxa"/>
            <w:shd w:val="clear" w:color="auto" w:fill="C4EFCE"/>
            <w:noWrap/>
            <w:vAlign w:val="center"/>
            <w:hideMark/>
          </w:tcPr>
          <w:p w14:paraId="1624BC2F" w14:textId="77777777" w:rsidR="00154AD2" w:rsidRDefault="007F6BF3">
            <w:pPr>
              <w:pStyle w:val="P68B1DB1-Normal8"/>
              <w:spacing w:after="0" w:line="240" w:lineRule="auto"/>
              <w:jc w:val="both"/>
              <w:rPr>
                <w:rFonts w:eastAsia="Times New Roman" w:cs="Calibri"/>
                <w:noProof/>
              </w:rPr>
            </w:pPr>
            <w:r>
              <w:rPr>
                <w:noProof/>
              </w:rPr>
              <w:t>ΤΡΊΜΗΝΟ 1</w:t>
            </w:r>
          </w:p>
        </w:tc>
        <w:tc>
          <w:tcPr>
            <w:tcW w:w="708" w:type="dxa"/>
            <w:shd w:val="clear" w:color="auto" w:fill="C4EFCE"/>
            <w:noWrap/>
            <w:vAlign w:val="center"/>
            <w:hideMark/>
          </w:tcPr>
          <w:p w14:paraId="1A541125" w14:textId="77777777" w:rsidR="00154AD2" w:rsidRDefault="007F6BF3">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26228984" w14:textId="77777777" w:rsidR="00154AD2" w:rsidRDefault="00154AD2">
            <w:pPr>
              <w:spacing w:after="0" w:line="240" w:lineRule="auto"/>
              <w:jc w:val="both"/>
              <w:rPr>
                <w:rFonts w:ascii="Calibri" w:eastAsia="Times New Roman" w:hAnsi="Calibri" w:cs="Calibri"/>
                <w:noProof/>
                <w:sz w:val="16"/>
              </w:rPr>
            </w:pPr>
          </w:p>
          <w:p w14:paraId="160254F6" w14:textId="77777777" w:rsidR="00154AD2" w:rsidRDefault="007F6BF3">
            <w:pPr>
              <w:pStyle w:val="P68B1DB1-Normal8"/>
              <w:spacing w:after="0" w:line="240" w:lineRule="auto"/>
              <w:jc w:val="both"/>
              <w:rPr>
                <w:rFonts w:eastAsia="Times New Roman" w:cs="Calibri"/>
                <w:noProof/>
              </w:rPr>
            </w:pPr>
            <w:r>
              <w:rPr>
                <w:noProof/>
              </w:rPr>
              <w:t>Περιοχή ανακαινισμένων κτιρίων της κεντρικής κυβέρνησης. Οι ανακαινίσεις ενεργειακής απόδοσης επιτυγχάνουν, κατά μέσο όρο, τουλάχιστον μεσαίας κλίμακας ανακαίνιση, όπως ορίζεται στη σύσταση της Επιτροπής για την ανακαίνιση κτιρίων (ΕΕ) 2019/786</w:t>
            </w:r>
          </w:p>
        </w:tc>
      </w:tr>
      <w:tr w:rsidR="00154AD2" w14:paraId="3AB1A080" w14:textId="77777777">
        <w:trPr>
          <w:trHeight w:val="420"/>
        </w:trPr>
        <w:tc>
          <w:tcPr>
            <w:tcW w:w="1135" w:type="dxa"/>
            <w:shd w:val="clear" w:color="auto" w:fill="C4EFCE"/>
            <w:vAlign w:val="center"/>
            <w:hideMark/>
          </w:tcPr>
          <w:p w14:paraId="60E0C01F" w14:textId="77777777" w:rsidR="00154AD2" w:rsidRDefault="007F6BF3">
            <w:pPr>
              <w:pStyle w:val="P68B1DB1-Normal7"/>
              <w:spacing w:after="0" w:line="240" w:lineRule="auto"/>
              <w:jc w:val="center"/>
              <w:rPr>
                <w:rFonts w:eastAsia="Times New Roman" w:cs="Calibri"/>
                <w:noProof/>
              </w:rPr>
            </w:pPr>
            <w:r>
              <w:rPr>
                <w:noProof/>
              </w:rPr>
              <w:t>13.6</w:t>
            </w:r>
          </w:p>
        </w:tc>
        <w:tc>
          <w:tcPr>
            <w:tcW w:w="1276" w:type="dxa"/>
            <w:shd w:val="clear" w:color="auto" w:fill="C4EFCE"/>
            <w:noWrap/>
            <w:vAlign w:val="center"/>
            <w:hideMark/>
          </w:tcPr>
          <w:p w14:paraId="293744CC" w14:textId="77777777" w:rsidR="00154AD2" w:rsidRDefault="007F6BF3">
            <w:pPr>
              <w:pStyle w:val="P68B1DB1-Normal8"/>
              <w:spacing w:after="0" w:line="240" w:lineRule="auto"/>
              <w:jc w:val="both"/>
              <w:rPr>
                <w:rFonts w:eastAsia="Times New Roman" w:cs="Calibri"/>
                <w:noProof/>
              </w:rPr>
            </w:pPr>
            <w:r>
              <w:rPr>
                <w:noProof/>
              </w:rPr>
              <w:t>TC-C13-I02</w:t>
            </w:r>
          </w:p>
        </w:tc>
        <w:tc>
          <w:tcPr>
            <w:tcW w:w="1134" w:type="dxa"/>
            <w:shd w:val="clear" w:color="auto" w:fill="C4EFCE"/>
            <w:noWrap/>
            <w:vAlign w:val="center"/>
            <w:hideMark/>
          </w:tcPr>
          <w:p w14:paraId="4857104A" w14:textId="77777777" w:rsidR="00154AD2" w:rsidRDefault="007F6BF3">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4F18B9FA" w14:textId="77777777" w:rsidR="00154AD2" w:rsidRDefault="007F6BF3">
            <w:pPr>
              <w:pStyle w:val="P68B1DB1-Normal8"/>
              <w:spacing w:after="0" w:line="240" w:lineRule="auto"/>
              <w:jc w:val="both"/>
              <w:rPr>
                <w:rFonts w:eastAsia="Times New Roman" w:cs="Calibri"/>
                <w:noProof/>
              </w:rPr>
            </w:pPr>
            <w:r>
              <w:rPr>
                <w:noProof/>
              </w:rPr>
              <w:t xml:space="preserve">Ενεργειακή απόδοση των κτιρίων της κεντρικής δημόσιας διοίκησης </w:t>
            </w:r>
          </w:p>
        </w:tc>
        <w:tc>
          <w:tcPr>
            <w:tcW w:w="1275" w:type="dxa"/>
            <w:shd w:val="clear" w:color="auto" w:fill="C4EFCE"/>
            <w:noWrap/>
            <w:vAlign w:val="center"/>
            <w:hideMark/>
          </w:tcPr>
          <w:p w14:paraId="02A39686" w14:textId="77777777" w:rsidR="00154AD2" w:rsidRDefault="007F6BF3">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58D238F8" w14:textId="77777777" w:rsidR="00154AD2" w:rsidRDefault="007F6BF3">
            <w:pPr>
              <w:pStyle w:val="P68B1DB1-Normal8"/>
              <w:spacing w:after="0" w:line="240" w:lineRule="auto"/>
              <w:jc w:val="center"/>
              <w:rPr>
                <w:rFonts w:eastAsia="Times New Roman" w:cs="Calibri"/>
                <w:noProof/>
              </w:rPr>
            </w:pPr>
            <w:r>
              <w:rPr>
                <w:noProof/>
              </w:rPr>
              <w:t>m²</w:t>
            </w:r>
          </w:p>
        </w:tc>
        <w:tc>
          <w:tcPr>
            <w:tcW w:w="850" w:type="dxa"/>
            <w:shd w:val="clear" w:color="auto" w:fill="C4EFCE"/>
            <w:noWrap/>
            <w:vAlign w:val="center"/>
            <w:hideMark/>
          </w:tcPr>
          <w:p w14:paraId="13E054F8" w14:textId="62C82D65" w:rsidR="00154AD2" w:rsidRDefault="007F6BF3">
            <w:pPr>
              <w:pStyle w:val="P68B1DB1-Normal8"/>
              <w:spacing w:after="0" w:line="240" w:lineRule="auto"/>
              <w:jc w:val="center"/>
              <w:rPr>
                <w:rFonts w:eastAsia="Times New Roman" w:cs="Calibri"/>
                <w:noProof/>
              </w:rPr>
            </w:pPr>
            <w:r>
              <w:rPr>
                <w:noProof/>
              </w:rPr>
              <w:t>1 065 000</w:t>
            </w:r>
          </w:p>
        </w:tc>
        <w:tc>
          <w:tcPr>
            <w:tcW w:w="992" w:type="dxa"/>
            <w:shd w:val="clear" w:color="auto" w:fill="C4EFCE"/>
            <w:noWrap/>
            <w:vAlign w:val="center"/>
            <w:hideMark/>
          </w:tcPr>
          <w:p w14:paraId="20287487" w14:textId="77777777" w:rsidR="00154AD2" w:rsidRDefault="007F6BF3">
            <w:pPr>
              <w:pStyle w:val="P68B1DB1-Normal8"/>
              <w:spacing w:after="0" w:line="240" w:lineRule="auto"/>
              <w:jc w:val="both"/>
              <w:rPr>
                <w:rFonts w:eastAsia="Times New Roman" w:cs="Calibri"/>
                <w:noProof/>
              </w:rPr>
            </w:pPr>
            <w:r>
              <w:rPr>
                <w:noProof/>
              </w:rPr>
              <w:t>1 255 000</w:t>
            </w:r>
          </w:p>
        </w:tc>
        <w:tc>
          <w:tcPr>
            <w:tcW w:w="426" w:type="dxa"/>
            <w:shd w:val="clear" w:color="auto" w:fill="C4EFCE"/>
            <w:noWrap/>
            <w:vAlign w:val="center"/>
            <w:hideMark/>
          </w:tcPr>
          <w:p w14:paraId="4B0B2EFE" w14:textId="77777777" w:rsidR="00154AD2" w:rsidRDefault="007F6BF3">
            <w:pPr>
              <w:pStyle w:val="P68B1DB1-Normal8"/>
              <w:spacing w:after="0" w:line="240" w:lineRule="auto"/>
              <w:jc w:val="both"/>
              <w:rPr>
                <w:rFonts w:eastAsia="Times New Roman" w:cs="Calibri"/>
                <w:noProof/>
              </w:rPr>
            </w:pPr>
            <w:r>
              <w:rPr>
                <w:noProof/>
              </w:rPr>
              <w:t>ΤΡΊΜΗΝΟ 4</w:t>
            </w:r>
          </w:p>
        </w:tc>
        <w:tc>
          <w:tcPr>
            <w:tcW w:w="708" w:type="dxa"/>
            <w:shd w:val="clear" w:color="auto" w:fill="C4EFCE"/>
            <w:noWrap/>
            <w:vAlign w:val="center"/>
            <w:hideMark/>
          </w:tcPr>
          <w:p w14:paraId="071698D9" w14:textId="77777777" w:rsidR="00154AD2" w:rsidRDefault="007F6BF3">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08F276C1" w14:textId="77777777" w:rsidR="00154AD2" w:rsidRDefault="00154AD2">
            <w:pPr>
              <w:spacing w:after="0" w:line="240" w:lineRule="auto"/>
              <w:jc w:val="both"/>
              <w:rPr>
                <w:rFonts w:ascii="Calibri" w:eastAsia="Times New Roman" w:hAnsi="Calibri" w:cs="Calibri"/>
                <w:noProof/>
                <w:sz w:val="16"/>
              </w:rPr>
            </w:pPr>
          </w:p>
          <w:p w14:paraId="58C28D3F" w14:textId="77777777" w:rsidR="00154AD2" w:rsidRDefault="007F6BF3">
            <w:pPr>
              <w:pStyle w:val="P68B1DB1-Normal8"/>
              <w:spacing w:after="0" w:line="240" w:lineRule="auto"/>
              <w:jc w:val="both"/>
              <w:rPr>
                <w:rFonts w:eastAsia="Times New Roman" w:cs="Calibri"/>
                <w:noProof/>
              </w:rPr>
            </w:pPr>
            <w:r>
              <w:rPr>
                <w:noProof/>
              </w:rPr>
              <w:t>Περιοχή ανακαινισμένων κτιρίων της κεντρικής κυβέρνησης. Οι ανακαινίσεις ενεργειακής απόδοσης επιτυγχάνουν, κατά μέσο όρο, τουλάχιστον μεσαίας κλίμακας ανακαίνιση, όπως ορίζεται στη σύσταση της Επιτροπής για την ανακαίνιση κτιρίων (ΕΕ) 2019/786</w:t>
            </w:r>
          </w:p>
        </w:tc>
      </w:tr>
      <w:tr w:rsidR="00154AD2" w14:paraId="6107EFB2" w14:textId="77777777">
        <w:trPr>
          <w:trHeight w:val="1791"/>
        </w:trPr>
        <w:tc>
          <w:tcPr>
            <w:tcW w:w="1135" w:type="dxa"/>
            <w:shd w:val="clear" w:color="auto" w:fill="C4EFCE"/>
            <w:vAlign w:val="center"/>
            <w:hideMark/>
          </w:tcPr>
          <w:p w14:paraId="6E63D5C7" w14:textId="77777777" w:rsidR="00154AD2" w:rsidRDefault="007F6BF3">
            <w:pPr>
              <w:pStyle w:val="P68B1DB1-Normal7"/>
              <w:spacing w:after="0" w:line="240" w:lineRule="auto"/>
              <w:jc w:val="center"/>
              <w:rPr>
                <w:rFonts w:eastAsia="Times New Roman" w:cs="Calibri"/>
                <w:noProof/>
              </w:rPr>
            </w:pPr>
            <w:r>
              <w:rPr>
                <w:noProof/>
              </w:rPr>
              <w:t>13.7</w:t>
            </w:r>
          </w:p>
        </w:tc>
        <w:tc>
          <w:tcPr>
            <w:tcW w:w="1276" w:type="dxa"/>
            <w:shd w:val="clear" w:color="auto" w:fill="C4EFCE"/>
            <w:noWrap/>
            <w:vAlign w:val="center"/>
            <w:hideMark/>
          </w:tcPr>
          <w:p w14:paraId="070D1DC5" w14:textId="77777777" w:rsidR="00154AD2" w:rsidRDefault="007F6BF3">
            <w:pPr>
              <w:pStyle w:val="P68B1DB1-Normal8"/>
              <w:spacing w:after="0" w:line="240" w:lineRule="auto"/>
              <w:jc w:val="both"/>
              <w:rPr>
                <w:rFonts w:eastAsia="Times New Roman" w:cs="Calibri"/>
                <w:noProof/>
              </w:rPr>
            </w:pPr>
            <w:r>
              <w:rPr>
                <w:noProof/>
              </w:rPr>
              <w:t>TC-C13-I02</w:t>
            </w:r>
          </w:p>
        </w:tc>
        <w:tc>
          <w:tcPr>
            <w:tcW w:w="1134" w:type="dxa"/>
            <w:shd w:val="clear" w:color="auto" w:fill="C4EFCE"/>
            <w:noWrap/>
            <w:vAlign w:val="center"/>
            <w:hideMark/>
          </w:tcPr>
          <w:p w14:paraId="1D3BC664" w14:textId="77777777" w:rsidR="00154AD2" w:rsidRDefault="007F6BF3">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1936AA2B" w14:textId="77777777" w:rsidR="00154AD2" w:rsidRDefault="007F6BF3">
            <w:pPr>
              <w:pStyle w:val="P68B1DB1-Normal8"/>
              <w:spacing w:after="0" w:line="240" w:lineRule="auto"/>
              <w:jc w:val="both"/>
              <w:rPr>
                <w:rFonts w:eastAsia="Times New Roman" w:cs="Calibri"/>
                <w:noProof/>
              </w:rPr>
            </w:pPr>
            <w:r>
              <w:rPr>
                <w:noProof/>
              </w:rPr>
              <w:t xml:space="preserve">Πρόσθετη ικανότητα παραγωγής ενέργειας από ανανεώσιμες πηγές για αυτοκατανάλωση και για χρήση σε κοινότητες ανανεώσιμων πηγών ενέργειας σε κτίρια της κεντρικής δημόσιας διοίκησης </w:t>
            </w:r>
          </w:p>
        </w:tc>
        <w:tc>
          <w:tcPr>
            <w:tcW w:w="1275" w:type="dxa"/>
            <w:shd w:val="clear" w:color="auto" w:fill="C4EFCE"/>
            <w:noWrap/>
            <w:vAlign w:val="center"/>
            <w:hideMark/>
          </w:tcPr>
          <w:p w14:paraId="612B042B" w14:textId="77777777" w:rsidR="00154AD2" w:rsidRDefault="007F6BF3">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4A4BC993" w14:textId="77777777" w:rsidR="00154AD2" w:rsidRDefault="007F6BF3">
            <w:pPr>
              <w:pStyle w:val="P68B1DB1-Normal8"/>
              <w:spacing w:after="0" w:line="240" w:lineRule="auto"/>
              <w:jc w:val="center"/>
              <w:rPr>
                <w:rFonts w:eastAsia="Times New Roman" w:cs="Calibri"/>
                <w:noProof/>
              </w:rPr>
            </w:pPr>
            <w:r>
              <w:rPr>
                <w:noProof/>
              </w:rPr>
              <w:t>MW</w:t>
            </w:r>
          </w:p>
        </w:tc>
        <w:tc>
          <w:tcPr>
            <w:tcW w:w="850" w:type="dxa"/>
            <w:shd w:val="clear" w:color="auto" w:fill="C4EFCE"/>
            <w:noWrap/>
            <w:vAlign w:val="center"/>
            <w:hideMark/>
          </w:tcPr>
          <w:p w14:paraId="5880F214" w14:textId="77777777" w:rsidR="00154AD2" w:rsidRDefault="007F6BF3">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65D3D5C3" w14:textId="77777777" w:rsidR="00154AD2" w:rsidRDefault="007F6BF3">
            <w:pPr>
              <w:pStyle w:val="P68B1DB1-Normal8"/>
              <w:spacing w:after="0" w:line="240" w:lineRule="auto"/>
              <w:jc w:val="both"/>
              <w:rPr>
                <w:rFonts w:eastAsia="Times New Roman" w:cs="Calibri"/>
                <w:noProof/>
              </w:rPr>
            </w:pPr>
            <w:r>
              <w:rPr>
                <w:noProof/>
              </w:rPr>
              <w:t>28</w:t>
            </w:r>
          </w:p>
        </w:tc>
        <w:tc>
          <w:tcPr>
            <w:tcW w:w="426" w:type="dxa"/>
            <w:shd w:val="clear" w:color="auto" w:fill="C4EFCE"/>
            <w:noWrap/>
            <w:vAlign w:val="center"/>
            <w:hideMark/>
          </w:tcPr>
          <w:p w14:paraId="0ABC7448" w14:textId="77777777" w:rsidR="00154AD2" w:rsidRDefault="007F6BF3">
            <w:pPr>
              <w:pStyle w:val="P68B1DB1-Normal8"/>
              <w:spacing w:after="0" w:line="240" w:lineRule="auto"/>
              <w:jc w:val="both"/>
              <w:rPr>
                <w:rFonts w:eastAsia="Times New Roman" w:cs="Calibri"/>
                <w:noProof/>
              </w:rPr>
            </w:pPr>
            <w:r>
              <w:rPr>
                <w:noProof/>
              </w:rPr>
              <w:t>ΤΡΊΜΗΝΟ 4</w:t>
            </w:r>
          </w:p>
        </w:tc>
        <w:tc>
          <w:tcPr>
            <w:tcW w:w="708" w:type="dxa"/>
            <w:shd w:val="clear" w:color="auto" w:fill="C4EFCE"/>
            <w:noWrap/>
            <w:vAlign w:val="center"/>
            <w:hideMark/>
          </w:tcPr>
          <w:p w14:paraId="7AC5AAD8" w14:textId="77777777" w:rsidR="00154AD2" w:rsidRDefault="007F6BF3">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0C38259F" w14:textId="77777777" w:rsidR="00154AD2" w:rsidRDefault="007F6BF3">
            <w:pPr>
              <w:pStyle w:val="P68B1DB1-Normal8"/>
              <w:spacing w:after="0" w:line="240" w:lineRule="auto"/>
              <w:jc w:val="both"/>
              <w:rPr>
                <w:rFonts w:eastAsia="Times New Roman" w:cs="Calibri"/>
                <w:noProof/>
              </w:rPr>
            </w:pPr>
            <w:r>
              <w:rPr>
                <w:noProof/>
              </w:rPr>
              <w:t xml:space="preserve">Πρόσθετη ικανότητα παραγωγής ενέργειας από ανανεώσιμες πηγές (όπως φωτοβολταϊκά πάνελ και συσσωρευτές όπως ωριμάζει η τελευταία τεχνολογία) για αυτοκατανάλωση και για χρήση σε κοινότητες ανανεώσιμων πηγών ενέργειας σε κτίρια της κεντρικής δημόσιας διοίκησης. </w:t>
            </w:r>
          </w:p>
        </w:tc>
      </w:tr>
      <w:tr w:rsidR="00154AD2" w14:paraId="315A0896" w14:textId="77777777">
        <w:trPr>
          <w:trHeight w:val="630"/>
        </w:trPr>
        <w:tc>
          <w:tcPr>
            <w:tcW w:w="1135" w:type="dxa"/>
            <w:shd w:val="clear" w:color="auto" w:fill="C4EFCE"/>
            <w:vAlign w:val="center"/>
            <w:hideMark/>
          </w:tcPr>
          <w:p w14:paraId="08835C94" w14:textId="77777777" w:rsidR="00154AD2" w:rsidRDefault="007F6BF3">
            <w:pPr>
              <w:pStyle w:val="P68B1DB1-Normal7"/>
              <w:spacing w:after="0" w:line="240" w:lineRule="auto"/>
              <w:jc w:val="center"/>
              <w:rPr>
                <w:rFonts w:eastAsia="Times New Roman" w:cs="Calibri"/>
                <w:noProof/>
              </w:rPr>
            </w:pPr>
            <w:r>
              <w:rPr>
                <w:noProof/>
              </w:rPr>
              <w:t>13.8</w:t>
            </w:r>
          </w:p>
        </w:tc>
        <w:tc>
          <w:tcPr>
            <w:tcW w:w="1276" w:type="dxa"/>
            <w:shd w:val="clear" w:color="auto" w:fill="C4EFCE"/>
            <w:noWrap/>
            <w:vAlign w:val="center"/>
            <w:hideMark/>
          </w:tcPr>
          <w:p w14:paraId="3283563C" w14:textId="77777777" w:rsidR="00154AD2" w:rsidRDefault="007F6BF3">
            <w:pPr>
              <w:pStyle w:val="P68B1DB1-Normal8"/>
              <w:spacing w:after="0" w:line="240" w:lineRule="auto"/>
              <w:jc w:val="both"/>
              <w:rPr>
                <w:rFonts w:eastAsia="Times New Roman" w:cs="Calibri"/>
                <w:noProof/>
              </w:rPr>
            </w:pPr>
            <w:r>
              <w:rPr>
                <w:noProof/>
              </w:rPr>
              <w:t>TC-C13-I03</w:t>
            </w:r>
          </w:p>
        </w:tc>
        <w:tc>
          <w:tcPr>
            <w:tcW w:w="1134" w:type="dxa"/>
            <w:shd w:val="clear" w:color="auto" w:fill="C4EFCE"/>
            <w:noWrap/>
            <w:vAlign w:val="center"/>
            <w:hideMark/>
          </w:tcPr>
          <w:p w14:paraId="739005AC" w14:textId="77777777" w:rsidR="00154AD2" w:rsidRDefault="007F6BF3">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77369B6E" w14:textId="77777777" w:rsidR="00154AD2" w:rsidRDefault="007F6BF3">
            <w:pPr>
              <w:pStyle w:val="P68B1DB1-Normal8"/>
              <w:spacing w:after="0" w:line="240" w:lineRule="auto"/>
              <w:jc w:val="both"/>
              <w:rPr>
                <w:rFonts w:eastAsia="Times New Roman" w:cs="Calibri"/>
                <w:noProof/>
              </w:rPr>
            </w:pPr>
            <w:r>
              <w:rPr>
                <w:noProof/>
              </w:rPr>
              <w:t>Ενεργειακή απόδοση ανακαινίσεων κτιρίων ιδιωτικών υπηρεσιών</w:t>
            </w:r>
          </w:p>
        </w:tc>
        <w:tc>
          <w:tcPr>
            <w:tcW w:w="1275" w:type="dxa"/>
            <w:shd w:val="clear" w:color="auto" w:fill="C4EFCE"/>
            <w:noWrap/>
            <w:vAlign w:val="center"/>
            <w:hideMark/>
          </w:tcPr>
          <w:p w14:paraId="04F5C639" w14:textId="77777777" w:rsidR="00154AD2" w:rsidRDefault="007F6BF3">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63C2248A" w14:textId="77777777" w:rsidR="00154AD2" w:rsidRDefault="007F6BF3">
            <w:pPr>
              <w:pStyle w:val="P68B1DB1-Normal8"/>
              <w:spacing w:after="0" w:line="240" w:lineRule="auto"/>
              <w:jc w:val="center"/>
              <w:rPr>
                <w:rFonts w:eastAsia="Times New Roman" w:cs="Calibri"/>
                <w:noProof/>
              </w:rPr>
            </w:pPr>
            <w:r>
              <w:rPr>
                <w:noProof/>
              </w:rPr>
              <w:t>m²</w:t>
            </w:r>
          </w:p>
        </w:tc>
        <w:tc>
          <w:tcPr>
            <w:tcW w:w="850" w:type="dxa"/>
            <w:shd w:val="clear" w:color="auto" w:fill="C4EFCE"/>
            <w:noWrap/>
            <w:vAlign w:val="center"/>
            <w:hideMark/>
          </w:tcPr>
          <w:p w14:paraId="2A00A5F0" w14:textId="77777777" w:rsidR="00154AD2" w:rsidRDefault="007F6BF3">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75EABFED" w14:textId="77777777" w:rsidR="00154AD2" w:rsidRDefault="007F6BF3">
            <w:pPr>
              <w:pStyle w:val="P68B1DB1-Normal8"/>
              <w:spacing w:after="0" w:line="240" w:lineRule="auto"/>
              <w:jc w:val="both"/>
              <w:rPr>
                <w:rFonts w:eastAsia="Times New Roman" w:cs="Calibri"/>
                <w:noProof/>
              </w:rPr>
            </w:pPr>
            <w:r>
              <w:rPr>
                <w:noProof/>
              </w:rPr>
              <w:t>315 000</w:t>
            </w:r>
          </w:p>
        </w:tc>
        <w:tc>
          <w:tcPr>
            <w:tcW w:w="426" w:type="dxa"/>
            <w:shd w:val="clear" w:color="auto" w:fill="C4EFCE"/>
            <w:noWrap/>
            <w:vAlign w:val="center"/>
            <w:hideMark/>
          </w:tcPr>
          <w:p w14:paraId="49D1DBD6" w14:textId="77777777" w:rsidR="00154AD2" w:rsidRDefault="007F6BF3">
            <w:pPr>
              <w:pStyle w:val="P68B1DB1-Normal8"/>
              <w:spacing w:after="0" w:line="240" w:lineRule="auto"/>
              <w:jc w:val="both"/>
              <w:rPr>
                <w:rFonts w:eastAsia="Times New Roman" w:cs="Calibri"/>
                <w:noProof/>
              </w:rPr>
            </w:pPr>
            <w:r>
              <w:rPr>
                <w:noProof/>
              </w:rPr>
              <w:t>ΤΡΊΜΗΝΟ 1</w:t>
            </w:r>
          </w:p>
        </w:tc>
        <w:tc>
          <w:tcPr>
            <w:tcW w:w="708" w:type="dxa"/>
            <w:shd w:val="clear" w:color="auto" w:fill="C4EFCE"/>
            <w:noWrap/>
            <w:vAlign w:val="center"/>
            <w:hideMark/>
          </w:tcPr>
          <w:p w14:paraId="12EB7A96" w14:textId="77777777" w:rsidR="00154AD2" w:rsidRDefault="007F6BF3">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6ECA77CC" w14:textId="77777777" w:rsidR="00154AD2" w:rsidRDefault="00154AD2">
            <w:pPr>
              <w:spacing w:after="0" w:line="240" w:lineRule="auto"/>
              <w:jc w:val="both"/>
              <w:rPr>
                <w:rFonts w:ascii="Calibri" w:eastAsia="Times New Roman" w:hAnsi="Calibri" w:cs="Calibri"/>
                <w:noProof/>
                <w:sz w:val="16"/>
              </w:rPr>
            </w:pPr>
          </w:p>
          <w:p w14:paraId="6862CCDC" w14:textId="77777777" w:rsidR="00154AD2" w:rsidRDefault="007F6BF3">
            <w:pPr>
              <w:pStyle w:val="P68B1DB1-Normal8"/>
              <w:spacing w:after="0" w:line="240" w:lineRule="auto"/>
              <w:jc w:val="both"/>
              <w:rPr>
                <w:rFonts w:eastAsia="Times New Roman" w:cs="Calibri"/>
                <w:noProof/>
              </w:rPr>
            </w:pPr>
            <w:r>
              <w:rPr>
                <w:noProof/>
              </w:rPr>
              <w:t>Έκταση ανακαινισμένων κτιρίων που χρησιμοποιούνται από τις ιδιωτικές υπηρεσίες. Οι ανακαινίσεις ενεργειακής απόδοσης επιτυγχάνουν, κατά μέσο όρο, τουλάχιστον μεσαίας κλίμακας ανακαίνιση, όπως ορίζεται στη σύσταση της Επιτροπής για την ανακαίνιση κτιρίων (ΕΕ) 2019/786.</w:t>
            </w:r>
          </w:p>
        </w:tc>
      </w:tr>
      <w:tr w:rsidR="00154AD2" w14:paraId="7CEEEEA3" w14:textId="77777777">
        <w:trPr>
          <w:trHeight w:val="630"/>
        </w:trPr>
        <w:tc>
          <w:tcPr>
            <w:tcW w:w="1135" w:type="dxa"/>
            <w:shd w:val="clear" w:color="auto" w:fill="C4EFCE"/>
            <w:vAlign w:val="center"/>
            <w:hideMark/>
          </w:tcPr>
          <w:p w14:paraId="1558A3B7" w14:textId="77777777" w:rsidR="00154AD2" w:rsidRDefault="007F6BF3">
            <w:pPr>
              <w:pStyle w:val="P68B1DB1-Normal7"/>
              <w:spacing w:after="0" w:line="240" w:lineRule="auto"/>
              <w:jc w:val="center"/>
              <w:rPr>
                <w:rFonts w:eastAsia="Times New Roman" w:cs="Calibri"/>
                <w:noProof/>
              </w:rPr>
            </w:pPr>
            <w:r>
              <w:rPr>
                <w:noProof/>
              </w:rPr>
              <w:t>13.9</w:t>
            </w:r>
          </w:p>
        </w:tc>
        <w:tc>
          <w:tcPr>
            <w:tcW w:w="1276" w:type="dxa"/>
            <w:shd w:val="clear" w:color="auto" w:fill="C4EFCE"/>
            <w:noWrap/>
            <w:vAlign w:val="center"/>
            <w:hideMark/>
          </w:tcPr>
          <w:p w14:paraId="048D644C" w14:textId="77777777" w:rsidR="00154AD2" w:rsidRDefault="007F6BF3">
            <w:pPr>
              <w:pStyle w:val="P68B1DB1-Normal8"/>
              <w:spacing w:after="0" w:line="240" w:lineRule="auto"/>
              <w:jc w:val="both"/>
              <w:rPr>
                <w:rFonts w:eastAsia="Times New Roman" w:cs="Calibri"/>
                <w:noProof/>
              </w:rPr>
            </w:pPr>
            <w:r>
              <w:rPr>
                <w:noProof/>
              </w:rPr>
              <w:t>TC-C13-I03</w:t>
            </w:r>
          </w:p>
        </w:tc>
        <w:tc>
          <w:tcPr>
            <w:tcW w:w="1134" w:type="dxa"/>
            <w:shd w:val="clear" w:color="auto" w:fill="C4EFCE"/>
            <w:noWrap/>
            <w:vAlign w:val="center"/>
            <w:hideMark/>
          </w:tcPr>
          <w:p w14:paraId="3F4D6FA8" w14:textId="77777777" w:rsidR="00154AD2" w:rsidRDefault="007F6BF3">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18C154C7" w14:textId="77777777" w:rsidR="00154AD2" w:rsidRDefault="007F6BF3">
            <w:pPr>
              <w:pStyle w:val="P68B1DB1-Normal8"/>
              <w:spacing w:after="0" w:line="240" w:lineRule="auto"/>
              <w:jc w:val="both"/>
              <w:rPr>
                <w:rFonts w:eastAsia="Times New Roman" w:cs="Calibri"/>
                <w:noProof/>
              </w:rPr>
            </w:pPr>
            <w:r>
              <w:rPr>
                <w:noProof/>
              </w:rPr>
              <w:t>Ενεργειακή απόδοση ανακαινίσεων κτιρίων ιδιωτικών υπηρεσιών</w:t>
            </w:r>
          </w:p>
        </w:tc>
        <w:tc>
          <w:tcPr>
            <w:tcW w:w="1275" w:type="dxa"/>
            <w:shd w:val="clear" w:color="auto" w:fill="C4EFCE"/>
            <w:noWrap/>
            <w:vAlign w:val="center"/>
            <w:hideMark/>
          </w:tcPr>
          <w:p w14:paraId="4BDE1A7A" w14:textId="77777777" w:rsidR="00154AD2" w:rsidRDefault="007F6BF3">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22AA9F67" w14:textId="77777777" w:rsidR="00154AD2" w:rsidRDefault="007F6BF3">
            <w:pPr>
              <w:pStyle w:val="P68B1DB1-Normal8"/>
              <w:spacing w:after="0" w:line="240" w:lineRule="auto"/>
              <w:jc w:val="center"/>
              <w:rPr>
                <w:rFonts w:eastAsia="Times New Roman" w:cs="Calibri"/>
                <w:noProof/>
              </w:rPr>
            </w:pPr>
            <w:r>
              <w:rPr>
                <w:noProof/>
              </w:rPr>
              <w:t>m²</w:t>
            </w:r>
          </w:p>
        </w:tc>
        <w:tc>
          <w:tcPr>
            <w:tcW w:w="850" w:type="dxa"/>
            <w:shd w:val="clear" w:color="auto" w:fill="C4EFCE"/>
            <w:noWrap/>
            <w:vAlign w:val="center"/>
            <w:hideMark/>
          </w:tcPr>
          <w:p w14:paraId="06B1E72C" w14:textId="77777777" w:rsidR="00154AD2" w:rsidRDefault="007F6BF3">
            <w:pPr>
              <w:pStyle w:val="P68B1DB1-Normal8"/>
              <w:spacing w:after="0" w:line="240" w:lineRule="auto"/>
              <w:jc w:val="center"/>
              <w:rPr>
                <w:rFonts w:eastAsia="Times New Roman" w:cs="Calibri"/>
                <w:noProof/>
              </w:rPr>
            </w:pPr>
            <w:r>
              <w:rPr>
                <w:noProof/>
              </w:rPr>
              <w:t>315 000</w:t>
            </w:r>
          </w:p>
        </w:tc>
        <w:tc>
          <w:tcPr>
            <w:tcW w:w="992" w:type="dxa"/>
            <w:shd w:val="clear" w:color="auto" w:fill="C4EFCE"/>
            <w:noWrap/>
            <w:vAlign w:val="center"/>
            <w:hideMark/>
          </w:tcPr>
          <w:p w14:paraId="71FE31A9" w14:textId="77777777" w:rsidR="00154AD2" w:rsidRDefault="007F6BF3">
            <w:pPr>
              <w:pStyle w:val="P68B1DB1-Normal8"/>
              <w:spacing w:after="0" w:line="240" w:lineRule="auto"/>
              <w:jc w:val="both"/>
              <w:rPr>
                <w:rFonts w:eastAsia="Times New Roman" w:cs="Calibri"/>
                <w:noProof/>
              </w:rPr>
            </w:pPr>
            <w:r>
              <w:rPr>
                <w:noProof/>
              </w:rPr>
              <w:t>360 000</w:t>
            </w:r>
          </w:p>
        </w:tc>
        <w:tc>
          <w:tcPr>
            <w:tcW w:w="426" w:type="dxa"/>
            <w:shd w:val="clear" w:color="auto" w:fill="C4EFCE"/>
            <w:noWrap/>
            <w:vAlign w:val="center"/>
            <w:hideMark/>
          </w:tcPr>
          <w:p w14:paraId="3FC426D1" w14:textId="77777777" w:rsidR="00154AD2" w:rsidRDefault="007F6BF3">
            <w:pPr>
              <w:pStyle w:val="P68B1DB1-Normal8"/>
              <w:spacing w:after="0" w:line="240" w:lineRule="auto"/>
              <w:jc w:val="both"/>
              <w:rPr>
                <w:rFonts w:eastAsia="Times New Roman" w:cs="Calibri"/>
                <w:noProof/>
              </w:rPr>
            </w:pPr>
            <w:r>
              <w:rPr>
                <w:noProof/>
              </w:rPr>
              <w:t>ΤΡΊΜΗΝΟ 4</w:t>
            </w:r>
          </w:p>
        </w:tc>
        <w:tc>
          <w:tcPr>
            <w:tcW w:w="708" w:type="dxa"/>
            <w:shd w:val="clear" w:color="auto" w:fill="C4EFCE"/>
            <w:noWrap/>
            <w:vAlign w:val="center"/>
            <w:hideMark/>
          </w:tcPr>
          <w:p w14:paraId="6311F4AB" w14:textId="77777777" w:rsidR="00154AD2" w:rsidRDefault="007F6BF3">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42E42EAB" w14:textId="77777777" w:rsidR="00154AD2" w:rsidRDefault="00154AD2">
            <w:pPr>
              <w:spacing w:after="0" w:line="240" w:lineRule="auto"/>
              <w:jc w:val="both"/>
              <w:rPr>
                <w:rFonts w:ascii="Calibri" w:eastAsia="Times New Roman" w:hAnsi="Calibri" w:cs="Calibri"/>
                <w:noProof/>
                <w:sz w:val="16"/>
              </w:rPr>
            </w:pPr>
          </w:p>
          <w:p w14:paraId="46DF3B33" w14:textId="77777777" w:rsidR="00154AD2" w:rsidRDefault="007F6BF3">
            <w:pPr>
              <w:pStyle w:val="P68B1DB1-Normal8"/>
              <w:spacing w:after="0" w:line="240" w:lineRule="auto"/>
              <w:jc w:val="both"/>
              <w:rPr>
                <w:rFonts w:eastAsia="Times New Roman" w:cs="Calibri"/>
                <w:noProof/>
              </w:rPr>
            </w:pPr>
            <w:r>
              <w:rPr>
                <w:noProof/>
              </w:rPr>
              <w:t>Έκταση ανακαινισμένων κτιρίων που χρησιμοποιούνται από τον ιδιωτικό τομέα υπηρεσιών. Οι ανακαινίσεις ενεργειακής απόδοσης επιτυγχάνουν, κατά μέσο όρο, τουλάχιστον μεσαίας κλίμακας ανακαίνιση, όπως ορίζεται στη σύσταση της Επιτροπής για την ανακαίνιση κτιρίων (ΕΕ) 2019/786.</w:t>
            </w:r>
          </w:p>
        </w:tc>
      </w:tr>
      <w:tr w:rsidR="00154AD2" w14:paraId="5F36D45E" w14:textId="77777777">
        <w:trPr>
          <w:trHeight w:val="1995"/>
        </w:trPr>
        <w:tc>
          <w:tcPr>
            <w:tcW w:w="1135" w:type="dxa"/>
            <w:shd w:val="clear" w:color="auto" w:fill="C4EFCE"/>
            <w:vAlign w:val="center"/>
            <w:hideMark/>
          </w:tcPr>
          <w:p w14:paraId="4985012C" w14:textId="77777777" w:rsidR="00154AD2" w:rsidRDefault="007F6BF3">
            <w:pPr>
              <w:pStyle w:val="P68B1DB1-Normal7"/>
              <w:spacing w:after="0" w:line="240" w:lineRule="auto"/>
              <w:jc w:val="center"/>
              <w:rPr>
                <w:rFonts w:eastAsia="Times New Roman" w:cs="Calibri"/>
                <w:noProof/>
              </w:rPr>
            </w:pPr>
            <w:r>
              <w:rPr>
                <w:noProof/>
              </w:rPr>
              <w:t>13.10</w:t>
            </w:r>
          </w:p>
        </w:tc>
        <w:tc>
          <w:tcPr>
            <w:tcW w:w="1276" w:type="dxa"/>
            <w:shd w:val="clear" w:color="auto" w:fill="C4EFCE"/>
            <w:noWrap/>
            <w:vAlign w:val="center"/>
            <w:hideMark/>
          </w:tcPr>
          <w:p w14:paraId="0E8ACC47" w14:textId="77777777" w:rsidR="00154AD2" w:rsidRDefault="007F6BF3">
            <w:pPr>
              <w:pStyle w:val="P68B1DB1-Normal8"/>
              <w:spacing w:after="0" w:line="240" w:lineRule="auto"/>
              <w:jc w:val="both"/>
              <w:rPr>
                <w:rFonts w:eastAsia="Times New Roman" w:cs="Calibri"/>
                <w:noProof/>
              </w:rPr>
            </w:pPr>
            <w:r>
              <w:rPr>
                <w:noProof/>
              </w:rPr>
              <w:t>TC-C13-I03</w:t>
            </w:r>
          </w:p>
        </w:tc>
        <w:tc>
          <w:tcPr>
            <w:tcW w:w="1134" w:type="dxa"/>
            <w:shd w:val="clear" w:color="auto" w:fill="C4EFCE"/>
            <w:noWrap/>
            <w:vAlign w:val="center"/>
            <w:hideMark/>
          </w:tcPr>
          <w:p w14:paraId="7DCB8AB8" w14:textId="77777777" w:rsidR="00154AD2" w:rsidRDefault="007F6BF3">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0495A743" w14:textId="77777777" w:rsidR="00154AD2" w:rsidRDefault="007F6BF3">
            <w:pPr>
              <w:pStyle w:val="P68B1DB1-Normal8"/>
              <w:spacing w:after="0" w:line="240" w:lineRule="auto"/>
              <w:jc w:val="both"/>
              <w:rPr>
                <w:rFonts w:eastAsia="Times New Roman" w:cs="Calibri"/>
                <w:noProof/>
              </w:rPr>
            </w:pPr>
            <w:r>
              <w:rPr>
                <w:noProof/>
              </w:rPr>
              <w:t xml:space="preserve">Πρόσθετη ικανότητα παραγωγής ενέργειας από ανανεώσιμες πηγές για αυτοκατανάλωση και για χρήση σε κοινότητες ανανεώσιμων πηγών ενέργειας στον τομέα των ιδιωτικών υπηρεσιών </w:t>
            </w:r>
          </w:p>
        </w:tc>
        <w:tc>
          <w:tcPr>
            <w:tcW w:w="1275" w:type="dxa"/>
            <w:shd w:val="clear" w:color="auto" w:fill="C4EFCE"/>
            <w:noWrap/>
            <w:vAlign w:val="center"/>
            <w:hideMark/>
          </w:tcPr>
          <w:p w14:paraId="7C3E76E6" w14:textId="77777777" w:rsidR="00154AD2" w:rsidRDefault="007F6BF3">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0364534A" w14:textId="77777777" w:rsidR="00154AD2" w:rsidRDefault="007F6BF3">
            <w:pPr>
              <w:pStyle w:val="P68B1DB1-Normal8"/>
              <w:spacing w:after="0" w:line="240" w:lineRule="auto"/>
              <w:jc w:val="center"/>
              <w:rPr>
                <w:rFonts w:eastAsia="Times New Roman" w:cs="Calibri"/>
                <w:noProof/>
              </w:rPr>
            </w:pPr>
            <w:r>
              <w:rPr>
                <w:noProof/>
              </w:rPr>
              <w:t>MW</w:t>
            </w:r>
          </w:p>
        </w:tc>
        <w:tc>
          <w:tcPr>
            <w:tcW w:w="850" w:type="dxa"/>
            <w:shd w:val="clear" w:color="auto" w:fill="C4EFCE"/>
            <w:noWrap/>
            <w:vAlign w:val="center"/>
            <w:hideMark/>
          </w:tcPr>
          <w:p w14:paraId="3ADBE991" w14:textId="77777777" w:rsidR="00154AD2" w:rsidRDefault="007F6BF3">
            <w:pPr>
              <w:pStyle w:val="P68B1DB1-Normal8"/>
              <w:spacing w:after="0" w:line="240" w:lineRule="auto"/>
              <w:jc w:val="both"/>
              <w:rPr>
                <w:rFonts w:eastAsia="Times New Roman" w:cs="Calibri"/>
                <w:noProof/>
              </w:rPr>
            </w:pPr>
            <w:r>
              <w:rPr>
                <w:noProof/>
              </w:rPr>
              <w:t>0</w:t>
            </w:r>
          </w:p>
        </w:tc>
        <w:tc>
          <w:tcPr>
            <w:tcW w:w="992" w:type="dxa"/>
            <w:shd w:val="clear" w:color="auto" w:fill="C4EFCE"/>
            <w:noWrap/>
            <w:vAlign w:val="center"/>
            <w:hideMark/>
          </w:tcPr>
          <w:p w14:paraId="219C358C" w14:textId="77777777" w:rsidR="00154AD2" w:rsidRDefault="007F6BF3">
            <w:pPr>
              <w:pStyle w:val="P68B1DB1-Normal8"/>
              <w:spacing w:after="0" w:line="240" w:lineRule="auto"/>
              <w:jc w:val="both"/>
              <w:rPr>
                <w:rFonts w:eastAsia="Times New Roman" w:cs="Calibri"/>
                <w:noProof/>
              </w:rPr>
            </w:pPr>
            <w:r>
              <w:rPr>
                <w:noProof/>
              </w:rPr>
              <w:t>30</w:t>
            </w:r>
          </w:p>
        </w:tc>
        <w:tc>
          <w:tcPr>
            <w:tcW w:w="426" w:type="dxa"/>
            <w:shd w:val="clear" w:color="auto" w:fill="C4EFCE"/>
            <w:noWrap/>
            <w:vAlign w:val="center"/>
            <w:hideMark/>
          </w:tcPr>
          <w:p w14:paraId="00BEF57C" w14:textId="77777777" w:rsidR="00154AD2" w:rsidRDefault="007F6BF3">
            <w:pPr>
              <w:pStyle w:val="P68B1DB1-Normal8"/>
              <w:spacing w:after="0" w:line="240" w:lineRule="auto"/>
              <w:jc w:val="both"/>
              <w:rPr>
                <w:rFonts w:eastAsia="Times New Roman" w:cs="Calibri"/>
                <w:noProof/>
              </w:rPr>
            </w:pPr>
            <w:r>
              <w:rPr>
                <w:noProof/>
              </w:rPr>
              <w:t>ΤΡΊΜΗΝΟ 4</w:t>
            </w:r>
          </w:p>
        </w:tc>
        <w:tc>
          <w:tcPr>
            <w:tcW w:w="708" w:type="dxa"/>
            <w:shd w:val="clear" w:color="auto" w:fill="C4EFCE"/>
            <w:noWrap/>
            <w:vAlign w:val="center"/>
            <w:hideMark/>
          </w:tcPr>
          <w:p w14:paraId="38DC3D4F" w14:textId="77777777" w:rsidR="00154AD2" w:rsidRDefault="007F6BF3">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7428E06E" w14:textId="77777777" w:rsidR="00154AD2" w:rsidRDefault="007F6BF3">
            <w:pPr>
              <w:pStyle w:val="P68B1DB1-Normal8"/>
              <w:spacing w:after="0" w:line="240" w:lineRule="auto"/>
              <w:jc w:val="both"/>
              <w:rPr>
                <w:rFonts w:eastAsia="Times New Roman" w:cs="Calibri"/>
                <w:noProof/>
              </w:rPr>
            </w:pPr>
            <w:r>
              <w:rPr>
                <w:noProof/>
              </w:rPr>
              <w:t>Πρόσθετη ικανότητα παραγωγής ενέργειας από ανανεώσιμες πηγές (όπως φωτοβολταϊκά πάνελ και συσσωρευτές όπως ωριμάζει η τελευταία τεχνολογία) για αυτοκατανάλωση και για χρήση σε κοινότητες ανανεώσιμων πηγών ενέργειας στον τομέα των ιδιωτικών υπηρεσιών.</w:t>
            </w:r>
          </w:p>
        </w:tc>
      </w:tr>
    </w:tbl>
    <w:p w14:paraId="557E1674" w14:textId="77777777" w:rsidR="00154AD2" w:rsidRDefault="00154AD2">
      <w:pPr>
        <w:spacing w:before="40" w:after="0" w:line="259" w:lineRule="auto"/>
        <w:jc w:val="both"/>
        <w:rPr>
          <w:rFonts w:ascii="Times New Roman" w:eastAsiaTheme="minorEastAsia" w:hAnsi="Times New Roman" w:cs="Times New Roman"/>
          <w:noProof/>
          <w:sz w:val="24"/>
        </w:rPr>
      </w:pPr>
    </w:p>
    <w:p w14:paraId="61304717" w14:textId="77777777" w:rsidR="00154AD2" w:rsidRDefault="00154AD2">
      <w:pPr>
        <w:spacing w:before="40" w:after="0" w:line="259" w:lineRule="auto"/>
        <w:jc w:val="both"/>
        <w:rPr>
          <w:rFonts w:ascii="Times New Roman" w:eastAsiaTheme="minorEastAsia" w:hAnsi="Times New Roman" w:cs="Times New Roman"/>
          <w:noProof/>
          <w:sz w:val="24"/>
        </w:rPr>
      </w:pPr>
    </w:p>
    <w:p w14:paraId="2EA2F20F" w14:textId="77777777" w:rsidR="00154AD2" w:rsidRDefault="00154AD2">
      <w:pPr>
        <w:spacing w:before="40" w:after="0" w:line="259" w:lineRule="auto"/>
        <w:ind w:left="130" w:firstLine="720"/>
        <w:jc w:val="both"/>
        <w:outlineLvl w:val="1"/>
        <w:rPr>
          <w:rFonts w:ascii="Times New Roman" w:eastAsiaTheme="minorEastAsia" w:hAnsi="Times New Roman" w:cs="Times New Roman"/>
          <w:b/>
          <w:noProof/>
          <w:sz w:val="24"/>
          <w:u w:val="single"/>
        </w:rPr>
        <w:sectPr w:rsidR="00154AD2" w:rsidSect="00E00EDD">
          <w:headerReference w:type="even" r:id="rId264"/>
          <w:headerReference w:type="default" r:id="rId265"/>
          <w:footerReference w:type="even" r:id="rId266"/>
          <w:footerReference w:type="default" r:id="rId267"/>
          <w:headerReference w:type="first" r:id="rId268"/>
          <w:footerReference w:type="first" r:id="rId269"/>
          <w:pgSz w:w="16839" w:h="11907" w:orient="landscape"/>
          <w:pgMar w:top="1134" w:right="1134" w:bottom="1134" w:left="1134" w:header="567" w:footer="567" w:gutter="0"/>
          <w:cols w:space="720"/>
          <w:docGrid w:linePitch="360"/>
        </w:sectPr>
      </w:pPr>
    </w:p>
    <w:p w14:paraId="3C2CFB1F" w14:textId="77777777" w:rsidR="00154AD2" w:rsidRDefault="007F6BF3">
      <w:pPr>
        <w:pStyle w:val="P68B1DB1-Normal3"/>
        <w:spacing w:before="40" w:after="0" w:line="259" w:lineRule="auto"/>
        <w:ind w:left="130" w:firstLine="720"/>
        <w:jc w:val="both"/>
        <w:outlineLvl w:val="1"/>
        <w:rPr>
          <w:rFonts w:eastAsiaTheme="minorEastAsia" w:cs="Times New Roman"/>
          <w:noProof/>
        </w:rPr>
      </w:pPr>
      <w:r>
        <w:rPr>
          <w:noProof/>
        </w:rPr>
        <w:t>ΙΔ. ΣΥΝΙΣΤΏΣΑ 14: Υδρογόνο και ανανεώσιμες πηγές ενέργειας</w:t>
      </w:r>
    </w:p>
    <w:p w14:paraId="24AAADA7" w14:textId="77777777" w:rsidR="00154AD2" w:rsidRDefault="007F6BF3">
      <w:pPr>
        <w:pStyle w:val="P68B1DB1-Normal4"/>
        <w:spacing w:before="40" w:after="0" w:line="259" w:lineRule="auto"/>
        <w:jc w:val="both"/>
        <w:rPr>
          <w:rFonts w:eastAsiaTheme="minorEastAsia" w:cs="Times New Roman"/>
          <w:noProof/>
        </w:rPr>
      </w:pPr>
      <w:r>
        <w:rPr>
          <w:noProof/>
        </w:rPr>
        <w:t>Η Πορτογαλία έχει δεσμευτεί να επιτύχει ουδέτερο ισοζύγιο διοξειδίου του άνθρακα έως το 2050, τοποθετώντας τη χώρα μεταξύ εκείνων που πρωτοστατούν στην καταπολέμηση της κλιματικής αλλαγής στο πλαίσιο της συμφωνίας του Παρισιού. Ο χάρτης πορείας για την ουδετερότητα του άνθρακα για το 2050 (RNC 2050) ορίζει ως στόχους απανθρακοποίησης που πρέπει να επιτευχθούν μείωση των εκπομπών κατά περισσότερο από 85 % σε σύγκριση με τις εκπομπές του 2005 και ικανότητα παγίδευσης του άνθρακα 13 000 000 τόνων. Η συνιστώσα αντιμετωπίζει τους λεγόμενους τομείς που είναι δύσκολο να μειωθούν, προωθώντας την ανάπτυξη του ανανεώσιμου υδρογόνου.</w:t>
      </w:r>
    </w:p>
    <w:p w14:paraId="42D4ADE5" w14:textId="77777777" w:rsidR="00154AD2" w:rsidRDefault="007F6BF3">
      <w:pPr>
        <w:pStyle w:val="P68B1DB1-Normal4"/>
        <w:spacing w:before="40" w:after="0" w:line="259" w:lineRule="auto"/>
        <w:jc w:val="both"/>
        <w:rPr>
          <w:rFonts w:eastAsiaTheme="minorEastAsia" w:cs="Times New Roman"/>
          <w:noProof/>
        </w:rPr>
      </w:pPr>
      <w:r>
        <w:rPr>
          <w:noProof/>
        </w:rPr>
        <w:t>Στόχοι της συνιστώσας είναι η προώθηση της ενεργειακής μετάβασης και της απαλλαγής της βιομηχανίας και των μεταφορών από τις ανθρακούχες εκπομπές, με ιδιαίτερη έμφαση στην παραγωγή ανανεώσιμου υδρογόνου και άλλων ανανεώσιμων αερίων. Στην περίπτωση των αυτόνομων περιφερειών, δίνεται έμφαση στην ανάπτυξη ανανεώσιμων πηγών ενέργειας (γεωθερμικής, αιολικής, φωτοβολταϊκής και υδροηλεκτρικής ενέργειας) και αποθήκευσης. Η συνιστώσα αυτή είναι καίριας σημασίας για τη μείωση της εθνικής ενεργειακής εξάρτησης μέσω της παραγωγής ενέργειας από τοπικές πηγές, τη βελτίωση του εμπορικού ισοζυγίου και την ενίσχυση της ανθεκτικότητας της εγχώριας οικονομίας.</w:t>
      </w:r>
    </w:p>
    <w:p w14:paraId="741FF5F1" w14:textId="77777777" w:rsidR="00154AD2" w:rsidRDefault="007F6BF3">
      <w:pPr>
        <w:pStyle w:val="P68B1DB1-Normal4"/>
        <w:spacing w:before="40" w:after="0" w:line="259" w:lineRule="auto"/>
        <w:jc w:val="both"/>
        <w:rPr>
          <w:rFonts w:eastAsiaTheme="minorEastAsia" w:cs="Times New Roman"/>
          <w:noProof/>
        </w:rPr>
      </w:pPr>
      <w:r>
        <w:rPr>
          <w:noProof/>
        </w:rPr>
        <w:t>Η συνιστώσα στηρίζει την εφαρμογή της ειδικής ανά χώρα σύστασης για την εστίαση των επενδύσεων στην κλιματική μετάβαση, με έμφαση στην παραγωγή ενέργειας από ανανεώσιμες πηγές (ειδικές ανά χώρα συστάσεις 3 2019 και 2020).</w:t>
      </w:r>
    </w:p>
    <w:p w14:paraId="092B10E5"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Αναμένεται ότι κανένα μέτρο στη συνιστώσα αυτή δεν βλάπτει σημαντικά τους περιβαλλοντικούς στόχους κατά την έννοια του άρθρου 17 του κανονισμού (ΕΕ) 2020/852, λαμβανομένης υπόψη της περιγραφής των μέτρων και των μέτρων μετριασμού που ορίζονται στο σχέδιο σύμφωνα με την τεχνική καθοδήγηση σχετικά με την αρχή της μη πρόκλησης σημαντικής βλάβης (2021/C58/01). </w:t>
      </w:r>
    </w:p>
    <w:p w14:paraId="5433DBDC" w14:textId="77777777" w:rsidR="00154AD2" w:rsidRDefault="007F6BF3">
      <w:pPr>
        <w:pStyle w:val="P68B1DB1-Normal3"/>
        <w:spacing w:before="40" w:after="0" w:line="259" w:lineRule="auto"/>
        <w:ind w:left="130" w:firstLine="720"/>
        <w:jc w:val="both"/>
        <w:outlineLvl w:val="1"/>
        <w:rPr>
          <w:rFonts w:eastAsiaTheme="minorEastAsia" w:cs="Times New Roman"/>
          <w:noProof/>
        </w:rPr>
      </w:pPr>
      <w:r>
        <w:rPr>
          <w:noProof/>
        </w:rPr>
        <w:t>Ν.1. Περιγραφή των μεταρρυθμίσεων και των επενδύσεων που είναι επιλέξιμες για λήψη μη επιστρεπτέας χρηματοδοτικής στήριξης</w:t>
      </w:r>
    </w:p>
    <w:p w14:paraId="64866960" w14:textId="77777777" w:rsidR="00154AD2" w:rsidRDefault="007F6BF3">
      <w:pPr>
        <w:pStyle w:val="P68B1DB1-Normal5"/>
        <w:spacing w:before="240" w:after="0" w:line="259" w:lineRule="auto"/>
        <w:ind w:left="851"/>
        <w:jc w:val="both"/>
        <w:outlineLvl w:val="2"/>
        <w:rPr>
          <w:rFonts w:eastAsiaTheme="minorEastAsia" w:cs="Times New Roman"/>
          <w:noProof/>
        </w:rPr>
      </w:pPr>
      <w:r>
        <w:rPr>
          <w:noProof/>
        </w:rPr>
        <w:t>Μεταρρύθμιση TC-r29: Εθνική στρατηγική για το υδρογόνο (EN-H2)</w:t>
      </w:r>
    </w:p>
    <w:p w14:paraId="13857BA4" w14:textId="77777777" w:rsidR="00154AD2" w:rsidRDefault="007F6BF3">
      <w:pPr>
        <w:pStyle w:val="P68B1DB1-Normal4"/>
        <w:spacing w:before="40" w:after="0" w:line="259" w:lineRule="auto"/>
        <w:jc w:val="both"/>
        <w:rPr>
          <w:rFonts w:eastAsiaTheme="minorEastAsia" w:cs="Times New Roman"/>
          <w:noProof/>
        </w:rPr>
      </w:pPr>
      <w:r>
        <w:rPr>
          <w:noProof/>
        </w:rPr>
        <w:t>Στόχος του μέτρου είναι η εισαγωγή ενός στοιχείου κινήτρων και σταθερότητας για τον τομέα της ενέργειας, προωθώντας τη σταδιακή εισαγωγή του ανανεώσιμου υδρογόνου ως βιώσιμου πυλώνα μιας πιο ολοκληρωμένης στρατηγικής για τη μετάβαση σε μια οικονομία απαλλαγμένη από ανθρακούχες εκπομπές. Η στρατηγική αυτή πλαισιώνει τον τρέχοντα και τον μελλοντικό ρόλο του υδρογόνου στο ενεργειακό σύστημα και προτείνει ένα σύνολο μέτρων και στόχων για την ενσωμάτωση του υδρογόνου στους διάφορους τομείς της οικονομίας. Αυτό περιλαμβάνει επίσης τη δημιουργία των αναγκαίων συνθηκών για την αλλαγή αυτή, συμπεριλαμβανομένης, μεταξύ άλλων, της νομοθεσίας και της ρύθμισης, της ασφάλειας, των προτύπων, της καινοτομίας και της ανάπτυξης, καθώς και της χρηματοδότησης. Το μέτρο αφορά τον τροποποιημένο Κανονισμό του Εθνικού Δικτύου Μεταφοράς Αερίου και τον Κανονισμό του Εθνικού Δικτύου Διανομής Φυσικού Αερίου, που θα εγκριθούν από τη Γενική Διεύθυνση Ενέργειας και Γεωλογίας. Ο τροποποιημένος κανονισμός καθιστά δυνατό τον καθορισμό των όρων σύνδεσης με τις υποδομές μεταφοράς αερίου, ιδίως για την έγχυση αερίων ανανεώσιμης προέλευσης, συμπεριλαμβανομένου του ανανεώσιμου υδρογόνου και των αερίων χαμηλής περιεκτικότητας σε άνθρακα, καθώς και τον καθορισμό των ελάχιστων και μέγιστων ποσοστών έγχυσης των εν λόγω αερίων στα δίκτυα. Επιπλέον, ο τροποποιημένος κανονισμός περιλαμβάνει τις αναγκαίες αναθεωρήσεις των τεχνικών προτύπων που διασφαλίζουν την ποιότητα της υπηρεσίας και την ασφαλή χρήση των υποδομών αυτών για όλους τους χρήστες.</w:t>
      </w:r>
    </w:p>
    <w:p w14:paraId="02E50E69" w14:textId="77777777" w:rsidR="00154AD2" w:rsidRDefault="007F6BF3">
      <w:pPr>
        <w:pStyle w:val="P68B1DB1-Normal4"/>
        <w:spacing w:before="40" w:after="0" w:line="259" w:lineRule="auto"/>
        <w:jc w:val="both"/>
        <w:rPr>
          <w:rFonts w:eastAsiaTheme="minorEastAsia" w:cs="Times New Roman"/>
          <w:noProof/>
        </w:rPr>
      </w:pPr>
      <w:r>
        <w:rPr>
          <w:noProof/>
        </w:rPr>
        <w:t>Η εφαρμογή της μεταρρύθμισης ολοκληρώνεται έως τις 30 Σεπτεμβρίου 2021.</w:t>
      </w:r>
    </w:p>
    <w:p w14:paraId="28667EBB" w14:textId="77777777" w:rsidR="00154AD2" w:rsidRDefault="007F6BF3">
      <w:pPr>
        <w:pStyle w:val="P68B1DB1-Normal5"/>
        <w:spacing w:before="240" w:after="0" w:line="259" w:lineRule="auto"/>
        <w:ind w:left="851"/>
        <w:jc w:val="both"/>
        <w:outlineLvl w:val="2"/>
        <w:rPr>
          <w:rFonts w:eastAsiaTheme="minorEastAsia" w:cs="Times New Roman"/>
          <w:noProof/>
        </w:rPr>
      </w:pPr>
      <w:r>
        <w:rPr>
          <w:noProof/>
        </w:rPr>
        <w:t>Επένδυση TC-C14-I01: Υδρογόνο και ανανεώσιμα αέρια</w:t>
      </w:r>
    </w:p>
    <w:p w14:paraId="7F188255" w14:textId="77777777" w:rsidR="00154AD2" w:rsidRDefault="007F6BF3">
      <w:pPr>
        <w:pStyle w:val="P68B1DB1-Normal4"/>
        <w:spacing w:before="40" w:after="0" w:line="259" w:lineRule="auto"/>
        <w:jc w:val="both"/>
        <w:rPr>
          <w:rFonts w:eastAsiaTheme="minorEastAsia" w:cs="Times New Roman"/>
          <w:noProof/>
        </w:rPr>
      </w:pPr>
      <w:r>
        <w:rPr>
          <w:noProof/>
        </w:rPr>
        <w:t>Στόχος του μέτρου είναι η στήριξη ιδιωτικών έργων για την παραγωγή ανανεώσιμου υδρογόνου και άλλων αερίων ανανεώσιμης προέλευσης για ιδία κατανάλωση ή έγχυση στο δίκτυο.</w:t>
      </w:r>
    </w:p>
    <w:p w14:paraId="6A4CE2C6" w14:textId="77777777" w:rsidR="00154AD2" w:rsidRDefault="007F6BF3">
      <w:pPr>
        <w:pStyle w:val="P68B1DB1-Normal4"/>
        <w:spacing w:before="40" w:after="0" w:line="259" w:lineRule="auto"/>
        <w:jc w:val="both"/>
        <w:rPr>
          <w:rFonts w:eastAsiaTheme="minorEastAsia" w:cs="Times New Roman"/>
          <w:noProof/>
        </w:rPr>
      </w:pPr>
      <w:r>
        <w:rPr>
          <w:noProof/>
        </w:rPr>
        <w:t xml:space="preserve">Η επένδυση συνίσταται σε δράσεις που ευνοούν την παραγωγή, την αποθήκευση, τη μεταφορά και τη διανομή ανανεώσιμων αερίων με στόχο την αύξηση της συμβολής των ανανεώσιμων αερίων στην κατανάλωση ενέργειας, τη μείωση των εκπομπών αερίων του θερμοκηπίου, τη μείωση της ενεργειακής εξάρτησης και τη βελτίωση της ασφάλειας του ενεργειακού εφοδιασμού. Υποστηρίζονται διάφορες εφαρμογές, όπως η χρήση ανανεώσιμων αερίων για τις μεταφορές και η έγχυση ανανεώσιμων αερίων στο δίκτυο φυσικού αερίου. </w:t>
      </w:r>
    </w:p>
    <w:p w14:paraId="22A4B55A" w14:textId="77777777" w:rsidR="00154AD2" w:rsidRDefault="007F6BF3">
      <w:pPr>
        <w:pStyle w:val="P68B1DB1-Normal4"/>
        <w:spacing w:before="40" w:after="0" w:line="259" w:lineRule="auto"/>
        <w:jc w:val="both"/>
        <w:rPr>
          <w:rFonts w:eastAsiaTheme="minorEastAsia" w:cs="Times New Roman"/>
          <w:noProof/>
        </w:rPr>
      </w:pPr>
      <w:r>
        <w:rPr>
          <w:noProof/>
        </w:rPr>
        <w:t>Η παραγωγή ανανεώσιμων αερίων, όπως το ανανεώσιμο υδρογόνο ή το βιομεθάνιο, αποκλειστικά από ανανεώσιμες πηγές ενέργειας, μπορεί να χρησιμοποιεί μια σειρά τεχνολογιών όπως: Ηλεκτρόλυση· Θερμοχημικές και υδροθερμικές διεργασίες· Βιολογικές διεργασίες (βιοφωτοόλυση και ζύμωση)· Εμπλουτισμός με βιοαέριο από αναερόβια χώνευση υλικών βιομάζας (μη συμπεριλαμβανομένης της παραγωγής βιοαερίου)· και μεθάνιο (ανανεώσιμο υδρογόνο σε συνδυασμό με ανακυκλωμένο διοξείδιο του άνθρακα).</w:t>
      </w:r>
    </w:p>
    <w:p w14:paraId="23CDF4FF" w14:textId="348261AB" w:rsidR="00154AD2" w:rsidRDefault="007F6BF3">
      <w:pPr>
        <w:pStyle w:val="P68B1DB1-Normal4"/>
        <w:spacing w:before="40" w:after="0" w:line="259" w:lineRule="auto"/>
        <w:jc w:val="both"/>
        <w:rPr>
          <w:rFonts w:eastAsiaTheme="minorEastAsia" w:cs="Times New Roman"/>
          <w:noProof/>
        </w:rPr>
      </w:pPr>
      <w:r>
        <w:rPr>
          <w:noProof/>
        </w:rPr>
        <w:t>Οι επενδύσεις εστιάζουν σε πολύ συγκεκριμένο βαθμό και αποσκοπούν στην αύξηση της εγκατεστημένης δυναμικότητας για την παραγωγή ανανεώσιμου υδρογόνου και άλλων ανανεώσιμων αερίων, συμπεριλαμβανομένης της εγκατεστημένης δυναμικότητας σε ηλεκτρολυτικές κυψέλες για την παραγωγή ανανεώσιμου υδρογόνου. Το έργο υλοποιείται μέσω ανοικτών και χωρίς διακρίσεις προσκλήσεων υποβολής προσφορών με στόχο τη στήριξη έργων με ανώτατο όριο τα 15 000 000 EUR ανά έργο.</w:t>
      </w:r>
    </w:p>
    <w:p w14:paraId="2F3C9010" w14:textId="0A561EF2" w:rsidR="00154AD2" w:rsidRDefault="007F6BF3">
      <w:pPr>
        <w:pStyle w:val="P68B1DB1-Normal4"/>
        <w:spacing w:before="40" w:after="0" w:line="259" w:lineRule="auto"/>
        <w:jc w:val="both"/>
        <w:rPr>
          <w:rFonts w:eastAsiaTheme="minorEastAsia" w:cs="Times New Roman"/>
          <w:noProof/>
        </w:rPr>
      </w:pPr>
      <w:r>
        <w:rPr>
          <w:noProof/>
        </w:rPr>
        <w:t>Η υλοποίηση της επένδυσης θα ολοκληρωθεί έως τις 31 Μαρτίου 2026.</w:t>
      </w:r>
    </w:p>
    <w:p w14:paraId="416F7CD8" w14:textId="77777777" w:rsidR="00154AD2" w:rsidRDefault="007F6BF3">
      <w:pPr>
        <w:pStyle w:val="P68B1DB1-Normal5"/>
        <w:spacing w:before="240" w:after="0" w:line="259" w:lineRule="auto"/>
        <w:ind w:left="851"/>
        <w:jc w:val="both"/>
        <w:outlineLvl w:val="2"/>
        <w:rPr>
          <w:rFonts w:eastAsiaTheme="minorEastAsia" w:cs="Times New Roman"/>
          <w:noProof/>
        </w:rPr>
      </w:pPr>
      <w:r>
        <w:rPr>
          <w:noProof/>
        </w:rPr>
        <w:t>Επένδυση TC-C14-i02-RAM: Δυναμικό ηλεκτρικής ενέργειας από ανανεώσιμες πηγές στο Αρχιπέλαγος της Μαδέρας</w:t>
      </w:r>
    </w:p>
    <w:p w14:paraId="6D154BCC" w14:textId="77777777" w:rsidR="00154AD2" w:rsidRDefault="007F6BF3">
      <w:pPr>
        <w:pStyle w:val="P68B1DB1-Normal4"/>
        <w:spacing w:before="40" w:after="0" w:line="259" w:lineRule="auto"/>
        <w:jc w:val="both"/>
        <w:rPr>
          <w:rFonts w:eastAsiaTheme="minorEastAsia" w:cs="Times New Roman"/>
          <w:noProof/>
        </w:rPr>
      </w:pPr>
      <w:r>
        <w:rPr>
          <w:noProof/>
        </w:rPr>
        <w:t xml:space="preserve">Στόχος του μέτρου είναι η στήριξη της παραγωγής, αποθήκευσης, μεταφοράς και διανομής ενέργειας από ανανεώσιμες πηγές. Τα έργα που περιλαμβάνονται στην επένδυση αυτή καθιστούν δυνατή την αύξηση του μεριδίου της ηλεκτρικής ενέργειας από ανανεώσιμες πηγές που θα είναι διαθέσιμο σε κάθε νησί. Η επένδυση αυτή συμβάλλει στη στρατηγική για την απαλλαγή της παραγωγής ηλεκτρικής ενέργειας από τις ανθρακούχες εκπομπές, ενισχύοντας την ανθεκτικότητα της εγχώριας οικονομίας. </w:t>
      </w:r>
    </w:p>
    <w:p w14:paraId="6509CF70" w14:textId="77777777" w:rsidR="00154AD2" w:rsidRDefault="007F6BF3">
      <w:pPr>
        <w:pStyle w:val="P68B1DB1-Normal4"/>
        <w:spacing w:before="40" w:after="0" w:line="259" w:lineRule="auto"/>
        <w:jc w:val="both"/>
        <w:rPr>
          <w:rFonts w:eastAsiaTheme="minorEastAsia" w:cs="Times New Roman"/>
          <w:noProof/>
        </w:rPr>
      </w:pPr>
      <w:r>
        <w:rPr>
          <w:noProof/>
        </w:rPr>
        <w:t xml:space="preserve">Η επένδυση συνίσταται στις ακόλουθες επιμέρους επενδύσεις: </w:t>
      </w:r>
    </w:p>
    <w:p w14:paraId="4467DF1E" w14:textId="77777777" w:rsidR="00154AD2" w:rsidRDefault="007F6BF3">
      <w:pPr>
        <w:pStyle w:val="P68B1DB1-Normal4"/>
        <w:keepNext/>
        <w:numPr>
          <w:ilvl w:val="0"/>
          <w:numId w:val="31"/>
        </w:numPr>
        <w:spacing w:before="40" w:after="160" w:line="259" w:lineRule="auto"/>
        <w:contextualSpacing/>
        <w:jc w:val="both"/>
        <w:rPr>
          <w:rFonts w:eastAsiaTheme="minorEastAsia" w:cs="Times New Roman"/>
          <w:noProof/>
        </w:rPr>
      </w:pPr>
      <w:r>
        <w:rPr>
          <w:noProof/>
        </w:rPr>
        <w:t>Την πλήρη ανακαίνιση και ανακαίνιση του υδροηλεκτρικού σταθμού Water Serra και του Υδροηλεκτρικού σταθμού Calheta I με την αναζωογόνηση 6,2 MW εγκατεστημένης ισχύος και την αύξηση της εγκατεστημένης ισχύος με την προσθήκη 4 MW.</w:t>
      </w:r>
    </w:p>
    <w:p w14:paraId="5FE75D29" w14:textId="77777777" w:rsidR="00154AD2" w:rsidRDefault="007F6BF3">
      <w:pPr>
        <w:pStyle w:val="P68B1DB1-Normal4"/>
        <w:keepNext/>
        <w:numPr>
          <w:ilvl w:val="0"/>
          <w:numId w:val="31"/>
        </w:numPr>
        <w:spacing w:before="40" w:after="160" w:line="259" w:lineRule="auto"/>
        <w:contextualSpacing/>
        <w:jc w:val="both"/>
        <w:rPr>
          <w:rFonts w:eastAsiaTheme="minorEastAsia" w:cs="Times New Roman"/>
          <w:noProof/>
        </w:rPr>
      </w:pPr>
      <w:r>
        <w:rPr>
          <w:noProof/>
        </w:rPr>
        <w:t>Αύξηση της εγκατεστημένης δυναμικότητας στα συστήματα αποθήκευσης συσσωρευτών με την προσθήκη χωρητικότητας αποθήκευσης τουλάχιστον 21 MW/27MWh·</w:t>
      </w:r>
    </w:p>
    <w:p w14:paraId="49EDD0E0" w14:textId="77777777" w:rsidR="00154AD2" w:rsidRDefault="007F6BF3">
      <w:pPr>
        <w:pStyle w:val="P68B1DB1-Normal4"/>
        <w:keepNext/>
        <w:numPr>
          <w:ilvl w:val="0"/>
          <w:numId w:val="31"/>
        </w:numPr>
        <w:spacing w:before="40" w:after="160" w:line="259" w:lineRule="auto"/>
        <w:contextualSpacing/>
        <w:jc w:val="both"/>
        <w:rPr>
          <w:rFonts w:eastAsiaTheme="minorEastAsia" w:cs="Times New Roman"/>
          <w:noProof/>
        </w:rPr>
      </w:pPr>
      <w:r>
        <w:rPr>
          <w:noProof/>
        </w:rPr>
        <w:t>Εγκατάσταση νέου σύγχρονου αντισταθμιστή ισχύος τουλάχιστον 15 MVAr·</w:t>
      </w:r>
    </w:p>
    <w:p w14:paraId="4372F931" w14:textId="77777777" w:rsidR="00154AD2" w:rsidRDefault="007F6BF3">
      <w:pPr>
        <w:pStyle w:val="P68B1DB1-Normal4"/>
        <w:keepNext/>
        <w:numPr>
          <w:ilvl w:val="0"/>
          <w:numId w:val="31"/>
        </w:numPr>
        <w:spacing w:before="40" w:after="160" w:line="259" w:lineRule="auto"/>
        <w:contextualSpacing/>
        <w:jc w:val="both"/>
        <w:rPr>
          <w:rFonts w:eastAsiaTheme="minorEastAsia" w:cs="Times New Roman"/>
          <w:noProof/>
        </w:rPr>
      </w:pPr>
      <w:r>
        <w:rPr>
          <w:noProof/>
        </w:rPr>
        <w:t>Αύξηση της ικανότητας του δικτύου ηλεκτρικής ενέργειας για την ενσωμάτωση νέας εγκατεστημένης ισχύος τουλάχιστον 48 MW σε ανανεώσιμες πηγές ενέργειας στα συστήματα ηλεκτρικής ενέργειας (40 MW Μαδέρα + 8 MW Porto Santo)·</w:t>
      </w:r>
    </w:p>
    <w:p w14:paraId="2CCEA225" w14:textId="77777777" w:rsidR="00154AD2" w:rsidRDefault="007F6BF3">
      <w:pPr>
        <w:pStyle w:val="P68B1DB1-Normal4"/>
        <w:keepNext/>
        <w:numPr>
          <w:ilvl w:val="0"/>
          <w:numId w:val="31"/>
        </w:numPr>
        <w:spacing w:before="40" w:after="160" w:line="259" w:lineRule="auto"/>
        <w:contextualSpacing/>
        <w:jc w:val="both"/>
        <w:rPr>
          <w:rFonts w:eastAsiaTheme="minorEastAsia" w:cs="Times New Roman"/>
          <w:noProof/>
        </w:rPr>
      </w:pPr>
      <w:r>
        <w:rPr>
          <w:noProof/>
        </w:rPr>
        <w:t>Εγκατάσταση 130 000 συνδεδεμένων έξυπνων μετρητών και αντικατάσταση 8 750 σημείων οδικού φωτισμού με λύσεις χαμηλής κατανάλωσης ενέργειας (συμπεριλαμβανομένης της αναβάθμισης της διαχείρισης του οδικού φωτισμού).</w:t>
      </w:r>
    </w:p>
    <w:p w14:paraId="0E2F3B03" w14:textId="77777777" w:rsidR="00154AD2" w:rsidRDefault="007F6BF3">
      <w:pPr>
        <w:pStyle w:val="P68B1DB1-Normal4"/>
        <w:spacing w:before="40" w:after="0" w:line="259" w:lineRule="auto"/>
        <w:jc w:val="both"/>
        <w:rPr>
          <w:rFonts w:eastAsiaTheme="minorEastAsia" w:cs="Times New Roman"/>
          <w:noProof/>
        </w:rPr>
      </w:pPr>
      <w:r>
        <w:rPr>
          <w:noProof/>
        </w:rPr>
        <w:t>Η υλοποίηση της επένδυσης θα ολοκληρωθεί έως τις 31 Δεκεμβρίου 2025.</w:t>
      </w:r>
    </w:p>
    <w:p w14:paraId="44F7A633" w14:textId="77777777" w:rsidR="00154AD2" w:rsidRDefault="007F6BF3">
      <w:pPr>
        <w:pStyle w:val="P68B1DB1-Normal5"/>
        <w:spacing w:before="240" w:after="0" w:line="259" w:lineRule="auto"/>
        <w:ind w:left="851"/>
        <w:jc w:val="both"/>
        <w:outlineLvl w:val="2"/>
        <w:rPr>
          <w:rFonts w:eastAsiaTheme="minorEastAsia" w:cs="Times New Roman"/>
          <w:noProof/>
        </w:rPr>
      </w:pPr>
      <w:r>
        <w:rPr>
          <w:noProof/>
        </w:rPr>
        <w:t>Επένδυση TC-C14-i03-RAA: Ενεργειακή μετάβαση στις Αζόρες</w:t>
      </w:r>
    </w:p>
    <w:p w14:paraId="6BAFD0A3" w14:textId="77777777" w:rsidR="00154AD2" w:rsidRDefault="007F6BF3">
      <w:pPr>
        <w:pStyle w:val="P68B1DB1-Normal4"/>
        <w:spacing w:before="40" w:after="0" w:line="259" w:lineRule="auto"/>
        <w:jc w:val="both"/>
        <w:rPr>
          <w:rFonts w:eastAsiaTheme="minorEastAsia" w:cs="Times New Roman"/>
          <w:noProof/>
        </w:rPr>
      </w:pPr>
      <w:r>
        <w:rPr>
          <w:noProof/>
        </w:rPr>
        <w:t>Στόχοι του μέτρου είναι η ανάπτυξη υποδομών ηλεκτρικής ενέργειας αιχμής και η υλοποίηση έργων με καινοτόμες τεχνικές λύσεις για την αύξηση της ενεργειακής αυτάρκειας. Στις Αζόρες, η παραγωγή ηλεκτρικής ενέργειας από ανανεώσιμες πηγές αντιπροσωπεύει σήμερα περίπου το 40 % της συνολικής αξίας της περιοχής, εκ του οποίου περίπου το 24 % προέρχεται από γεωθερμική ενέργεια στα δύο μεγαλύτερα νησιά του αρχιπελάγους. Το υπόλοιπο 60 % της ηλεκτρικής ενέργειας παράγεται από ορυκτά καύσιμα, μαζούτ και ντίζελ, τα οποία αντιπροσωπεύουν υψηλό ετήσιο κόστος, όχι μόνο λόγω της αξίας αγοράς των καυσίμων, αλλά και λόγω της θαλάσσιας μεταφοράς τους από την ηπειρωτική χώρα προς τα νησιά και τη διανομή μεταξύ των νησιών. Αυτό το είδος παραγωγής, πέραν του σχετικού υψηλού κόστους, αντιπροσωπεύει ισχυρή εξωτερική εξάρτηση η οποία, σε καταστάσεις εθνικής ή διεθνούς κρίσης, μπορεί να θέσει σε κίνδυνο την ικανότητα κάλυψης των ενεργειακών αναγκών του αρχιπελάγους.</w:t>
      </w:r>
    </w:p>
    <w:p w14:paraId="52E3DC73" w14:textId="77777777" w:rsidR="00154AD2" w:rsidRDefault="007F6BF3">
      <w:pPr>
        <w:pStyle w:val="P68B1DB1-Normal4"/>
        <w:spacing w:before="40" w:after="0" w:line="259" w:lineRule="auto"/>
        <w:jc w:val="both"/>
        <w:rPr>
          <w:rFonts w:eastAsiaTheme="minorEastAsia" w:cs="Times New Roman"/>
          <w:noProof/>
        </w:rPr>
      </w:pPr>
      <w:r>
        <w:rPr>
          <w:noProof/>
        </w:rPr>
        <w:t>Η επένδυση συνίσταται στις ακόλουθες επιμέρους επενδύσεις:</w:t>
      </w:r>
    </w:p>
    <w:p w14:paraId="0A8CFC86" w14:textId="77777777" w:rsidR="00154AD2" w:rsidRDefault="007F6BF3">
      <w:pPr>
        <w:pStyle w:val="P68B1DB1-Normal4"/>
        <w:keepNext/>
        <w:numPr>
          <w:ilvl w:val="0"/>
          <w:numId w:val="31"/>
        </w:numPr>
        <w:spacing w:before="40" w:after="160" w:line="259" w:lineRule="auto"/>
        <w:contextualSpacing/>
        <w:jc w:val="both"/>
        <w:rPr>
          <w:rFonts w:eastAsiaTheme="minorEastAsia" w:cs="Times New Roman"/>
          <w:noProof/>
        </w:rPr>
      </w:pPr>
      <w:r>
        <w:rPr>
          <w:noProof/>
        </w:rPr>
        <w:t>Αύξηση της εγκατεστημένης δυναμικότητας παραγωγής ενέργειας από ανανεώσιμες πηγές, κυρίως γεωθερμική, κατά 12 MW και αναζωογόνηση του ήδη εγκατεστημένου γεωθερμικού σταθμού ηλεκτροπαραγωγής κατά 5 MW·</w:t>
      </w:r>
    </w:p>
    <w:p w14:paraId="5DC064DD" w14:textId="24EDE81B" w:rsidR="00154AD2" w:rsidRDefault="007F6BF3">
      <w:pPr>
        <w:pStyle w:val="P68B1DB1-Normal4"/>
        <w:keepNext/>
        <w:numPr>
          <w:ilvl w:val="0"/>
          <w:numId w:val="31"/>
        </w:numPr>
        <w:spacing w:before="40" w:after="160" w:line="259" w:lineRule="auto"/>
        <w:contextualSpacing/>
        <w:jc w:val="both"/>
        <w:rPr>
          <w:rFonts w:eastAsiaTheme="minorEastAsia" w:cs="Times New Roman"/>
          <w:noProof/>
        </w:rPr>
      </w:pPr>
      <w:r>
        <w:rPr>
          <w:noProof/>
        </w:rPr>
        <w:t>Αύξηση της εγκατεστημένης δυναμικότητας παραγωγής ηλεκτρικής ενέργειας από ανανεώσιμες πηγές στη νήσο Corvo μέσω της εγκατάστασης φωτοβολταϊκού και αιολικού πάρκου κατά 850 kW·</w:t>
      </w:r>
    </w:p>
    <w:p w14:paraId="38EA575D" w14:textId="77777777" w:rsidR="00154AD2" w:rsidRDefault="007F6BF3">
      <w:pPr>
        <w:pStyle w:val="P68B1DB1-Normal4"/>
        <w:keepNext/>
        <w:numPr>
          <w:ilvl w:val="0"/>
          <w:numId w:val="31"/>
        </w:numPr>
        <w:spacing w:before="40" w:after="160" w:line="259" w:lineRule="auto"/>
        <w:contextualSpacing/>
        <w:jc w:val="both"/>
        <w:rPr>
          <w:rFonts w:eastAsiaTheme="minorEastAsia" w:cs="Times New Roman"/>
          <w:noProof/>
        </w:rPr>
      </w:pPr>
      <w:r>
        <w:rPr>
          <w:noProof/>
        </w:rPr>
        <w:t>Εγκατάσταση νέων συστημάτων αποθήκευσης ηλεκτρικής ενέργειας στις νήσους Santa Maria, São Jorge, Pico, Faial, Flores και Corvo κατά τουλάχιστον 20 MW·</w:t>
      </w:r>
    </w:p>
    <w:p w14:paraId="112665E7" w14:textId="55EE2481" w:rsidR="00154AD2" w:rsidRDefault="007F6BF3">
      <w:pPr>
        <w:pStyle w:val="P68B1DB1-Normal4"/>
        <w:keepNext/>
        <w:numPr>
          <w:ilvl w:val="0"/>
          <w:numId w:val="31"/>
        </w:numPr>
        <w:spacing w:before="40" w:after="160" w:line="259" w:lineRule="auto"/>
        <w:contextualSpacing/>
        <w:jc w:val="both"/>
        <w:rPr>
          <w:rFonts w:eastAsiaTheme="minorEastAsia" w:cs="Times New Roman"/>
          <w:noProof/>
        </w:rPr>
      </w:pPr>
      <w:r>
        <w:rPr>
          <w:noProof/>
        </w:rPr>
        <w:t>Εγκατάσταση νέων μικρών φωτοβολταϊκών μονάδων ηλεκτροπαραγωγής αποκεντρωμένης παραγωγής και κατανάλωσης συνολικής ισοδύναμης των 11,2 MW.</w:t>
      </w:r>
    </w:p>
    <w:p w14:paraId="091FFD9A" w14:textId="64D57B8C" w:rsidR="00154AD2" w:rsidRDefault="007F6BF3">
      <w:pPr>
        <w:pStyle w:val="P68B1DB1-Normal4"/>
        <w:spacing w:before="40" w:after="0" w:line="259" w:lineRule="auto"/>
        <w:jc w:val="both"/>
        <w:rPr>
          <w:rFonts w:eastAsiaTheme="minorEastAsia" w:cs="Times New Roman"/>
          <w:noProof/>
        </w:rPr>
      </w:pPr>
      <w:r>
        <w:rPr>
          <w:noProof/>
        </w:rPr>
        <w:t>Η υλοποίηση της επένδυσης θα ολοκληρωθεί έως τις 30 Ιουνίου 2026.</w:t>
      </w:r>
    </w:p>
    <w:p w14:paraId="151D3F34" w14:textId="77777777" w:rsidR="00154AD2" w:rsidRDefault="00154AD2">
      <w:pPr>
        <w:spacing w:before="40" w:after="0" w:line="259" w:lineRule="auto"/>
        <w:jc w:val="both"/>
        <w:rPr>
          <w:rFonts w:ascii="Times New Roman" w:eastAsiaTheme="minorEastAsia" w:hAnsi="Times New Roman" w:cs="Times New Roman"/>
          <w:noProof/>
          <w:sz w:val="24"/>
        </w:rPr>
        <w:sectPr w:rsidR="00154AD2" w:rsidSect="00E00EDD">
          <w:headerReference w:type="even" r:id="rId270"/>
          <w:headerReference w:type="default" r:id="rId271"/>
          <w:footerReference w:type="even" r:id="rId272"/>
          <w:footerReference w:type="default" r:id="rId273"/>
          <w:headerReference w:type="first" r:id="rId274"/>
          <w:footerReference w:type="first" r:id="rId275"/>
          <w:pgSz w:w="11907" w:h="16839"/>
          <w:pgMar w:top="1134" w:right="1134" w:bottom="1134" w:left="1134" w:header="567" w:footer="567" w:gutter="0"/>
          <w:cols w:space="720"/>
          <w:docGrid w:linePitch="360"/>
        </w:sectPr>
      </w:pPr>
    </w:p>
    <w:p w14:paraId="1E0E5F58" w14:textId="77777777" w:rsidR="00154AD2" w:rsidRDefault="007F6BF3">
      <w:pPr>
        <w:pStyle w:val="P68B1DB1-Normal3"/>
        <w:spacing w:before="40" w:after="0" w:line="259" w:lineRule="auto"/>
        <w:ind w:left="130" w:firstLine="720"/>
        <w:jc w:val="both"/>
        <w:outlineLvl w:val="1"/>
        <w:rPr>
          <w:rFonts w:eastAsiaTheme="minorEastAsia" w:cs="Times New Roman"/>
          <w:noProof/>
        </w:rPr>
      </w:pPr>
      <w:r>
        <w:rPr>
          <w:noProof/>
        </w:rPr>
        <w:t>Ν.2. Ορόσημα, στόχοι, δείκτες και χρονοδιάγραμμα για την παρακολούθηση και την υλοποίηση της μη επιστρεπτέας χρηματοδοτικής στήριξης</w:t>
      </w:r>
    </w:p>
    <w:p w14:paraId="286C8850" w14:textId="77777777" w:rsidR="00154AD2" w:rsidRDefault="00154AD2">
      <w:pPr>
        <w:spacing w:before="40" w:after="0" w:line="259" w:lineRule="auto"/>
        <w:ind w:left="130" w:firstLine="720"/>
        <w:jc w:val="both"/>
        <w:outlineLvl w:val="1"/>
        <w:rPr>
          <w:rFonts w:ascii="Times New Roman" w:eastAsiaTheme="minorEastAsia" w:hAnsi="Times New Roman" w:cs="Times New Roman"/>
          <w:b/>
          <w:noProof/>
          <w:sz w:val="24"/>
          <w:u w:val="single"/>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154AD2" w14:paraId="3CFBE898" w14:textId="77777777">
        <w:trPr>
          <w:trHeight w:val="830"/>
          <w:tblHeader/>
        </w:trPr>
        <w:tc>
          <w:tcPr>
            <w:tcW w:w="1135" w:type="dxa"/>
            <w:vMerge w:val="restart"/>
            <w:shd w:val="clear" w:color="auto" w:fill="BDD6EE"/>
            <w:vAlign w:val="center"/>
            <w:hideMark/>
          </w:tcPr>
          <w:p w14:paraId="66B63AA1" w14:textId="77777777" w:rsidR="00154AD2" w:rsidRDefault="007F6BF3">
            <w:pPr>
              <w:pStyle w:val="P68B1DB1-Normal6"/>
              <w:spacing w:after="0" w:line="240" w:lineRule="auto"/>
              <w:jc w:val="center"/>
              <w:rPr>
                <w:rFonts w:eastAsia="Times New Roman" w:cs="Times New Roman"/>
                <w:noProof/>
              </w:rPr>
            </w:pPr>
            <w:r>
              <w:rPr>
                <w:noProof/>
              </w:rPr>
              <w:t>Αύξων αριθμός</w:t>
            </w:r>
          </w:p>
        </w:tc>
        <w:tc>
          <w:tcPr>
            <w:tcW w:w="1276" w:type="dxa"/>
            <w:vMerge w:val="restart"/>
            <w:shd w:val="clear" w:color="auto" w:fill="BDD6EE"/>
            <w:vAlign w:val="center"/>
            <w:hideMark/>
          </w:tcPr>
          <w:p w14:paraId="77F41CF5" w14:textId="77777777" w:rsidR="00154AD2" w:rsidRDefault="007F6BF3">
            <w:pPr>
              <w:pStyle w:val="P68B1DB1-Normal6"/>
              <w:spacing w:after="0" w:line="240" w:lineRule="auto"/>
              <w:jc w:val="center"/>
              <w:rPr>
                <w:rFonts w:eastAsia="Times New Roman" w:cs="Times New Roman"/>
                <w:noProof/>
              </w:rPr>
            </w:pPr>
            <w:r>
              <w:rPr>
                <w:noProof/>
              </w:rPr>
              <w:t>Μέτρο (Μεταρρύθμιση ή Επενδύσεις)</w:t>
            </w:r>
          </w:p>
        </w:tc>
        <w:tc>
          <w:tcPr>
            <w:tcW w:w="1134" w:type="dxa"/>
            <w:vMerge w:val="restart"/>
            <w:shd w:val="clear" w:color="auto" w:fill="BDD6EE"/>
            <w:vAlign w:val="center"/>
            <w:hideMark/>
          </w:tcPr>
          <w:p w14:paraId="05EA6259" w14:textId="77777777" w:rsidR="00154AD2" w:rsidRDefault="007F6BF3">
            <w:pPr>
              <w:pStyle w:val="P68B1DB1-Normal6"/>
              <w:spacing w:after="0" w:line="240" w:lineRule="auto"/>
              <w:jc w:val="center"/>
              <w:rPr>
                <w:rFonts w:ascii="Calibri" w:eastAsia="Times New Roman" w:hAnsi="Calibri" w:cs="Calibri"/>
                <w:noProof/>
                <w:sz w:val="16"/>
              </w:rPr>
            </w:pPr>
            <w:r>
              <w:rPr>
                <w:noProof/>
              </w:rPr>
              <w:t>Milestone/</w:t>
            </w:r>
          </w:p>
          <w:p w14:paraId="6B07E77A" w14:textId="0BCBAF46" w:rsidR="00154AD2" w:rsidRDefault="007F6BF3">
            <w:pPr>
              <w:pStyle w:val="P68B1DB1-Normal6"/>
              <w:spacing w:after="0" w:line="240" w:lineRule="auto"/>
              <w:jc w:val="center"/>
              <w:rPr>
                <w:rFonts w:ascii="Calibri" w:eastAsia="Times New Roman" w:hAnsi="Calibri" w:cs="Calibri"/>
                <w:noProof/>
                <w:sz w:val="16"/>
              </w:rPr>
            </w:pPr>
            <w:r>
              <w:rPr>
                <w:noProof/>
              </w:rPr>
              <w:t>Στόχος</w:t>
            </w:r>
          </w:p>
        </w:tc>
        <w:tc>
          <w:tcPr>
            <w:tcW w:w="1701" w:type="dxa"/>
            <w:vMerge w:val="restart"/>
            <w:shd w:val="clear" w:color="auto" w:fill="BDD6EE"/>
            <w:vAlign w:val="center"/>
            <w:hideMark/>
          </w:tcPr>
          <w:p w14:paraId="2948128E" w14:textId="77777777" w:rsidR="00154AD2" w:rsidRDefault="007F6BF3">
            <w:pPr>
              <w:pStyle w:val="P68B1DB1-Normal6"/>
              <w:spacing w:after="0" w:line="240" w:lineRule="auto"/>
              <w:jc w:val="center"/>
              <w:rPr>
                <w:rFonts w:ascii="Calibri" w:eastAsia="Times New Roman" w:hAnsi="Calibri" w:cs="Calibri"/>
                <w:noProof/>
                <w:sz w:val="16"/>
              </w:rPr>
            </w:pPr>
            <w:r>
              <w:rPr>
                <w:noProof/>
              </w:rPr>
              <w:t>Όνομα</w:t>
            </w:r>
          </w:p>
        </w:tc>
        <w:tc>
          <w:tcPr>
            <w:tcW w:w="1275" w:type="dxa"/>
            <w:vMerge w:val="restart"/>
            <w:shd w:val="clear" w:color="auto" w:fill="BDD6EE"/>
            <w:vAlign w:val="center"/>
            <w:hideMark/>
          </w:tcPr>
          <w:p w14:paraId="4CFCA654" w14:textId="77777777" w:rsidR="00154AD2" w:rsidRDefault="007F6BF3">
            <w:pPr>
              <w:pStyle w:val="P68B1DB1-Normal6"/>
              <w:spacing w:after="0" w:line="240" w:lineRule="auto"/>
              <w:jc w:val="center"/>
              <w:rPr>
                <w:rFonts w:ascii="Calibri" w:eastAsia="Times New Roman" w:hAnsi="Calibri" w:cs="Calibri"/>
                <w:noProof/>
                <w:sz w:val="16"/>
              </w:rPr>
            </w:pPr>
            <w:r>
              <w:rPr>
                <w:noProof/>
              </w:rPr>
              <w:t>Ποιοτικοί δείκτες (για τα ορόσημα)</w:t>
            </w:r>
          </w:p>
        </w:tc>
        <w:tc>
          <w:tcPr>
            <w:tcW w:w="2694" w:type="dxa"/>
            <w:gridSpan w:val="3"/>
            <w:shd w:val="clear" w:color="auto" w:fill="BDD6EE"/>
            <w:vAlign w:val="center"/>
            <w:hideMark/>
          </w:tcPr>
          <w:p w14:paraId="1385CF11" w14:textId="77777777" w:rsidR="00154AD2" w:rsidRDefault="007F6BF3">
            <w:pPr>
              <w:pStyle w:val="P68B1DB1-Normal6"/>
              <w:spacing w:after="0" w:line="240" w:lineRule="auto"/>
              <w:jc w:val="center"/>
              <w:rPr>
                <w:rFonts w:eastAsia="Times New Roman" w:cs="Times New Roman"/>
                <w:noProof/>
              </w:rPr>
            </w:pPr>
            <w:r>
              <w:rPr>
                <w:noProof/>
              </w:rPr>
              <w:t>Ποσοτικοί δείκτες (για τους στόχους)</w:t>
            </w:r>
          </w:p>
        </w:tc>
        <w:tc>
          <w:tcPr>
            <w:tcW w:w="1275" w:type="dxa"/>
            <w:gridSpan w:val="2"/>
            <w:shd w:val="clear" w:color="auto" w:fill="BDD6EE"/>
            <w:vAlign w:val="center"/>
            <w:hideMark/>
          </w:tcPr>
          <w:p w14:paraId="0F657DE5" w14:textId="77777777" w:rsidR="00154AD2" w:rsidRDefault="007F6BF3">
            <w:pPr>
              <w:pStyle w:val="P68B1DB1-Normal6"/>
              <w:spacing w:after="0" w:line="240" w:lineRule="auto"/>
              <w:jc w:val="center"/>
              <w:rPr>
                <w:rFonts w:eastAsia="Times New Roman" w:cs="Times New Roman"/>
                <w:noProof/>
              </w:rPr>
            </w:pPr>
            <w:r>
              <w:rPr>
                <w:noProof/>
              </w:rPr>
              <w:t>Ενδεικτικό χρονοδιάγραμμα ολοκλήρωσης</w:t>
            </w:r>
          </w:p>
        </w:tc>
        <w:tc>
          <w:tcPr>
            <w:tcW w:w="3969" w:type="dxa"/>
            <w:vMerge w:val="restart"/>
            <w:shd w:val="clear" w:color="auto" w:fill="BDD6EE"/>
            <w:vAlign w:val="center"/>
            <w:hideMark/>
          </w:tcPr>
          <w:p w14:paraId="439B6EF1" w14:textId="77777777" w:rsidR="00154AD2" w:rsidRDefault="007F6BF3">
            <w:pPr>
              <w:pStyle w:val="P68B1DB1-Normal6"/>
              <w:spacing w:after="0" w:line="240" w:lineRule="auto"/>
              <w:jc w:val="center"/>
              <w:rPr>
                <w:rFonts w:ascii="Calibri" w:eastAsia="Times New Roman" w:hAnsi="Calibri" w:cs="Calibri"/>
                <w:noProof/>
                <w:sz w:val="16"/>
              </w:rPr>
            </w:pPr>
            <w:r>
              <w:rPr>
                <w:noProof/>
              </w:rPr>
              <w:t>Περιγραφή και σαφής ορισμός κάθε ορόσημου και στόχου</w:t>
            </w:r>
          </w:p>
        </w:tc>
      </w:tr>
      <w:tr w:rsidR="00154AD2" w14:paraId="55300FC2" w14:textId="77777777">
        <w:trPr>
          <w:trHeight w:val="430"/>
          <w:tblHeader/>
        </w:trPr>
        <w:tc>
          <w:tcPr>
            <w:tcW w:w="1135" w:type="dxa"/>
            <w:vMerge/>
            <w:vAlign w:val="center"/>
            <w:hideMark/>
          </w:tcPr>
          <w:p w14:paraId="2716EF47" w14:textId="77777777" w:rsidR="00154AD2" w:rsidRDefault="00154AD2">
            <w:pPr>
              <w:spacing w:after="0" w:line="240" w:lineRule="auto"/>
              <w:rPr>
                <w:rFonts w:ascii="Times New Roman" w:eastAsia="Times New Roman" w:hAnsi="Times New Roman" w:cs="Times New Roman"/>
                <w:b/>
                <w:noProof/>
                <w:sz w:val="18"/>
              </w:rPr>
            </w:pPr>
          </w:p>
        </w:tc>
        <w:tc>
          <w:tcPr>
            <w:tcW w:w="1276" w:type="dxa"/>
            <w:vMerge/>
            <w:vAlign w:val="center"/>
            <w:hideMark/>
          </w:tcPr>
          <w:p w14:paraId="35E64B63" w14:textId="77777777" w:rsidR="00154AD2" w:rsidRDefault="00154AD2">
            <w:pPr>
              <w:spacing w:after="0" w:line="240" w:lineRule="auto"/>
              <w:rPr>
                <w:rFonts w:ascii="Calibri" w:eastAsia="Times New Roman" w:hAnsi="Calibri" w:cs="Calibri"/>
                <w:b/>
                <w:noProof/>
                <w:sz w:val="16"/>
              </w:rPr>
            </w:pPr>
          </w:p>
        </w:tc>
        <w:tc>
          <w:tcPr>
            <w:tcW w:w="1134" w:type="dxa"/>
            <w:vMerge/>
            <w:shd w:val="clear" w:color="auto" w:fill="BDD6EE"/>
            <w:vAlign w:val="center"/>
            <w:hideMark/>
          </w:tcPr>
          <w:p w14:paraId="5EE6F193" w14:textId="4E289509" w:rsidR="00154AD2" w:rsidRDefault="00154AD2">
            <w:pPr>
              <w:spacing w:after="0" w:line="240" w:lineRule="auto"/>
              <w:jc w:val="center"/>
              <w:rPr>
                <w:rFonts w:ascii="Calibri" w:eastAsia="Times New Roman" w:hAnsi="Calibri" w:cs="Calibri"/>
                <w:b/>
                <w:noProof/>
                <w:sz w:val="16"/>
              </w:rPr>
            </w:pPr>
          </w:p>
        </w:tc>
        <w:tc>
          <w:tcPr>
            <w:tcW w:w="1701" w:type="dxa"/>
            <w:vMerge/>
            <w:vAlign w:val="center"/>
            <w:hideMark/>
          </w:tcPr>
          <w:p w14:paraId="5CCE81B9" w14:textId="77777777" w:rsidR="00154AD2" w:rsidRDefault="00154AD2">
            <w:pPr>
              <w:spacing w:after="0" w:line="240" w:lineRule="auto"/>
              <w:rPr>
                <w:rFonts w:ascii="Calibri" w:eastAsia="Times New Roman" w:hAnsi="Calibri" w:cs="Calibri"/>
                <w:b/>
                <w:noProof/>
                <w:sz w:val="16"/>
              </w:rPr>
            </w:pPr>
          </w:p>
        </w:tc>
        <w:tc>
          <w:tcPr>
            <w:tcW w:w="1275" w:type="dxa"/>
            <w:vMerge/>
            <w:vAlign w:val="center"/>
            <w:hideMark/>
          </w:tcPr>
          <w:p w14:paraId="79537091" w14:textId="77777777" w:rsidR="00154AD2" w:rsidRDefault="00154AD2">
            <w:pPr>
              <w:spacing w:after="0" w:line="240" w:lineRule="auto"/>
              <w:rPr>
                <w:rFonts w:ascii="Calibri" w:eastAsia="Times New Roman" w:hAnsi="Calibri" w:cs="Calibri"/>
                <w:b/>
                <w:noProof/>
                <w:sz w:val="16"/>
              </w:rPr>
            </w:pPr>
          </w:p>
        </w:tc>
        <w:tc>
          <w:tcPr>
            <w:tcW w:w="993" w:type="dxa"/>
            <w:shd w:val="clear" w:color="auto" w:fill="BDD6EE"/>
            <w:vAlign w:val="center"/>
            <w:hideMark/>
          </w:tcPr>
          <w:p w14:paraId="11126D21" w14:textId="77777777" w:rsidR="00154AD2" w:rsidRDefault="007F6BF3">
            <w:pPr>
              <w:pStyle w:val="P68B1DB1-Normal6"/>
              <w:spacing w:after="0" w:line="240" w:lineRule="auto"/>
              <w:jc w:val="center"/>
              <w:rPr>
                <w:rFonts w:eastAsia="Times New Roman" w:cs="Times New Roman"/>
                <w:noProof/>
              </w:rPr>
            </w:pPr>
            <w:r>
              <w:rPr>
                <w:noProof/>
              </w:rPr>
              <w:t>Μονάδα μέτρησης</w:t>
            </w:r>
          </w:p>
        </w:tc>
        <w:tc>
          <w:tcPr>
            <w:tcW w:w="992" w:type="dxa"/>
            <w:shd w:val="clear" w:color="auto" w:fill="BDD6EE"/>
            <w:vAlign w:val="center"/>
            <w:hideMark/>
          </w:tcPr>
          <w:p w14:paraId="0AF1479C" w14:textId="77777777" w:rsidR="00154AD2" w:rsidRDefault="007F6BF3">
            <w:pPr>
              <w:pStyle w:val="P68B1DB1-Normal6"/>
              <w:spacing w:after="0" w:line="240" w:lineRule="auto"/>
              <w:jc w:val="center"/>
              <w:rPr>
                <w:rFonts w:eastAsia="Times New Roman" w:cs="Times New Roman"/>
                <w:noProof/>
              </w:rPr>
            </w:pPr>
            <w:r>
              <w:rPr>
                <w:noProof/>
              </w:rPr>
              <w:t>Γραμμή βάσης</w:t>
            </w:r>
          </w:p>
        </w:tc>
        <w:tc>
          <w:tcPr>
            <w:tcW w:w="709" w:type="dxa"/>
            <w:shd w:val="clear" w:color="auto" w:fill="BDD6EE"/>
            <w:vAlign w:val="center"/>
            <w:hideMark/>
          </w:tcPr>
          <w:p w14:paraId="6554DD1F" w14:textId="77777777" w:rsidR="00154AD2" w:rsidRDefault="007F6BF3">
            <w:pPr>
              <w:pStyle w:val="P68B1DB1-Normal6"/>
              <w:spacing w:after="0" w:line="240" w:lineRule="auto"/>
              <w:jc w:val="center"/>
              <w:rPr>
                <w:rFonts w:eastAsia="Times New Roman" w:cs="Times New Roman"/>
                <w:noProof/>
              </w:rPr>
            </w:pPr>
            <w:r>
              <w:rPr>
                <w:noProof/>
              </w:rPr>
              <w:t>Στόχοι</w:t>
            </w:r>
          </w:p>
        </w:tc>
        <w:tc>
          <w:tcPr>
            <w:tcW w:w="567" w:type="dxa"/>
            <w:shd w:val="clear" w:color="auto" w:fill="BDD6EE"/>
            <w:vAlign w:val="center"/>
            <w:hideMark/>
          </w:tcPr>
          <w:p w14:paraId="03B3E9F9" w14:textId="77777777" w:rsidR="00154AD2" w:rsidRDefault="007F6BF3">
            <w:pPr>
              <w:pStyle w:val="P68B1DB1-Normal6"/>
              <w:spacing w:after="0" w:line="240" w:lineRule="auto"/>
              <w:jc w:val="center"/>
              <w:rPr>
                <w:rFonts w:eastAsia="Times New Roman" w:cs="Times New Roman"/>
                <w:noProof/>
              </w:rPr>
            </w:pPr>
            <w:r>
              <w:rPr>
                <w:noProof/>
              </w:rPr>
              <w:t>Ε</w:t>
            </w:r>
          </w:p>
        </w:tc>
        <w:tc>
          <w:tcPr>
            <w:tcW w:w="708" w:type="dxa"/>
            <w:shd w:val="clear" w:color="auto" w:fill="BDD6EE"/>
            <w:vAlign w:val="center"/>
            <w:hideMark/>
          </w:tcPr>
          <w:p w14:paraId="2823A4AA" w14:textId="77777777" w:rsidR="00154AD2" w:rsidRDefault="007F6BF3">
            <w:pPr>
              <w:pStyle w:val="P68B1DB1-Normal6"/>
              <w:spacing w:after="0" w:line="240" w:lineRule="auto"/>
              <w:jc w:val="center"/>
              <w:rPr>
                <w:rFonts w:eastAsia="Times New Roman" w:cs="Times New Roman"/>
                <w:noProof/>
              </w:rPr>
            </w:pPr>
            <w:r>
              <w:rPr>
                <w:noProof/>
              </w:rPr>
              <w:t>Έτος</w:t>
            </w:r>
          </w:p>
        </w:tc>
        <w:tc>
          <w:tcPr>
            <w:tcW w:w="3969" w:type="dxa"/>
            <w:vMerge/>
            <w:vAlign w:val="center"/>
            <w:hideMark/>
          </w:tcPr>
          <w:p w14:paraId="7A70D1DD" w14:textId="77777777" w:rsidR="00154AD2" w:rsidRDefault="00154AD2">
            <w:pPr>
              <w:spacing w:after="0" w:line="240" w:lineRule="auto"/>
              <w:rPr>
                <w:rFonts w:ascii="Calibri" w:eastAsia="Times New Roman" w:hAnsi="Calibri" w:cs="Calibri"/>
                <w:b/>
                <w:noProof/>
                <w:sz w:val="16"/>
              </w:rPr>
            </w:pPr>
          </w:p>
        </w:tc>
      </w:tr>
      <w:tr w:rsidR="00154AD2" w14:paraId="152A9A27" w14:textId="77777777">
        <w:trPr>
          <w:trHeight w:val="840"/>
        </w:trPr>
        <w:tc>
          <w:tcPr>
            <w:tcW w:w="1135" w:type="dxa"/>
            <w:shd w:val="clear" w:color="auto" w:fill="C4EFCE"/>
            <w:vAlign w:val="center"/>
            <w:hideMark/>
          </w:tcPr>
          <w:p w14:paraId="2FD964B6" w14:textId="77777777" w:rsidR="00154AD2" w:rsidRDefault="007F6BF3">
            <w:pPr>
              <w:pStyle w:val="P68B1DB1-Normal7"/>
              <w:spacing w:after="0" w:line="240" w:lineRule="auto"/>
              <w:jc w:val="center"/>
              <w:rPr>
                <w:rFonts w:eastAsia="Times New Roman" w:cs="Calibri"/>
                <w:noProof/>
              </w:rPr>
            </w:pPr>
            <w:r>
              <w:rPr>
                <w:noProof/>
              </w:rPr>
              <w:t>14.1</w:t>
            </w:r>
          </w:p>
        </w:tc>
        <w:tc>
          <w:tcPr>
            <w:tcW w:w="1276" w:type="dxa"/>
            <w:shd w:val="clear" w:color="auto" w:fill="C4EFCE"/>
            <w:noWrap/>
            <w:vAlign w:val="center"/>
            <w:hideMark/>
          </w:tcPr>
          <w:p w14:paraId="41F96EC9" w14:textId="77777777" w:rsidR="00154AD2" w:rsidRDefault="007F6BF3">
            <w:pPr>
              <w:pStyle w:val="P68B1DB1-Normal8"/>
              <w:spacing w:after="0" w:line="240" w:lineRule="auto"/>
              <w:jc w:val="center"/>
              <w:rPr>
                <w:rFonts w:eastAsia="Times New Roman" w:cs="Calibri"/>
                <w:noProof/>
              </w:rPr>
            </w:pPr>
            <w:r>
              <w:rPr>
                <w:noProof/>
              </w:rPr>
              <w:t>TC-C14-r29</w:t>
            </w:r>
          </w:p>
        </w:tc>
        <w:tc>
          <w:tcPr>
            <w:tcW w:w="1134" w:type="dxa"/>
            <w:shd w:val="clear" w:color="auto" w:fill="C4EFCE"/>
            <w:noWrap/>
            <w:vAlign w:val="center"/>
            <w:hideMark/>
          </w:tcPr>
          <w:p w14:paraId="191BF89A"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611CEEC8" w14:textId="77777777" w:rsidR="00154AD2" w:rsidRDefault="007F6BF3">
            <w:pPr>
              <w:pStyle w:val="P68B1DB1-Normal8"/>
              <w:spacing w:after="0" w:line="240" w:lineRule="auto"/>
              <w:jc w:val="center"/>
              <w:rPr>
                <w:rFonts w:eastAsia="Times New Roman" w:cs="Calibri"/>
                <w:noProof/>
              </w:rPr>
            </w:pPr>
            <w:r>
              <w:rPr>
                <w:noProof/>
              </w:rPr>
              <w:t>Έναρξη ισχύος του κανονισμού του Εθνικού Δικτύου Μεταφοράς Αερίου και του Κανονισμού του Εθνικού Δικτύου Διανομής Αερίου</w:t>
            </w:r>
          </w:p>
        </w:tc>
        <w:tc>
          <w:tcPr>
            <w:tcW w:w="1275" w:type="dxa"/>
            <w:shd w:val="clear" w:color="auto" w:fill="C4EFCE"/>
            <w:noWrap/>
            <w:vAlign w:val="center"/>
            <w:hideMark/>
          </w:tcPr>
          <w:p w14:paraId="2E014965" w14:textId="77777777" w:rsidR="00154AD2" w:rsidRDefault="007F6BF3">
            <w:pPr>
              <w:pStyle w:val="P68B1DB1-Normal8"/>
              <w:spacing w:after="0" w:line="240" w:lineRule="auto"/>
              <w:jc w:val="center"/>
              <w:rPr>
                <w:rFonts w:eastAsia="Times New Roman" w:cs="Calibri"/>
                <w:noProof/>
              </w:rPr>
            </w:pPr>
            <w:r>
              <w:rPr>
                <w:noProof/>
              </w:rPr>
              <w:t>Έναρξη ισχύος του κανονισμού του Εθνικού Δικτύου Μεταφοράς Αερίου και του Κανονισμού του Εθνικού Δικτύου Διανομής Αερίου</w:t>
            </w:r>
          </w:p>
        </w:tc>
        <w:tc>
          <w:tcPr>
            <w:tcW w:w="993" w:type="dxa"/>
            <w:shd w:val="clear" w:color="auto" w:fill="C4EFCE"/>
            <w:noWrap/>
            <w:vAlign w:val="center"/>
            <w:hideMark/>
          </w:tcPr>
          <w:p w14:paraId="02698043" w14:textId="77777777" w:rsidR="00154AD2" w:rsidRDefault="007F6BF3">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246A3247" w14:textId="77777777" w:rsidR="00154AD2" w:rsidRDefault="007F6BF3">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1917A085" w14:textId="77777777" w:rsidR="00154AD2" w:rsidRDefault="007F6BF3">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3A75C6D0"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708" w:type="dxa"/>
            <w:shd w:val="clear" w:color="auto" w:fill="C4EFCE"/>
            <w:noWrap/>
            <w:vAlign w:val="center"/>
            <w:hideMark/>
          </w:tcPr>
          <w:p w14:paraId="5358F1C1" w14:textId="77777777" w:rsidR="00154AD2" w:rsidRDefault="007F6BF3">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004872AD" w14:textId="77777777" w:rsidR="00154AD2" w:rsidRDefault="007F6BF3">
            <w:pPr>
              <w:pStyle w:val="P68B1DB1-Normal8"/>
              <w:spacing w:after="0" w:line="240" w:lineRule="auto"/>
              <w:jc w:val="both"/>
              <w:rPr>
                <w:rFonts w:eastAsia="Times New Roman" w:cs="Calibri"/>
                <w:noProof/>
              </w:rPr>
            </w:pPr>
            <w:r>
              <w:rPr>
                <w:noProof/>
              </w:rPr>
              <w:t xml:space="preserve">Έναρξη ισχύος του τροποποιημένου κανονισμού του Εθνικού Δικτύου Μεταφοράς Αερίου και του Κανονισμού του Εθνικού Δικτύου Διανομής Αερίου. Οι τροποποιήσεις του Κανονισμού του Εθνικού Δικτύου Μεταφοράς Αερίου και του Κανονισμού του Εθνικού Δικτύου Διανομής Φυσικού Αερίου εγκρίνονται από τη Γενική Διεύθυνση Ενέργειας και Γεωλογίας. </w:t>
            </w:r>
          </w:p>
          <w:p w14:paraId="163F4AF0" w14:textId="0CC86E9F" w:rsidR="00154AD2" w:rsidRDefault="007F6BF3">
            <w:pPr>
              <w:pStyle w:val="P68B1DB1-Normal8"/>
              <w:spacing w:after="0" w:line="240" w:lineRule="auto"/>
              <w:jc w:val="both"/>
              <w:rPr>
                <w:rFonts w:eastAsia="Times New Roman" w:cs="Calibri"/>
                <w:noProof/>
              </w:rPr>
            </w:pPr>
            <w:r>
              <w:rPr>
                <w:noProof/>
              </w:rPr>
              <w:t>Οι κανονισμοί καθιστούν δυνατό τον καθορισμό των προϋποθέσεων για τις συνδέσεις με υποδομές μεταφοράς αερίου, ιδίως για την έγχυση αερίων ανανεώσιμης προέλευσης, συμπεριλαμβανομένου του ανανεώσιμου υδρογόνου, καθώς και τον καθορισμό των ελάχιστων και μέγιστων ποσοστών έγχυσης των εν λόγω αερίων στα δίκτυα. Επιπλέον, περιλαμβάνουν τις αναγκαίες αναθεωρήσεις των τεχνικών προτύπων που διασφαλίζουν την ποιότητα της υπηρεσίας και την ασφαλή χρήση των υποδομών αυτών για όλους τους χρήστες.</w:t>
            </w:r>
          </w:p>
        </w:tc>
      </w:tr>
      <w:tr w:rsidR="00154AD2" w14:paraId="67119968" w14:textId="77777777">
        <w:trPr>
          <w:trHeight w:val="430"/>
        </w:trPr>
        <w:tc>
          <w:tcPr>
            <w:tcW w:w="1135" w:type="dxa"/>
            <w:shd w:val="clear" w:color="auto" w:fill="C4EFCE"/>
            <w:vAlign w:val="center"/>
            <w:hideMark/>
          </w:tcPr>
          <w:p w14:paraId="57E1192A" w14:textId="77777777" w:rsidR="00154AD2" w:rsidRDefault="007F6BF3">
            <w:pPr>
              <w:pStyle w:val="P68B1DB1-Normal7"/>
              <w:spacing w:after="0" w:line="240" w:lineRule="auto"/>
              <w:jc w:val="center"/>
              <w:rPr>
                <w:rFonts w:eastAsia="Times New Roman" w:cs="Calibri"/>
                <w:noProof/>
              </w:rPr>
            </w:pPr>
            <w:r>
              <w:rPr>
                <w:noProof/>
              </w:rPr>
              <w:t>14.2</w:t>
            </w:r>
          </w:p>
        </w:tc>
        <w:tc>
          <w:tcPr>
            <w:tcW w:w="1276" w:type="dxa"/>
            <w:shd w:val="clear" w:color="auto" w:fill="C4EFCE"/>
            <w:noWrap/>
            <w:vAlign w:val="center"/>
            <w:hideMark/>
          </w:tcPr>
          <w:p w14:paraId="718F4CD4" w14:textId="77777777" w:rsidR="00154AD2" w:rsidRDefault="007F6BF3">
            <w:pPr>
              <w:pStyle w:val="P68B1DB1-Normal8"/>
              <w:spacing w:after="0" w:line="240" w:lineRule="auto"/>
              <w:jc w:val="center"/>
              <w:rPr>
                <w:rFonts w:eastAsia="Times New Roman" w:cs="Calibri"/>
                <w:noProof/>
              </w:rPr>
            </w:pPr>
            <w:r>
              <w:rPr>
                <w:noProof/>
              </w:rPr>
              <w:t>TC-C14-I01</w:t>
            </w:r>
          </w:p>
        </w:tc>
        <w:tc>
          <w:tcPr>
            <w:tcW w:w="1134" w:type="dxa"/>
            <w:shd w:val="clear" w:color="auto" w:fill="C4EFCE"/>
            <w:noWrap/>
            <w:vAlign w:val="center"/>
            <w:hideMark/>
          </w:tcPr>
          <w:p w14:paraId="2183426D"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4398082B" w14:textId="77777777" w:rsidR="00154AD2" w:rsidRDefault="007F6BF3">
            <w:pPr>
              <w:pStyle w:val="P68B1DB1-Normal8"/>
              <w:spacing w:after="0" w:line="240" w:lineRule="auto"/>
              <w:jc w:val="center"/>
              <w:rPr>
                <w:rFonts w:eastAsia="Times New Roman" w:cs="Calibri"/>
                <w:noProof/>
              </w:rPr>
            </w:pPr>
            <w:r>
              <w:rPr>
                <w:noProof/>
              </w:rPr>
              <w:t>Πρώτη πρόσκληση υποβολής προσφορών για έργα παραγωγής αερίου από ανανεώσιμες πηγές</w:t>
            </w:r>
          </w:p>
        </w:tc>
        <w:tc>
          <w:tcPr>
            <w:tcW w:w="1275" w:type="dxa"/>
            <w:shd w:val="clear" w:color="auto" w:fill="C4EFCE"/>
            <w:noWrap/>
            <w:vAlign w:val="center"/>
            <w:hideMark/>
          </w:tcPr>
          <w:p w14:paraId="3A7E38C8" w14:textId="77777777" w:rsidR="00154AD2" w:rsidRDefault="007F6BF3">
            <w:pPr>
              <w:pStyle w:val="P68B1DB1-Normal8"/>
              <w:spacing w:after="0" w:line="240" w:lineRule="auto"/>
              <w:jc w:val="center"/>
              <w:rPr>
                <w:rFonts w:eastAsia="Times New Roman" w:cs="Calibri"/>
                <w:noProof/>
              </w:rPr>
            </w:pPr>
            <w:r>
              <w:rPr>
                <w:noProof/>
              </w:rPr>
              <w:t>Η πρώτη πρόσκληση υποβολής προσφορών άνοιξε</w:t>
            </w:r>
          </w:p>
        </w:tc>
        <w:tc>
          <w:tcPr>
            <w:tcW w:w="993" w:type="dxa"/>
            <w:shd w:val="clear" w:color="auto" w:fill="C4EFCE"/>
            <w:noWrap/>
            <w:vAlign w:val="center"/>
            <w:hideMark/>
          </w:tcPr>
          <w:p w14:paraId="17551E5C" w14:textId="77777777" w:rsidR="00154AD2" w:rsidRDefault="007F6BF3">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377A70C3" w14:textId="77777777" w:rsidR="00154AD2" w:rsidRDefault="007F6BF3">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6F44AB4C" w14:textId="77777777" w:rsidR="00154AD2" w:rsidRDefault="007F6BF3">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386C873C"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708" w:type="dxa"/>
            <w:shd w:val="clear" w:color="auto" w:fill="C4EFCE"/>
            <w:noWrap/>
            <w:vAlign w:val="center"/>
            <w:hideMark/>
          </w:tcPr>
          <w:p w14:paraId="368CCFC1" w14:textId="77777777" w:rsidR="00154AD2" w:rsidRDefault="007F6BF3">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530AF97A" w14:textId="77777777" w:rsidR="00154AD2" w:rsidRDefault="007F6BF3">
            <w:pPr>
              <w:pStyle w:val="P68B1DB1-Normal8"/>
              <w:spacing w:after="0" w:line="240" w:lineRule="auto"/>
              <w:jc w:val="both"/>
              <w:rPr>
                <w:rFonts w:eastAsia="Times New Roman" w:cs="Calibri"/>
                <w:noProof/>
              </w:rPr>
            </w:pPr>
            <w:r>
              <w:rPr>
                <w:noProof/>
              </w:rPr>
              <w:t>Προκήρυξη της πρώτης πρόσκλησης υποβολής προτάσεων για την επιλογή έργων που θα λάβουν στήριξη για τουλάχιστον 88 MW νέας εγκατεστημένης δυναμικότητας παραγωγής ενέργειας από ανανεώσιμες πηγές υδρογόνου και ανανεώσιμων αερίων με μηδενικές ή σχεδόν μηδενικές εκπομπές αερίων του θερμοκηπίου κατά τον κύκλο ζωής τους.</w:t>
            </w:r>
          </w:p>
        </w:tc>
      </w:tr>
      <w:tr w:rsidR="00154AD2" w14:paraId="54E877CC" w14:textId="77777777">
        <w:trPr>
          <w:trHeight w:val="430"/>
        </w:trPr>
        <w:tc>
          <w:tcPr>
            <w:tcW w:w="1135" w:type="dxa"/>
            <w:shd w:val="clear" w:color="auto" w:fill="C4EFCE"/>
            <w:vAlign w:val="center"/>
            <w:hideMark/>
          </w:tcPr>
          <w:p w14:paraId="29370DB0" w14:textId="77777777" w:rsidR="00154AD2" w:rsidRDefault="007F6BF3">
            <w:pPr>
              <w:pStyle w:val="P68B1DB1-Normal7"/>
              <w:spacing w:after="0" w:line="240" w:lineRule="auto"/>
              <w:jc w:val="center"/>
              <w:rPr>
                <w:rFonts w:eastAsia="Times New Roman" w:cs="Calibri"/>
                <w:noProof/>
              </w:rPr>
            </w:pPr>
            <w:r>
              <w:rPr>
                <w:noProof/>
              </w:rPr>
              <w:t>14.3</w:t>
            </w:r>
          </w:p>
        </w:tc>
        <w:tc>
          <w:tcPr>
            <w:tcW w:w="1276" w:type="dxa"/>
            <w:shd w:val="clear" w:color="auto" w:fill="C4EFCE"/>
            <w:noWrap/>
            <w:vAlign w:val="center"/>
            <w:hideMark/>
          </w:tcPr>
          <w:p w14:paraId="4014E9C9" w14:textId="77777777" w:rsidR="00154AD2" w:rsidRDefault="007F6BF3">
            <w:pPr>
              <w:pStyle w:val="P68B1DB1-Normal8"/>
              <w:spacing w:after="0" w:line="240" w:lineRule="auto"/>
              <w:jc w:val="center"/>
              <w:rPr>
                <w:rFonts w:eastAsia="Times New Roman" w:cs="Calibri"/>
                <w:noProof/>
              </w:rPr>
            </w:pPr>
            <w:r>
              <w:rPr>
                <w:noProof/>
              </w:rPr>
              <w:t>TC-C14-I01</w:t>
            </w:r>
          </w:p>
        </w:tc>
        <w:tc>
          <w:tcPr>
            <w:tcW w:w="1134" w:type="dxa"/>
            <w:shd w:val="clear" w:color="auto" w:fill="C4EFCE"/>
            <w:noWrap/>
            <w:vAlign w:val="center"/>
            <w:hideMark/>
          </w:tcPr>
          <w:p w14:paraId="7D599D7B"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1FB733D" w14:textId="77777777" w:rsidR="00154AD2" w:rsidRDefault="007F6BF3">
            <w:pPr>
              <w:pStyle w:val="P68B1DB1-Normal8"/>
              <w:spacing w:after="0" w:line="240" w:lineRule="auto"/>
              <w:jc w:val="center"/>
              <w:rPr>
                <w:rFonts w:eastAsia="Times New Roman" w:cs="Calibri"/>
                <w:noProof/>
              </w:rPr>
            </w:pPr>
            <w:r>
              <w:rPr>
                <w:noProof/>
              </w:rPr>
              <w:t>Πρόσθετη δυναμικότητα παραγωγής ανανεώσιμου υδρογόνου και ανανεώσιμου αερίου</w:t>
            </w:r>
          </w:p>
        </w:tc>
        <w:tc>
          <w:tcPr>
            <w:tcW w:w="1275" w:type="dxa"/>
            <w:shd w:val="clear" w:color="auto" w:fill="C4EFCE"/>
            <w:noWrap/>
            <w:vAlign w:val="center"/>
            <w:hideMark/>
          </w:tcPr>
          <w:p w14:paraId="5680D93B"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281A7FD5" w14:textId="77777777" w:rsidR="00154AD2" w:rsidRDefault="007F6BF3">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1BA6C83A" w14:textId="77777777" w:rsidR="00154AD2" w:rsidRDefault="007F6BF3">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685C153C" w14:textId="6CF1971A" w:rsidR="00154AD2" w:rsidRDefault="007F6BF3">
            <w:pPr>
              <w:pStyle w:val="P68B1DB1-Normal8"/>
              <w:spacing w:after="0" w:line="240" w:lineRule="auto"/>
              <w:jc w:val="center"/>
              <w:rPr>
                <w:rFonts w:eastAsia="Times New Roman" w:cs="Calibri"/>
                <w:noProof/>
              </w:rPr>
            </w:pPr>
            <w:r>
              <w:rPr>
                <w:noProof/>
              </w:rPr>
              <w:t>200</w:t>
            </w:r>
          </w:p>
        </w:tc>
        <w:tc>
          <w:tcPr>
            <w:tcW w:w="567" w:type="dxa"/>
            <w:shd w:val="clear" w:color="auto" w:fill="C4EFCE"/>
            <w:noWrap/>
            <w:vAlign w:val="center"/>
            <w:hideMark/>
          </w:tcPr>
          <w:p w14:paraId="2FA79988" w14:textId="0B3EBA35" w:rsidR="00154AD2" w:rsidRDefault="007F6BF3">
            <w:pPr>
              <w:pStyle w:val="P68B1DB1-Normal8"/>
              <w:spacing w:after="0" w:line="240" w:lineRule="auto"/>
              <w:jc w:val="center"/>
              <w:rPr>
                <w:rFonts w:eastAsia="Times New Roman" w:cs="Calibri"/>
                <w:noProof/>
              </w:rPr>
            </w:pPr>
            <w:r>
              <w:rPr>
                <w:noProof/>
              </w:rPr>
              <w:t>ΤΡΊΜΗΝΟ 1</w:t>
            </w:r>
          </w:p>
        </w:tc>
        <w:tc>
          <w:tcPr>
            <w:tcW w:w="708" w:type="dxa"/>
            <w:shd w:val="clear" w:color="auto" w:fill="C4EFCE"/>
            <w:noWrap/>
            <w:vAlign w:val="center"/>
            <w:hideMark/>
          </w:tcPr>
          <w:p w14:paraId="4BB9BE1D" w14:textId="007A3D2D" w:rsidR="00154AD2" w:rsidRDefault="007F6BF3">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2FBF31DB" w14:textId="77777777" w:rsidR="00154AD2" w:rsidRDefault="007F6BF3">
            <w:pPr>
              <w:pStyle w:val="P68B1DB1-Normal8"/>
              <w:spacing w:after="0" w:line="240" w:lineRule="auto"/>
              <w:jc w:val="both"/>
              <w:rPr>
                <w:rFonts w:eastAsia="Times New Roman" w:cs="Calibri"/>
                <w:noProof/>
              </w:rPr>
            </w:pPr>
            <w:r>
              <w:rPr>
                <w:noProof/>
              </w:rPr>
              <w:t xml:space="preserve">Εγκατεστημένη πρόσθετη δυναμικότητα παραγωγής ανανεώσιμου υδρογόνου και ανανεώσιμων αερίων με μηδενικές ή σχεδόν μηδενικές εκπομπές αερίων του θερμοκηπίου κατά τον κύκλο ζωής. </w:t>
            </w:r>
          </w:p>
        </w:tc>
      </w:tr>
      <w:tr w:rsidR="00154AD2" w14:paraId="4E5061F1" w14:textId="77777777">
        <w:trPr>
          <w:trHeight w:val="473"/>
        </w:trPr>
        <w:tc>
          <w:tcPr>
            <w:tcW w:w="1135" w:type="dxa"/>
            <w:shd w:val="clear" w:color="auto" w:fill="C4EFCE"/>
            <w:vAlign w:val="center"/>
            <w:hideMark/>
          </w:tcPr>
          <w:p w14:paraId="7548B3C2" w14:textId="77777777" w:rsidR="00154AD2" w:rsidRDefault="007F6BF3">
            <w:pPr>
              <w:pStyle w:val="P68B1DB1-Normal7"/>
              <w:spacing w:after="0" w:line="240" w:lineRule="auto"/>
              <w:jc w:val="center"/>
              <w:rPr>
                <w:rFonts w:eastAsia="Times New Roman" w:cs="Calibri"/>
                <w:noProof/>
              </w:rPr>
            </w:pPr>
            <w:r>
              <w:rPr>
                <w:noProof/>
              </w:rPr>
              <w:t>14.4</w:t>
            </w:r>
          </w:p>
        </w:tc>
        <w:tc>
          <w:tcPr>
            <w:tcW w:w="1276" w:type="dxa"/>
            <w:shd w:val="clear" w:color="auto" w:fill="C4EFCE"/>
            <w:noWrap/>
            <w:vAlign w:val="center"/>
            <w:hideMark/>
          </w:tcPr>
          <w:p w14:paraId="012513D7" w14:textId="77777777" w:rsidR="00154AD2" w:rsidRDefault="007F6BF3">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0676C40D"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54BC8E5" w14:textId="77777777" w:rsidR="00154AD2" w:rsidRDefault="007F6BF3">
            <w:pPr>
              <w:pStyle w:val="P68B1DB1-Normal8"/>
              <w:spacing w:after="0" w:line="240" w:lineRule="auto"/>
              <w:jc w:val="center"/>
              <w:rPr>
                <w:rFonts w:eastAsia="Times New Roman" w:cs="Calibri"/>
                <w:noProof/>
              </w:rPr>
            </w:pPr>
            <w:r>
              <w:rPr>
                <w:noProof/>
              </w:rPr>
              <w:t xml:space="preserve">Εγκατάσταση νέου σύγχρονου αντισταθμιστή </w:t>
            </w:r>
          </w:p>
        </w:tc>
        <w:tc>
          <w:tcPr>
            <w:tcW w:w="1275" w:type="dxa"/>
            <w:shd w:val="clear" w:color="auto" w:fill="C4EFCE"/>
            <w:noWrap/>
            <w:vAlign w:val="center"/>
            <w:hideMark/>
          </w:tcPr>
          <w:p w14:paraId="1766B193" w14:textId="6C89AA7B" w:rsidR="00154AD2" w:rsidRDefault="007F6BF3">
            <w:pPr>
              <w:pStyle w:val="P68B1DB1-Normal8"/>
              <w:spacing w:after="0" w:line="240" w:lineRule="auto"/>
              <w:jc w:val="center"/>
              <w:rPr>
                <w:rFonts w:eastAsia="Times New Roman" w:cs="Calibri"/>
                <w:noProof/>
              </w:rPr>
            </w:pPr>
            <w:r>
              <w:rPr>
                <w:noProof/>
              </w:rPr>
              <w:t>Εγκατάσταση νέου σύγχρονου αντισταθμιστή</w:t>
            </w:r>
          </w:p>
        </w:tc>
        <w:tc>
          <w:tcPr>
            <w:tcW w:w="993" w:type="dxa"/>
            <w:shd w:val="clear" w:color="auto" w:fill="C4EFCE"/>
            <w:noWrap/>
            <w:vAlign w:val="center"/>
            <w:hideMark/>
          </w:tcPr>
          <w:p w14:paraId="59B70755" w14:textId="77777777" w:rsidR="00154AD2" w:rsidRDefault="007F6BF3">
            <w:pPr>
              <w:pStyle w:val="P68B1DB1-Normal9"/>
              <w:spacing w:after="0" w:line="240" w:lineRule="auto"/>
              <w:rPr>
                <w:rFonts w:eastAsia="Times New Roman" w:cs="Calibri"/>
                <w:noProof/>
              </w:rPr>
            </w:pPr>
            <w:r>
              <w:rPr>
                <w:noProof/>
              </w:rPr>
              <w:t> </w:t>
            </w:r>
          </w:p>
        </w:tc>
        <w:tc>
          <w:tcPr>
            <w:tcW w:w="992" w:type="dxa"/>
            <w:shd w:val="clear" w:color="auto" w:fill="C4EFCE"/>
            <w:noWrap/>
            <w:vAlign w:val="center"/>
            <w:hideMark/>
          </w:tcPr>
          <w:p w14:paraId="5DA13D59" w14:textId="77777777" w:rsidR="00154AD2" w:rsidRDefault="007F6BF3">
            <w:pPr>
              <w:pStyle w:val="P68B1DB1-Normal9"/>
              <w:spacing w:after="0" w:line="240" w:lineRule="auto"/>
              <w:rPr>
                <w:rFonts w:eastAsia="Times New Roman" w:cs="Calibri"/>
                <w:noProof/>
              </w:rPr>
            </w:pPr>
            <w:r>
              <w:rPr>
                <w:noProof/>
              </w:rPr>
              <w:t> </w:t>
            </w:r>
          </w:p>
        </w:tc>
        <w:tc>
          <w:tcPr>
            <w:tcW w:w="709" w:type="dxa"/>
            <w:shd w:val="clear" w:color="auto" w:fill="C4EFCE"/>
            <w:noWrap/>
            <w:vAlign w:val="center"/>
            <w:hideMark/>
          </w:tcPr>
          <w:p w14:paraId="0DBB59D9" w14:textId="77777777" w:rsidR="00154AD2" w:rsidRDefault="007F6BF3">
            <w:pPr>
              <w:pStyle w:val="P68B1DB1-Normal9"/>
              <w:spacing w:after="0" w:line="240" w:lineRule="auto"/>
              <w:rPr>
                <w:rFonts w:eastAsia="Times New Roman" w:cs="Calibri"/>
                <w:noProof/>
              </w:rPr>
            </w:pPr>
            <w:r>
              <w:rPr>
                <w:noProof/>
              </w:rPr>
              <w:t> </w:t>
            </w:r>
          </w:p>
        </w:tc>
        <w:tc>
          <w:tcPr>
            <w:tcW w:w="567" w:type="dxa"/>
            <w:shd w:val="clear" w:color="auto" w:fill="C4EFCE"/>
            <w:noWrap/>
            <w:vAlign w:val="center"/>
            <w:hideMark/>
          </w:tcPr>
          <w:p w14:paraId="67729D7D"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3310C570" w14:textId="785E274B" w:rsidR="00154AD2" w:rsidRDefault="007F6BF3">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25732B49" w14:textId="77777777" w:rsidR="00154AD2" w:rsidRDefault="007F6BF3">
            <w:pPr>
              <w:pStyle w:val="P68B1DB1-Normal8"/>
              <w:spacing w:after="0" w:line="240" w:lineRule="auto"/>
              <w:jc w:val="both"/>
              <w:rPr>
                <w:rFonts w:eastAsia="Times New Roman" w:cs="Calibri"/>
                <w:noProof/>
              </w:rPr>
            </w:pPr>
            <w:r>
              <w:rPr>
                <w:noProof/>
              </w:rPr>
              <w:t>Αγορά και εγκατάσταση ενός νέου σύγχρονου αντισταθμιστή με τουλάχιστον 15 MVAr.</w:t>
            </w:r>
          </w:p>
        </w:tc>
      </w:tr>
      <w:tr w:rsidR="00154AD2" w14:paraId="22EE209C" w14:textId="77777777">
        <w:trPr>
          <w:trHeight w:val="1377"/>
        </w:trPr>
        <w:tc>
          <w:tcPr>
            <w:tcW w:w="1135" w:type="dxa"/>
            <w:shd w:val="clear" w:color="auto" w:fill="C4EFCE"/>
            <w:vAlign w:val="center"/>
            <w:hideMark/>
          </w:tcPr>
          <w:p w14:paraId="7CCA2CE5" w14:textId="77777777" w:rsidR="00154AD2" w:rsidRDefault="007F6BF3">
            <w:pPr>
              <w:pStyle w:val="P68B1DB1-Normal7"/>
              <w:spacing w:after="0" w:line="240" w:lineRule="auto"/>
              <w:jc w:val="center"/>
              <w:rPr>
                <w:rFonts w:eastAsia="Times New Roman" w:cs="Calibri"/>
                <w:noProof/>
              </w:rPr>
            </w:pPr>
            <w:r>
              <w:rPr>
                <w:noProof/>
              </w:rPr>
              <w:t>14.5</w:t>
            </w:r>
          </w:p>
        </w:tc>
        <w:tc>
          <w:tcPr>
            <w:tcW w:w="1276" w:type="dxa"/>
            <w:shd w:val="clear" w:color="auto" w:fill="C4EFCE"/>
            <w:noWrap/>
            <w:vAlign w:val="center"/>
            <w:hideMark/>
          </w:tcPr>
          <w:p w14:paraId="73293EEE" w14:textId="77777777" w:rsidR="00154AD2" w:rsidRDefault="007F6BF3">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1060267A"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3B0CD18" w14:textId="77777777" w:rsidR="00154AD2" w:rsidRDefault="007F6BF3">
            <w:pPr>
              <w:pStyle w:val="P68B1DB1-Normal8"/>
              <w:spacing w:after="0" w:line="240" w:lineRule="auto"/>
              <w:jc w:val="center"/>
              <w:rPr>
                <w:rFonts w:eastAsia="Times New Roman" w:cs="Calibri"/>
                <w:noProof/>
              </w:rPr>
            </w:pPr>
            <w:r>
              <w:rPr>
                <w:noProof/>
              </w:rPr>
              <w:t>Πρόσθετη εγκατεστημένη δυναμικότητα παραγωγής υδροηλεκτρικής ενέργειας</w:t>
            </w:r>
          </w:p>
        </w:tc>
        <w:tc>
          <w:tcPr>
            <w:tcW w:w="1275" w:type="dxa"/>
            <w:shd w:val="clear" w:color="auto" w:fill="C4EFCE"/>
            <w:noWrap/>
            <w:vAlign w:val="center"/>
            <w:hideMark/>
          </w:tcPr>
          <w:p w14:paraId="40B8E317"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0FECCD3D" w14:textId="77777777" w:rsidR="00154AD2" w:rsidRDefault="007F6BF3">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0A8A5583" w14:textId="77777777" w:rsidR="00154AD2" w:rsidRDefault="007F6BF3">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77FF267A" w14:textId="77777777" w:rsidR="00154AD2" w:rsidRDefault="007F6BF3">
            <w:pPr>
              <w:pStyle w:val="P68B1DB1-Normal8"/>
              <w:spacing w:after="0" w:line="240" w:lineRule="auto"/>
              <w:jc w:val="center"/>
              <w:rPr>
                <w:rFonts w:eastAsia="Times New Roman" w:cs="Calibri"/>
                <w:noProof/>
              </w:rPr>
            </w:pPr>
            <w:r>
              <w:rPr>
                <w:noProof/>
              </w:rPr>
              <w:t>4</w:t>
            </w:r>
          </w:p>
        </w:tc>
        <w:tc>
          <w:tcPr>
            <w:tcW w:w="567" w:type="dxa"/>
            <w:shd w:val="clear" w:color="auto" w:fill="C4EFCE"/>
            <w:noWrap/>
            <w:vAlign w:val="center"/>
            <w:hideMark/>
          </w:tcPr>
          <w:p w14:paraId="127416C0" w14:textId="4F16624E" w:rsidR="00154AD2" w:rsidRDefault="007F6BF3">
            <w:pPr>
              <w:pStyle w:val="P68B1DB1-Normal8"/>
              <w:spacing w:after="0" w:line="240" w:lineRule="auto"/>
              <w:jc w:val="center"/>
              <w:rPr>
                <w:rFonts w:eastAsia="Times New Roman" w:cs="Calibri"/>
                <w:noProof/>
              </w:rPr>
            </w:pPr>
            <w:r>
              <w:rPr>
                <w:noProof/>
              </w:rPr>
              <w:t>ΤΡΊΜΗΝΟ 2</w:t>
            </w:r>
          </w:p>
        </w:tc>
        <w:tc>
          <w:tcPr>
            <w:tcW w:w="708" w:type="dxa"/>
            <w:shd w:val="clear" w:color="auto" w:fill="C4EFCE"/>
            <w:noWrap/>
            <w:vAlign w:val="center"/>
            <w:hideMark/>
          </w:tcPr>
          <w:p w14:paraId="0A99841E" w14:textId="28C62021" w:rsidR="00154AD2" w:rsidRDefault="007F6BF3">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3E6E2780" w14:textId="77777777" w:rsidR="00154AD2" w:rsidRDefault="007F6BF3">
            <w:pPr>
              <w:pStyle w:val="P68B1DB1-Normal8"/>
              <w:spacing w:after="0" w:line="240" w:lineRule="auto"/>
              <w:jc w:val="both"/>
              <w:rPr>
                <w:rFonts w:eastAsia="Times New Roman" w:cs="Calibri"/>
                <w:noProof/>
              </w:rPr>
            </w:pPr>
            <w:r>
              <w:rPr>
                <w:noProof/>
              </w:rPr>
              <w:t xml:space="preserve">Αύξηση της εγκατεστημένης ισχύος στον ανακαινισμένο υδροηλεκτρικό σταθμό της Serra. </w:t>
            </w:r>
          </w:p>
        </w:tc>
      </w:tr>
      <w:tr w:rsidR="00154AD2" w14:paraId="0D7AA8AD" w14:textId="77777777">
        <w:trPr>
          <w:trHeight w:val="290"/>
        </w:trPr>
        <w:tc>
          <w:tcPr>
            <w:tcW w:w="1135" w:type="dxa"/>
            <w:shd w:val="clear" w:color="auto" w:fill="C4EFCE"/>
            <w:vAlign w:val="center"/>
            <w:hideMark/>
          </w:tcPr>
          <w:p w14:paraId="2465C29C" w14:textId="77777777" w:rsidR="00154AD2" w:rsidRDefault="007F6BF3">
            <w:pPr>
              <w:pStyle w:val="P68B1DB1-Normal7"/>
              <w:spacing w:after="0" w:line="240" w:lineRule="auto"/>
              <w:jc w:val="center"/>
              <w:rPr>
                <w:rFonts w:eastAsia="Times New Roman" w:cs="Calibri"/>
                <w:noProof/>
              </w:rPr>
            </w:pPr>
            <w:r>
              <w:rPr>
                <w:noProof/>
              </w:rPr>
              <w:t>14.6</w:t>
            </w:r>
          </w:p>
        </w:tc>
        <w:tc>
          <w:tcPr>
            <w:tcW w:w="1276" w:type="dxa"/>
            <w:shd w:val="clear" w:color="auto" w:fill="C4EFCE"/>
            <w:noWrap/>
            <w:vAlign w:val="center"/>
            <w:hideMark/>
          </w:tcPr>
          <w:p w14:paraId="6EE7AE84" w14:textId="77777777" w:rsidR="00154AD2" w:rsidRDefault="007F6BF3">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491EE19C"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0C1E7A0" w14:textId="77777777" w:rsidR="00154AD2" w:rsidRDefault="007F6BF3">
            <w:pPr>
              <w:pStyle w:val="P68B1DB1-Normal8"/>
              <w:spacing w:after="0" w:line="240" w:lineRule="auto"/>
              <w:jc w:val="center"/>
              <w:rPr>
                <w:rFonts w:eastAsia="Times New Roman" w:cs="Calibri"/>
                <w:noProof/>
              </w:rPr>
            </w:pPr>
            <w:r>
              <w:rPr>
                <w:noProof/>
              </w:rPr>
              <w:t>Ανακαινισμένη εγκατεστημένη δυναμικότητα παραγωγής υδροηλεκτρικής ενέργειας</w:t>
            </w:r>
          </w:p>
        </w:tc>
        <w:tc>
          <w:tcPr>
            <w:tcW w:w="1275" w:type="dxa"/>
            <w:shd w:val="clear" w:color="auto" w:fill="C4EFCE"/>
            <w:noWrap/>
            <w:vAlign w:val="center"/>
            <w:hideMark/>
          </w:tcPr>
          <w:p w14:paraId="69DFC9AD"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948E8E9" w14:textId="77777777" w:rsidR="00154AD2" w:rsidRDefault="007F6BF3">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0D1BFE2D" w14:textId="77777777" w:rsidR="00154AD2" w:rsidRDefault="007F6BF3">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05F2BB6C" w14:textId="77777777" w:rsidR="00154AD2" w:rsidRDefault="007F6BF3">
            <w:pPr>
              <w:pStyle w:val="P68B1DB1-Normal8"/>
              <w:spacing w:after="0" w:line="240" w:lineRule="auto"/>
              <w:jc w:val="center"/>
              <w:rPr>
                <w:rFonts w:eastAsia="Times New Roman" w:cs="Calibri"/>
                <w:noProof/>
              </w:rPr>
            </w:pPr>
            <w:r>
              <w:rPr>
                <w:noProof/>
              </w:rPr>
              <w:t>6,2</w:t>
            </w:r>
          </w:p>
        </w:tc>
        <w:tc>
          <w:tcPr>
            <w:tcW w:w="567" w:type="dxa"/>
            <w:shd w:val="clear" w:color="auto" w:fill="C4EFCE"/>
            <w:noWrap/>
            <w:vAlign w:val="center"/>
            <w:hideMark/>
          </w:tcPr>
          <w:p w14:paraId="4C0CE51E"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25BE834C" w14:textId="77777777" w:rsidR="00154AD2" w:rsidRDefault="007F6BF3">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462CFB3E" w14:textId="77777777" w:rsidR="00154AD2" w:rsidRDefault="007F6BF3">
            <w:pPr>
              <w:pStyle w:val="P68B1DB1-Normal8"/>
              <w:spacing w:after="0" w:line="240" w:lineRule="auto"/>
              <w:jc w:val="both"/>
              <w:rPr>
                <w:rFonts w:eastAsia="Times New Roman" w:cs="Calibri"/>
                <w:noProof/>
              </w:rPr>
            </w:pPr>
            <w:r>
              <w:rPr>
                <w:noProof/>
              </w:rPr>
              <w:t xml:space="preserve">Την πλήρη ανακαίνιση των ακόλουθων υδροηλεκτρικών σταθμών: </w:t>
            </w:r>
          </w:p>
          <w:p w14:paraId="28A4644B" w14:textId="77777777" w:rsidR="00154AD2" w:rsidRDefault="007F6BF3">
            <w:pPr>
              <w:pStyle w:val="P68B1DB1-Normal8"/>
              <w:spacing w:after="0" w:line="240" w:lineRule="auto"/>
              <w:jc w:val="both"/>
              <w:rPr>
                <w:rFonts w:eastAsia="Times New Roman" w:cs="Calibri"/>
                <w:noProof/>
              </w:rPr>
            </w:pPr>
            <w:r>
              <w:rPr>
                <w:noProof/>
              </w:rPr>
              <w:t xml:space="preserve">Υδροηλεκτρικός σταθμός ύδρευσης Serra: αντικατάσταση και αναβάθμιση ηλεκτρολογικού και μηχανολογικού εξοπλισμού, συντήρηση μόνο του κτιρίου. </w:t>
            </w:r>
          </w:p>
          <w:p w14:paraId="18BFB475" w14:textId="2EB31E76" w:rsidR="00154AD2" w:rsidRDefault="007F6BF3">
            <w:pPr>
              <w:pStyle w:val="P68B1DB1-Normal8"/>
              <w:spacing w:after="0" w:line="240" w:lineRule="auto"/>
              <w:jc w:val="both"/>
              <w:rPr>
                <w:rFonts w:eastAsia="Times New Roman" w:cs="Calibri"/>
                <w:noProof/>
              </w:rPr>
            </w:pPr>
            <w:r>
              <w:rPr>
                <w:noProof/>
              </w:rPr>
              <w:t>Υδροηλεκτρικός σταθμός Calheta I: αντικατάσταση των περισσότερων πάγιων στοιχείων, ιδίως των δύο συγκροτημάτων ηλεκτροπαραγωγής εγκατεστημένης ισχύος 0,5 MW και άλλων ηλεκτρικών συστημάτων, με εξαίρεση το κτίριο. Οι εργασίες περιλαμβάνουν επίσης την αποκατάσταση των καναλιών που οδηγούν στη μονάδα για συνολικό μήκος περίπου 13 km.</w:t>
            </w:r>
          </w:p>
        </w:tc>
      </w:tr>
      <w:tr w:rsidR="00154AD2" w14:paraId="6E33C52D" w14:textId="77777777">
        <w:trPr>
          <w:trHeight w:val="290"/>
        </w:trPr>
        <w:tc>
          <w:tcPr>
            <w:tcW w:w="1135" w:type="dxa"/>
            <w:shd w:val="clear" w:color="auto" w:fill="C4EFCE"/>
            <w:vAlign w:val="center"/>
            <w:hideMark/>
          </w:tcPr>
          <w:p w14:paraId="40BC8F13" w14:textId="77777777" w:rsidR="00154AD2" w:rsidRDefault="007F6BF3">
            <w:pPr>
              <w:pStyle w:val="P68B1DB1-Normal7"/>
              <w:spacing w:after="0" w:line="240" w:lineRule="auto"/>
              <w:jc w:val="center"/>
              <w:rPr>
                <w:rFonts w:eastAsia="Times New Roman" w:cs="Calibri"/>
                <w:noProof/>
              </w:rPr>
            </w:pPr>
            <w:r>
              <w:rPr>
                <w:noProof/>
              </w:rPr>
              <w:t>14.7</w:t>
            </w:r>
          </w:p>
        </w:tc>
        <w:tc>
          <w:tcPr>
            <w:tcW w:w="1276" w:type="dxa"/>
            <w:shd w:val="clear" w:color="auto" w:fill="C4EFCE"/>
            <w:noWrap/>
            <w:vAlign w:val="center"/>
            <w:hideMark/>
          </w:tcPr>
          <w:p w14:paraId="1CC99350" w14:textId="77777777" w:rsidR="00154AD2" w:rsidRDefault="007F6BF3">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7C251B82"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69D33F4" w14:textId="77777777" w:rsidR="00154AD2" w:rsidRDefault="007F6BF3">
            <w:pPr>
              <w:pStyle w:val="P68B1DB1-Normal8"/>
              <w:spacing w:after="0" w:line="240" w:lineRule="auto"/>
              <w:jc w:val="center"/>
              <w:rPr>
                <w:rFonts w:eastAsia="Times New Roman" w:cs="Calibri"/>
                <w:noProof/>
              </w:rPr>
            </w:pPr>
            <w:r>
              <w:rPr>
                <w:noProof/>
              </w:rPr>
              <w:t>Πρόσθετη εγκατεστημένη χωρητικότητα στο σύστημα αποθήκευσης συσσωρευτή</w:t>
            </w:r>
          </w:p>
        </w:tc>
        <w:tc>
          <w:tcPr>
            <w:tcW w:w="1275" w:type="dxa"/>
            <w:shd w:val="clear" w:color="auto" w:fill="C4EFCE"/>
            <w:noWrap/>
            <w:vAlign w:val="center"/>
            <w:hideMark/>
          </w:tcPr>
          <w:p w14:paraId="47DED681"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AD7FBEA" w14:textId="77777777" w:rsidR="00154AD2" w:rsidRDefault="007F6BF3">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5AE80CCF" w14:textId="77777777" w:rsidR="00154AD2" w:rsidRDefault="007F6BF3">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13404202" w14:textId="77777777" w:rsidR="00154AD2" w:rsidRDefault="007F6BF3">
            <w:pPr>
              <w:pStyle w:val="P68B1DB1-Normal8"/>
              <w:spacing w:after="0" w:line="240" w:lineRule="auto"/>
              <w:jc w:val="center"/>
              <w:rPr>
                <w:rFonts w:eastAsia="Times New Roman" w:cs="Calibri"/>
                <w:noProof/>
              </w:rPr>
            </w:pPr>
            <w:r>
              <w:rPr>
                <w:noProof/>
              </w:rPr>
              <w:t>21</w:t>
            </w:r>
          </w:p>
        </w:tc>
        <w:tc>
          <w:tcPr>
            <w:tcW w:w="567" w:type="dxa"/>
            <w:shd w:val="clear" w:color="auto" w:fill="C4EFCE"/>
            <w:noWrap/>
            <w:vAlign w:val="center"/>
            <w:hideMark/>
          </w:tcPr>
          <w:p w14:paraId="23311448"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2CE3C18F" w14:textId="77777777" w:rsidR="00154AD2" w:rsidRDefault="007F6BF3">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6508188D" w14:textId="77777777" w:rsidR="00154AD2" w:rsidRDefault="007F6BF3">
            <w:pPr>
              <w:pStyle w:val="P68B1DB1-Normal8"/>
              <w:spacing w:after="0" w:line="240" w:lineRule="auto"/>
              <w:jc w:val="both"/>
              <w:rPr>
                <w:rFonts w:eastAsia="Times New Roman" w:cs="Calibri"/>
                <w:noProof/>
              </w:rPr>
            </w:pPr>
            <w:r>
              <w:rPr>
                <w:noProof/>
              </w:rPr>
              <w:t xml:space="preserve">Αύξηση της αποθήκευσης ηλεκτρικής ενέργειας με την προσθήκη εγκατεστημένης δυναμικότητας στα συστήματα συσσωρευτών. </w:t>
            </w:r>
          </w:p>
          <w:p w14:paraId="388555A7" w14:textId="00D42124" w:rsidR="00154AD2" w:rsidRDefault="007F6BF3">
            <w:pPr>
              <w:pStyle w:val="P68B1DB1-Normal8"/>
              <w:spacing w:after="0" w:line="240" w:lineRule="auto"/>
              <w:jc w:val="both"/>
              <w:rPr>
                <w:rFonts w:eastAsia="Times New Roman" w:cs="Calibri"/>
                <w:noProof/>
              </w:rPr>
            </w:pPr>
            <w:r>
              <w:rPr>
                <w:noProof/>
              </w:rPr>
              <w:t>Η πρόσθετη παραγωγική ικανότητα είναι τουλάχιστον 21 MW/27 MWh</w:t>
            </w:r>
          </w:p>
        </w:tc>
      </w:tr>
      <w:tr w:rsidR="00154AD2" w14:paraId="1948699A" w14:textId="77777777">
        <w:trPr>
          <w:trHeight w:val="430"/>
        </w:trPr>
        <w:tc>
          <w:tcPr>
            <w:tcW w:w="1135" w:type="dxa"/>
            <w:shd w:val="clear" w:color="auto" w:fill="C4EFCE"/>
            <w:vAlign w:val="center"/>
            <w:hideMark/>
          </w:tcPr>
          <w:p w14:paraId="2C554E92" w14:textId="77777777" w:rsidR="00154AD2" w:rsidRDefault="007F6BF3">
            <w:pPr>
              <w:pStyle w:val="P68B1DB1-Normal7"/>
              <w:spacing w:after="0" w:line="240" w:lineRule="auto"/>
              <w:jc w:val="center"/>
              <w:rPr>
                <w:rFonts w:eastAsia="Times New Roman" w:cs="Calibri"/>
                <w:noProof/>
              </w:rPr>
            </w:pPr>
            <w:r>
              <w:rPr>
                <w:noProof/>
              </w:rPr>
              <w:t>14.8</w:t>
            </w:r>
          </w:p>
        </w:tc>
        <w:tc>
          <w:tcPr>
            <w:tcW w:w="1276" w:type="dxa"/>
            <w:shd w:val="clear" w:color="auto" w:fill="C4EFCE"/>
            <w:noWrap/>
            <w:vAlign w:val="center"/>
            <w:hideMark/>
          </w:tcPr>
          <w:p w14:paraId="5FB40C15" w14:textId="77777777" w:rsidR="00154AD2" w:rsidRDefault="007F6BF3">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194061B1"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5F07188" w14:textId="77777777" w:rsidR="00154AD2" w:rsidRDefault="007F6BF3">
            <w:pPr>
              <w:pStyle w:val="P68B1DB1-Normal8"/>
              <w:spacing w:after="0" w:line="240" w:lineRule="auto"/>
              <w:jc w:val="center"/>
              <w:rPr>
                <w:rFonts w:eastAsia="Times New Roman" w:cs="Calibri"/>
                <w:noProof/>
              </w:rPr>
            </w:pPr>
            <w:r>
              <w:rPr>
                <w:noProof/>
              </w:rPr>
              <w:t>Πρόσθετη δυναμικότητα ενσωμάτωσης νέας εγκατεστημένης ισχύος στο σύστημα ηλεκτρικής ενέργειας</w:t>
            </w:r>
          </w:p>
        </w:tc>
        <w:tc>
          <w:tcPr>
            <w:tcW w:w="1275" w:type="dxa"/>
            <w:shd w:val="clear" w:color="auto" w:fill="C4EFCE"/>
            <w:noWrap/>
            <w:vAlign w:val="center"/>
            <w:hideMark/>
          </w:tcPr>
          <w:p w14:paraId="04404B06"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18AC5C6" w14:textId="77777777" w:rsidR="00154AD2" w:rsidRDefault="007F6BF3">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33D2174B" w14:textId="77777777" w:rsidR="00154AD2" w:rsidRDefault="007F6BF3">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1DD47456" w14:textId="77777777" w:rsidR="00154AD2" w:rsidRDefault="007F6BF3">
            <w:pPr>
              <w:pStyle w:val="P68B1DB1-Normal8"/>
              <w:spacing w:after="0" w:line="240" w:lineRule="auto"/>
              <w:jc w:val="center"/>
              <w:rPr>
                <w:rFonts w:eastAsia="Times New Roman" w:cs="Calibri"/>
                <w:noProof/>
              </w:rPr>
            </w:pPr>
            <w:r>
              <w:rPr>
                <w:noProof/>
              </w:rPr>
              <w:t>48</w:t>
            </w:r>
          </w:p>
        </w:tc>
        <w:tc>
          <w:tcPr>
            <w:tcW w:w="567" w:type="dxa"/>
            <w:shd w:val="clear" w:color="auto" w:fill="C4EFCE"/>
            <w:noWrap/>
            <w:vAlign w:val="center"/>
            <w:hideMark/>
          </w:tcPr>
          <w:p w14:paraId="7A7FC3C8"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708" w:type="dxa"/>
            <w:shd w:val="clear" w:color="auto" w:fill="C4EFCE"/>
            <w:noWrap/>
            <w:vAlign w:val="center"/>
            <w:hideMark/>
          </w:tcPr>
          <w:p w14:paraId="1286C6DF" w14:textId="77777777" w:rsidR="00154AD2" w:rsidRDefault="007F6BF3">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57880C30" w14:textId="53A5D4C2" w:rsidR="00154AD2" w:rsidRDefault="007F6BF3">
            <w:pPr>
              <w:pStyle w:val="P68B1DB1-Normal8"/>
              <w:spacing w:after="0" w:line="240" w:lineRule="auto"/>
              <w:jc w:val="both"/>
              <w:rPr>
                <w:rFonts w:eastAsia="Times New Roman" w:cs="Calibri"/>
                <w:noProof/>
              </w:rPr>
            </w:pPr>
            <w:r>
              <w:rPr>
                <w:noProof/>
              </w:rPr>
              <w:t>Αύξηση της ικανότητας ενσωμάτωσης των ανανεώσιμων πηγών ενέργειας στο σύστημα ηλεκτρικής ενέργειας της ARM. Η αναβάθμιση ανέρχεται σε 8 MW στο Porto Santo και 40 MW στη Μαδέρα.</w:t>
            </w:r>
          </w:p>
        </w:tc>
      </w:tr>
      <w:tr w:rsidR="00154AD2" w14:paraId="7777E58F" w14:textId="77777777">
        <w:trPr>
          <w:trHeight w:val="430"/>
        </w:trPr>
        <w:tc>
          <w:tcPr>
            <w:tcW w:w="1135" w:type="dxa"/>
            <w:shd w:val="clear" w:color="auto" w:fill="C4EFCE"/>
            <w:vAlign w:val="center"/>
            <w:hideMark/>
          </w:tcPr>
          <w:p w14:paraId="0A07FC76" w14:textId="77777777" w:rsidR="00154AD2" w:rsidRDefault="007F6BF3">
            <w:pPr>
              <w:pStyle w:val="P68B1DB1-Normal7"/>
              <w:spacing w:after="0" w:line="240" w:lineRule="auto"/>
              <w:jc w:val="center"/>
              <w:rPr>
                <w:rFonts w:eastAsia="Times New Roman" w:cs="Calibri"/>
                <w:noProof/>
              </w:rPr>
            </w:pPr>
            <w:r>
              <w:rPr>
                <w:noProof/>
              </w:rPr>
              <w:t>14.9</w:t>
            </w:r>
          </w:p>
        </w:tc>
        <w:tc>
          <w:tcPr>
            <w:tcW w:w="1276" w:type="dxa"/>
            <w:shd w:val="clear" w:color="auto" w:fill="C4EFCE"/>
            <w:noWrap/>
            <w:vAlign w:val="center"/>
            <w:hideMark/>
          </w:tcPr>
          <w:p w14:paraId="6F6CE13A" w14:textId="77777777" w:rsidR="00154AD2" w:rsidRDefault="007F6BF3">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3F096E46"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7D8452D" w14:textId="77777777" w:rsidR="00154AD2" w:rsidRDefault="007F6BF3">
            <w:pPr>
              <w:pStyle w:val="P68B1DB1-Normal8"/>
              <w:spacing w:after="0" w:line="240" w:lineRule="auto"/>
              <w:jc w:val="center"/>
              <w:rPr>
                <w:rFonts w:eastAsia="Times New Roman" w:cs="Calibri"/>
                <w:noProof/>
              </w:rPr>
            </w:pPr>
            <w:r>
              <w:rPr>
                <w:noProof/>
              </w:rPr>
              <w:t xml:space="preserve">Εγκατάσταση έξυπνων μετρητών </w:t>
            </w:r>
          </w:p>
        </w:tc>
        <w:tc>
          <w:tcPr>
            <w:tcW w:w="1275" w:type="dxa"/>
            <w:shd w:val="clear" w:color="auto" w:fill="C4EFCE"/>
            <w:noWrap/>
            <w:vAlign w:val="center"/>
            <w:hideMark/>
          </w:tcPr>
          <w:p w14:paraId="6EE2AFB4"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097B7CDD"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6171D01F" w14:textId="77777777" w:rsidR="00154AD2" w:rsidRDefault="007F6BF3">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664A2B0C" w14:textId="53CB6B01" w:rsidR="00154AD2" w:rsidRDefault="007F6BF3">
            <w:pPr>
              <w:pStyle w:val="P68B1DB1-Normal8"/>
              <w:spacing w:after="0" w:line="240" w:lineRule="auto"/>
              <w:jc w:val="center"/>
              <w:rPr>
                <w:rFonts w:eastAsia="Times New Roman" w:cs="Calibri"/>
                <w:noProof/>
              </w:rPr>
            </w:pPr>
            <w:r>
              <w:rPr>
                <w:noProof/>
              </w:rPr>
              <w:t>130 000</w:t>
            </w:r>
          </w:p>
        </w:tc>
        <w:tc>
          <w:tcPr>
            <w:tcW w:w="567" w:type="dxa"/>
            <w:shd w:val="clear" w:color="auto" w:fill="C4EFCE"/>
            <w:noWrap/>
            <w:vAlign w:val="center"/>
            <w:hideMark/>
          </w:tcPr>
          <w:p w14:paraId="466259E1"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461EE381" w14:textId="77777777" w:rsidR="00154AD2" w:rsidRDefault="007F6BF3">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2A0AB2BE" w14:textId="77777777" w:rsidR="00154AD2" w:rsidRDefault="007F6BF3">
            <w:pPr>
              <w:pStyle w:val="P68B1DB1-Normal8"/>
              <w:spacing w:after="0" w:line="240" w:lineRule="auto"/>
              <w:jc w:val="both"/>
              <w:rPr>
                <w:rFonts w:eastAsia="Times New Roman" w:cs="Calibri"/>
                <w:noProof/>
              </w:rPr>
            </w:pPr>
            <w:r>
              <w:rPr>
                <w:noProof/>
              </w:rPr>
              <w:t>Παροχή και εγκατάσταση νέων έξυπνων μετρητών (μετρητές ηλεκτρικής ενέργειας που καταγράφουν πληροφορίες σχετικά με την κατανάλωση και είναι συνδεδεμένοι με το δίκτυο επικοινωνιών)</w:t>
            </w:r>
          </w:p>
        </w:tc>
      </w:tr>
      <w:tr w:rsidR="00154AD2" w14:paraId="085247C8" w14:textId="77777777">
        <w:trPr>
          <w:trHeight w:val="300"/>
        </w:trPr>
        <w:tc>
          <w:tcPr>
            <w:tcW w:w="1135" w:type="dxa"/>
            <w:shd w:val="clear" w:color="auto" w:fill="C4EFCE"/>
            <w:vAlign w:val="center"/>
            <w:hideMark/>
          </w:tcPr>
          <w:p w14:paraId="4DAE842D" w14:textId="77777777" w:rsidR="00154AD2" w:rsidRDefault="007F6BF3">
            <w:pPr>
              <w:pStyle w:val="P68B1DB1-Normal7"/>
              <w:spacing w:after="0" w:line="240" w:lineRule="auto"/>
              <w:jc w:val="center"/>
              <w:rPr>
                <w:rFonts w:eastAsia="Times New Roman" w:cs="Calibri"/>
                <w:noProof/>
              </w:rPr>
            </w:pPr>
            <w:r>
              <w:rPr>
                <w:noProof/>
              </w:rPr>
              <w:t>14.10</w:t>
            </w:r>
          </w:p>
        </w:tc>
        <w:tc>
          <w:tcPr>
            <w:tcW w:w="1276" w:type="dxa"/>
            <w:shd w:val="clear" w:color="auto" w:fill="C4EFCE"/>
            <w:noWrap/>
            <w:vAlign w:val="center"/>
            <w:hideMark/>
          </w:tcPr>
          <w:p w14:paraId="3B119B79" w14:textId="77777777" w:rsidR="00154AD2" w:rsidRDefault="007F6BF3">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2D8644BA"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3077042" w14:textId="77777777" w:rsidR="00154AD2" w:rsidRDefault="007F6BF3">
            <w:pPr>
              <w:pStyle w:val="P68B1DB1-Normal8"/>
              <w:spacing w:after="0" w:line="240" w:lineRule="auto"/>
              <w:jc w:val="center"/>
              <w:rPr>
                <w:rFonts w:eastAsia="Times New Roman" w:cs="Calibri"/>
                <w:noProof/>
              </w:rPr>
            </w:pPr>
            <w:r>
              <w:rPr>
                <w:noProof/>
              </w:rPr>
              <w:t xml:space="preserve">Αντικατάσταση σημείων φωτισμού οδών </w:t>
            </w:r>
          </w:p>
        </w:tc>
        <w:tc>
          <w:tcPr>
            <w:tcW w:w="1275" w:type="dxa"/>
            <w:shd w:val="clear" w:color="auto" w:fill="C4EFCE"/>
            <w:noWrap/>
            <w:vAlign w:val="center"/>
            <w:hideMark/>
          </w:tcPr>
          <w:p w14:paraId="1F6A61E8"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F3AB129"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19AB4E5C" w14:textId="77777777" w:rsidR="00154AD2" w:rsidRDefault="007F6BF3">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5BE9D871" w14:textId="77777777" w:rsidR="00154AD2" w:rsidRDefault="007F6BF3">
            <w:pPr>
              <w:pStyle w:val="P68B1DB1-Normal8"/>
              <w:spacing w:after="0" w:line="240" w:lineRule="auto"/>
              <w:jc w:val="center"/>
              <w:rPr>
                <w:rFonts w:eastAsia="Times New Roman" w:cs="Calibri"/>
                <w:noProof/>
              </w:rPr>
            </w:pPr>
            <w:r>
              <w:rPr>
                <w:noProof/>
              </w:rPr>
              <w:t>8 750</w:t>
            </w:r>
          </w:p>
        </w:tc>
        <w:tc>
          <w:tcPr>
            <w:tcW w:w="567" w:type="dxa"/>
            <w:shd w:val="clear" w:color="auto" w:fill="C4EFCE"/>
            <w:noWrap/>
            <w:vAlign w:val="center"/>
            <w:hideMark/>
          </w:tcPr>
          <w:p w14:paraId="352149A8"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59138D5E" w14:textId="77777777" w:rsidR="00154AD2" w:rsidRDefault="007F6BF3">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5E233918" w14:textId="77777777" w:rsidR="00154AD2" w:rsidRDefault="007F6BF3">
            <w:pPr>
              <w:pStyle w:val="P68B1DB1-Normal8"/>
              <w:spacing w:after="0" w:line="240" w:lineRule="auto"/>
              <w:jc w:val="both"/>
              <w:rPr>
                <w:rFonts w:eastAsia="Times New Roman" w:cs="Calibri"/>
                <w:noProof/>
              </w:rPr>
            </w:pPr>
            <w:r>
              <w:rPr>
                <w:noProof/>
              </w:rPr>
              <w:t>Την αντικατάσταση του δικτύου δημόσιου φωτισμού με φωτισμό LED χαμηλής ενέργειας και του συστήματος διαχείρισής τους</w:t>
            </w:r>
          </w:p>
        </w:tc>
      </w:tr>
      <w:tr w:rsidR="00154AD2" w14:paraId="49C49B34" w14:textId="77777777">
        <w:trPr>
          <w:trHeight w:val="630"/>
        </w:trPr>
        <w:tc>
          <w:tcPr>
            <w:tcW w:w="1135" w:type="dxa"/>
            <w:shd w:val="clear" w:color="auto" w:fill="C4EFCE"/>
            <w:vAlign w:val="center"/>
            <w:hideMark/>
          </w:tcPr>
          <w:p w14:paraId="57987303" w14:textId="77777777" w:rsidR="00154AD2" w:rsidRDefault="007F6BF3">
            <w:pPr>
              <w:pStyle w:val="P68B1DB1-Normal7"/>
              <w:spacing w:after="0" w:line="240" w:lineRule="auto"/>
              <w:jc w:val="center"/>
              <w:rPr>
                <w:rFonts w:eastAsia="Times New Roman" w:cs="Calibri"/>
                <w:noProof/>
              </w:rPr>
            </w:pPr>
            <w:r>
              <w:rPr>
                <w:noProof/>
              </w:rPr>
              <w:t>14.11</w:t>
            </w:r>
          </w:p>
        </w:tc>
        <w:tc>
          <w:tcPr>
            <w:tcW w:w="1276" w:type="dxa"/>
            <w:shd w:val="clear" w:color="auto" w:fill="C4EFCE"/>
            <w:noWrap/>
            <w:vAlign w:val="center"/>
            <w:hideMark/>
          </w:tcPr>
          <w:p w14:paraId="0E810C24" w14:textId="77777777" w:rsidR="00154AD2" w:rsidRDefault="007F6BF3">
            <w:pPr>
              <w:pStyle w:val="P68B1DB1-Normal8"/>
              <w:spacing w:after="0" w:line="240" w:lineRule="auto"/>
              <w:jc w:val="center"/>
              <w:rPr>
                <w:rFonts w:eastAsia="Times New Roman" w:cs="Calibri"/>
                <w:noProof/>
              </w:rPr>
            </w:pPr>
            <w:r>
              <w:rPr>
                <w:noProof/>
              </w:rPr>
              <w:t>TC-C14-i03-RAA</w:t>
            </w:r>
          </w:p>
        </w:tc>
        <w:tc>
          <w:tcPr>
            <w:tcW w:w="1134" w:type="dxa"/>
            <w:shd w:val="clear" w:color="auto" w:fill="C4EFCE"/>
            <w:noWrap/>
            <w:vAlign w:val="center"/>
            <w:hideMark/>
          </w:tcPr>
          <w:p w14:paraId="07BB7096"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CDAE41D" w14:textId="77777777" w:rsidR="00154AD2" w:rsidRDefault="007F6BF3">
            <w:pPr>
              <w:pStyle w:val="P68B1DB1-Normal8"/>
              <w:spacing w:after="0" w:line="240" w:lineRule="auto"/>
              <w:jc w:val="center"/>
              <w:rPr>
                <w:rFonts w:eastAsia="Times New Roman" w:cs="Calibri"/>
                <w:noProof/>
              </w:rPr>
            </w:pPr>
            <w:r>
              <w:rPr>
                <w:noProof/>
              </w:rPr>
              <w:t>Πρόσθετη και ανακαινισμένη εγκατεστημένη γεωθερμική παραγωγική ικανότητα</w:t>
            </w:r>
          </w:p>
        </w:tc>
        <w:tc>
          <w:tcPr>
            <w:tcW w:w="1275" w:type="dxa"/>
            <w:shd w:val="clear" w:color="auto" w:fill="C4EFCE"/>
            <w:noWrap/>
            <w:vAlign w:val="center"/>
            <w:hideMark/>
          </w:tcPr>
          <w:p w14:paraId="346DFA29"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A22D7A0" w14:textId="77777777" w:rsidR="00154AD2" w:rsidRDefault="007F6BF3">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25B70213" w14:textId="77777777" w:rsidR="00154AD2" w:rsidRDefault="007F6BF3">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78D74A92" w14:textId="77777777" w:rsidR="00154AD2" w:rsidRDefault="007F6BF3">
            <w:pPr>
              <w:pStyle w:val="P68B1DB1-Normal8"/>
              <w:spacing w:after="0" w:line="240" w:lineRule="auto"/>
              <w:jc w:val="center"/>
              <w:rPr>
                <w:rFonts w:eastAsia="Times New Roman" w:cs="Calibri"/>
                <w:noProof/>
              </w:rPr>
            </w:pPr>
            <w:r>
              <w:rPr>
                <w:noProof/>
              </w:rPr>
              <w:t>17</w:t>
            </w:r>
          </w:p>
        </w:tc>
        <w:tc>
          <w:tcPr>
            <w:tcW w:w="567" w:type="dxa"/>
            <w:shd w:val="clear" w:color="auto" w:fill="C4EFCE"/>
            <w:noWrap/>
            <w:vAlign w:val="center"/>
            <w:hideMark/>
          </w:tcPr>
          <w:p w14:paraId="7654C1AA" w14:textId="3DD4D71C" w:rsidR="00154AD2" w:rsidRDefault="007F6BF3">
            <w:pPr>
              <w:pStyle w:val="P68B1DB1-Normal8"/>
              <w:spacing w:after="0" w:line="240" w:lineRule="auto"/>
              <w:jc w:val="center"/>
              <w:rPr>
                <w:rFonts w:eastAsia="Times New Roman" w:cs="Calibri"/>
                <w:noProof/>
              </w:rPr>
            </w:pPr>
            <w:r>
              <w:rPr>
                <w:noProof/>
              </w:rPr>
              <w:t>ΤΡΊΜΗΝΟ 2</w:t>
            </w:r>
          </w:p>
        </w:tc>
        <w:tc>
          <w:tcPr>
            <w:tcW w:w="708" w:type="dxa"/>
            <w:shd w:val="clear" w:color="auto" w:fill="C4EFCE"/>
            <w:noWrap/>
            <w:vAlign w:val="center"/>
            <w:hideMark/>
          </w:tcPr>
          <w:p w14:paraId="2C969610" w14:textId="294D2D88" w:rsidR="00154AD2" w:rsidRDefault="007F6BF3">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615578BD" w14:textId="77777777" w:rsidR="00154AD2" w:rsidRDefault="007F6BF3">
            <w:pPr>
              <w:pStyle w:val="P68B1DB1-Normal8"/>
              <w:spacing w:after="0" w:line="240" w:lineRule="auto"/>
              <w:jc w:val="both"/>
              <w:rPr>
                <w:rFonts w:eastAsia="Times New Roman" w:cs="Calibri"/>
                <w:noProof/>
              </w:rPr>
            </w:pPr>
            <w:r>
              <w:rPr>
                <w:noProof/>
              </w:rPr>
              <w:t xml:space="preserve">Αύξηση της ικανότητας παραγωγής ηλεκτρικής ενέργειας από ανανεώσιμες πηγές, ιδίως γεωθερμικής ενέργειας. Η πρόσθετη ισχύς (12 MW) θα εγκατασταθεί στο εργοστάσιο του Pico Alto Geothermal Plant και στο γεωθερμικό εργοστάσιο του Pico Vermelho. </w:t>
            </w:r>
          </w:p>
          <w:p w14:paraId="2807AEAB" w14:textId="570B2349" w:rsidR="00154AD2" w:rsidRDefault="007F6BF3">
            <w:pPr>
              <w:pStyle w:val="P68B1DB1-Normal8"/>
              <w:spacing w:after="0" w:line="240" w:lineRule="auto"/>
              <w:jc w:val="both"/>
              <w:rPr>
                <w:rFonts w:eastAsia="Times New Roman" w:cs="Calibri"/>
                <w:noProof/>
              </w:rPr>
            </w:pPr>
            <w:r>
              <w:rPr>
                <w:noProof/>
              </w:rPr>
              <w:t>Η ανακαίνιση της γεωθερμικής μονάδας Ribeira Grande θα θέσει σε λειτουργία τρία νέα γεωθερμικά φρέατα και μια αποδοτικότερη μονάδα παραγωγής 5 MW θα αντικαταστήσει τις υφιστάμενες μονάδες παραγωγής 2x2,5 MW.</w:t>
            </w:r>
          </w:p>
        </w:tc>
      </w:tr>
      <w:tr w:rsidR="00154AD2" w14:paraId="6EB81417" w14:textId="77777777">
        <w:trPr>
          <w:trHeight w:val="430"/>
        </w:trPr>
        <w:tc>
          <w:tcPr>
            <w:tcW w:w="1135" w:type="dxa"/>
            <w:shd w:val="clear" w:color="auto" w:fill="C4EFCE"/>
            <w:vAlign w:val="center"/>
            <w:hideMark/>
          </w:tcPr>
          <w:p w14:paraId="3405F6EB" w14:textId="77777777" w:rsidR="00154AD2" w:rsidRDefault="007F6BF3">
            <w:pPr>
              <w:pStyle w:val="P68B1DB1-Normal7"/>
              <w:spacing w:after="0" w:line="240" w:lineRule="auto"/>
              <w:jc w:val="center"/>
              <w:rPr>
                <w:rFonts w:eastAsia="Times New Roman" w:cs="Calibri"/>
                <w:noProof/>
              </w:rPr>
            </w:pPr>
            <w:r>
              <w:rPr>
                <w:noProof/>
              </w:rPr>
              <w:t>14.12</w:t>
            </w:r>
          </w:p>
        </w:tc>
        <w:tc>
          <w:tcPr>
            <w:tcW w:w="1276" w:type="dxa"/>
            <w:shd w:val="clear" w:color="auto" w:fill="C4EFCE"/>
            <w:noWrap/>
            <w:vAlign w:val="center"/>
            <w:hideMark/>
          </w:tcPr>
          <w:p w14:paraId="63DE5821" w14:textId="77777777" w:rsidR="00154AD2" w:rsidRDefault="007F6BF3">
            <w:pPr>
              <w:pStyle w:val="P68B1DB1-Normal8"/>
              <w:spacing w:after="0" w:line="240" w:lineRule="auto"/>
              <w:jc w:val="center"/>
              <w:rPr>
                <w:rFonts w:eastAsia="Times New Roman" w:cs="Calibri"/>
                <w:noProof/>
              </w:rPr>
            </w:pPr>
            <w:r>
              <w:rPr>
                <w:noProof/>
              </w:rPr>
              <w:t>TC-C14-i03-RAA</w:t>
            </w:r>
          </w:p>
        </w:tc>
        <w:tc>
          <w:tcPr>
            <w:tcW w:w="1134" w:type="dxa"/>
            <w:shd w:val="clear" w:color="auto" w:fill="C4EFCE"/>
            <w:noWrap/>
            <w:vAlign w:val="center"/>
            <w:hideMark/>
          </w:tcPr>
          <w:p w14:paraId="63E7E41F"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22755F2" w14:textId="77777777" w:rsidR="00154AD2" w:rsidRDefault="007F6BF3">
            <w:pPr>
              <w:pStyle w:val="P68B1DB1-Normal8"/>
              <w:spacing w:after="0" w:line="240" w:lineRule="auto"/>
              <w:jc w:val="center"/>
              <w:rPr>
                <w:rFonts w:eastAsia="Times New Roman" w:cs="Calibri"/>
                <w:noProof/>
              </w:rPr>
            </w:pPr>
            <w:r>
              <w:rPr>
                <w:noProof/>
              </w:rPr>
              <w:t>Πρόσθετη παραγωγή ηλεκτρικής ενέργειας από ανανεώσιμες πηγές στο Corvo</w:t>
            </w:r>
          </w:p>
        </w:tc>
        <w:tc>
          <w:tcPr>
            <w:tcW w:w="1275" w:type="dxa"/>
            <w:shd w:val="clear" w:color="auto" w:fill="C4EFCE"/>
            <w:noWrap/>
            <w:vAlign w:val="center"/>
            <w:hideMark/>
          </w:tcPr>
          <w:p w14:paraId="4A191934"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FE8B622" w14:textId="77777777" w:rsidR="00154AD2" w:rsidRDefault="007F6BF3">
            <w:pPr>
              <w:pStyle w:val="P68B1DB1-Normal8"/>
              <w:spacing w:after="0" w:line="240" w:lineRule="auto"/>
              <w:jc w:val="center"/>
              <w:rPr>
                <w:rFonts w:eastAsia="Times New Roman" w:cs="Calibri"/>
                <w:noProof/>
              </w:rPr>
            </w:pPr>
            <w:r>
              <w:rPr>
                <w:noProof/>
              </w:rPr>
              <w:t>kW</w:t>
            </w:r>
          </w:p>
        </w:tc>
        <w:tc>
          <w:tcPr>
            <w:tcW w:w="992" w:type="dxa"/>
            <w:shd w:val="clear" w:color="auto" w:fill="C4EFCE"/>
            <w:noWrap/>
            <w:vAlign w:val="center"/>
            <w:hideMark/>
          </w:tcPr>
          <w:p w14:paraId="5DA012D0" w14:textId="77777777" w:rsidR="00154AD2" w:rsidRDefault="007F6BF3">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60FE94F2" w14:textId="77777777" w:rsidR="00154AD2" w:rsidRDefault="007F6BF3">
            <w:pPr>
              <w:pStyle w:val="P68B1DB1-Normal8"/>
              <w:spacing w:after="0" w:line="240" w:lineRule="auto"/>
              <w:jc w:val="center"/>
              <w:rPr>
                <w:rFonts w:eastAsia="Times New Roman" w:cs="Calibri"/>
                <w:noProof/>
              </w:rPr>
            </w:pPr>
            <w:r>
              <w:rPr>
                <w:noProof/>
              </w:rPr>
              <w:t>850</w:t>
            </w:r>
          </w:p>
        </w:tc>
        <w:tc>
          <w:tcPr>
            <w:tcW w:w="567" w:type="dxa"/>
            <w:shd w:val="clear" w:color="auto" w:fill="C4EFCE"/>
            <w:noWrap/>
            <w:vAlign w:val="center"/>
            <w:hideMark/>
          </w:tcPr>
          <w:p w14:paraId="21A4EA86" w14:textId="10D88483" w:rsidR="00154AD2" w:rsidRDefault="007F6BF3">
            <w:pPr>
              <w:pStyle w:val="P68B1DB1-Normal8"/>
              <w:spacing w:after="0" w:line="240" w:lineRule="auto"/>
              <w:jc w:val="center"/>
              <w:rPr>
                <w:rFonts w:eastAsia="Times New Roman" w:cs="Calibri"/>
                <w:noProof/>
              </w:rPr>
            </w:pPr>
            <w:r>
              <w:rPr>
                <w:noProof/>
              </w:rPr>
              <w:t>ΤΡΊΜΗΝΟ 2</w:t>
            </w:r>
          </w:p>
        </w:tc>
        <w:tc>
          <w:tcPr>
            <w:tcW w:w="708" w:type="dxa"/>
            <w:shd w:val="clear" w:color="auto" w:fill="C4EFCE"/>
            <w:noWrap/>
            <w:vAlign w:val="center"/>
            <w:hideMark/>
          </w:tcPr>
          <w:p w14:paraId="4EC5CBA7" w14:textId="5D6061B7" w:rsidR="00154AD2" w:rsidRDefault="007F6BF3">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1522AF9F" w14:textId="5591984C" w:rsidR="00154AD2" w:rsidRDefault="007F6BF3">
            <w:pPr>
              <w:pStyle w:val="P68B1DB1-Normal8"/>
              <w:spacing w:after="0" w:line="240" w:lineRule="auto"/>
              <w:jc w:val="both"/>
              <w:rPr>
                <w:rFonts w:eastAsia="Times New Roman" w:cs="Calibri"/>
                <w:noProof/>
              </w:rPr>
            </w:pPr>
            <w:r>
              <w:rPr>
                <w:noProof/>
              </w:rPr>
              <w:t>Αύξηση της εγκατεστημένης ικανότητας παραγωγής ηλεκτρικής ενέργειας από ανανεώσιμες πηγές στη νήσο Corvo μέσω της εγκατάστασης φωτοβολταϊκού και αιολικού πάρκου.</w:t>
            </w:r>
          </w:p>
        </w:tc>
      </w:tr>
      <w:tr w:rsidR="00154AD2" w14:paraId="4BF28A70" w14:textId="77777777">
        <w:trPr>
          <w:trHeight w:val="640"/>
        </w:trPr>
        <w:tc>
          <w:tcPr>
            <w:tcW w:w="1135" w:type="dxa"/>
            <w:shd w:val="clear" w:color="auto" w:fill="C4EFCE"/>
            <w:vAlign w:val="center"/>
            <w:hideMark/>
          </w:tcPr>
          <w:p w14:paraId="26E7B270" w14:textId="77777777" w:rsidR="00154AD2" w:rsidRDefault="007F6BF3">
            <w:pPr>
              <w:pStyle w:val="P68B1DB1-Normal7"/>
              <w:spacing w:after="0" w:line="240" w:lineRule="auto"/>
              <w:jc w:val="center"/>
              <w:rPr>
                <w:rFonts w:eastAsia="Times New Roman" w:cs="Calibri"/>
                <w:noProof/>
              </w:rPr>
            </w:pPr>
            <w:r>
              <w:rPr>
                <w:noProof/>
              </w:rPr>
              <w:t>14.13</w:t>
            </w:r>
          </w:p>
        </w:tc>
        <w:tc>
          <w:tcPr>
            <w:tcW w:w="1276" w:type="dxa"/>
            <w:shd w:val="clear" w:color="auto" w:fill="C4EFCE"/>
            <w:noWrap/>
            <w:vAlign w:val="center"/>
            <w:hideMark/>
          </w:tcPr>
          <w:p w14:paraId="21B544BC" w14:textId="77777777" w:rsidR="00154AD2" w:rsidRDefault="007F6BF3">
            <w:pPr>
              <w:pStyle w:val="P68B1DB1-Normal8"/>
              <w:spacing w:after="0" w:line="240" w:lineRule="auto"/>
              <w:jc w:val="center"/>
              <w:rPr>
                <w:rFonts w:eastAsia="Times New Roman" w:cs="Calibri"/>
                <w:noProof/>
              </w:rPr>
            </w:pPr>
            <w:r>
              <w:rPr>
                <w:noProof/>
              </w:rPr>
              <w:t>TC-C14-i03-RAA</w:t>
            </w:r>
          </w:p>
        </w:tc>
        <w:tc>
          <w:tcPr>
            <w:tcW w:w="1134" w:type="dxa"/>
            <w:shd w:val="clear" w:color="auto" w:fill="C4EFCE"/>
            <w:noWrap/>
            <w:vAlign w:val="center"/>
            <w:hideMark/>
          </w:tcPr>
          <w:p w14:paraId="421AB62A"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5CB493E" w14:textId="77777777" w:rsidR="00154AD2" w:rsidRDefault="007F6BF3">
            <w:pPr>
              <w:pStyle w:val="P68B1DB1-Normal8"/>
              <w:spacing w:after="0" w:line="240" w:lineRule="auto"/>
              <w:jc w:val="center"/>
              <w:rPr>
                <w:rFonts w:eastAsia="Times New Roman" w:cs="Calibri"/>
                <w:noProof/>
              </w:rPr>
            </w:pPr>
            <w:r>
              <w:rPr>
                <w:noProof/>
              </w:rPr>
              <w:t>Νέα συστήματα αποθήκευσης ενέργειας σε συσσωρευτές και συστήματα ενεργειακής διαχείρισης στην ARA</w:t>
            </w:r>
          </w:p>
        </w:tc>
        <w:tc>
          <w:tcPr>
            <w:tcW w:w="1275" w:type="dxa"/>
            <w:shd w:val="clear" w:color="auto" w:fill="C4EFCE"/>
            <w:noWrap/>
            <w:vAlign w:val="center"/>
            <w:hideMark/>
          </w:tcPr>
          <w:p w14:paraId="32C59D26"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22A9B89" w14:textId="77777777" w:rsidR="00154AD2" w:rsidRDefault="007F6BF3">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179DC3B8" w14:textId="77777777" w:rsidR="00154AD2" w:rsidRDefault="007F6BF3">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1A6A215E" w14:textId="77777777" w:rsidR="00154AD2" w:rsidRDefault="007F6BF3">
            <w:pPr>
              <w:pStyle w:val="P68B1DB1-Normal8"/>
              <w:spacing w:after="0" w:line="240" w:lineRule="auto"/>
              <w:jc w:val="center"/>
              <w:rPr>
                <w:rFonts w:eastAsia="Times New Roman" w:cs="Calibri"/>
                <w:noProof/>
              </w:rPr>
            </w:pPr>
            <w:r>
              <w:rPr>
                <w:noProof/>
              </w:rPr>
              <w:t>20</w:t>
            </w:r>
          </w:p>
        </w:tc>
        <w:tc>
          <w:tcPr>
            <w:tcW w:w="567" w:type="dxa"/>
            <w:shd w:val="clear" w:color="auto" w:fill="C4EFCE"/>
            <w:noWrap/>
            <w:vAlign w:val="center"/>
            <w:hideMark/>
          </w:tcPr>
          <w:p w14:paraId="748EDD79" w14:textId="4D8C8E40" w:rsidR="00154AD2" w:rsidRDefault="007F6BF3">
            <w:pPr>
              <w:pStyle w:val="P68B1DB1-Normal8"/>
              <w:spacing w:after="0" w:line="240" w:lineRule="auto"/>
              <w:jc w:val="center"/>
              <w:rPr>
                <w:rFonts w:eastAsia="Times New Roman" w:cs="Calibri"/>
                <w:noProof/>
              </w:rPr>
            </w:pPr>
            <w:r>
              <w:rPr>
                <w:noProof/>
              </w:rPr>
              <w:t>ΤΡΊΜΗΝΟ 2</w:t>
            </w:r>
          </w:p>
        </w:tc>
        <w:tc>
          <w:tcPr>
            <w:tcW w:w="708" w:type="dxa"/>
            <w:shd w:val="clear" w:color="auto" w:fill="C4EFCE"/>
            <w:noWrap/>
            <w:vAlign w:val="center"/>
            <w:hideMark/>
          </w:tcPr>
          <w:p w14:paraId="27D3725B" w14:textId="243A03A5" w:rsidR="00154AD2" w:rsidRDefault="007F6BF3">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75D6C939" w14:textId="77777777" w:rsidR="00154AD2" w:rsidRDefault="007F6BF3">
            <w:pPr>
              <w:pStyle w:val="P68B1DB1-Normal8"/>
              <w:spacing w:after="0" w:line="240" w:lineRule="auto"/>
              <w:jc w:val="both"/>
              <w:rPr>
                <w:rFonts w:eastAsia="Times New Roman" w:cs="Calibri"/>
                <w:noProof/>
              </w:rPr>
            </w:pPr>
            <w:r>
              <w:rPr>
                <w:noProof/>
              </w:rPr>
              <w:t>Εγκατάσταση νέων συστημάτων αποθήκευσης ενέργειας σε συσσωρευτές και συστημάτων ενεργειακής διαχείρισης σε έξι νησιά, ώστε να καταστεί δυνατή η μεγαλύτερη ενσωμάτωση των ανανεώσιμων πηγών ενέργειας, με παράλληλη κατοχύρωση της ασφάλειας του εφοδιασμού και της ποιότητας των υπηρεσιών, με εύρος ισχύος μεταξύ 20 MW και 30 MW συνολικά. ·</w:t>
            </w:r>
          </w:p>
        </w:tc>
      </w:tr>
      <w:tr w:rsidR="00154AD2" w14:paraId="1056362A" w14:textId="77777777">
        <w:trPr>
          <w:trHeight w:val="430"/>
        </w:trPr>
        <w:tc>
          <w:tcPr>
            <w:tcW w:w="1135" w:type="dxa"/>
            <w:shd w:val="clear" w:color="auto" w:fill="C4EFCE"/>
            <w:vAlign w:val="center"/>
            <w:hideMark/>
          </w:tcPr>
          <w:p w14:paraId="32B5D8E8" w14:textId="77777777" w:rsidR="00154AD2" w:rsidRDefault="007F6BF3">
            <w:pPr>
              <w:pStyle w:val="P68B1DB1-Normal7"/>
              <w:spacing w:after="0" w:line="240" w:lineRule="auto"/>
              <w:jc w:val="center"/>
              <w:rPr>
                <w:rFonts w:eastAsia="Times New Roman" w:cs="Calibri"/>
                <w:noProof/>
              </w:rPr>
            </w:pPr>
            <w:r>
              <w:rPr>
                <w:noProof/>
              </w:rPr>
              <w:t>14.14</w:t>
            </w:r>
          </w:p>
        </w:tc>
        <w:tc>
          <w:tcPr>
            <w:tcW w:w="1276" w:type="dxa"/>
            <w:shd w:val="clear" w:color="auto" w:fill="C4EFCE"/>
            <w:noWrap/>
            <w:vAlign w:val="center"/>
            <w:hideMark/>
          </w:tcPr>
          <w:p w14:paraId="054F1D8B" w14:textId="77777777" w:rsidR="00154AD2" w:rsidRDefault="007F6BF3">
            <w:pPr>
              <w:pStyle w:val="P68B1DB1-Normal8"/>
              <w:spacing w:after="0" w:line="240" w:lineRule="auto"/>
              <w:jc w:val="center"/>
              <w:rPr>
                <w:rFonts w:eastAsia="Times New Roman" w:cs="Calibri"/>
                <w:noProof/>
              </w:rPr>
            </w:pPr>
            <w:r>
              <w:rPr>
                <w:noProof/>
              </w:rPr>
              <w:t>TC-C14-i03-RAA</w:t>
            </w:r>
          </w:p>
        </w:tc>
        <w:tc>
          <w:tcPr>
            <w:tcW w:w="1134" w:type="dxa"/>
            <w:shd w:val="clear" w:color="auto" w:fill="C4EFCE"/>
            <w:noWrap/>
            <w:vAlign w:val="center"/>
            <w:hideMark/>
          </w:tcPr>
          <w:p w14:paraId="472D0821"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59DC164" w14:textId="77777777" w:rsidR="00154AD2" w:rsidRDefault="007F6BF3">
            <w:pPr>
              <w:pStyle w:val="P68B1DB1-Normal8"/>
              <w:spacing w:after="0" w:line="240" w:lineRule="auto"/>
              <w:jc w:val="center"/>
              <w:rPr>
                <w:rFonts w:eastAsia="Times New Roman" w:cs="Calibri"/>
                <w:noProof/>
              </w:rPr>
            </w:pPr>
            <w:r>
              <w:rPr>
                <w:noProof/>
              </w:rPr>
              <w:t>Εγκατάσταση μικρών φωτοβολταϊκών μονάδων τοπικής παραγωγής και κατανάλωσης ηλεκτρικής ενέργειας</w:t>
            </w:r>
          </w:p>
        </w:tc>
        <w:tc>
          <w:tcPr>
            <w:tcW w:w="1275" w:type="dxa"/>
            <w:shd w:val="clear" w:color="auto" w:fill="C4EFCE"/>
            <w:noWrap/>
            <w:vAlign w:val="center"/>
            <w:hideMark/>
          </w:tcPr>
          <w:p w14:paraId="3010E648"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35F208A" w14:textId="77777777" w:rsidR="00154AD2" w:rsidRDefault="007F6BF3">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43701371" w14:textId="77777777" w:rsidR="00154AD2" w:rsidRDefault="007F6BF3">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3DA6B091" w14:textId="1611D817" w:rsidR="00154AD2" w:rsidRDefault="007F6BF3">
            <w:pPr>
              <w:pStyle w:val="P68B1DB1-Normal8"/>
              <w:spacing w:after="0" w:line="240" w:lineRule="auto"/>
              <w:jc w:val="center"/>
              <w:rPr>
                <w:rFonts w:eastAsia="Times New Roman" w:cs="Calibri"/>
                <w:noProof/>
              </w:rPr>
            </w:pPr>
            <w:r>
              <w:rPr>
                <w:noProof/>
              </w:rPr>
              <w:t>11,2</w:t>
            </w:r>
          </w:p>
        </w:tc>
        <w:tc>
          <w:tcPr>
            <w:tcW w:w="567" w:type="dxa"/>
            <w:shd w:val="clear" w:color="auto" w:fill="C4EFCE"/>
            <w:noWrap/>
            <w:vAlign w:val="center"/>
            <w:hideMark/>
          </w:tcPr>
          <w:p w14:paraId="3ED06E56"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5D25B3E7" w14:textId="77777777" w:rsidR="00154AD2" w:rsidRDefault="007F6BF3">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0A739CE2" w14:textId="77777777" w:rsidR="00154AD2" w:rsidRDefault="007F6BF3">
            <w:pPr>
              <w:pStyle w:val="P68B1DB1-Normal8"/>
              <w:spacing w:after="0" w:line="240" w:lineRule="auto"/>
              <w:jc w:val="both"/>
              <w:rPr>
                <w:rFonts w:eastAsia="Times New Roman" w:cs="Calibri"/>
                <w:noProof/>
              </w:rPr>
            </w:pPr>
            <w:r>
              <w:rPr>
                <w:noProof/>
              </w:rPr>
              <w:t>Εγκατάσταση νέας εγκατεστημένης δυναμικότητας ηλεκτρικής ενέργειας με επενδύσεις σε διάσπαρτες φωτοβολταϊκές εγκαταστάσεις μικρής μονάδας κυρίως για αυτοκατανάλωση, με την παραδοχή ότι δεν συγχρηματοδοτούνται από τους δικαιούχους.</w:t>
            </w:r>
          </w:p>
        </w:tc>
      </w:tr>
    </w:tbl>
    <w:p w14:paraId="5A094B69" w14:textId="77777777" w:rsidR="00154AD2" w:rsidRDefault="00154AD2">
      <w:pPr>
        <w:spacing w:before="40" w:after="0" w:line="259" w:lineRule="auto"/>
        <w:ind w:left="130" w:firstLine="720"/>
        <w:jc w:val="both"/>
        <w:outlineLvl w:val="1"/>
        <w:rPr>
          <w:rFonts w:ascii="Times New Roman" w:eastAsiaTheme="minorEastAsia" w:hAnsi="Times New Roman" w:cs="Times New Roman"/>
          <w:b/>
          <w:noProof/>
          <w:sz w:val="24"/>
          <w:u w:val="single"/>
        </w:rPr>
        <w:sectPr w:rsidR="00154AD2" w:rsidSect="00E00EDD">
          <w:headerReference w:type="even" r:id="rId276"/>
          <w:headerReference w:type="default" r:id="rId277"/>
          <w:footerReference w:type="even" r:id="rId278"/>
          <w:footerReference w:type="default" r:id="rId279"/>
          <w:headerReference w:type="first" r:id="rId280"/>
          <w:footerReference w:type="first" r:id="rId281"/>
          <w:pgSz w:w="16839" w:h="11907" w:orient="landscape"/>
          <w:pgMar w:top="1134" w:right="1134" w:bottom="1134" w:left="1134" w:header="567" w:footer="567" w:gutter="0"/>
          <w:cols w:space="720"/>
          <w:docGrid w:linePitch="360"/>
        </w:sectPr>
      </w:pPr>
    </w:p>
    <w:p w14:paraId="319EDBBA" w14:textId="77777777" w:rsidR="00154AD2" w:rsidRDefault="007F6BF3">
      <w:pPr>
        <w:pStyle w:val="P68B1DB1-Normal3"/>
        <w:keepNext/>
        <w:spacing w:before="40" w:after="0" w:line="259" w:lineRule="auto"/>
        <w:ind w:left="130" w:firstLine="720"/>
        <w:jc w:val="both"/>
        <w:outlineLvl w:val="1"/>
        <w:rPr>
          <w:rFonts w:eastAsiaTheme="minorEastAsia" w:cs="Times New Roman"/>
          <w:smallCaps/>
          <w:noProof/>
        </w:rPr>
      </w:pPr>
      <w:r>
        <w:rPr>
          <w:noProof/>
        </w:rPr>
        <w:t>ΙΕ</w:t>
      </w:r>
      <w:r>
        <w:rPr>
          <w:smallCaps/>
          <w:noProof/>
        </w:rPr>
        <w:t xml:space="preserve">. </w:t>
      </w:r>
      <w:r>
        <w:rPr>
          <w:noProof/>
        </w:rPr>
        <w:t>ΣΥΝΙΣΤΏΣΑ</w:t>
      </w:r>
      <w:r>
        <w:rPr>
          <w:smallCaps/>
          <w:noProof/>
        </w:rPr>
        <w:t xml:space="preserve"> 1</w:t>
      </w:r>
      <w:r>
        <w:rPr>
          <w:noProof/>
        </w:rPr>
        <w:t>5</w:t>
      </w:r>
      <w:r>
        <w:rPr>
          <w:smallCaps/>
          <w:noProof/>
        </w:rPr>
        <w:t>:</w:t>
      </w:r>
      <w:r>
        <w:rPr>
          <w:noProof/>
        </w:rPr>
        <w:t xml:space="preserve"> Βιώσιμη κινητικότητα </w:t>
      </w:r>
    </w:p>
    <w:p w14:paraId="36604D95" w14:textId="77777777" w:rsidR="00154AD2" w:rsidRDefault="007F6BF3">
      <w:pPr>
        <w:pStyle w:val="P68B1DB1-Normal4"/>
        <w:spacing w:before="40" w:after="0" w:line="259" w:lineRule="auto"/>
        <w:jc w:val="both"/>
        <w:rPr>
          <w:rFonts w:eastAsiaTheme="minorEastAsia" w:cs="Times New Roman"/>
          <w:noProof/>
        </w:rPr>
      </w:pPr>
      <w:r>
        <w:rPr>
          <w:noProof/>
        </w:rPr>
        <w:t>Αυτή η συνιστώσα του πορτογαλικού σχεδίου ανάκαμψης και ανθεκτικότητας αντιμετωπίζει διάφορες προκλήσεις στον τομέα των μεταφορών: την ανάγκη μείωσης των εκπομπών αερίων του θερμοκηπίου και ρύπων, την ανάγκη μείωσης της εξάρτησης από ένα ιδιωτικό αυτοκίνητο και την ανάγκη διασφάλισης καλύτερης κοινωνικής συνοχής στις αστικές περιοχές.</w:t>
      </w:r>
    </w:p>
    <w:p w14:paraId="278D0CE5" w14:textId="77777777" w:rsidR="00154AD2" w:rsidRDefault="007F6BF3">
      <w:pPr>
        <w:pStyle w:val="P68B1DB1-Normal4"/>
        <w:spacing w:before="40" w:after="0" w:line="259" w:lineRule="auto"/>
        <w:jc w:val="both"/>
        <w:rPr>
          <w:rFonts w:eastAsiaTheme="minorEastAsia" w:cs="Times New Roman"/>
          <w:noProof/>
        </w:rPr>
      </w:pPr>
      <w:r>
        <w:rPr>
          <w:noProof/>
        </w:rPr>
        <w:t xml:space="preserve">Στόχος αυτής της συνιστώσας είναι η μείωση των εκπομπών και η ενίσχυση των δημόσιων μεταφορών με την επέκταση του δικτύου, την αύξηση της προσβασιμότητάς του και την ενίσχυση των ικανοτήτων σχεδιασμού των δημόσιων μεταφορών. Αυτό αναμένεται να οδηγήσει σε περισσότερους χρήστες των δημόσιων μεταφορών, να ενθαρρύνει τη στροφή από τα ιδιωτικά αυτοκίνητα στις δημόσιες μεταφορές και να προωθήσει καλύτερες δυνατότητες διαχείρισης και σχεδιασμού των μεταφορών. Για τον σκοπό αυτό, η συνιστώσα αυτή συνίσταται σε μεταρρυθμίσεις και επενδύσεις που προωθούν τις βιώσιμες δημόσιες μεταφορές μέσω της επέκτασης του μετρό της Λισαβόνας και του Πόρτο, της κατασκευής ενός ελαφρού σιδηροδρομικού συστήματος στη Λισαβόνα, ενός συστήματος ταχείας διέλευσης λεωφορείων στο Πόρτο και της αγοράς λεωφορείων μηδενικών εκπομπών για τις δημόσιες μεταφορές. </w:t>
      </w:r>
    </w:p>
    <w:p w14:paraId="693476C5" w14:textId="77777777" w:rsidR="00154AD2" w:rsidRDefault="007F6BF3">
      <w:pPr>
        <w:pStyle w:val="P68B1DB1-Normal4"/>
        <w:spacing w:before="40" w:after="0" w:line="259" w:lineRule="auto"/>
        <w:jc w:val="both"/>
        <w:rPr>
          <w:rFonts w:eastAsiaTheme="minorEastAsia" w:cs="Times New Roman"/>
          <w:noProof/>
        </w:rPr>
      </w:pPr>
      <w:r>
        <w:rPr>
          <w:noProof/>
        </w:rPr>
        <w:t>Η συνιστώσα συμβάλλει στην εφαρμογή της ειδικής ανά χώρα σύστασης σχετικά με την εστίαση των επενδύσεων στην πράσινη μετάβαση (ειδική ανά χώρα σύσταση 3 2020).</w:t>
      </w:r>
    </w:p>
    <w:p w14:paraId="1CBD4BA5" w14:textId="77777777" w:rsidR="00154AD2" w:rsidRDefault="007F6BF3">
      <w:pPr>
        <w:pStyle w:val="P68B1DB1-Normal4"/>
        <w:spacing w:before="40" w:after="0" w:line="259" w:lineRule="auto"/>
        <w:jc w:val="both"/>
        <w:rPr>
          <w:rFonts w:eastAsiaTheme="minorEastAsia" w:cs="Times New Roman"/>
          <w:noProof/>
        </w:rPr>
      </w:pPr>
      <w:r>
        <w:rPr>
          <w:noProof/>
        </w:rPr>
        <w:t>Αναμένεται ότι κανένα μέτρο στη συνιστώσα αυτή δεν βλάπτει σημαντικά τους περιβαλλοντικούς στόχους κατά την έννοια του άρθρου 17 του κανονισμού (ΕΕ) 2020/852, λαμβανομένης υπόψη της περιγραφής των μέτρων και των μέτρων μετριασμού που ορίζονται στο σχέδιο σύμφωνα με την τεχνική καθοδήγηση σχετικά με την αρχή της μη πρόκλησης σημαντικής βλάβης (2021/C58/01).</w:t>
      </w:r>
    </w:p>
    <w:p w14:paraId="250BB7E2" w14:textId="77777777" w:rsidR="00154AD2" w:rsidRDefault="00154AD2">
      <w:pPr>
        <w:spacing w:before="40" w:after="0" w:line="259" w:lineRule="auto"/>
        <w:jc w:val="both"/>
        <w:rPr>
          <w:rFonts w:ascii="Times New Roman" w:eastAsiaTheme="minorEastAsia" w:hAnsi="Times New Roman" w:cs="Times New Roman"/>
          <w:noProof/>
          <w:sz w:val="24"/>
        </w:rPr>
      </w:pPr>
    </w:p>
    <w:p w14:paraId="4D9A22C1" w14:textId="77777777" w:rsidR="00154AD2" w:rsidRDefault="007F6BF3">
      <w:pPr>
        <w:pStyle w:val="P68B1DB1-Normal3"/>
        <w:spacing w:before="40" w:after="0" w:line="259" w:lineRule="auto"/>
        <w:ind w:left="130" w:firstLine="720"/>
        <w:jc w:val="both"/>
        <w:outlineLvl w:val="1"/>
        <w:rPr>
          <w:rFonts w:eastAsiaTheme="minorEastAsia" w:cs="Times New Roman"/>
          <w:i/>
          <w:noProof/>
        </w:rPr>
      </w:pPr>
      <w:r>
        <w:rPr>
          <w:noProof/>
        </w:rPr>
        <w:t xml:space="preserve">Ο.1. </w:t>
      </w:r>
      <w:r>
        <w:rPr>
          <w:noProof/>
        </w:rPr>
        <w:tab/>
        <w:t>Περιγραφή των μεταρρυθμίσεων και των επενδύσεων που είναι επιλέξιμες για λήψη μη επιστρεπτέας χρηματοδοτικής στήριξης</w:t>
      </w:r>
    </w:p>
    <w:p w14:paraId="2D343529" w14:textId="77777777" w:rsidR="00154AD2" w:rsidRDefault="007F6BF3">
      <w:pPr>
        <w:pStyle w:val="P68B1DB1-Normal5"/>
        <w:spacing w:before="240" w:after="0" w:line="259" w:lineRule="auto"/>
        <w:ind w:left="851"/>
        <w:jc w:val="both"/>
        <w:outlineLvl w:val="2"/>
        <w:rPr>
          <w:rFonts w:eastAsiaTheme="minorEastAsia" w:cs="Times New Roman"/>
          <w:noProof/>
        </w:rPr>
      </w:pPr>
      <w:r>
        <w:rPr>
          <w:noProof/>
        </w:rPr>
        <w:t xml:space="preserve">Μεταρρύθμιση TC-r30: Μεταρρύθμιση του οικοσυστήματος μεταφορών </w:t>
      </w:r>
    </w:p>
    <w:p w14:paraId="46E820B7" w14:textId="77777777" w:rsidR="00154AD2" w:rsidRDefault="007F6BF3">
      <w:pPr>
        <w:pStyle w:val="P68B1DB1-Normal4"/>
        <w:spacing w:before="40" w:after="0" w:line="259" w:lineRule="auto"/>
        <w:jc w:val="both"/>
        <w:rPr>
          <w:rFonts w:eastAsiaTheme="minorEastAsia" w:cs="Times New Roman"/>
          <w:noProof/>
        </w:rPr>
      </w:pPr>
      <w:r>
        <w:rPr>
          <w:noProof/>
        </w:rPr>
        <w:t>Στόχος της μεταρρύθμισης είναι να ενισχυθούν οι αρχές δημόσιων μεταφορών, οι ικανότητες και οι δεξιότητές τους και, ως εκ τούτου, να αυξηθεί η ικανότητά τους να σχεδιάζουν καλύτερα τα συστήματα μεταφορών που διαχειρίζονται και να ενισχυθεί η χρήση των δημόσιων μεταφορών. Προωθεί την ανάπτυξη ικανοτήτων των αρχών δημόσιων μεταφορών μέσω της στήριξης για την απόκτηση εργαλείων σχεδιασμού και διαχείρισης του συστήματος μεταφορών, νέων ψηφιακών λύσεων που διευκολύνουν τη χρήση των δημόσιων μεταφορών και της στήριξης για τον εκσυγχρονισμό των συστημάτων έκδοσης εισιτηρίων και την παρακολούθηση των λειτουργιών, μεταξύ άλλων. Στηρίζει τις αρχές διαχείρισης των μεταφορών στην προετοιμασία, τη σύναψη και την υλοποίηση των συμβάσεων παροχής δημόσιων υπηρεσιών επιβατικών μεταφορών σε όλες τις μητροπολιτικές περιοχές (AM) και τις διαδημοτικές κοινότητες (CIM), σύμφωνα με τον κανονισμό (ΕΚ) αριθ. 1370/2007 του Ευρωπαϊκού Κοινοβουλίου και του Συμβουλίου, της 23 Οκτωβρίου 2007, για τις δημόσιες επιβατικές σιδηροδρομικές και οδικές μεταφορές και την κατάργηση των κανονισμών του Συμβουλίου (ΕΟΚ) αριθ. 1191/69 και (ΕΟΚ) αριθ. 1107/70. Βελτιώνει τους όρους πρόσβασης στις δημόσιες μεταφορές μέσω της εφαρμογής προγραμμάτων μειωμένων κομίστρων (</w:t>
      </w:r>
      <w:r>
        <w:rPr>
          <w:i/>
          <w:noProof/>
        </w:rPr>
        <w:t>Programa de Apoio à Redução do Tarifário dos Transportes Públicos</w:t>
      </w:r>
      <w:r>
        <w:rPr>
          <w:noProof/>
        </w:rPr>
        <w:t>, PART) και καλύτερων και φιλικότερων προς το κλίμα υπηρεσιών μεταφορών (</w:t>
      </w:r>
      <w:r>
        <w:rPr>
          <w:i/>
          <w:noProof/>
        </w:rPr>
        <w:t>Programa de Apoio à Densificação e Reforço da Oferta de Transporte Público</w:t>
      </w:r>
      <w:r>
        <w:rPr>
          <w:noProof/>
        </w:rPr>
        <w:t>, PROTransP), καθώς και μέσω της εφαρμογής φορολογικών μέτρων που ωφελούν τον χρήστη των δημόσιων μεταφορών, όπως η φορολογική έκπτωση του φόρου προστιθέμενης αξίας που συνδέεται με την αγορά μηνιαίων εισιτηρίων δημόσιων μεταφορών.</w:t>
      </w:r>
    </w:p>
    <w:p w14:paraId="523BD682" w14:textId="77777777" w:rsidR="00154AD2" w:rsidRDefault="007F6BF3">
      <w:pPr>
        <w:pStyle w:val="P68B1DB1-Normal4"/>
        <w:spacing w:before="40" w:after="0" w:line="259" w:lineRule="auto"/>
        <w:jc w:val="both"/>
        <w:rPr>
          <w:rFonts w:eastAsiaTheme="minorEastAsia" w:cs="Times New Roman"/>
          <w:noProof/>
        </w:rPr>
      </w:pPr>
      <w:r>
        <w:rPr>
          <w:noProof/>
        </w:rPr>
        <w:t>Η εφαρμογή της μεταρρύθμισης ολοκληρώνεται έως τις 31 Δεκεμβρίου 2023.</w:t>
      </w:r>
    </w:p>
    <w:p w14:paraId="5CA124BF" w14:textId="77777777" w:rsidR="00154AD2" w:rsidRDefault="007F6BF3">
      <w:pPr>
        <w:pStyle w:val="P68B1DB1-Normal5"/>
        <w:widowControl w:val="0"/>
        <w:spacing w:before="240" w:after="0" w:line="259" w:lineRule="auto"/>
        <w:ind w:left="851"/>
        <w:jc w:val="both"/>
        <w:outlineLvl w:val="2"/>
        <w:rPr>
          <w:rFonts w:eastAsiaTheme="minorEastAsia" w:cs="Times New Roman"/>
          <w:noProof/>
        </w:rPr>
      </w:pPr>
      <w:r>
        <w:rPr>
          <w:noProof/>
        </w:rPr>
        <w:t xml:space="preserve">Επένδυση TC-C15-I01: Επέκταση του δικτύου μετρό της Λισαβόνας — κόκκινη γραμμή στην Alcântara </w:t>
      </w:r>
    </w:p>
    <w:p w14:paraId="2D0BA654" w14:textId="77777777" w:rsidR="00154AD2" w:rsidRDefault="007F6BF3">
      <w:pPr>
        <w:pStyle w:val="P68B1DB1-Normal4"/>
        <w:widowControl w:val="0"/>
        <w:spacing w:before="40" w:after="0" w:line="259" w:lineRule="auto"/>
        <w:jc w:val="both"/>
        <w:rPr>
          <w:rFonts w:eastAsiaTheme="minorEastAsia" w:cs="Times New Roman"/>
          <w:noProof/>
        </w:rPr>
      </w:pPr>
      <w:r>
        <w:rPr>
          <w:noProof/>
        </w:rPr>
        <w:t>Στόχος του μέτρου είναι η αύξηση της ελκυστικότητας των δημόσιων μεταφορών στη Λισαβόνα και η προσέλκυση περισσότερων χρηστών μέσω της επέκτασης του δικτύου του μετρό.</w:t>
      </w:r>
    </w:p>
    <w:p w14:paraId="32F8B06B" w14:textId="77777777" w:rsidR="00154AD2" w:rsidRDefault="007F6BF3">
      <w:pPr>
        <w:pStyle w:val="P68B1DB1-Normal4"/>
        <w:widowControl w:val="0"/>
        <w:spacing w:before="40" w:after="0" w:line="259" w:lineRule="auto"/>
        <w:jc w:val="both"/>
        <w:rPr>
          <w:rFonts w:eastAsiaTheme="minorEastAsia" w:cs="Times New Roman"/>
          <w:noProof/>
        </w:rPr>
      </w:pPr>
      <w:r>
        <w:rPr>
          <w:noProof/>
        </w:rPr>
        <w:t xml:space="preserve">Η επένδυση συνίσταται στην επέκταση του δικτύου του μετρό της Λισαβόνας στην Alcântara, με την προσθήκη 3.7 χιλιομέτρων και τεσσάρων σταθμών στο δίκτυο. Αυτό θα μετασχηματίσει την Alcântara σε μια σημαντική νέα διεπαφή μεταφορών που συνδέει το δίκτυο του μετρό με τις προαστιακές σιδηροδρομικές υπηρεσίες. </w:t>
      </w:r>
    </w:p>
    <w:p w14:paraId="0994D2CA" w14:textId="3517EDB9" w:rsidR="00154AD2" w:rsidRDefault="007F6BF3">
      <w:pPr>
        <w:pStyle w:val="P68B1DB1-Normal4"/>
        <w:widowControl w:val="0"/>
        <w:spacing w:before="40" w:after="0" w:line="259" w:lineRule="auto"/>
        <w:jc w:val="both"/>
        <w:rPr>
          <w:rFonts w:eastAsiaTheme="minorEastAsia" w:cs="Times New Roman"/>
          <w:noProof/>
        </w:rPr>
      </w:pPr>
      <w:r>
        <w:rPr>
          <w:noProof/>
        </w:rPr>
        <w:t>Η υλοποίηση της επένδυσης θα ολοκληρωθεί έως τις 30 Ιουνίου 2026.</w:t>
      </w:r>
    </w:p>
    <w:p w14:paraId="2D6741A9" w14:textId="77777777"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Επένδυση TC-C15-I02: Επέκταση του δικτύου μετρό του Πόρτο — Casa da Música-Santo Ovídio</w:t>
      </w:r>
    </w:p>
    <w:p w14:paraId="6D4EC5A9" w14:textId="77777777" w:rsidR="00154AD2" w:rsidRDefault="007F6BF3">
      <w:pPr>
        <w:pStyle w:val="P68B1DB1-Normal4"/>
        <w:keepNext/>
        <w:spacing w:before="40" w:after="0" w:line="259" w:lineRule="auto"/>
        <w:jc w:val="both"/>
        <w:rPr>
          <w:rFonts w:eastAsiaTheme="minorEastAsia" w:cs="Times New Roman"/>
          <w:noProof/>
        </w:rPr>
      </w:pPr>
      <w:r>
        <w:rPr>
          <w:noProof/>
        </w:rPr>
        <w:t>Στόχος του μέτρου είναι η αύξηση της ελκυστικότητας των δημόσιων μεταφορών στο Πόρτο και η προσέλκυση περισσότερων χρηστών. Αποσκοπεί στην επέκταση της εδαφικής κάλυψης του δικτύου του μετρό και στην αντιμετώπιση των προβλημάτων συμφόρησης του άξονα Porto — Vila Nova de Gaia.</w:t>
      </w:r>
    </w:p>
    <w:p w14:paraId="0201D95D"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επένδυση συνίσταται σε επέκταση του δικτύου του μετρό στο Πόρτο μέσω της κατασκευής νέας διπλής γραμμής μήκους 6,74 km με 8 νέους σταθμούς μεταξύ Boavista/Casa da Música στο Porto και ενός νέου σταθμού που θα κατασκευαστεί στο Santo Ovídio (διεπαφή με τη γραμμή Amarela) στη Vila Nova de Gaia. </w:t>
      </w:r>
    </w:p>
    <w:p w14:paraId="1BFC66BB" w14:textId="4078E263" w:rsidR="00154AD2" w:rsidRDefault="007F6BF3">
      <w:pPr>
        <w:pStyle w:val="P68B1DB1-Normal4"/>
        <w:keepNext/>
        <w:spacing w:before="40" w:after="0" w:line="259" w:lineRule="auto"/>
        <w:jc w:val="both"/>
        <w:rPr>
          <w:rFonts w:eastAsiaTheme="minorEastAsia" w:cs="Times New Roman"/>
          <w:noProof/>
        </w:rPr>
      </w:pPr>
      <w:r>
        <w:rPr>
          <w:noProof/>
        </w:rPr>
        <w:t>Η υλοποίηση της επένδυσης θα ολοκληρωθεί έως τις 30 Ιουνίου 2026.</w:t>
      </w:r>
    </w:p>
    <w:p w14:paraId="3600650C" w14:textId="0045A331"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 xml:space="preserve">Επένδυση TC-C15-I04: Λεωφορείο Rapid Transit Boavista — Império </w:t>
      </w:r>
    </w:p>
    <w:p w14:paraId="483142D1"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Στόχος του μέτρου είναι η αύξηση της ελκυστικότητας των δημόσιων μεταφορών στο Πόρτο και η προσέλκυση περισσότερων χρηστών. Αποσκοπεί στη μείωση των εκπομπών αερίων του θερμοκηπίου και ρύπων και στην ενθάρρυνση της στροφής προς άλλους τρόπους μεταφοράς από το οδικό δίκτυο. </w:t>
      </w:r>
    </w:p>
    <w:p w14:paraId="24DD3461" w14:textId="2E7E71C1" w:rsidR="00154AD2" w:rsidRDefault="007F6BF3">
      <w:pPr>
        <w:pStyle w:val="P68B1DB1-Normal4"/>
        <w:keepNext/>
        <w:spacing w:before="40" w:after="0" w:line="259" w:lineRule="auto"/>
        <w:jc w:val="both"/>
        <w:rPr>
          <w:rFonts w:eastAsiaTheme="minorEastAsia" w:cs="Times New Roman"/>
          <w:noProof/>
        </w:rPr>
      </w:pPr>
      <w:r>
        <w:rPr>
          <w:noProof/>
        </w:rPr>
        <w:t xml:space="preserve">Η επένδυση αυτή συνίσταται στη δημιουργία ενός νέου συστήματος ταχείας διέλευσης λεωφορείων (λωρίδες που προορίζονται κυρίως για λεωφορεία) μήκους 3.8 χιλιομέτρων και 7 σταθμών μεταξύ Praça do Império και Praça Mouzinho de Albuquerque στο Πόρτο, το οποίο θα παρέχει σύνδεση με το δίκτυο του μετρό του Πόρτο. Το σύστημα ταχείας διέλευσης λεωφορείων λειτουργεί με λεωφορεία μηδενικών εκπομπών (ηλεκτρικά ή υδρογόνο). </w:t>
      </w:r>
    </w:p>
    <w:p w14:paraId="552F28A8" w14:textId="54BD3E6B" w:rsidR="00154AD2" w:rsidRDefault="007F6BF3">
      <w:pPr>
        <w:pStyle w:val="P68B1DB1-Normal4"/>
        <w:keepNext/>
        <w:spacing w:before="40" w:after="0" w:line="259" w:lineRule="auto"/>
        <w:jc w:val="both"/>
        <w:rPr>
          <w:rFonts w:eastAsiaTheme="minorEastAsia" w:cs="Times New Roman"/>
          <w:noProof/>
        </w:rPr>
      </w:pPr>
      <w:r>
        <w:rPr>
          <w:noProof/>
        </w:rPr>
        <w:t>Η υλοποίηση της επένδυσης θα ολοκληρωθεί έως τις 30 Σεπτεμβρίου 2024.</w:t>
      </w:r>
    </w:p>
    <w:p w14:paraId="0D379072" w14:textId="77777777"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Επένδυση TC-C15-I05: Απαλλαγή των δημόσιων μεταφορών από τις ανθρακούχες εκπομπές</w:t>
      </w:r>
    </w:p>
    <w:p w14:paraId="27AD2FF8"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Στόχος του μέτρου είναι η ανανέωση και η απαλλαγή του στόλου δημόσιων μεταφορών στην Πορτογαλία από τις ανθρακούχες εκπομπές μέσω της παροχής λεωφορείων μηδενικών εκπομπών. </w:t>
      </w:r>
    </w:p>
    <w:p w14:paraId="3A160CAB" w14:textId="7B1069C1" w:rsidR="00154AD2" w:rsidRDefault="007F6BF3">
      <w:pPr>
        <w:pStyle w:val="P68B1DB1-Normal4"/>
        <w:keepNext/>
        <w:spacing w:before="40" w:after="0" w:line="259" w:lineRule="auto"/>
        <w:jc w:val="both"/>
        <w:rPr>
          <w:rFonts w:eastAsiaTheme="minorEastAsia" w:cs="Times New Roman"/>
          <w:noProof/>
        </w:rPr>
      </w:pPr>
      <w:r>
        <w:rPr>
          <w:noProof/>
        </w:rPr>
        <w:t xml:space="preserve">Η επένδυση συνίσταται σε χρηματοδοτική στήριξη για την αγορά 145 λεωφορείων μηδενικών εκπομπών (ηλεκτρικής ενέργειας ή υδρογόνου) για τις δημόσιες συγκοινωνίες και υποδομών φόρτισης για τη λειτουργία τους. Η στήριξη παρέχεται με τη μορφή μη επιστρεπτέας επιχορήγησης της διαφοράς μεταξύ του κόστους αγοράς λεωφορείου μηδενικών εκπομπών (ηλεκτρικού ή υδρογόνου) και ισοδύναμου με ντίζελ οχήματος (EURO VI). Τα λεωφορεία χρησιμοποιούνται για την παροχή δημόσιων υπηρεσιών επιβατικών μεταφορών στο πλαίσιο συμβάσεων παροχής δημόσιας υπηρεσίας στις μητροπολιτικές περιοχές της Λισαβόνας και του Πόρτο. </w:t>
      </w:r>
    </w:p>
    <w:p w14:paraId="30E9508A" w14:textId="77777777" w:rsidR="00154AD2" w:rsidRDefault="007F6BF3">
      <w:pPr>
        <w:pStyle w:val="P68B1DB1-Normal4"/>
        <w:keepNext/>
        <w:spacing w:before="40" w:after="0" w:line="259" w:lineRule="auto"/>
        <w:jc w:val="both"/>
        <w:rPr>
          <w:rFonts w:eastAsiaTheme="minorEastAsia" w:cs="Times New Roman"/>
          <w:noProof/>
        </w:rPr>
      </w:pPr>
      <w:r>
        <w:rPr>
          <w:noProof/>
        </w:rPr>
        <w:t>Η υλοποίηση της επένδυσης θα ολοκληρωθεί έως τις 31 Δεκεμβρίου 2023.</w:t>
      </w:r>
    </w:p>
    <w:p w14:paraId="3EA4262B" w14:textId="17791992" w:rsidR="00154AD2" w:rsidRDefault="007F6BF3">
      <w:pPr>
        <w:pStyle w:val="P68B1DB1-Normal5"/>
        <w:keepNext/>
        <w:spacing w:before="240" w:after="0" w:line="259" w:lineRule="auto"/>
        <w:ind w:left="851"/>
        <w:jc w:val="both"/>
        <w:outlineLvl w:val="2"/>
        <w:rPr>
          <w:rFonts w:eastAsiaTheme="minorEastAsia" w:cs="Times New Roman"/>
          <w:noProof/>
        </w:rPr>
      </w:pPr>
      <w:bookmarkStart w:id="28" w:name="_Toc137472463"/>
      <w:r>
        <w:rPr>
          <w:noProof/>
        </w:rPr>
        <w:t>Επένδυση TC-C15-I06: Ψηφιοποίηση των σιδηροδρομικών μεταφορών</w:t>
      </w:r>
      <w:bookmarkEnd w:id="28"/>
    </w:p>
    <w:p w14:paraId="3A592227" w14:textId="2C1D33A4" w:rsidR="00154AD2" w:rsidRDefault="007F6BF3">
      <w:pPr>
        <w:pStyle w:val="P68B1DB1-Normal4"/>
        <w:spacing w:before="40" w:after="0" w:line="259" w:lineRule="auto"/>
        <w:jc w:val="both"/>
        <w:rPr>
          <w:rFonts w:cs="Times New Roman"/>
          <w:noProof/>
        </w:rPr>
      </w:pPr>
      <w:r>
        <w:rPr>
          <w:noProof/>
        </w:rPr>
        <w:t>Στόχος της επένδυσης αυτής είναι να καταστεί η βόρεια γραμμή του Εθνικού Σιδηροδρομικού Δικτύου (RFN) συμβατή με τη νέα σιδηροδρομική γραμμή υψηλής ταχύτητας (LAV) μέσω της αντικατάστασης των ηλεκτρονικών συστημάτων σηματοδότησης. Αυτό αναμένεται να βελτιώσει τη διαλειτουργικότητα της RFN με τον Ενιαίο Ευρωπαϊκό Σιδηροδρομικό Χώρο.</w:t>
      </w:r>
    </w:p>
    <w:p w14:paraId="0880068A" w14:textId="3E3F8752" w:rsidR="00154AD2" w:rsidRDefault="007F6BF3">
      <w:pPr>
        <w:pStyle w:val="P68B1DB1-Normal4"/>
        <w:spacing w:before="40" w:after="0" w:line="259" w:lineRule="auto"/>
        <w:jc w:val="both"/>
        <w:rPr>
          <w:rFonts w:cs="Times New Roman"/>
          <w:noProof/>
        </w:rPr>
      </w:pPr>
      <w:r>
        <w:rPr>
          <w:noProof/>
        </w:rPr>
        <w:t>Η επένδυση αυτή συνίσταται στην αντικατάσταση των ηλεκτρονικών συστημάτων σηματοδότησης στους σταθμούς Campolide-Cintura, Oriente, Alverca και Azambuja, που καλύπτουν 20 χιλιόμετρα σιδηροδρομικών γραμμών στη μητροπολιτική περιοχή της Λισαβόνας.</w:t>
      </w:r>
    </w:p>
    <w:p w14:paraId="3287A3D7" w14:textId="77777777" w:rsidR="00154AD2" w:rsidRDefault="007F6BF3">
      <w:pPr>
        <w:pStyle w:val="P68B1DB1-Normal4"/>
        <w:spacing w:before="40" w:after="0" w:line="259" w:lineRule="auto"/>
        <w:jc w:val="both"/>
        <w:rPr>
          <w:rFonts w:cs="Times New Roman"/>
          <w:noProof/>
        </w:rPr>
      </w:pPr>
      <w:r>
        <w:rPr>
          <w:noProof/>
        </w:rPr>
        <w:t>Η υλοποίηση της επένδυσης θα ολοκληρωθεί έως τις 30 Ιουνίου 2026.</w:t>
      </w:r>
    </w:p>
    <w:p w14:paraId="39B0B8B1"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62B6A681" w14:textId="65744CBC" w:rsidR="00154AD2" w:rsidRDefault="00154AD2">
      <w:pPr>
        <w:keepNext/>
        <w:spacing w:before="40" w:after="0" w:line="259" w:lineRule="auto"/>
        <w:jc w:val="both"/>
        <w:rPr>
          <w:rFonts w:ascii="Times New Roman" w:eastAsiaTheme="minorEastAsia" w:hAnsi="Times New Roman" w:cs="Times New Roman"/>
          <w:noProof/>
          <w:sz w:val="24"/>
        </w:rPr>
        <w:sectPr w:rsidR="00154AD2" w:rsidSect="00E00EDD">
          <w:headerReference w:type="even" r:id="rId282"/>
          <w:headerReference w:type="default" r:id="rId283"/>
          <w:footerReference w:type="even" r:id="rId284"/>
          <w:footerReference w:type="default" r:id="rId285"/>
          <w:headerReference w:type="first" r:id="rId286"/>
          <w:footerReference w:type="first" r:id="rId287"/>
          <w:pgSz w:w="11907" w:h="16839"/>
          <w:pgMar w:top="1134" w:right="1134" w:bottom="1134" w:left="1134" w:header="567" w:footer="567" w:gutter="0"/>
          <w:cols w:space="720"/>
          <w:docGrid w:linePitch="360"/>
        </w:sectPr>
      </w:pPr>
    </w:p>
    <w:p w14:paraId="141E7B95" w14:textId="77777777" w:rsidR="00154AD2" w:rsidRDefault="007F6BF3">
      <w:pPr>
        <w:pStyle w:val="P68B1DB1-Normal3"/>
        <w:keepNext/>
        <w:spacing w:before="40" w:after="0" w:line="259" w:lineRule="auto"/>
        <w:ind w:left="130" w:firstLine="720"/>
        <w:jc w:val="both"/>
        <w:outlineLvl w:val="1"/>
        <w:rPr>
          <w:rFonts w:eastAsiaTheme="minorEastAsia" w:cs="Times New Roman"/>
          <w:noProof/>
        </w:rPr>
      </w:pPr>
      <w:r>
        <w:rPr>
          <w:noProof/>
        </w:rPr>
        <w:t xml:space="preserve">Ο.2. </w:t>
      </w:r>
      <w:r>
        <w:rPr>
          <w:noProof/>
        </w:rPr>
        <w:tab/>
        <w:t>Ορόσημα, στόχοι, δείκτες και χρονοδιάγραμμα για την παρακολούθηση και την υλοποίηση της μη επιστρεπτέας χρηματοδοτικής στήριξης</w:t>
      </w:r>
    </w:p>
    <w:p w14:paraId="7077B900" w14:textId="77777777" w:rsidR="00154AD2" w:rsidRDefault="00154AD2">
      <w:pPr>
        <w:keepNext/>
        <w:spacing w:before="40" w:after="0" w:line="259" w:lineRule="auto"/>
        <w:jc w:val="both"/>
        <w:rPr>
          <w:rFonts w:ascii="Times New Roman" w:eastAsiaTheme="minorEastAsia" w:hAnsi="Times New Roman" w:cs="Times New Roman"/>
          <w:noProof/>
          <w:sz w:val="24"/>
        </w:rPr>
      </w:pPr>
    </w:p>
    <w:tbl>
      <w:tblPr>
        <w:tblW w:w="15027" w:type="dxa"/>
        <w:tblInd w:w="-176" w:type="dxa"/>
        <w:tblLayout w:type="fixed"/>
        <w:tblLook w:val="04A0" w:firstRow="1" w:lastRow="0" w:firstColumn="1" w:lastColumn="0" w:noHBand="0" w:noVBand="1"/>
      </w:tblPr>
      <w:tblGrid>
        <w:gridCol w:w="1135"/>
        <w:gridCol w:w="1276"/>
        <w:gridCol w:w="1134"/>
        <w:gridCol w:w="1701"/>
        <w:gridCol w:w="1417"/>
        <w:gridCol w:w="993"/>
        <w:gridCol w:w="992"/>
        <w:gridCol w:w="709"/>
        <w:gridCol w:w="567"/>
        <w:gridCol w:w="708"/>
        <w:gridCol w:w="4395"/>
      </w:tblGrid>
      <w:tr w:rsidR="00154AD2" w14:paraId="7CC6D94E" w14:textId="77777777">
        <w:trPr>
          <w:trHeight w:val="910"/>
          <w:tblHeader/>
        </w:trPr>
        <w:tc>
          <w:tcPr>
            <w:tcW w:w="1135"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3C0125D8" w14:textId="77777777" w:rsidR="00154AD2" w:rsidRDefault="007F6BF3">
            <w:pPr>
              <w:pStyle w:val="P68B1DB1-Normal6"/>
              <w:spacing w:after="0" w:line="240" w:lineRule="auto"/>
              <w:jc w:val="center"/>
              <w:rPr>
                <w:rFonts w:eastAsia="Times New Roman" w:cs="Times New Roman"/>
                <w:noProof/>
              </w:rPr>
            </w:pPr>
            <w:r>
              <w:rPr>
                <w:noProof/>
              </w:rPr>
              <w:t>Αύξων αριθμός</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1315983A" w14:textId="77777777" w:rsidR="00154AD2" w:rsidRDefault="007F6BF3">
            <w:pPr>
              <w:pStyle w:val="P68B1DB1-Normal6"/>
              <w:spacing w:after="0" w:line="240" w:lineRule="auto"/>
              <w:jc w:val="center"/>
              <w:rPr>
                <w:rFonts w:eastAsia="Times New Roman" w:cs="Times New Roman"/>
                <w:noProof/>
              </w:rPr>
            </w:pPr>
            <w:r>
              <w:rPr>
                <w:noProof/>
              </w:rPr>
              <w:t>Μέτρο (Μεταρρύθμιση ή Επενδύσεις)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3E7DAADC" w14:textId="22191D45" w:rsidR="00154AD2" w:rsidRDefault="007F6BF3">
            <w:pPr>
              <w:pStyle w:val="P68B1DB1-Normal6"/>
              <w:spacing w:after="0" w:line="240" w:lineRule="auto"/>
              <w:jc w:val="center"/>
              <w:rPr>
                <w:rFonts w:eastAsia="Times New Roman" w:cs="Times New Roman"/>
                <w:noProof/>
              </w:rPr>
            </w:pPr>
            <w:r>
              <w:rPr>
                <w:noProof/>
              </w:rPr>
              <w:t>Ορόσημο/Στόχος</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6107FD4" w14:textId="77777777" w:rsidR="00154AD2" w:rsidRDefault="007F6BF3">
            <w:pPr>
              <w:pStyle w:val="P68B1DB1-Normal6"/>
              <w:spacing w:after="0" w:line="240" w:lineRule="auto"/>
              <w:jc w:val="center"/>
              <w:rPr>
                <w:rFonts w:eastAsia="Times New Roman" w:cs="Times New Roman"/>
                <w:noProof/>
              </w:rPr>
            </w:pPr>
            <w:r>
              <w:rPr>
                <w:noProof/>
              </w:rPr>
              <w:t>Όνομα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204D3E9" w14:textId="77777777" w:rsidR="00154AD2" w:rsidRDefault="007F6BF3">
            <w:pPr>
              <w:pStyle w:val="P68B1DB1-Normal6"/>
              <w:spacing w:after="0" w:line="240" w:lineRule="auto"/>
              <w:jc w:val="center"/>
              <w:rPr>
                <w:rFonts w:eastAsia="Times New Roman" w:cs="Times New Roman"/>
                <w:noProof/>
              </w:rPr>
            </w:pPr>
            <w:r>
              <w:rPr>
                <w:noProof/>
              </w:rPr>
              <w:t>Ποιοτικοί δείκτες (για τα ορόσημα)</w:t>
            </w:r>
          </w:p>
        </w:tc>
        <w:tc>
          <w:tcPr>
            <w:tcW w:w="2694" w:type="dxa"/>
            <w:gridSpan w:val="3"/>
            <w:tcBorders>
              <w:top w:val="single" w:sz="4" w:space="0" w:color="auto"/>
              <w:left w:val="single" w:sz="4" w:space="0" w:color="auto"/>
              <w:bottom w:val="single" w:sz="4" w:space="0" w:color="auto"/>
              <w:right w:val="single" w:sz="4" w:space="0" w:color="auto"/>
            </w:tcBorders>
            <w:shd w:val="clear" w:color="auto" w:fill="BDD6EE"/>
            <w:vAlign w:val="center"/>
            <w:hideMark/>
          </w:tcPr>
          <w:p w14:paraId="3E428110" w14:textId="77777777" w:rsidR="00154AD2" w:rsidRDefault="007F6BF3">
            <w:pPr>
              <w:pStyle w:val="P68B1DB1-Normal6"/>
              <w:spacing w:after="0" w:line="240" w:lineRule="auto"/>
              <w:jc w:val="center"/>
              <w:rPr>
                <w:rFonts w:eastAsia="Times New Roman" w:cs="Times New Roman"/>
                <w:noProof/>
              </w:rPr>
            </w:pPr>
            <w:r>
              <w:rPr>
                <w:noProof/>
              </w:rPr>
              <w:t>Ποσοτικοί δείκτες (για τους στόχους)</w:t>
            </w:r>
          </w:p>
        </w:tc>
        <w:tc>
          <w:tcPr>
            <w:tcW w:w="127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85E208D" w14:textId="77777777" w:rsidR="00154AD2" w:rsidRDefault="007F6BF3">
            <w:pPr>
              <w:pStyle w:val="P68B1DB1-Normal6"/>
              <w:spacing w:after="0" w:line="240" w:lineRule="auto"/>
              <w:jc w:val="center"/>
              <w:rPr>
                <w:rFonts w:eastAsia="Times New Roman" w:cs="Times New Roman"/>
                <w:noProof/>
              </w:rPr>
            </w:pPr>
            <w:r>
              <w:rPr>
                <w:noProof/>
              </w:rPr>
              <w:t>Ενδεικτικό χρονοδιάγραμμα ολοκλήρωσης</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6E137D9D" w14:textId="77777777" w:rsidR="00154AD2" w:rsidRDefault="007F6BF3">
            <w:pPr>
              <w:pStyle w:val="P68B1DB1-Normal6"/>
              <w:spacing w:after="0" w:line="240" w:lineRule="auto"/>
              <w:jc w:val="center"/>
              <w:rPr>
                <w:rFonts w:eastAsia="Times New Roman" w:cs="Times New Roman"/>
                <w:noProof/>
              </w:rPr>
            </w:pPr>
            <w:r>
              <w:rPr>
                <w:noProof/>
              </w:rPr>
              <w:t>Περιγραφή και σαφής ορισμός κάθε ορόσημου και στόχου</w:t>
            </w:r>
          </w:p>
        </w:tc>
      </w:tr>
      <w:tr w:rsidR="00154AD2" w14:paraId="68581FC3" w14:textId="77777777">
        <w:trPr>
          <w:trHeight w:val="470"/>
          <w:tblHeader/>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38B8D7A" w14:textId="77777777" w:rsidR="00154AD2" w:rsidRDefault="00154AD2">
            <w:pPr>
              <w:spacing w:after="0" w:line="240" w:lineRule="auto"/>
              <w:rPr>
                <w:rFonts w:ascii="Times New Roman" w:eastAsia="Times New Roman" w:hAnsi="Times New Roman" w:cs="Times New Roman"/>
                <w:b/>
                <w:noProof/>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BF832C" w14:textId="77777777" w:rsidR="00154AD2" w:rsidRDefault="00154AD2">
            <w:pPr>
              <w:spacing w:after="0" w:line="240" w:lineRule="auto"/>
              <w:rPr>
                <w:rFonts w:ascii="Times New Roman" w:eastAsia="Times New Roman" w:hAnsi="Times New Roman" w:cs="Times New Roman"/>
                <w:b/>
                <w:noProof/>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180096" w14:textId="61D5DCDC" w:rsidR="00154AD2" w:rsidRDefault="00154AD2">
            <w:pPr>
              <w:spacing w:after="0" w:line="240" w:lineRule="auto"/>
              <w:jc w:val="center"/>
              <w:rPr>
                <w:rFonts w:ascii="Times New Roman" w:eastAsia="Times New Roman" w:hAnsi="Times New Roman" w:cs="Times New Roman"/>
                <w:b/>
                <w:noProof/>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DB268C" w14:textId="77777777" w:rsidR="00154AD2" w:rsidRDefault="00154AD2">
            <w:pPr>
              <w:spacing w:after="0" w:line="240" w:lineRule="auto"/>
              <w:rPr>
                <w:rFonts w:ascii="Times New Roman" w:eastAsia="Times New Roman" w:hAnsi="Times New Roman" w:cs="Times New Roman"/>
                <w:b/>
                <w:noProof/>
                <w:sz w:val="18"/>
              </w:rPr>
            </w:pPr>
          </w:p>
        </w:tc>
        <w:tc>
          <w:tcPr>
            <w:tcW w:w="1417" w:type="dxa"/>
            <w:vMerge/>
            <w:tcBorders>
              <w:top w:val="single" w:sz="4" w:space="0" w:color="auto"/>
              <w:left w:val="single" w:sz="4" w:space="0" w:color="auto"/>
            </w:tcBorders>
            <w:vAlign w:val="center"/>
            <w:hideMark/>
          </w:tcPr>
          <w:p w14:paraId="2E62C192" w14:textId="77777777" w:rsidR="00154AD2" w:rsidRDefault="00154AD2">
            <w:pPr>
              <w:spacing w:after="0" w:line="240" w:lineRule="auto"/>
              <w:rPr>
                <w:rFonts w:ascii="Times New Roman" w:eastAsia="Times New Roman" w:hAnsi="Times New Roman" w:cs="Times New Roman"/>
                <w:b/>
                <w:noProof/>
                <w:sz w:val="18"/>
              </w:rPr>
            </w:pPr>
          </w:p>
        </w:tc>
        <w:tc>
          <w:tcPr>
            <w:tcW w:w="99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DA8C97F" w14:textId="77777777" w:rsidR="00154AD2" w:rsidRDefault="007F6BF3">
            <w:pPr>
              <w:pStyle w:val="P68B1DB1-Normal6"/>
              <w:spacing w:after="0" w:line="240" w:lineRule="auto"/>
              <w:jc w:val="center"/>
              <w:rPr>
                <w:rFonts w:eastAsia="Times New Roman" w:cs="Times New Roman"/>
                <w:noProof/>
              </w:rPr>
            </w:pPr>
            <w:r>
              <w:rPr>
                <w:noProof/>
              </w:rPr>
              <w:t>Μονάδα μέτρησης</w:t>
            </w:r>
          </w:p>
        </w:tc>
        <w:tc>
          <w:tcPr>
            <w:tcW w:w="99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F46BD3D" w14:textId="77777777" w:rsidR="00154AD2" w:rsidRDefault="007F6BF3">
            <w:pPr>
              <w:pStyle w:val="P68B1DB1-Normal6"/>
              <w:spacing w:after="0" w:line="240" w:lineRule="auto"/>
              <w:jc w:val="center"/>
              <w:rPr>
                <w:rFonts w:eastAsia="Times New Roman" w:cs="Times New Roman"/>
                <w:noProof/>
              </w:rPr>
            </w:pPr>
            <w:r>
              <w:rPr>
                <w:noProof/>
              </w:rPr>
              <w:t>Γραμμή βάσης</w:t>
            </w:r>
          </w:p>
        </w:tc>
        <w:tc>
          <w:tcPr>
            <w:tcW w:w="7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7D6BE88" w14:textId="77777777" w:rsidR="00154AD2" w:rsidRDefault="007F6BF3">
            <w:pPr>
              <w:pStyle w:val="P68B1DB1-Normal6"/>
              <w:spacing w:after="0" w:line="240" w:lineRule="auto"/>
              <w:jc w:val="center"/>
              <w:rPr>
                <w:rFonts w:eastAsia="Times New Roman" w:cs="Times New Roman"/>
                <w:noProof/>
              </w:rPr>
            </w:pPr>
            <w:r>
              <w:rPr>
                <w:noProof/>
              </w:rPr>
              <w:t>Στόχοι</w:t>
            </w:r>
          </w:p>
        </w:tc>
        <w:tc>
          <w:tcPr>
            <w:tcW w:w="56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4581423" w14:textId="77777777" w:rsidR="00154AD2" w:rsidRDefault="007F6BF3">
            <w:pPr>
              <w:pStyle w:val="P68B1DB1-Normal6"/>
              <w:spacing w:after="0" w:line="240" w:lineRule="auto"/>
              <w:jc w:val="center"/>
              <w:rPr>
                <w:rFonts w:eastAsia="Times New Roman" w:cs="Times New Roman"/>
                <w:noProof/>
              </w:rPr>
            </w:pPr>
            <w:r>
              <w:rPr>
                <w:noProof/>
              </w:rPr>
              <w:t>Ε</w:t>
            </w:r>
          </w:p>
        </w:tc>
        <w:tc>
          <w:tcPr>
            <w:tcW w:w="70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2096D69" w14:textId="77777777" w:rsidR="00154AD2" w:rsidRDefault="007F6BF3">
            <w:pPr>
              <w:pStyle w:val="P68B1DB1-Normal6"/>
              <w:spacing w:after="0" w:line="240" w:lineRule="auto"/>
              <w:jc w:val="center"/>
              <w:rPr>
                <w:rFonts w:eastAsia="Times New Roman" w:cs="Times New Roman"/>
                <w:noProof/>
              </w:rPr>
            </w:pPr>
            <w:r>
              <w:rPr>
                <w:noProof/>
              </w:rPr>
              <w:t>Έτος</w:t>
            </w:r>
          </w:p>
        </w:tc>
        <w:tc>
          <w:tcPr>
            <w:tcW w:w="4395" w:type="dxa"/>
            <w:vMerge/>
            <w:tcBorders>
              <w:top w:val="single" w:sz="4" w:space="0" w:color="auto"/>
              <w:bottom w:val="single" w:sz="4" w:space="0" w:color="auto"/>
              <w:right w:val="single" w:sz="4" w:space="0" w:color="auto"/>
            </w:tcBorders>
            <w:vAlign w:val="center"/>
            <w:hideMark/>
          </w:tcPr>
          <w:p w14:paraId="4EB74829" w14:textId="77777777" w:rsidR="00154AD2" w:rsidRDefault="00154AD2">
            <w:pPr>
              <w:spacing w:after="0" w:line="240" w:lineRule="auto"/>
              <w:rPr>
                <w:rFonts w:ascii="Times New Roman" w:eastAsia="Times New Roman" w:hAnsi="Times New Roman" w:cs="Times New Roman"/>
                <w:b/>
                <w:noProof/>
                <w:sz w:val="18"/>
              </w:rPr>
            </w:pPr>
          </w:p>
        </w:tc>
      </w:tr>
      <w:tr w:rsidR="00154AD2" w14:paraId="50AD3AE2" w14:textId="77777777">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7C77800" w14:textId="5F17094A" w:rsidR="00154AD2" w:rsidRDefault="007F6BF3">
            <w:pPr>
              <w:pStyle w:val="P68B1DB1-Normal7"/>
              <w:spacing w:after="0" w:line="240" w:lineRule="auto"/>
              <w:jc w:val="center"/>
              <w:rPr>
                <w:rFonts w:eastAsia="Times New Roman" w:cs="Calibri"/>
                <w:noProof/>
              </w:rPr>
            </w:pPr>
            <w:r>
              <w:rPr>
                <w:noProof/>
              </w:rPr>
              <w:t>15.1</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A534AA6" w14:textId="77777777" w:rsidR="00154AD2" w:rsidRDefault="007F6BF3">
            <w:pPr>
              <w:pStyle w:val="P68B1DB1-Normal8"/>
              <w:spacing w:after="0" w:line="240" w:lineRule="auto"/>
              <w:jc w:val="center"/>
              <w:rPr>
                <w:rFonts w:eastAsia="Times New Roman" w:cs="Calibri"/>
                <w:noProof/>
              </w:rPr>
            </w:pPr>
            <w:r>
              <w:rPr>
                <w:noProof/>
              </w:rPr>
              <w:t>TC-C15-I01</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863BA6A"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4F354DE" w14:textId="77777777" w:rsidR="00154AD2" w:rsidRDefault="007F6BF3">
            <w:pPr>
              <w:pStyle w:val="P68B1DB1-Normal8"/>
              <w:spacing w:after="0" w:line="240" w:lineRule="auto"/>
              <w:jc w:val="center"/>
              <w:rPr>
                <w:rFonts w:eastAsia="Times New Roman" w:cs="Calibri"/>
                <w:noProof/>
              </w:rPr>
            </w:pPr>
            <w:r>
              <w:rPr>
                <w:noProof/>
              </w:rPr>
              <w:t>Υπογραφή της σύμβασης για την επέκταση του δικτύου Metro της Λισαβόνας</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60B92C0" w14:textId="77777777" w:rsidR="00154AD2" w:rsidRDefault="007F6BF3">
            <w:pPr>
              <w:pStyle w:val="P68B1DB1-Normal8"/>
              <w:spacing w:after="0" w:line="240" w:lineRule="auto"/>
              <w:jc w:val="center"/>
              <w:rPr>
                <w:rFonts w:eastAsia="Times New Roman" w:cs="Calibri"/>
                <w:noProof/>
              </w:rPr>
            </w:pPr>
            <w:r>
              <w:rPr>
                <w:noProof/>
              </w:rPr>
              <w:t>Υπογραφή της σύμβασης για την επέκταση του δικτύου Metro της Λισαβόνας</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509C23E" w14:textId="77777777" w:rsidR="00154AD2" w:rsidRDefault="00154AD2">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26D8CFA" w14:textId="77777777" w:rsidR="00154AD2" w:rsidRDefault="00154AD2">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FC64576" w14:textId="77777777" w:rsidR="00154AD2" w:rsidRDefault="00154AD2">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4639643" w14:textId="3FB61DFB" w:rsidR="00154AD2" w:rsidRDefault="007F6BF3">
            <w:pPr>
              <w:pStyle w:val="P68B1DB1-Normal8"/>
              <w:spacing w:after="0" w:line="240" w:lineRule="auto"/>
              <w:jc w:val="center"/>
              <w:rPr>
                <w:rFonts w:eastAsia="Times New Roman" w:cs="Calibri"/>
                <w:noProof/>
              </w:rPr>
            </w:pPr>
            <w:r>
              <w:rPr>
                <w:noProof/>
              </w:rPr>
              <w:t>ΤΡΊΜΗΝΟ 4</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B884C5F" w14:textId="48A8EC3E" w:rsidR="00154AD2" w:rsidRDefault="007F6BF3">
            <w:pPr>
              <w:pStyle w:val="P68B1DB1-Normal8"/>
              <w:spacing w:after="0" w:line="240" w:lineRule="auto"/>
              <w:jc w:val="center"/>
              <w:rPr>
                <w:rFonts w:eastAsia="Times New Roman" w:cs="Calibri"/>
                <w:noProof/>
              </w:rPr>
            </w:pPr>
            <w:r>
              <w:rPr>
                <w:noProof/>
              </w:rPr>
              <w:t>2023</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36E6D604" w14:textId="77777777" w:rsidR="00154AD2" w:rsidRDefault="007F6BF3">
            <w:pPr>
              <w:pStyle w:val="P68B1DB1-Normal8"/>
              <w:spacing w:after="0" w:line="240" w:lineRule="auto"/>
              <w:jc w:val="both"/>
              <w:rPr>
                <w:rFonts w:eastAsia="Times New Roman" w:cs="Calibri"/>
                <w:noProof/>
              </w:rPr>
            </w:pPr>
            <w:r>
              <w:rPr>
                <w:noProof/>
              </w:rPr>
              <w:t xml:space="preserve">Υπογραφή της σύμβασης υλοποίησης του έργου μεταξύ των δημόσιων αρχών και του αναδόχου που επελέγη στο πλαίσιο διαδικασίας υποβολής προσφορών. Σκοπός της σύμβασης είναι η επέκταση του δικτύου Metro της Λισαβόνας (κόκκινη γραμμή στην Alcântara). </w:t>
            </w:r>
          </w:p>
        </w:tc>
      </w:tr>
      <w:tr w:rsidR="00154AD2" w14:paraId="40BA7885" w14:textId="77777777">
        <w:trPr>
          <w:trHeight w:val="148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20B8CB5E" w14:textId="0618E02F" w:rsidR="00154AD2" w:rsidRDefault="007F6BF3">
            <w:pPr>
              <w:pStyle w:val="P68B1DB1-Normal7"/>
              <w:spacing w:after="0" w:line="240" w:lineRule="auto"/>
              <w:jc w:val="center"/>
              <w:rPr>
                <w:rFonts w:eastAsia="Times New Roman" w:cs="Calibri"/>
                <w:noProof/>
              </w:rPr>
            </w:pPr>
            <w:r>
              <w:rPr>
                <w:noProof/>
              </w:rPr>
              <w:t>15.2</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C5E91C3" w14:textId="77777777" w:rsidR="00154AD2" w:rsidRDefault="007F6BF3">
            <w:pPr>
              <w:pStyle w:val="P68B1DB1-Normal8"/>
              <w:spacing w:after="0" w:line="240" w:lineRule="auto"/>
              <w:jc w:val="center"/>
              <w:rPr>
                <w:rFonts w:eastAsia="Times New Roman" w:cs="Calibri"/>
                <w:noProof/>
              </w:rPr>
            </w:pPr>
            <w:r>
              <w:rPr>
                <w:noProof/>
              </w:rPr>
              <w:t>TC-C15-I01</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30AE406"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3DA6929" w14:textId="77777777" w:rsidR="00154AD2" w:rsidRDefault="007F6BF3">
            <w:pPr>
              <w:pStyle w:val="P68B1DB1-Normal8"/>
              <w:spacing w:after="0" w:line="240" w:lineRule="auto"/>
              <w:jc w:val="center"/>
              <w:rPr>
                <w:rFonts w:eastAsia="Times New Roman" w:cs="Calibri"/>
                <w:noProof/>
              </w:rPr>
            </w:pPr>
            <w:r>
              <w:rPr>
                <w:noProof/>
              </w:rPr>
              <w:t xml:space="preserve">Έκθεση προόδου σχετικά με την επέκταση του δικτύου Metro της Λισαβόνας </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D011F76" w14:textId="70D73D4F" w:rsidR="00154AD2" w:rsidRDefault="007F6BF3">
            <w:pPr>
              <w:pStyle w:val="P68B1DB1-Normal8"/>
              <w:spacing w:after="0" w:line="240" w:lineRule="auto"/>
              <w:jc w:val="center"/>
              <w:rPr>
                <w:rFonts w:eastAsia="Times New Roman" w:cs="Calibri"/>
                <w:noProof/>
              </w:rPr>
            </w:pPr>
            <w:r>
              <w:rPr>
                <w:noProof/>
              </w:rPr>
              <w:t>Έκθεση προόδου στην οποία αναφέρεται ότι οι εργασίες προχωρούν σύμφωνα με το χρονοδιάγραμμα</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F20F358" w14:textId="77777777" w:rsidR="00154AD2" w:rsidRDefault="00154AD2">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E244C04" w14:textId="77777777" w:rsidR="00154AD2" w:rsidRDefault="00154AD2">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184EF25" w14:textId="77777777" w:rsidR="00154AD2" w:rsidRDefault="00154AD2">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3D75967" w14:textId="137BD9FF" w:rsidR="00154AD2" w:rsidRDefault="007F6BF3">
            <w:pPr>
              <w:pStyle w:val="P68B1DB1-Normal8"/>
              <w:spacing w:after="0" w:line="240" w:lineRule="auto"/>
              <w:jc w:val="center"/>
              <w:rPr>
                <w:rFonts w:eastAsia="Times New Roman" w:cs="Calibri"/>
                <w:noProof/>
              </w:rPr>
            </w:pPr>
            <w:r>
              <w:rPr>
                <w:noProof/>
              </w:rPr>
              <w:t>ΤΡΊΜΗΝΟ 1</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78D7ABE" w14:textId="1166CC74" w:rsidR="00154AD2" w:rsidRDefault="007F6BF3">
            <w:pPr>
              <w:pStyle w:val="P68B1DB1-Normal8"/>
              <w:spacing w:after="0" w:line="240" w:lineRule="auto"/>
              <w:jc w:val="center"/>
              <w:rPr>
                <w:rFonts w:eastAsia="Times New Roman" w:cs="Calibri"/>
                <w:noProof/>
              </w:rPr>
            </w:pPr>
            <w:r>
              <w:rPr>
                <w:noProof/>
              </w:rPr>
              <w:t>2024</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9AA98F4" w14:textId="30667D2A" w:rsidR="00154AD2" w:rsidRDefault="007F6BF3">
            <w:pPr>
              <w:pStyle w:val="P68B1DB1-Normal8"/>
              <w:spacing w:after="0" w:line="240" w:lineRule="auto"/>
              <w:jc w:val="both"/>
              <w:rPr>
                <w:rFonts w:eastAsia="Times New Roman" w:cs="Calibri"/>
                <w:noProof/>
              </w:rPr>
            </w:pPr>
            <w:r>
              <w:rPr>
                <w:noProof/>
              </w:rPr>
              <w:t>Η ανάπτυξη των εργασιών για την επέκταση του δικτύου μετρό της Λισαβόνας και η συμμόρφωση με το χρονοδιάγραμμα εκτέλεσής τους θα μετρώνται με τακτικές εκθέσεις προόδου καθ’ όλη τη διάρκεια της εκτέλεσης των εργασιών. Περιλαμβάνει την αξιολόγηση της εξέλιξης των εργασιών σύμφωνα με το προβλεπόμενο χρονοδιάγραμμα, συμπεριλαμβανομένου του προσδιορισμού των δραστηριοτήτων που έχουν ήδη ολοκληρωθεί, του προσδιορισμού των δραστηριοτήτων που πρέπει να εκτελεστούν και μιας ανάλυσης κινδύνου των προτεινόμενων προθεσμιών εφαρμογής με, εφόσον απαιτείται, σχέδιο μετριασμού και έκτακτης ανάγκης για να εξασφαλιστεί ότι η σύμβαση θα ολοκληρωθεί εντός των προτεινόμενων προθεσμιών. Το ορόσημο επιτυγχάνεται εάν η έκθεση προόδου αναφέρει ότι κατά τον χρόνο του ορόσημου οι εργασίες προχωρούν σύμφωνα με το χρονοδιάγραμμα.</w:t>
            </w:r>
          </w:p>
        </w:tc>
      </w:tr>
      <w:tr w:rsidR="00154AD2" w14:paraId="21365F71" w14:textId="77777777">
        <w:trPr>
          <w:trHeight w:val="64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CAE62C7" w14:textId="77777777" w:rsidR="00154AD2" w:rsidRDefault="007F6BF3">
            <w:pPr>
              <w:pStyle w:val="P68B1DB1-Normal7"/>
              <w:spacing w:after="0" w:line="240" w:lineRule="auto"/>
              <w:jc w:val="center"/>
              <w:rPr>
                <w:rFonts w:eastAsia="Times New Roman" w:cs="Calibri"/>
                <w:noProof/>
              </w:rPr>
            </w:pPr>
            <w:r>
              <w:rPr>
                <w:noProof/>
              </w:rPr>
              <w:t>15.3</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9104BAD" w14:textId="77777777" w:rsidR="00154AD2" w:rsidRDefault="007F6BF3">
            <w:pPr>
              <w:pStyle w:val="P68B1DB1-Normal8"/>
              <w:spacing w:after="0" w:line="240" w:lineRule="auto"/>
              <w:jc w:val="center"/>
              <w:rPr>
                <w:rFonts w:eastAsia="Times New Roman" w:cs="Calibri"/>
                <w:noProof/>
              </w:rPr>
            </w:pPr>
            <w:r>
              <w:rPr>
                <w:noProof/>
              </w:rPr>
              <w:t>TC-C15-I01</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1340E74"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51B537B" w14:textId="77777777" w:rsidR="00154AD2" w:rsidRDefault="007F6BF3">
            <w:pPr>
              <w:pStyle w:val="P68B1DB1-Normal8"/>
              <w:spacing w:after="0" w:line="240" w:lineRule="auto"/>
              <w:jc w:val="center"/>
              <w:rPr>
                <w:rFonts w:eastAsia="Times New Roman" w:cs="Calibri"/>
                <w:noProof/>
              </w:rPr>
            </w:pPr>
            <w:r>
              <w:rPr>
                <w:noProof/>
              </w:rPr>
              <w:t>Ολοκλήρωση της επέκτασης του δικτύου μετρό της Λισαβόνας</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45E5945" w14:textId="77777777" w:rsidR="00154AD2" w:rsidRDefault="00154AD2">
            <w:pPr>
              <w:spacing w:after="0" w:line="240" w:lineRule="auto"/>
              <w:jc w:val="center"/>
              <w:rPr>
                <w:rFonts w:ascii="Calibri" w:eastAsia="Times New Roman" w:hAnsi="Calibri" w:cs="Calibr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2937FC3" w14:textId="77777777" w:rsidR="00154AD2" w:rsidRDefault="007F6BF3">
            <w:pPr>
              <w:pStyle w:val="P68B1DB1-Normal8"/>
              <w:spacing w:after="0" w:line="240" w:lineRule="auto"/>
              <w:jc w:val="center"/>
              <w:rPr>
                <w:rFonts w:eastAsia="Times New Roman" w:cs="Calibri"/>
                <w:noProof/>
              </w:rPr>
            </w:pPr>
            <w:r>
              <w:rPr>
                <w:noProof/>
              </w:rPr>
              <w:t>Χλμ</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F99318E" w14:textId="77777777" w:rsidR="00154AD2" w:rsidRDefault="007F6BF3">
            <w:pPr>
              <w:pStyle w:val="P68B1DB1-Normal8"/>
              <w:spacing w:after="0" w:line="240" w:lineRule="auto"/>
              <w:jc w:val="center"/>
              <w:rPr>
                <w:rFonts w:eastAsia="Times New Roman" w:cs="Calibr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30F0CFF" w14:textId="77777777" w:rsidR="00154AD2" w:rsidRDefault="007F6BF3">
            <w:pPr>
              <w:pStyle w:val="P68B1DB1-Normal8"/>
              <w:spacing w:after="0" w:line="240" w:lineRule="auto"/>
              <w:jc w:val="center"/>
              <w:rPr>
                <w:rFonts w:eastAsia="Times New Roman" w:cs="Calibri"/>
                <w:noProof/>
              </w:rPr>
            </w:pPr>
            <w:r>
              <w:rPr>
                <w:noProof/>
              </w:rPr>
              <w:t>3,7</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3726894" w14:textId="2FBE3630" w:rsidR="00154AD2" w:rsidRDefault="007F6BF3">
            <w:pPr>
              <w:pStyle w:val="P68B1DB1-Normal8"/>
              <w:spacing w:after="0" w:line="240" w:lineRule="auto"/>
              <w:jc w:val="center"/>
              <w:rPr>
                <w:rFonts w:eastAsia="Times New Roman" w:cs="Calibri"/>
                <w:noProof/>
              </w:rPr>
            </w:pPr>
            <w:r>
              <w:rPr>
                <w:noProof/>
              </w:rPr>
              <w:t>ΤΡΊΜΗΝΟ 2</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722DCB8" w14:textId="2F31A42F" w:rsidR="00154AD2" w:rsidRDefault="007F6BF3">
            <w:pPr>
              <w:pStyle w:val="P68B1DB1-Normal8"/>
              <w:spacing w:after="0" w:line="240" w:lineRule="auto"/>
              <w:jc w:val="center"/>
              <w:rPr>
                <w:rFonts w:eastAsia="Times New Roman" w:cs="Calibri"/>
                <w:noProof/>
              </w:rPr>
            </w:pPr>
            <w:r>
              <w:rPr>
                <w:noProof/>
              </w:rPr>
              <w:t>2026</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F7A4859" w14:textId="77777777" w:rsidR="00154AD2" w:rsidRDefault="007F6BF3">
            <w:pPr>
              <w:pStyle w:val="P68B1DB1-Normal8"/>
              <w:spacing w:after="0" w:line="240" w:lineRule="auto"/>
              <w:jc w:val="both"/>
              <w:rPr>
                <w:rFonts w:eastAsia="Times New Roman" w:cs="Calibri"/>
                <w:noProof/>
              </w:rPr>
            </w:pPr>
            <w:r>
              <w:rPr>
                <w:noProof/>
              </w:rPr>
              <w:t>Το μήκος των κατασκευαστικών έργων που ολοκληρώθηκαν για την επέκταση του δικτύου Metro της Λισαβόνας (3.3 χλμ. στη σήραγγα και 0,4 km στο viaduct) με επέκταση της κόκκινης γραμμής στην Alcântara. Η εκτεταμένη γραμμή του μετρό είναι έτοιμη για την άμεση λειτουργία των προγραμματισμένων μεταφορικών υπηρεσιών.</w:t>
            </w:r>
          </w:p>
        </w:tc>
      </w:tr>
      <w:tr w:rsidR="00154AD2" w14:paraId="0A9DA7D4" w14:textId="77777777">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3DF8351D" w14:textId="77777777" w:rsidR="00154AD2" w:rsidRDefault="007F6BF3">
            <w:pPr>
              <w:pStyle w:val="P68B1DB1-Normal7"/>
              <w:spacing w:after="0" w:line="240" w:lineRule="auto"/>
              <w:jc w:val="center"/>
              <w:rPr>
                <w:rFonts w:eastAsia="Times New Roman" w:cs="Calibri"/>
                <w:noProof/>
              </w:rPr>
            </w:pPr>
            <w:r>
              <w:rPr>
                <w:noProof/>
              </w:rPr>
              <w:t>15.4</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61A62D0" w14:textId="77777777" w:rsidR="00154AD2" w:rsidRDefault="007F6BF3">
            <w:pPr>
              <w:pStyle w:val="P68B1DB1-Normal8"/>
              <w:spacing w:after="0" w:line="240" w:lineRule="auto"/>
              <w:jc w:val="center"/>
              <w:rPr>
                <w:rFonts w:eastAsia="Times New Roman" w:cs="Calibri"/>
                <w:noProof/>
              </w:rPr>
            </w:pPr>
            <w:r>
              <w:rPr>
                <w:noProof/>
              </w:rPr>
              <w:t>TC-C15-I02</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D4DB820"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99D997C" w14:textId="77777777" w:rsidR="00154AD2" w:rsidRDefault="007F6BF3">
            <w:pPr>
              <w:pStyle w:val="P68B1DB1-Normal8"/>
              <w:spacing w:after="0" w:line="240" w:lineRule="auto"/>
              <w:jc w:val="center"/>
              <w:rPr>
                <w:rFonts w:eastAsia="Times New Roman" w:cs="Calibri"/>
                <w:noProof/>
              </w:rPr>
            </w:pPr>
            <w:r>
              <w:rPr>
                <w:noProof/>
              </w:rPr>
              <w:t>Υπογραφή της σύμβασης επέκτασης του δικτύου του Porto Metro</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E161F9D" w14:textId="77777777" w:rsidR="00154AD2" w:rsidRDefault="007F6BF3">
            <w:pPr>
              <w:pStyle w:val="P68B1DB1-Normal8"/>
              <w:spacing w:after="0" w:line="240" w:lineRule="auto"/>
              <w:jc w:val="center"/>
              <w:rPr>
                <w:rFonts w:eastAsia="Times New Roman" w:cs="Calibri"/>
                <w:noProof/>
              </w:rPr>
            </w:pPr>
            <w:r>
              <w:rPr>
                <w:noProof/>
              </w:rPr>
              <w:t>Υπογραφή της σύμβασης επέκτασης του δικτύου του Porto Metro</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1C77D4A" w14:textId="77777777" w:rsidR="00154AD2" w:rsidRDefault="007F6BF3">
            <w:pPr>
              <w:pStyle w:val="P68B1DB1-Normal8"/>
              <w:spacing w:after="0" w:line="240" w:lineRule="auto"/>
              <w:jc w:val="center"/>
              <w:rPr>
                <w:rFonts w:eastAsia="Times New Roman" w:cs="Calibri"/>
                <w:noProof/>
              </w:rPr>
            </w:pPr>
            <w:r>
              <w:rPr>
                <w:noProof/>
              </w:rPr>
              <w:t>—</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D1E3CA6" w14:textId="77777777" w:rsidR="00154AD2" w:rsidRDefault="00154AD2">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C09920F" w14:textId="77777777" w:rsidR="00154AD2" w:rsidRDefault="00154AD2">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6352D8E" w14:textId="1E746343" w:rsidR="00154AD2" w:rsidRDefault="007F6BF3">
            <w:pPr>
              <w:pStyle w:val="P68B1DB1-Normal8"/>
              <w:spacing w:after="0" w:line="240" w:lineRule="auto"/>
              <w:jc w:val="center"/>
              <w:rPr>
                <w:rFonts w:eastAsia="Times New Roman" w:cs="Calibri"/>
                <w:noProof/>
              </w:rPr>
            </w:pPr>
            <w:r>
              <w:rPr>
                <w:noProof/>
              </w:rPr>
              <w:t>ΤΡΊΜΗΝΟ 4</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1216DD7" w14:textId="77777777" w:rsidR="00154AD2" w:rsidRDefault="007F6BF3">
            <w:pPr>
              <w:pStyle w:val="P68B1DB1-Normal8"/>
              <w:spacing w:after="0" w:line="240" w:lineRule="auto"/>
              <w:jc w:val="center"/>
              <w:rPr>
                <w:rFonts w:eastAsia="Times New Roman" w:cs="Calibri"/>
                <w:noProof/>
              </w:rPr>
            </w:pPr>
            <w:r>
              <w:rPr>
                <w:noProof/>
              </w:rPr>
              <w:t>2023</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A7F8EFE" w14:textId="77777777" w:rsidR="00154AD2" w:rsidRDefault="007F6BF3">
            <w:pPr>
              <w:pStyle w:val="P68B1DB1-Normal8"/>
              <w:spacing w:after="0" w:line="240" w:lineRule="auto"/>
              <w:jc w:val="both"/>
              <w:rPr>
                <w:rFonts w:eastAsia="Times New Roman" w:cs="Calibri"/>
                <w:noProof/>
              </w:rPr>
            </w:pPr>
            <w:r>
              <w:rPr>
                <w:noProof/>
              </w:rPr>
              <w:t xml:space="preserve">Υπογραφή της σύμβασης υλοποίησης του έργου μεταξύ των δημόσιων αρχών και του αναδόχου που επελέγη στο πλαίσιο διαδικασίας υποβολής προσφορών. Σκοπός της σύμβασης είναι η επέκταση του δικτύου Porto Metro (Casa da Música-Santo Ovídio). </w:t>
            </w:r>
          </w:p>
        </w:tc>
      </w:tr>
      <w:tr w:rsidR="00154AD2" w14:paraId="46A67267" w14:textId="77777777">
        <w:trPr>
          <w:trHeight w:val="148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5D3C3147" w14:textId="45F98DA8" w:rsidR="00154AD2" w:rsidRDefault="007F6BF3">
            <w:pPr>
              <w:pStyle w:val="P68B1DB1-Normal7"/>
              <w:spacing w:after="0" w:line="240" w:lineRule="auto"/>
              <w:jc w:val="center"/>
              <w:rPr>
                <w:rFonts w:eastAsia="Times New Roman" w:cs="Calibri"/>
                <w:noProof/>
              </w:rPr>
            </w:pPr>
            <w:r>
              <w:rPr>
                <w:noProof/>
              </w:rPr>
              <w:t>15.5</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93B52A6" w14:textId="77777777" w:rsidR="00154AD2" w:rsidRDefault="007F6BF3">
            <w:pPr>
              <w:pStyle w:val="P68B1DB1-Normal8"/>
              <w:spacing w:after="0" w:line="240" w:lineRule="auto"/>
              <w:jc w:val="center"/>
              <w:rPr>
                <w:rFonts w:eastAsia="Times New Roman" w:cs="Calibri"/>
                <w:noProof/>
              </w:rPr>
            </w:pPr>
            <w:r>
              <w:rPr>
                <w:noProof/>
              </w:rPr>
              <w:t>TC-C15-I02</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3DE8CB0"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BC8025F" w14:textId="77777777" w:rsidR="00154AD2" w:rsidRDefault="007F6BF3">
            <w:pPr>
              <w:pStyle w:val="P68B1DB1-Normal8"/>
              <w:spacing w:after="0" w:line="240" w:lineRule="auto"/>
              <w:jc w:val="center"/>
              <w:rPr>
                <w:rFonts w:eastAsia="Times New Roman" w:cs="Calibri"/>
                <w:noProof/>
              </w:rPr>
            </w:pPr>
            <w:r>
              <w:rPr>
                <w:noProof/>
              </w:rPr>
              <w:t>Έκθεση προόδου σχετικά με την επέκταση του δικτύου του Porto Metro</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30FC676" w14:textId="56A25A06" w:rsidR="00154AD2" w:rsidRDefault="007F6BF3">
            <w:pPr>
              <w:pStyle w:val="P68B1DB1-Normal8"/>
              <w:spacing w:after="0" w:line="240" w:lineRule="auto"/>
              <w:jc w:val="center"/>
              <w:rPr>
                <w:rFonts w:eastAsia="Times New Roman" w:cs="Calibri"/>
                <w:noProof/>
              </w:rPr>
            </w:pPr>
            <w:r>
              <w:rPr>
                <w:noProof/>
              </w:rPr>
              <w:t>Έκθεση προόδου στην οποία αναφέρεται ότι οι εργασίες προχωρούν σύμφωνα με το χρονοδιάγραμμα</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F3D6F6F" w14:textId="77777777" w:rsidR="00154AD2" w:rsidRDefault="00154AD2">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2E8FBF8" w14:textId="77777777" w:rsidR="00154AD2" w:rsidRDefault="00154AD2">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F1742AA" w14:textId="77777777" w:rsidR="00154AD2" w:rsidRDefault="00154AD2">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A657169" w14:textId="7210C00D" w:rsidR="00154AD2" w:rsidRDefault="007F6BF3">
            <w:pPr>
              <w:pStyle w:val="P68B1DB1-Normal8"/>
              <w:spacing w:after="0" w:line="240" w:lineRule="auto"/>
              <w:jc w:val="center"/>
              <w:rPr>
                <w:rFonts w:eastAsia="Times New Roman" w:cs="Calibri"/>
                <w:noProof/>
              </w:rPr>
            </w:pPr>
            <w:r>
              <w:rPr>
                <w:noProof/>
              </w:rPr>
              <w:t>ΤΡΊΜΗΝΟ 4</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0BCBA83" w14:textId="77777777" w:rsidR="00154AD2" w:rsidRDefault="007F6BF3">
            <w:pPr>
              <w:pStyle w:val="P68B1DB1-Normal8"/>
              <w:spacing w:after="0" w:line="240" w:lineRule="auto"/>
              <w:jc w:val="center"/>
              <w:rPr>
                <w:rFonts w:eastAsia="Times New Roman" w:cs="Calibri"/>
                <w:noProof/>
              </w:rPr>
            </w:pPr>
            <w:r>
              <w:rPr>
                <w:noProof/>
              </w:rPr>
              <w:t>2024</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34C069C" w14:textId="2D1BCCAB" w:rsidR="00154AD2" w:rsidRDefault="007F6BF3">
            <w:pPr>
              <w:pStyle w:val="P68B1DB1-Normal8"/>
              <w:spacing w:after="0" w:line="240" w:lineRule="auto"/>
              <w:jc w:val="both"/>
              <w:rPr>
                <w:rFonts w:eastAsia="Times New Roman" w:cs="Calibri"/>
                <w:noProof/>
              </w:rPr>
            </w:pPr>
            <w:r>
              <w:rPr>
                <w:noProof/>
              </w:rPr>
              <w:t>Η εξέλιξη των εργασιών για την επέκταση του δικτύου μετρό του Πόρτο και η τήρηση του χρονοδιαγράμματος υλοποίησής τους θα μετρώνται με τακτικές εκθέσεις προόδου καθ’ όλη τη διάρκεια της εκτέλεσης των εργασιών. Περιλαμβάνει την αξιολόγηση της εξέλιξης των εργασιών σύμφωνα με το προβλεπόμενο χρονοδιάγραμμα, συμπεριλαμβανομένου του προσδιορισμού των δραστηριοτήτων που έχουν ήδη ολοκληρωθεί, του προσδιορισμού των δραστηριοτήτων που πρέπει να εκτελεστούν και μιας ανάλυσης κινδύνου των προτεινόμενων προθεσμιών εφαρμογής με, εφόσον απαιτείται, σχέδιο μετριασμού και έκτακτης ανάγκης για να εξασφαλιστεί ότι η σύμβαση θα ολοκληρωθεί εντός των προτεινόμενων προθεσμιών. Το ορόσημο επιτυγχάνεται εάν η έκθεση προόδου αναφέρει ότι κατά τον χρόνο του ορόσημου οι εργασίες προχωρούν σύμφωνα με το χρονοδιάγραμμα.</w:t>
            </w:r>
          </w:p>
        </w:tc>
      </w:tr>
      <w:tr w:rsidR="00154AD2" w14:paraId="69619D3F" w14:textId="77777777">
        <w:trPr>
          <w:trHeight w:val="64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A7FAA43" w14:textId="77777777" w:rsidR="00154AD2" w:rsidRDefault="007F6BF3">
            <w:pPr>
              <w:pStyle w:val="P68B1DB1-Normal7"/>
              <w:spacing w:after="0" w:line="240" w:lineRule="auto"/>
              <w:jc w:val="center"/>
              <w:rPr>
                <w:rFonts w:eastAsia="Times New Roman" w:cs="Calibri"/>
                <w:noProof/>
              </w:rPr>
            </w:pPr>
            <w:r>
              <w:rPr>
                <w:noProof/>
              </w:rPr>
              <w:t>15.6</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EB3CC2C" w14:textId="77777777" w:rsidR="00154AD2" w:rsidRDefault="007F6BF3">
            <w:pPr>
              <w:pStyle w:val="P68B1DB1-Normal8"/>
              <w:spacing w:after="0" w:line="240" w:lineRule="auto"/>
              <w:jc w:val="center"/>
              <w:rPr>
                <w:rFonts w:eastAsia="Times New Roman" w:cs="Calibri"/>
                <w:noProof/>
              </w:rPr>
            </w:pPr>
            <w:r>
              <w:rPr>
                <w:noProof/>
              </w:rPr>
              <w:t>TC-C15-I02</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2AC62F7"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A5D734C" w14:textId="77777777" w:rsidR="00154AD2" w:rsidRDefault="007F6BF3">
            <w:pPr>
              <w:pStyle w:val="P68B1DB1-Normal8"/>
              <w:spacing w:after="0" w:line="240" w:lineRule="auto"/>
              <w:jc w:val="center"/>
              <w:rPr>
                <w:rFonts w:eastAsia="Times New Roman" w:cs="Calibri"/>
                <w:noProof/>
              </w:rPr>
            </w:pPr>
            <w:r>
              <w:rPr>
                <w:noProof/>
              </w:rPr>
              <w:t>Ολοκλήρωση της επέκτασης του δικτύου του Porto Metro</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E1D1514" w14:textId="77777777" w:rsidR="00154AD2" w:rsidRDefault="00154AD2">
            <w:pPr>
              <w:spacing w:after="0" w:line="240" w:lineRule="auto"/>
              <w:jc w:val="center"/>
              <w:rPr>
                <w:rFonts w:ascii="Calibri" w:eastAsia="Times New Roman" w:hAnsi="Calibri" w:cs="Calibr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CBEA4BD" w14:textId="77777777" w:rsidR="00154AD2" w:rsidRDefault="007F6BF3">
            <w:pPr>
              <w:pStyle w:val="P68B1DB1-Normal8"/>
              <w:spacing w:after="0" w:line="240" w:lineRule="auto"/>
              <w:jc w:val="center"/>
              <w:rPr>
                <w:rFonts w:eastAsia="Times New Roman" w:cs="Calibri"/>
                <w:noProof/>
              </w:rPr>
            </w:pPr>
            <w:r>
              <w:rPr>
                <w:noProof/>
              </w:rPr>
              <w:t>Χλμ</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8C2C5E4" w14:textId="77777777" w:rsidR="00154AD2" w:rsidRDefault="007F6BF3">
            <w:pPr>
              <w:pStyle w:val="P68B1DB1-Normal8"/>
              <w:spacing w:after="0" w:line="240" w:lineRule="auto"/>
              <w:jc w:val="center"/>
              <w:rPr>
                <w:rFonts w:eastAsia="Times New Roman" w:cs="Calibr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32EB6DC" w14:textId="77777777" w:rsidR="00154AD2" w:rsidRDefault="007F6BF3">
            <w:pPr>
              <w:pStyle w:val="P68B1DB1-Normal8"/>
              <w:spacing w:after="0" w:line="240" w:lineRule="auto"/>
              <w:jc w:val="center"/>
              <w:rPr>
                <w:rFonts w:eastAsia="Times New Roman" w:cs="Calibri"/>
                <w:noProof/>
              </w:rPr>
            </w:pPr>
            <w:r>
              <w:rPr>
                <w:noProof/>
              </w:rPr>
              <w:t>6,7</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229F9A8" w14:textId="07A4B434" w:rsidR="00154AD2" w:rsidRDefault="007F6BF3">
            <w:pPr>
              <w:pStyle w:val="P68B1DB1-Normal8"/>
              <w:spacing w:after="0" w:line="240" w:lineRule="auto"/>
              <w:jc w:val="center"/>
              <w:rPr>
                <w:rFonts w:eastAsia="Times New Roman" w:cs="Calibri"/>
                <w:noProof/>
              </w:rPr>
            </w:pPr>
            <w:r>
              <w:rPr>
                <w:noProof/>
              </w:rPr>
              <w:t>ΤΡΊΜΗΝΟ 2</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F5B4C70" w14:textId="54A1DD92" w:rsidR="00154AD2" w:rsidRDefault="007F6BF3">
            <w:pPr>
              <w:pStyle w:val="P68B1DB1-Normal8"/>
              <w:spacing w:after="0" w:line="240" w:lineRule="auto"/>
              <w:jc w:val="center"/>
              <w:rPr>
                <w:rFonts w:eastAsia="Times New Roman" w:cs="Calibri"/>
                <w:noProof/>
              </w:rPr>
            </w:pPr>
            <w:r>
              <w:rPr>
                <w:noProof/>
              </w:rPr>
              <w:t>2026</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C905D8D" w14:textId="77777777" w:rsidR="00154AD2" w:rsidRDefault="007F6BF3">
            <w:pPr>
              <w:pStyle w:val="P68B1DB1-Normal8"/>
              <w:spacing w:after="0" w:line="240" w:lineRule="auto"/>
              <w:jc w:val="both"/>
              <w:rPr>
                <w:rFonts w:eastAsia="Times New Roman" w:cs="Calibri"/>
                <w:noProof/>
              </w:rPr>
            </w:pPr>
            <w:r>
              <w:rPr>
                <w:noProof/>
              </w:rPr>
              <w:t xml:space="preserve">Το μήκος των κατασκευαστικών εργασιών που ολοκληρώθηκαν για την επέκταση του δικτύου Porto Metro με την κατασκευή νέας γραμμής μεταξύ Casa da Música (Porto) και Santo Ovídio (Vila Nova de Gaia). Η νέα γραμμή του μετρό είναι έτοιμη για την άμεση λειτουργία των προγραμματισμένων μεταφορικών υπηρεσιών. </w:t>
            </w:r>
          </w:p>
        </w:tc>
      </w:tr>
      <w:tr w:rsidR="00154AD2" w14:paraId="79B5E05D" w14:textId="77777777">
        <w:trPr>
          <w:trHeight w:val="2398"/>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92A7FBF" w14:textId="77777777" w:rsidR="00154AD2" w:rsidRDefault="007F6BF3">
            <w:pPr>
              <w:pStyle w:val="P68B1DB1-Normal7"/>
              <w:spacing w:after="0" w:line="240" w:lineRule="auto"/>
              <w:jc w:val="center"/>
              <w:rPr>
                <w:rFonts w:eastAsia="Times New Roman" w:cs="Calibri"/>
                <w:noProof/>
              </w:rPr>
            </w:pPr>
            <w:r>
              <w:rPr>
                <w:noProof/>
              </w:rPr>
              <w:t>15.10</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E7379D6" w14:textId="77777777" w:rsidR="00154AD2" w:rsidRDefault="007F6BF3">
            <w:pPr>
              <w:pStyle w:val="P68B1DB1-Normal8"/>
              <w:spacing w:after="0" w:line="240" w:lineRule="auto"/>
              <w:jc w:val="center"/>
              <w:rPr>
                <w:rFonts w:eastAsia="Times New Roman" w:cs="Calibri"/>
                <w:noProof/>
              </w:rPr>
            </w:pPr>
            <w:r>
              <w:rPr>
                <w:noProof/>
              </w:rPr>
              <w:t>TC-C15-I04</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F15CA19"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1F72C9A" w14:textId="77777777" w:rsidR="00154AD2" w:rsidRDefault="007F6BF3">
            <w:pPr>
              <w:pStyle w:val="P68B1DB1-Normal8"/>
              <w:spacing w:after="0" w:line="240" w:lineRule="auto"/>
              <w:jc w:val="center"/>
              <w:rPr>
                <w:rFonts w:eastAsia="Times New Roman" w:cs="Calibri"/>
                <w:noProof/>
              </w:rPr>
            </w:pPr>
            <w:r>
              <w:rPr>
                <w:noProof/>
              </w:rPr>
              <w:t>Υπογραφή της σύμβασης για την κατασκευή γραμμής ταχείας διέλευσης λεωφορείων μεταξύ Praça do Império και Praça Albuquerque Mouzinho στο Πόρτο</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276CBD1" w14:textId="77777777" w:rsidR="00154AD2" w:rsidRDefault="007F6BF3">
            <w:pPr>
              <w:pStyle w:val="P68B1DB1-Normal8"/>
              <w:spacing w:after="0" w:line="240" w:lineRule="auto"/>
              <w:jc w:val="center"/>
              <w:rPr>
                <w:rFonts w:eastAsia="Times New Roman" w:cs="Calibri"/>
                <w:noProof/>
              </w:rPr>
            </w:pPr>
            <w:r>
              <w:rPr>
                <w:noProof/>
              </w:rPr>
              <w:t>Υπογραφή της σύμβασης για την κατασκευή γραμμής ταχείας διέλευσης λεωφορείων μεταξύ Praça do Império και Praça Albuquerque Mouzinho στο Πόρτο</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275C96D" w14:textId="77777777" w:rsidR="00154AD2" w:rsidRDefault="00154AD2">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BBD236D" w14:textId="77777777" w:rsidR="00154AD2" w:rsidRDefault="00154AD2">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204CDB6" w14:textId="77777777" w:rsidR="00154AD2" w:rsidRDefault="00154AD2">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D549309"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099AAE5" w14:textId="77777777" w:rsidR="00154AD2" w:rsidRDefault="007F6BF3">
            <w:pPr>
              <w:pStyle w:val="P68B1DB1-Normal8"/>
              <w:spacing w:after="0" w:line="240" w:lineRule="auto"/>
              <w:jc w:val="center"/>
              <w:rPr>
                <w:rFonts w:eastAsia="Times New Roman" w:cs="Calibri"/>
                <w:noProof/>
              </w:rPr>
            </w:pPr>
            <w:r>
              <w:rPr>
                <w:noProof/>
              </w:rPr>
              <w:t>2022</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23DD8DF" w14:textId="77777777" w:rsidR="00154AD2" w:rsidRDefault="007F6BF3">
            <w:pPr>
              <w:pStyle w:val="P68B1DB1-Normal8"/>
              <w:spacing w:after="0" w:line="240" w:lineRule="auto"/>
              <w:jc w:val="both"/>
              <w:rPr>
                <w:rFonts w:eastAsia="Times New Roman" w:cs="Calibri"/>
                <w:noProof/>
              </w:rPr>
            </w:pPr>
            <w:r>
              <w:rPr>
                <w:noProof/>
              </w:rPr>
              <w:t xml:space="preserve">Υπογραφή της σύμβασης υλοποίησης του έργου μεταξύ των δημόσιων αρχών και του αναδόχου που επελέγη στο πλαίσιο διαδικασίας υποβολής προσφορών. Σκοπός της σύμβασης είναι η κατασκευή γραμμής ταχείας διέλευσης Bus που συνδέει την Praça do Império με την Praça Albuquerque Mouzinho στο Πόρτο. </w:t>
            </w:r>
          </w:p>
        </w:tc>
      </w:tr>
      <w:tr w:rsidR="00154AD2" w14:paraId="7ADF5EB7" w14:textId="77777777">
        <w:trPr>
          <w:trHeight w:val="64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516D4B91" w14:textId="77777777" w:rsidR="00154AD2" w:rsidRDefault="007F6BF3">
            <w:pPr>
              <w:pStyle w:val="P68B1DB1-Normal7"/>
              <w:spacing w:after="0" w:line="240" w:lineRule="auto"/>
              <w:jc w:val="center"/>
              <w:rPr>
                <w:rFonts w:eastAsia="Times New Roman" w:cs="Calibri"/>
                <w:noProof/>
              </w:rPr>
            </w:pPr>
            <w:r>
              <w:rPr>
                <w:noProof/>
              </w:rPr>
              <w:t>15.11</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8F8D636" w14:textId="77777777" w:rsidR="00154AD2" w:rsidRDefault="007F6BF3">
            <w:pPr>
              <w:pStyle w:val="P68B1DB1-Normal8"/>
              <w:spacing w:after="0" w:line="240" w:lineRule="auto"/>
              <w:jc w:val="center"/>
              <w:rPr>
                <w:rFonts w:eastAsia="Times New Roman" w:cs="Calibri"/>
                <w:noProof/>
              </w:rPr>
            </w:pPr>
            <w:r>
              <w:rPr>
                <w:noProof/>
              </w:rPr>
              <w:t>TC-C15-I04</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D3EBBF9"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ABDF794" w14:textId="77777777" w:rsidR="00154AD2" w:rsidRDefault="007F6BF3">
            <w:pPr>
              <w:pStyle w:val="P68B1DB1-Normal8"/>
              <w:spacing w:after="0" w:line="240" w:lineRule="auto"/>
              <w:jc w:val="center"/>
              <w:rPr>
                <w:rFonts w:eastAsia="Times New Roman" w:cs="Calibri"/>
                <w:noProof/>
              </w:rPr>
            </w:pPr>
            <w:r>
              <w:rPr>
                <w:noProof/>
              </w:rPr>
              <w:t>Ολοκλήρωση της κατασκευής γραμμής ταχείας διαμετακόμισης μεταξύ Praça do Império και Praça Albuquerque Mouzinho στο Πόρτο</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4CFC47A" w14:textId="77777777" w:rsidR="00154AD2" w:rsidRDefault="00154AD2">
            <w:pPr>
              <w:spacing w:after="0" w:line="240" w:lineRule="auto"/>
              <w:jc w:val="center"/>
              <w:rPr>
                <w:rFonts w:ascii="Calibri" w:eastAsia="Times New Roman" w:hAnsi="Calibri" w:cs="Calibr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1B162BF" w14:textId="77777777" w:rsidR="00154AD2" w:rsidRDefault="007F6BF3">
            <w:pPr>
              <w:pStyle w:val="P68B1DB1-Normal8"/>
              <w:spacing w:after="0" w:line="240" w:lineRule="auto"/>
              <w:jc w:val="center"/>
              <w:rPr>
                <w:rFonts w:eastAsia="Times New Roman" w:cs="Calibri"/>
                <w:noProof/>
              </w:rPr>
            </w:pPr>
            <w:r>
              <w:rPr>
                <w:noProof/>
              </w:rPr>
              <w:t>Χλμ</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D261ED7" w14:textId="77777777" w:rsidR="00154AD2" w:rsidRDefault="007F6BF3">
            <w:pPr>
              <w:pStyle w:val="P68B1DB1-Normal8"/>
              <w:spacing w:after="0" w:line="240" w:lineRule="auto"/>
              <w:jc w:val="center"/>
              <w:rPr>
                <w:rFonts w:eastAsia="Times New Roman" w:cs="Calibr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A79F5D8" w14:textId="77777777" w:rsidR="00154AD2" w:rsidRDefault="007F6BF3">
            <w:pPr>
              <w:pStyle w:val="P68B1DB1-Normal8"/>
              <w:spacing w:after="0" w:line="240" w:lineRule="auto"/>
              <w:jc w:val="center"/>
              <w:rPr>
                <w:rFonts w:eastAsia="Times New Roman" w:cs="Calibri"/>
                <w:noProof/>
              </w:rPr>
            </w:pPr>
            <w:r>
              <w:rPr>
                <w:noProof/>
              </w:rPr>
              <w:t>3,8</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3D95435" w14:textId="7708DDD6" w:rsidR="00154AD2" w:rsidRDefault="007F6BF3">
            <w:pPr>
              <w:pStyle w:val="P68B1DB1-Normal8"/>
              <w:spacing w:after="0" w:line="240" w:lineRule="auto"/>
              <w:jc w:val="center"/>
              <w:rPr>
                <w:rFonts w:eastAsia="Times New Roman" w:cs="Calibri"/>
                <w:noProof/>
              </w:rPr>
            </w:pPr>
            <w:r>
              <w:rPr>
                <w:noProof/>
              </w:rPr>
              <w:t>ΤΡΊΜΗΝΟ 3</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3804F18" w14:textId="2A33460B" w:rsidR="00154AD2" w:rsidRDefault="007F6BF3">
            <w:pPr>
              <w:pStyle w:val="P68B1DB1-Normal8"/>
              <w:spacing w:after="0" w:line="240" w:lineRule="auto"/>
              <w:jc w:val="center"/>
              <w:rPr>
                <w:rFonts w:eastAsia="Times New Roman" w:cs="Calibri"/>
                <w:noProof/>
              </w:rPr>
            </w:pPr>
            <w:r>
              <w:rPr>
                <w:noProof/>
              </w:rPr>
              <w:t>2024</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5C671D64" w14:textId="77777777" w:rsidR="00154AD2" w:rsidRDefault="007F6BF3">
            <w:pPr>
              <w:pStyle w:val="P68B1DB1-Normal8"/>
              <w:spacing w:after="0" w:line="240" w:lineRule="auto"/>
              <w:jc w:val="both"/>
              <w:rPr>
                <w:rFonts w:eastAsia="Times New Roman" w:cs="Calibri"/>
                <w:noProof/>
              </w:rPr>
            </w:pPr>
            <w:r>
              <w:rPr>
                <w:noProof/>
              </w:rPr>
              <w:t xml:space="preserve">Μήκος των κατασκευαστικών εργασιών που ολοκληρώθηκαν για τη γραμμή ταχείας διέλευσης λεωφορείων που συνδέει την Praça do Império με την Praça Albuquerque Mouzinho στο Πόρτο. Η νέα γραμμή ταχείας διέλευσης λεωφορείων είναι έτοιμη για την άμεση λειτουργία των προγραμματισμένων υπηρεσιών μεταφοράς. </w:t>
            </w:r>
          </w:p>
        </w:tc>
      </w:tr>
      <w:tr w:rsidR="00154AD2" w14:paraId="167AB6D9" w14:textId="77777777">
        <w:trPr>
          <w:trHeight w:val="1871"/>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6418711" w14:textId="77777777" w:rsidR="00154AD2" w:rsidRDefault="007F6BF3">
            <w:pPr>
              <w:pStyle w:val="P68B1DB1-Normal7"/>
              <w:spacing w:after="0" w:line="240" w:lineRule="auto"/>
              <w:jc w:val="center"/>
              <w:rPr>
                <w:rFonts w:eastAsia="Times New Roman" w:cs="Calibri"/>
                <w:noProof/>
              </w:rPr>
            </w:pPr>
            <w:r>
              <w:rPr>
                <w:noProof/>
              </w:rPr>
              <w:t>15.12</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AE7894A" w14:textId="77777777" w:rsidR="00154AD2" w:rsidRDefault="007F6BF3">
            <w:pPr>
              <w:pStyle w:val="P68B1DB1-Normal8"/>
              <w:spacing w:after="0" w:line="240" w:lineRule="auto"/>
              <w:jc w:val="center"/>
              <w:rPr>
                <w:rFonts w:eastAsia="Times New Roman" w:cs="Calibri"/>
                <w:noProof/>
              </w:rPr>
            </w:pPr>
            <w:r>
              <w:rPr>
                <w:noProof/>
              </w:rPr>
              <w:t>TC-C15-I05</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F8ACE3A"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B1641BE" w14:textId="77777777" w:rsidR="00154AD2" w:rsidRDefault="007F6BF3">
            <w:pPr>
              <w:pStyle w:val="P68B1DB1-Normal8"/>
              <w:spacing w:after="0" w:line="240" w:lineRule="auto"/>
              <w:jc w:val="center"/>
              <w:rPr>
                <w:rFonts w:eastAsia="Times New Roman" w:cs="Calibri"/>
                <w:noProof/>
              </w:rPr>
            </w:pPr>
            <w:r>
              <w:rPr>
                <w:noProof/>
              </w:rPr>
              <w:t>Υπογραφή σύμβασης για την αγορά καθαρών λεωφορείων στο πλαίσιο του προγράμματος απαλλαγής από τις ανθρακούχες εκπομπές στον τομέα των δημόσιων μεταφορών</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FE4D21F" w14:textId="77777777" w:rsidR="00154AD2" w:rsidRDefault="007F6BF3">
            <w:pPr>
              <w:pStyle w:val="P68B1DB1-Normal8"/>
              <w:spacing w:after="0" w:line="240" w:lineRule="auto"/>
              <w:jc w:val="center"/>
              <w:rPr>
                <w:rFonts w:eastAsia="Times New Roman" w:cs="Calibri"/>
                <w:noProof/>
              </w:rPr>
            </w:pPr>
            <w:r>
              <w:rPr>
                <w:noProof/>
              </w:rPr>
              <w:t>Υπογραφή σύμβασης για την αγορά 145 καθαρών λεωφορείων στο πλαίσιο του προγράμματος απαλλαγής από τις ανθρακούχες εκπομπές στον τομέα των δημόσιων μεταφορών</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85D964C" w14:textId="77777777" w:rsidR="00154AD2" w:rsidRDefault="00154AD2">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95BD3CE" w14:textId="77777777" w:rsidR="00154AD2" w:rsidRDefault="00154AD2">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2D9326A" w14:textId="77777777" w:rsidR="00154AD2" w:rsidRDefault="00154AD2">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1700FA3"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3148EE6" w14:textId="77777777" w:rsidR="00154AD2" w:rsidRDefault="007F6BF3">
            <w:pPr>
              <w:pStyle w:val="P68B1DB1-Normal8"/>
              <w:spacing w:after="0" w:line="240" w:lineRule="auto"/>
              <w:jc w:val="center"/>
              <w:rPr>
                <w:rFonts w:eastAsia="Times New Roman" w:cs="Calibri"/>
                <w:noProof/>
              </w:rPr>
            </w:pPr>
            <w:r>
              <w:rPr>
                <w:noProof/>
              </w:rPr>
              <w:t>2022</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tcPr>
          <w:p w14:paraId="16BAC741" w14:textId="0C12CBAC" w:rsidR="00154AD2" w:rsidRDefault="007F6BF3">
            <w:pPr>
              <w:pStyle w:val="P68B1DB1-Normal8"/>
              <w:spacing w:after="0" w:line="240" w:lineRule="auto"/>
              <w:jc w:val="both"/>
              <w:rPr>
                <w:rFonts w:eastAsia="Times New Roman" w:cs="Calibri"/>
                <w:noProof/>
              </w:rPr>
            </w:pPr>
            <w:r>
              <w:rPr>
                <w:noProof/>
              </w:rPr>
              <w:t>Υπογραφή σύμβασης μεταξύ των δικαιούχων και του διαχειριστικού φορέα, βάσει ανταγωνιστικής διαδικασίας υποβολής προσφορών, με την οποία αναλαμβάνεται δέσμευση για την αγορά των νέων λεωφορείων μηδενικών εκπομπών (ηλεκτρικών ή υδρογονοκίνητων).</w:t>
            </w:r>
          </w:p>
        </w:tc>
      </w:tr>
      <w:tr w:rsidR="00154AD2" w14:paraId="48039201" w14:textId="77777777">
        <w:trPr>
          <w:trHeight w:val="51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CC55914" w14:textId="77777777" w:rsidR="00154AD2" w:rsidRDefault="007F6BF3">
            <w:pPr>
              <w:pStyle w:val="P68B1DB1-Normal7"/>
              <w:spacing w:after="0" w:line="240" w:lineRule="auto"/>
              <w:jc w:val="center"/>
              <w:rPr>
                <w:rFonts w:eastAsia="Times New Roman" w:cs="Calibri"/>
                <w:noProof/>
              </w:rPr>
            </w:pPr>
            <w:r>
              <w:rPr>
                <w:noProof/>
              </w:rPr>
              <w:t>15.13</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9F74196" w14:textId="77777777" w:rsidR="00154AD2" w:rsidRDefault="007F6BF3">
            <w:pPr>
              <w:pStyle w:val="P68B1DB1-Normal8"/>
              <w:spacing w:after="0" w:line="240" w:lineRule="auto"/>
              <w:jc w:val="center"/>
              <w:rPr>
                <w:rFonts w:eastAsia="Times New Roman" w:cs="Calibri"/>
                <w:noProof/>
              </w:rPr>
            </w:pPr>
            <w:r>
              <w:rPr>
                <w:noProof/>
              </w:rPr>
              <w:t>TC-C15-I05</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D9BF1EE"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29D1A84" w14:textId="77777777" w:rsidR="00154AD2" w:rsidRDefault="007F6BF3">
            <w:pPr>
              <w:pStyle w:val="P68B1DB1-Normal8"/>
              <w:spacing w:after="0" w:line="240" w:lineRule="auto"/>
              <w:jc w:val="center"/>
              <w:rPr>
                <w:rFonts w:eastAsia="Times New Roman" w:cs="Calibri"/>
                <w:noProof/>
              </w:rPr>
            </w:pPr>
            <w:r>
              <w:rPr>
                <w:noProof/>
              </w:rPr>
              <w:t>Αγορά νέων λεωφορείων μηδενικών εκπομπών (ηλεκτρικών ή υδρογονοκίνητων) που χρησιμοποιούνται στις δημόσιες συγκοινωνίες</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00F18BD" w14:textId="77777777" w:rsidR="00154AD2" w:rsidRDefault="00154AD2">
            <w:pPr>
              <w:spacing w:after="0" w:line="240" w:lineRule="auto"/>
              <w:jc w:val="center"/>
              <w:rPr>
                <w:rFonts w:ascii="Calibri" w:eastAsia="Times New Roman" w:hAnsi="Calibri" w:cs="Calibr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E34DBE1"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CE4430B" w14:textId="77777777" w:rsidR="00154AD2" w:rsidRDefault="007F6BF3">
            <w:pPr>
              <w:pStyle w:val="P68B1DB1-Normal8"/>
              <w:spacing w:after="0" w:line="240" w:lineRule="auto"/>
              <w:jc w:val="center"/>
              <w:rPr>
                <w:rFonts w:eastAsia="Times New Roman" w:cs="Calibr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BECE405" w14:textId="77777777" w:rsidR="00154AD2" w:rsidRDefault="007F6BF3">
            <w:pPr>
              <w:pStyle w:val="P68B1DB1-Normal8"/>
              <w:spacing w:after="0" w:line="240" w:lineRule="auto"/>
              <w:jc w:val="center"/>
              <w:rPr>
                <w:rFonts w:eastAsia="Times New Roman" w:cs="Calibri"/>
                <w:noProof/>
              </w:rPr>
            </w:pPr>
            <w:r>
              <w:rPr>
                <w:noProof/>
              </w:rPr>
              <w:t>145</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9F48AA6"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57805CE" w14:textId="77777777" w:rsidR="00154AD2" w:rsidRDefault="007F6BF3">
            <w:pPr>
              <w:pStyle w:val="P68B1DB1-Normal8"/>
              <w:spacing w:after="0" w:line="240" w:lineRule="auto"/>
              <w:jc w:val="center"/>
              <w:rPr>
                <w:rFonts w:eastAsia="Times New Roman" w:cs="Calibri"/>
                <w:noProof/>
              </w:rPr>
            </w:pPr>
            <w:r>
              <w:rPr>
                <w:noProof/>
              </w:rPr>
              <w:t>2023</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58838148" w14:textId="77777777" w:rsidR="00154AD2" w:rsidRDefault="007F6BF3">
            <w:pPr>
              <w:pStyle w:val="P68B1DB1-Normal9"/>
              <w:spacing w:after="0" w:line="240" w:lineRule="auto"/>
              <w:jc w:val="both"/>
              <w:rPr>
                <w:rFonts w:eastAsia="Times New Roman" w:cs="Calibri"/>
                <w:noProof/>
                <w:sz w:val="16"/>
              </w:rPr>
            </w:pPr>
            <w:r>
              <w:rPr>
                <w:noProof/>
                <w:sz w:val="16"/>
              </w:rPr>
              <w:t>Αριθμός νέων λεωφορείων μηδενικών εκπομπών (ηλεκτρικών ή υδρογονοκίνητων) που αγοράστηκαν και λειτουργούν</w:t>
            </w:r>
            <w:r>
              <w:rPr>
                <w:noProof/>
              </w:rPr>
              <w:t xml:space="preserve"> </w:t>
            </w:r>
            <w:r>
              <w:rPr>
                <w:noProof/>
                <w:sz w:val="16"/>
              </w:rPr>
              <w:t>για την παροχή δημόσιων υπηρεσιών επιβατικών μεταφορών στις μητροπολιτικές περιοχές της Λισαβόνας και του Πόρτο.</w:t>
            </w:r>
          </w:p>
        </w:tc>
      </w:tr>
      <w:tr w:rsidR="00154AD2" w14:paraId="14807BD7" w14:textId="77777777">
        <w:trPr>
          <w:trHeight w:val="43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C050AF4" w14:textId="77777777" w:rsidR="00154AD2" w:rsidRDefault="007F6BF3">
            <w:pPr>
              <w:pStyle w:val="P68B1DB1-Normal7"/>
              <w:spacing w:after="0" w:line="240" w:lineRule="auto"/>
              <w:jc w:val="center"/>
              <w:rPr>
                <w:rFonts w:eastAsia="Times New Roman" w:cs="Calibri"/>
                <w:noProof/>
              </w:rPr>
            </w:pPr>
            <w:r>
              <w:rPr>
                <w:noProof/>
              </w:rPr>
              <w:t>15.14</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881FD44" w14:textId="77777777" w:rsidR="00154AD2" w:rsidRDefault="007F6BF3">
            <w:pPr>
              <w:pStyle w:val="P68B1DB1-Normal8"/>
              <w:spacing w:after="0" w:line="240" w:lineRule="auto"/>
              <w:jc w:val="center"/>
              <w:rPr>
                <w:rFonts w:eastAsia="Times New Roman" w:cs="Calibri"/>
                <w:noProof/>
              </w:rPr>
            </w:pPr>
            <w:r>
              <w:rPr>
                <w:noProof/>
              </w:rPr>
              <w:t>TC-C15-r30</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DDE169C"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C1630B8" w14:textId="77777777" w:rsidR="00154AD2" w:rsidRDefault="007F6BF3">
            <w:pPr>
              <w:pStyle w:val="P68B1DB1-Normal8"/>
              <w:spacing w:after="0" w:line="240" w:lineRule="auto"/>
              <w:jc w:val="center"/>
              <w:rPr>
                <w:rFonts w:eastAsia="Times New Roman" w:cs="Calibri"/>
                <w:noProof/>
              </w:rPr>
            </w:pPr>
            <w:r>
              <w:rPr>
                <w:noProof/>
              </w:rPr>
              <w:t>Υπογράφηκαν συμβάσεις για δημόσιες επιβατικές μεταφορές σε μητροπολιτικές περιοχές και διαδημοτικές κοινότητες</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A57D8B6" w14:textId="77777777" w:rsidR="00154AD2" w:rsidRDefault="00154AD2">
            <w:pPr>
              <w:spacing w:after="0" w:line="240" w:lineRule="auto"/>
              <w:jc w:val="center"/>
              <w:rPr>
                <w:rFonts w:ascii="Calibri" w:eastAsia="Times New Roman" w:hAnsi="Calibri" w:cs="Calibr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7219E19"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FBB1912" w14:textId="77777777" w:rsidR="00154AD2" w:rsidRDefault="007F6BF3">
            <w:pPr>
              <w:pStyle w:val="P68B1DB1-Normal8"/>
              <w:spacing w:after="0" w:line="240" w:lineRule="auto"/>
              <w:jc w:val="center"/>
              <w:rPr>
                <w:rFonts w:eastAsia="Times New Roman" w:cs="Calibr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7BDA846" w14:textId="77777777" w:rsidR="00154AD2" w:rsidRDefault="007F6BF3">
            <w:pPr>
              <w:pStyle w:val="P68B1DB1-Normal8"/>
              <w:spacing w:after="0" w:line="240" w:lineRule="auto"/>
              <w:jc w:val="center"/>
              <w:rPr>
                <w:rFonts w:eastAsia="Times New Roman" w:cs="Calibri"/>
                <w:noProof/>
              </w:rPr>
            </w:pPr>
            <w:r>
              <w:rPr>
                <w:noProof/>
              </w:rPr>
              <w:t>23</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1ED4C04"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789ECF9" w14:textId="77777777" w:rsidR="00154AD2" w:rsidRDefault="007F6BF3">
            <w:pPr>
              <w:pStyle w:val="P68B1DB1-Normal8"/>
              <w:spacing w:after="0" w:line="240" w:lineRule="auto"/>
              <w:jc w:val="center"/>
              <w:rPr>
                <w:rFonts w:eastAsia="Times New Roman" w:cs="Calibri"/>
                <w:noProof/>
              </w:rPr>
            </w:pPr>
            <w:r>
              <w:rPr>
                <w:noProof/>
              </w:rPr>
              <w:t>2023</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154FD26" w14:textId="77777777" w:rsidR="00154AD2" w:rsidRDefault="007F6BF3">
            <w:pPr>
              <w:pStyle w:val="P68B1DB1-Normal8"/>
              <w:spacing w:after="0" w:line="240" w:lineRule="auto"/>
              <w:jc w:val="both"/>
              <w:rPr>
                <w:rFonts w:eastAsia="Times New Roman" w:cs="Calibri"/>
                <w:noProof/>
              </w:rPr>
            </w:pPr>
            <w:r>
              <w:rPr>
                <w:noProof/>
              </w:rPr>
              <w:t xml:space="preserve">Αριθμός αρχών διαχείρισης μεταφορών με συμβάσεις που υπογράφηκαν για όλες τις δημόσιες επιβατικές σιδηροδρομικές, οδικές και εσωτερικές πλωτές μεταφορές σύμφωνα με τον κανονισμό (ΕΚ) αριθ. 1370/2007. </w:t>
            </w:r>
          </w:p>
        </w:tc>
      </w:tr>
      <w:tr w:rsidR="00154AD2" w14:paraId="47CBDF40" w14:textId="77777777">
        <w:trPr>
          <w:trHeight w:val="43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tcPr>
          <w:p w14:paraId="09369F6D" w14:textId="4F312845" w:rsidR="00154AD2" w:rsidRDefault="007F6BF3">
            <w:pPr>
              <w:pStyle w:val="P68B1DB1-Normal11"/>
              <w:spacing w:after="0" w:line="240" w:lineRule="auto"/>
              <w:jc w:val="center"/>
              <w:rPr>
                <w:rFonts w:eastAsia="Times New Roman"/>
                <w:noProof/>
              </w:rPr>
            </w:pPr>
            <w:r>
              <w:rPr>
                <w:noProof/>
              </w:rPr>
              <w:t>15.15</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F8ECE66" w14:textId="2BE2CDE3" w:rsidR="00154AD2" w:rsidRDefault="007F6BF3">
            <w:pPr>
              <w:pStyle w:val="P68B1DB1-Normal12"/>
              <w:spacing w:after="0" w:line="240" w:lineRule="auto"/>
              <w:jc w:val="center"/>
              <w:rPr>
                <w:rFonts w:eastAsia="Times New Roman" w:cstheme="minorHAnsi"/>
                <w:noProof/>
              </w:rPr>
            </w:pPr>
            <w:r>
              <w:rPr>
                <w:noProof/>
              </w:rPr>
              <w:t>TC-C15-I06</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7490E290" w14:textId="4326EEA4" w:rsidR="00154AD2" w:rsidRDefault="007F6BF3">
            <w:pPr>
              <w:pStyle w:val="P68B1DB1-Normal12"/>
              <w:spacing w:after="0" w:line="240" w:lineRule="auto"/>
              <w:jc w:val="center"/>
              <w:rPr>
                <w:rFonts w:eastAsia="Times New Roman" w:cstheme="minorHAns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7550A166" w14:textId="34BFD0E8" w:rsidR="00154AD2" w:rsidRDefault="007F6BF3">
            <w:pPr>
              <w:pStyle w:val="P68B1DB1-Normal12"/>
              <w:spacing w:after="0" w:line="240" w:lineRule="auto"/>
              <w:jc w:val="center"/>
              <w:rPr>
                <w:rFonts w:eastAsia="Times New Roman" w:cstheme="minorHAnsi"/>
                <w:noProof/>
              </w:rPr>
            </w:pPr>
            <w:r>
              <w:rPr>
                <w:noProof/>
              </w:rPr>
              <w:t>Υπογραφή σύμβασης για ηλεκτρονικά συστήματα σηματοδότησης</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14CC642" w14:textId="1FBE12E9" w:rsidR="00154AD2" w:rsidRDefault="007F6BF3">
            <w:pPr>
              <w:pStyle w:val="P68B1DB1-Normal12"/>
              <w:spacing w:after="0" w:line="240" w:lineRule="auto"/>
              <w:jc w:val="center"/>
              <w:rPr>
                <w:rFonts w:eastAsia="Times New Roman" w:cstheme="minorHAnsi"/>
                <w:noProof/>
              </w:rPr>
            </w:pPr>
            <w:r>
              <w:rPr>
                <w:noProof/>
              </w:rPr>
              <w:t>Υπογραφή της σύμβασης και δημοσίευση σε ειδική πύλη</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95EA3B9" w14:textId="77777777" w:rsidR="00154AD2" w:rsidRDefault="00154AD2">
            <w:pPr>
              <w:spacing w:after="0" w:line="240" w:lineRule="auto"/>
              <w:jc w:val="center"/>
              <w:rPr>
                <w:rFonts w:eastAsia="Times New Roman" w:cstheme="minorHAns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EBBD090" w14:textId="77777777" w:rsidR="00154AD2" w:rsidRDefault="00154AD2">
            <w:pPr>
              <w:spacing w:after="0" w:line="240" w:lineRule="auto"/>
              <w:jc w:val="center"/>
              <w:rPr>
                <w:rFonts w:eastAsia="Times New Roman" w:cstheme="minorHAns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63D14C8" w14:textId="77777777" w:rsidR="00154AD2" w:rsidRDefault="00154AD2">
            <w:pPr>
              <w:spacing w:after="0" w:line="240" w:lineRule="auto"/>
              <w:jc w:val="center"/>
              <w:rPr>
                <w:rFonts w:eastAsia="Times New Roman" w:cstheme="minorHAns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05308DB" w14:textId="538F4A90" w:rsidR="00154AD2" w:rsidRDefault="007F6BF3">
            <w:pPr>
              <w:pStyle w:val="P68B1DB1-Normal12"/>
              <w:spacing w:after="0" w:line="240" w:lineRule="auto"/>
              <w:jc w:val="center"/>
              <w:rPr>
                <w:rFonts w:eastAsia="Times New Roman" w:cstheme="minorHAnsi"/>
                <w:noProof/>
              </w:rPr>
            </w:pPr>
            <w:r>
              <w:rPr>
                <w:noProof/>
              </w:rPr>
              <w:t>ΤΡΊΜΗΝΟ 4</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C87AF58" w14:textId="3B2C4F41" w:rsidR="00154AD2" w:rsidRDefault="007F6BF3">
            <w:pPr>
              <w:pStyle w:val="P68B1DB1-Normal12"/>
              <w:spacing w:after="0" w:line="240" w:lineRule="auto"/>
              <w:jc w:val="center"/>
              <w:rPr>
                <w:rFonts w:eastAsia="Times New Roman" w:cstheme="minorHAnsi"/>
                <w:noProof/>
              </w:rPr>
            </w:pPr>
            <w:r>
              <w:rPr>
                <w:noProof/>
              </w:rPr>
              <w:t>2024</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tcPr>
          <w:p w14:paraId="2C5EB17D" w14:textId="3D9B1E55" w:rsidR="00154AD2" w:rsidRDefault="007F6BF3">
            <w:pPr>
              <w:pStyle w:val="P68B1DB1-Normal12"/>
              <w:spacing w:after="0" w:line="240" w:lineRule="auto"/>
              <w:rPr>
                <w:rFonts w:eastAsia="Times New Roman" w:cstheme="minorHAnsi"/>
                <w:noProof/>
              </w:rPr>
            </w:pPr>
            <w:r>
              <w:rPr>
                <w:noProof/>
              </w:rPr>
              <w:t xml:space="preserve">Υπογραφή της σύμβασης υλοποίησης του έργου για την αντικατάσταση των ηλεκτρονικών συστημάτων σηματοδότησης μεταξύ των δημόσιων αρχών και του αναδόχου. </w:t>
            </w:r>
          </w:p>
        </w:tc>
      </w:tr>
      <w:tr w:rsidR="00154AD2" w14:paraId="4095FC09" w14:textId="77777777">
        <w:trPr>
          <w:trHeight w:val="43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tcPr>
          <w:p w14:paraId="309B65D6" w14:textId="131135B8" w:rsidR="00154AD2" w:rsidRDefault="007F6BF3">
            <w:pPr>
              <w:pStyle w:val="P68B1DB1-Normal11"/>
              <w:spacing w:after="0" w:line="240" w:lineRule="auto"/>
              <w:jc w:val="center"/>
              <w:rPr>
                <w:rFonts w:eastAsia="Times New Roman"/>
                <w:noProof/>
              </w:rPr>
            </w:pPr>
            <w:r>
              <w:rPr>
                <w:noProof/>
              </w:rPr>
              <w:t>15.16</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549E8EF1" w14:textId="16469D34" w:rsidR="00154AD2" w:rsidRDefault="007F6BF3">
            <w:pPr>
              <w:pStyle w:val="P68B1DB1-Normal12"/>
              <w:spacing w:after="0" w:line="240" w:lineRule="auto"/>
              <w:jc w:val="center"/>
              <w:rPr>
                <w:rFonts w:eastAsia="Times New Roman" w:cstheme="minorHAnsi"/>
                <w:noProof/>
              </w:rPr>
            </w:pPr>
            <w:r>
              <w:rPr>
                <w:noProof/>
              </w:rPr>
              <w:t>TC-C15-I06</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1DEA956" w14:textId="4D528CFF" w:rsidR="00154AD2" w:rsidRDefault="007F6BF3">
            <w:pPr>
              <w:pStyle w:val="P68B1DB1-Normal12"/>
              <w:spacing w:after="0" w:line="240" w:lineRule="auto"/>
              <w:jc w:val="center"/>
              <w:rPr>
                <w:rFonts w:eastAsia="Times New Roman" w:cstheme="minorHAns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61336C3" w14:textId="72F7F910" w:rsidR="00154AD2" w:rsidRDefault="007F6BF3">
            <w:pPr>
              <w:pStyle w:val="P68B1DB1-Normal12"/>
              <w:spacing w:after="0" w:line="240" w:lineRule="auto"/>
              <w:jc w:val="center"/>
              <w:rPr>
                <w:rFonts w:eastAsia="Times New Roman" w:cstheme="minorHAnsi"/>
                <w:noProof/>
              </w:rPr>
            </w:pPr>
            <w:r>
              <w:rPr>
                <w:noProof/>
              </w:rPr>
              <w:t>Αντικατάσταση σιδηροδρομικών γραμμών με ηλεκτρονικά συστήματα σηματοδότησης</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1A28AD9C" w14:textId="77777777" w:rsidR="00154AD2" w:rsidRDefault="00154AD2">
            <w:pPr>
              <w:spacing w:after="0" w:line="240" w:lineRule="auto"/>
              <w:jc w:val="center"/>
              <w:rPr>
                <w:rFonts w:eastAsia="Times New Roman" w:cstheme="minorHAns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2598FA30" w14:textId="2E1AC044" w:rsidR="00154AD2" w:rsidRDefault="007F6BF3">
            <w:pPr>
              <w:pStyle w:val="P68B1DB1-Normal12"/>
              <w:spacing w:after="0" w:line="240" w:lineRule="auto"/>
              <w:jc w:val="center"/>
              <w:rPr>
                <w:rFonts w:eastAsia="Times New Roman" w:cstheme="minorHAnsi"/>
                <w:noProof/>
              </w:rPr>
            </w:pPr>
            <w:r>
              <w:rPr>
                <w:noProof/>
              </w:rPr>
              <w:t>χλμ</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78C2C5F8" w14:textId="534EC871" w:rsidR="00154AD2" w:rsidRDefault="007F6BF3">
            <w:pPr>
              <w:pStyle w:val="P68B1DB1-Normal12"/>
              <w:spacing w:after="0" w:line="240" w:lineRule="auto"/>
              <w:jc w:val="center"/>
              <w:rPr>
                <w:rFonts w:eastAsia="Times New Roman" w:cstheme="minorHAns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331C6AF" w14:textId="106C8BCB" w:rsidR="00154AD2" w:rsidRDefault="007F6BF3">
            <w:pPr>
              <w:pStyle w:val="P68B1DB1-Normal12"/>
              <w:spacing w:after="0" w:line="240" w:lineRule="auto"/>
              <w:jc w:val="center"/>
              <w:rPr>
                <w:rFonts w:eastAsia="Times New Roman" w:cstheme="minorHAnsi"/>
                <w:noProof/>
              </w:rPr>
            </w:pPr>
            <w:r>
              <w:rPr>
                <w:noProof/>
              </w:rPr>
              <w:t>20</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7A010B4" w14:textId="2F3B9E13" w:rsidR="00154AD2" w:rsidRDefault="007F6BF3">
            <w:pPr>
              <w:pStyle w:val="P68B1DB1-Normal12"/>
              <w:spacing w:after="0" w:line="240" w:lineRule="auto"/>
              <w:jc w:val="center"/>
              <w:rPr>
                <w:rFonts w:eastAsia="Times New Roman" w:cstheme="minorHAnsi"/>
                <w:noProof/>
              </w:rPr>
            </w:pPr>
            <w:r>
              <w:rPr>
                <w:noProof/>
              </w:rPr>
              <w:t>ΤΡΊΜΗΝΟ 2</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22AD76CD" w14:textId="1D2C02A4" w:rsidR="00154AD2" w:rsidRDefault="007F6BF3">
            <w:pPr>
              <w:pStyle w:val="P68B1DB1-Normal12"/>
              <w:spacing w:after="0" w:line="240" w:lineRule="auto"/>
              <w:jc w:val="center"/>
              <w:rPr>
                <w:rFonts w:eastAsia="Times New Roman" w:cstheme="minorHAnsi"/>
                <w:noProof/>
              </w:rPr>
            </w:pPr>
            <w:r>
              <w:rPr>
                <w:noProof/>
              </w:rPr>
              <w:t>2026</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tcPr>
          <w:p w14:paraId="73B34CCB" w14:textId="3C6E08D9" w:rsidR="00154AD2" w:rsidRDefault="007F6BF3">
            <w:pPr>
              <w:pStyle w:val="P68B1DB1-Normal12"/>
              <w:spacing w:after="0" w:line="240" w:lineRule="auto"/>
              <w:jc w:val="both"/>
              <w:rPr>
                <w:rFonts w:eastAsia="Times New Roman" w:cstheme="minorHAnsi"/>
                <w:noProof/>
              </w:rPr>
            </w:pPr>
            <w:r>
              <w:rPr>
                <w:noProof/>
              </w:rPr>
              <w:t>Μήκος σιδηροδρομικών γραμμών με νέα ηλεκτρονικά συστήματα σηματοδότησης εγκατεστημένα στη μητροπολιτική περιοχή της Λισαβόνας.</w:t>
            </w:r>
          </w:p>
        </w:tc>
      </w:tr>
    </w:tbl>
    <w:p w14:paraId="11A8F5DB" w14:textId="6735A646" w:rsidR="00154AD2" w:rsidRDefault="00154AD2">
      <w:pPr>
        <w:keepNext/>
        <w:spacing w:before="40" w:after="0" w:line="259" w:lineRule="auto"/>
        <w:jc w:val="both"/>
        <w:rPr>
          <w:rFonts w:ascii="Times New Roman" w:eastAsiaTheme="minorEastAsia" w:hAnsi="Times New Roman" w:cs="Times New Roman"/>
          <w:noProof/>
          <w:sz w:val="24"/>
        </w:rPr>
        <w:sectPr w:rsidR="00154AD2" w:rsidSect="00E00EDD">
          <w:headerReference w:type="even" r:id="rId288"/>
          <w:headerReference w:type="default" r:id="rId289"/>
          <w:footerReference w:type="even" r:id="rId290"/>
          <w:footerReference w:type="default" r:id="rId291"/>
          <w:headerReference w:type="first" r:id="rId292"/>
          <w:footerReference w:type="first" r:id="rId293"/>
          <w:pgSz w:w="16839" w:h="11907" w:orient="landscape"/>
          <w:pgMar w:top="1134" w:right="1134" w:bottom="1134" w:left="1134" w:header="567" w:footer="567" w:gutter="0"/>
          <w:cols w:space="720"/>
          <w:docGrid w:linePitch="360"/>
        </w:sectPr>
      </w:pPr>
    </w:p>
    <w:p w14:paraId="510498C1" w14:textId="77777777" w:rsidR="00154AD2" w:rsidRDefault="00154AD2">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6F3C01E3" w14:textId="763016D7" w:rsidR="00154AD2" w:rsidRDefault="007F6BF3">
      <w:pPr>
        <w:pStyle w:val="P68B1DB1-Normal3"/>
        <w:keepNext/>
        <w:spacing w:before="40" w:after="0" w:line="259" w:lineRule="auto"/>
        <w:ind w:left="130" w:firstLine="720"/>
        <w:jc w:val="both"/>
        <w:outlineLvl w:val="1"/>
        <w:rPr>
          <w:rFonts w:eastAsiaTheme="minorEastAsia" w:cs="Times New Roman"/>
          <w:noProof/>
        </w:rPr>
      </w:pPr>
      <w:r>
        <w:rPr>
          <w:noProof/>
        </w:rPr>
        <w:t>Ο.3. Περιγραφή των μεταρρυθμίσεων και των επενδύσεων που συνδέονται με τη λήψη δανείου</w:t>
      </w:r>
    </w:p>
    <w:p w14:paraId="1242CC49" w14:textId="77777777"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 xml:space="preserve">Επένδυση TC-C15-I03: Ελαφρά σιδηροδρομική διαμετακόμιση Odivelas — Loures </w:t>
      </w:r>
    </w:p>
    <w:p w14:paraId="27A3BE80" w14:textId="77777777" w:rsidR="00154AD2" w:rsidRDefault="007F6BF3">
      <w:pPr>
        <w:pStyle w:val="P68B1DB1-Normal4"/>
        <w:keepNext/>
        <w:spacing w:before="40" w:after="0" w:line="259" w:lineRule="auto"/>
        <w:jc w:val="both"/>
        <w:rPr>
          <w:rFonts w:eastAsiaTheme="minorEastAsia" w:cs="Times New Roman"/>
          <w:noProof/>
        </w:rPr>
      </w:pPr>
      <w:r>
        <w:rPr>
          <w:noProof/>
        </w:rPr>
        <w:t>Στόχος του μέτρου είναι η αύξηση της ελκυστικότητας των δημόσιων μεταφορών στη Λισαβόνα και η προσέλκυση περισσότερων χρηστών. Επί του παρόντος, οι ιδιωτικές οδικές μεταφορές κυριαρχούν μεταξύ Loures και Λισαβόνας, προκαλώντας σημαντικές εκπομπές αερίων του θερμοκηπίου και ρύπων, καθώς και προβλήματα κυκλοφοριακής συμφόρησης. Στόχος του μέτρου είναι η στροφή από τις ατομικές οδικές μεταφορές στις δημόσιες συγκοινωνίες.</w:t>
      </w:r>
    </w:p>
    <w:p w14:paraId="4FCFEDE5" w14:textId="481C3763" w:rsidR="00154AD2" w:rsidRDefault="007F6BF3">
      <w:pPr>
        <w:pStyle w:val="P68B1DB1-Normal4"/>
        <w:keepNext/>
        <w:spacing w:before="40" w:after="0" w:line="259" w:lineRule="auto"/>
        <w:jc w:val="both"/>
        <w:rPr>
          <w:rFonts w:eastAsiaTheme="minorEastAsia" w:cs="Times New Roman"/>
          <w:noProof/>
        </w:rPr>
      </w:pPr>
      <w:r>
        <w:rPr>
          <w:noProof/>
        </w:rPr>
        <w:t xml:space="preserve">Η επένδυση θα συνίσταται στην κατασκευή ενός ελαφρού σιδηροδρομικού συστήματος διέλευσης μήκους 11.5 χλμ, το οποίο θα συνδέσει τον δήμο Loures με το δίκτυο του μετρό της Λισαβόνας. </w:t>
      </w:r>
    </w:p>
    <w:p w14:paraId="5F1D6AF1" w14:textId="7D85A9C0" w:rsidR="00154AD2" w:rsidRDefault="007F6BF3">
      <w:pPr>
        <w:pStyle w:val="P68B1DB1-Normal4"/>
        <w:keepNext/>
        <w:spacing w:before="40" w:after="0" w:line="259" w:lineRule="auto"/>
        <w:ind w:left="130" w:firstLine="720"/>
        <w:jc w:val="both"/>
        <w:outlineLvl w:val="1"/>
        <w:rPr>
          <w:rFonts w:eastAsiaTheme="minorEastAsia" w:cs="Times New Roman"/>
          <w:b/>
          <w:noProof/>
          <w:u w:val="single"/>
        </w:rPr>
      </w:pPr>
      <w:r>
        <w:rPr>
          <w:noProof/>
        </w:rPr>
        <w:t>Η υλοποίηση της επένδυσης θα ολοκληρωθεί έως τις 30 Ιουνίου 2026.</w:t>
      </w:r>
    </w:p>
    <w:p w14:paraId="575ACA3D" w14:textId="77777777" w:rsidR="00154AD2" w:rsidRDefault="00154AD2">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64CAD46C" w14:textId="77777777" w:rsidR="00154AD2" w:rsidRDefault="00154AD2">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154AD2" w:rsidSect="00E00EDD">
          <w:headerReference w:type="even" r:id="rId294"/>
          <w:headerReference w:type="default" r:id="rId295"/>
          <w:footerReference w:type="even" r:id="rId296"/>
          <w:footerReference w:type="default" r:id="rId297"/>
          <w:headerReference w:type="first" r:id="rId298"/>
          <w:footerReference w:type="first" r:id="rId299"/>
          <w:pgSz w:w="11907" w:h="16839"/>
          <w:pgMar w:top="1134" w:right="1134" w:bottom="1134" w:left="1134" w:header="567" w:footer="567" w:gutter="0"/>
          <w:cols w:space="720"/>
          <w:docGrid w:linePitch="360"/>
        </w:sectPr>
      </w:pPr>
    </w:p>
    <w:p w14:paraId="03D3A8DE" w14:textId="77777777" w:rsidR="00154AD2" w:rsidRDefault="00154AD2">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302B669C" w14:textId="17BC633A" w:rsidR="00154AD2" w:rsidRDefault="007F6BF3">
      <w:pPr>
        <w:pStyle w:val="P68B1DB1-Normal3"/>
        <w:keepNext/>
        <w:spacing w:before="40" w:after="0" w:line="259" w:lineRule="auto"/>
        <w:ind w:left="130" w:firstLine="720"/>
        <w:jc w:val="both"/>
        <w:outlineLvl w:val="1"/>
        <w:rPr>
          <w:rFonts w:eastAsiaTheme="minorEastAsia" w:cs="Times New Roman"/>
          <w:noProof/>
        </w:rPr>
      </w:pPr>
      <w:r>
        <w:rPr>
          <w:noProof/>
        </w:rPr>
        <w:t>Ο.4. Ορόσημα, στόχοι, δείκτες και χρονοδιάγραμμα για την παρακολούθηση και την υλοποίηση του δανείου</w:t>
      </w:r>
    </w:p>
    <w:p w14:paraId="635759ED" w14:textId="77777777" w:rsidR="00154AD2" w:rsidRDefault="00154AD2">
      <w:pPr>
        <w:keepNext/>
        <w:spacing w:before="40" w:after="0" w:line="259" w:lineRule="auto"/>
        <w:jc w:val="both"/>
        <w:rPr>
          <w:rFonts w:ascii="Times New Roman" w:eastAsiaTheme="minorEastAsia" w:hAnsi="Times New Roman" w:cs="Times New Roman"/>
          <w:noProof/>
          <w:sz w:val="24"/>
        </w:rPr>
      </w:pPr>
    </w:p>
    <w:tbl>
      <w:tblPr>
        <w:tblW w:w="15027" w:type="dxa"/>
        <w:tblInd w:w="-176" w:type="dxa"/>
        <w:tblLayout w:type="fixed"/>
        <w:tblLook w:val="04A0" w:firstRow="1" w:lastRow="0" w:firstColumn="1" w:lastColumn="0" w:noHBand="0" w:noVBand="1"/>
      </w:tblPr>
      <w:tblGrid>
        <w:gridCol w:w="1135"/>
        <w:gridCol w:w="1276"/>
        <w:gridCol w:w="1134"/>
        <w:gridCol w:w="1701"/>
        <w:gridCol w:w="1417"/>
        <w:gridCol w:w="993"/>
        <w:gridCol w:w="992"/>
        <w:gridCol w:w="709"/>
        <w:gridCol w:w="567"/>
        <w:gridCol w:w="708"/>
        <w:gridCol w:w="4395"/>
      </w:tblGrid>
      <w:tr w:rsidR="00154AD2" w14:paraId="2F97F8D0" w14:textId="77777777">
        <w:trPr>
          <w:trHeight w:val="910"/>
          <w:tblHeader/>
        </w:trPr>
        <w:tc>
          <w:tcPr>
            <w:tcW w:w="1135"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2921D3C2" w14:textId="77777777" w:rsidR="00154AD2" w:rsidRDefault="007F6BF3">
            <w:pPr>
              <w:pStyle w:val="P68B1DB1-Normal6"/>
              <w:spacing w:after="0" w:line="240" w:lineRule="auto"/>
              <w:jc w:val="center"/>
              <w:rPr>
                <w:rFonts w:eastAsia="Times New Roman" w:cs="Times New Roman"/>
                <w:noProof/>
              </w:rPr>
            </w:pPr>
            <w:r>
              <w:rPr>
                <w:noProof/>
              </w:rPr>
              <w:t>Αύξων αριθμός</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11C57A38" w14:textId="77777777" w:rsidR="00154AD2" w:rsidRDefault="007F6BF3">
            <w:pPr>
              <w:pStyle w:val="P68B1DB1-Normal6"/>
              <w:spacing w:after="0" w:line="240" w:lineRule="auto"/>
              <w:jc w:val="center"/>
              <w:rPr>
                <w:rFonts w:eastAsia="Times New Roman" w:cs="Times New Roman"/>
                <w:noProof/>
              </w:rPr>
            </w:pPr>
            <w:r>
              <w:rPr>
                <w:noProof/>
              </w:rPr>
              <w:t>Μέτρο (Μεταρρύθμιση ή Επενδύσεις)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5FEE676C" w14:textId="77777777" w:rsidR="00154AD2" w:rsidRDefault="007F6BF3">
            <w:pPr>
              <w:pStyle w:val="P68B1DB1-Normal6"/>
              <w:spacing w:after="0" w:line="240" w:lineRule="auto"/>
              <w:jc w:val="center"/>
              <w:rPr>
                <w:rFonts w:eastAsia="Times New Roman" w:cs="Times New Roman"/>
                <w:noProof/>
              </w:rPr>
            </w:pPr>
            <w:r>
              <w:rPr>
                <w:noProof/>
              </w:rPr>
              <w:t>Ορόσημο/Στόχος</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58027319" w14:textId="77777777" w:rsidR="00154AD2" w:rsidRDefault="007F6BF3">
            <w:pPr>
              <w:pStyle w:val="P68B1DB1-Normal6"/>
              <w:spacing w:after="0" w:line="240" w:lineRule="auto"/>
              <w:jc w:val="center"/>
              <w:rPr>
                <w:rFonts w:eastAsia="Times New Roman" w:cs="Times New Roman"/>
                <w:noProof/>
              </w:rPr>
            </w:pPr>
            <w:r>
              <w:rPr>
                <w:noProof/>
              </w:rPr>
              <w:t>Όνομα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1067041" w14:textId="77777777" w:rsidR="00154AD2" w:rsidRDefault="007F6BF3">
            <w:pPr>
              <w:pStyle w:val="P68B1DB1-Normal6"/>
              <w:spacing w:after="0" w:line="240" w:lineRule="auto"/>
              <w:jc w:val="center"/>
              <w:rPr>
                <w:rFonts w:eastAsia="Times New Roman" w:cs="Times New Roman"/>
                <w:noProof/>
              </w:rPr>
            </w:pPr>
            <w:r>
              <w:rPr>
                <w:noProof/>
              </w:rPr>
              <w:t>Ποιοτικοί δείκτες (για τα ορόσημα)</w:t>
            </w:r>
          </w:p>
        </w:tc>
        <w:tc>
          <w:tcPr>
            <w:tcW w:w="2694" w:type="dxa"/>
            <w:gridSpan w:val="3"/>
            <w:tcBorders>
              <w:top w:val="single" w:sz="4" w:space="0" w:color="auto"/>
              <w:left w:val="single" w:sz="4" w:space="0" w:color="auto"/>
              <w:bottom w:val="single" w:sz="4" w:space="0" w:color="auto"/>
              <w:right w:val="single" w:sz="4" w:space="0" w:color="auto"/>
            </w:tcBorders>
            <w:shd w:val="clear" w:color="auto" w:fill="BDD6EE"/>
            <w:vAlign w:val="center"/>
            <w:hideMark/>
          </w:tcPr>
          <w:p w14:paraId="1F0D5637" w14:textId="77777777" w:rsidR="00154AD2" w:rsidRDefault="007F6BF3">
            <w:pPr>
              <w:pStyle w:val="P68B1DB1-Normal6"/>
              <w:spacing w:after="0" w:line="240" w:lineRule="auto"/>
              <w:jc w:val="center"/>
              <w:rPr>
                <w:rFonts w:eastAsia="Times New Roman" w:cs="Times New Roman"/>
                <w:noProof/>
              </w:rPr>
            </w:pPr>
            <w:r>
              <w:rPr>
                <w:noProof/>
              </w:rPr>
              <w:t>Ποσοτικοί δείκτες (για τους στόχους)</w:t>
            </w:r>
          </w:p>
        </w:tc>
        <w:tc>
          <w:tcPr>
            <w:tcW w:w="127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DB14555" w14:textId="77777777" w:rsidR="00154AD2" w:rsidRDefault="007F6BF3">
            <w:pPr>
              <w:pStyle w:val="P68B1DB1-Normal6"/>
              <w:spacing w:after="0" w:line="240" w:lineRule="auto"/>
              <w:jc w:val="center"/>
              <w:rPr>
                <w:rFonts w:eastAsia="Times New Roman" w:cs="Times New Roman"/>
                <w:noProof/>
              </w:rPr>
            </w:pPr>
            <w:r>
              <w:rPr>
                <w:noProof/>
              </w:rPr>
              <w:t>Ενδεικτικό χρονοδιάγραμμα ολοκλήρωσης</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4BDC769" w14:textId="77777777" w:rsidR="00154AD2" w:rsidRDefault="007F6BF3">
            <w:pPr>
              <w:pStyle w:val="P68B1DB1-Normal6"/>
              <w:spacing w:after="0" w:line="240" w:lineRule="auto"/>
              <w:jc w:val="center"/>
              <w:rPr>
                <w:rFonts w:eastAsia="Times New Roman" w:cs="Times New Roman"/>
                <w:noProof/>
              </w:rPr>
            </w:pPr>
            <w:r>
              <w:rPr>
                <w:noProof/>
              </w:rPr>
              <w:t>Περιγραφή και σαφής ορισμός κάθε ορόσημου και στόχου</w:t>
            </w:r>
          </w:p>
        </w:tc>
      </w:tr>
      <w:tr w:rsidR="00154AD2" w14:paraId="6A79B943" w14:textId="77777777">
        <w:trPr>
          <w:trHeight w:val="470"/>
          <w:tblHeader/>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4310C2A" w14:textId="77777777" w:rsidR="00154AD2" w:rsidRDefault="00154AD2">
            <w:pPr>
              <w:spacing w:after="0" w:line="240" w:lineRule="auto"/>
              <w:rPr>
                <w:rFonts w:ascii="Times New Roman" w:eastAsia="Times New Roman" w:hAnsi="Times New Roman" w:cs="Times New Roman"/>
                <w:b/>
                <w:noProof/>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8ACA7D6" w14:textId="77777777" w:rsidR="00154AD2" w:rsidRDefault="00154AD2">
            <w:pPr>
              <w:spacing w:after="0" w:line="240" w:lineRule="auto"/>
              <w:rPr>
                <w:rFonts w:ascii="Times New Roman" w:eastAsia="Times New Roman" w:hAnsi="Times New Roman" w:cs="Times New Roman"/>
                <w:b/>
                <w:noProof/>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AF8AE5" w14:textId="77777777" w:rsidR="00154AD2" w:rsidRDefault="00154AD2">
            <w:pPr>
              <w:spacing w:after="0" w:line="240" w:lineRule="auto"/>
              <w:jc w:val="center"/>
              <w:rPr>
                <w:rFonts w:ascii="Times New Roman" w:eastAsia="Times New Roman" w:hAnsi="Times New Roman" w:cs="Times New Roman"/>
                <w:b/>
                <w:noProof/>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37037FB" w14:textId="77777777" w:rsidR="00154AD2" w:rsidRDefault="00154AD2">
            <w:pPr>
              <w:spacing w:after="0" w:line="240" w:lineRule="auto"/>
              <w:rPr>
                <w:rFonts w:ascii="Times New Roman" w:eastAsia="Times New Roman" w:hAnsi="Times New Roman" w:cs="Times New Roman"/>
                <w:b/>
                <w:noProof/>
                <w:sz w:val="18"/>
              </w:rPr>
            </w:pPr>
          </w:p>
        </w:tc>
        <w:tc>
          <w:tcPr>
            <w:tcW w:w="1417" w:type="dxa"/>
            <w:vMerge/>
            <w:tcBorders>
              <w:top w:val="single" w:sz="4" w:space="0" w:color="auto"/>
              <w:left w:val="single" w:sz="4" w:space="0" w:color="auto"/>
            </w:tcBorders>
            <w:vAlign w:val="center"/>
            <w:hideMark/>
          </w:tcPr>
          <w:p w14:paraId="532041EB" w14:textId="77777777" w:rsidR="00154AD2" w:rsidRDefault="00154AD2">
            <w:pPr>
              <w:spacing w:after="0" w:line="240" w:lineRule="auto"/>
              <w:rPr>
                <w:rFonts w:ascii="Times New Roman" w:eastAsia="Times New Roman" w:hAnsi="Times New Roman" w:cs="Times New Roman"/>
                <w:b/>
                <w:noProof/>
                <w:sz w:val="18"/>
              </w:rPr>
            </w:pPr>
          </w:p>
        </w:tc>
        <w:tc>
          <w:tcPr>
            <w:tcW w:w="99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78DB4E2" w14:textId="77777777" w:rsidR="00154AD2" w:rsidRDefault="007F6BF3">
            <w:pPr>
              <w:pStyle w:val="P68B1DB1-Normal6"/>
              <w:spacing w:after="0" w:line="240" w:lineRule="auto"/>
              <w:jc w:val="center"/>
              <w:rPr>
                <w:rFonts w:eastAsia="Times New Roman" w:cs="Times New Roman"/>
                <w:noProof/>
              </w:rPr>
            </w:pPr>
            <w:r>
              <w:rPr>
                <w:noProof/>
              </w:rPr>
              <w:t>Μονάδα μέτρησης</w:t>
            </w:r>
          </w:p>
        </w:tc>
        <w:tc>
          <w:tcPr>
            <w:tcW w:w="99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260F3C8" w14:textId="77777777" w:rsidR="00154AD2" w:rsidRDefault="007F6BF3">
            <w:pPr>
              <w:pStyle w:val="P68B1DB1-Normal6"/>
              <w:spacing w:after="0" w:line="240" w:lineRule="auto"/>
              <w:jc w:val="center"/>
              <w:rPr>
                <w:rFonts w:eastAsia="Times New Roman" w:cs="Times New Roman"/>
                <w:noProof/>
              </w:rPr>
            </w:pPr>
            <w:r>
              <w:rPr>
                <w:noProof/>
              </w:rPr>
              <w:t>Γραμμή βάσης</w:t>
            </w:r>
          </w:p>
        </w:tc>
        <w:tc>
          <w:tcPr>
            <w:tcW w:w="7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C75038A" w14:textId="77777777" w:rsidR="00154AD2" w:rsidRDefault="007F6BF3">
            <w:pPr>
              <w:pStyle w:val="P68B1DB1-Normal6"/>
              <w:spacing w:after="0" w:line="240" w:lineRule="auto"/>
              <w:jc w:val="center"/>
              <w:rPr>
                <w:rFonts w:eastAsia="Times New Roman" w:cs="Times New Roman"/>
                <w:noProof/>
              </w:rPr>
            </w:pPr>
            <w:r>
              <w:rPr>
                <w:noProof/>
              </w:rPr>
              <w:t>Στόχοι</w:t>
            </w:r>
          </w:p>
        </w:tc>
        <w:tc>
          <w:tcPr>
            <w:tcW w:w="56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015B4B4" w14:textId="77777777" w:rsidR="00154AD2" w:rsidRDefault="007F6BF3">
            <w:pPr>
              <w:pStyle w:val="P68B1DB1-Normal6"/>
              <w:spacing w:after="0" w:line="240" w:lineRule="auto"/>
              <w:jc w:val="center"/>
              <w:rPr>
                <w:rFonts w:eastAsia="Times New Roman" w:cs="Times New Roman"/>
                <w:noProof/>
              </w:rPr>
            </w:pPr>
            <w:r>
              <w:rPr>
                <w:noProof/>
              </w:rPr>
              <w:t>Ε</w:t>
            </w:r>
          </w:p>
        </w:tc>
        <w:tc>
          <w:tcPr>
            <w:tcW w:w="70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BC222A0" w14:textId="77777777" w:rsidR="00154AD2" w:rsidRDefault="007F6BF3">
            <w:pPr>
              <w:pStyle w:val="P68B1DB1-Normal6"/>
              <w:spacing w:after="0" w:line="240" w:lineRule="auto"/>
              <w:jc w:val="center"/>
              <w:rPr>
                <w:rFonts w:eastAsia="Times New Roman" w:cs="Times New Roman"/>
                <w:noProof/>
              </w:rPr>
            </w:pPr>
            <w:r>
              <w:rPr>
                <w:noProof/>
              </w:rPr>
              <w:t>Έτος</w:t>
            </w:r>
          </w:p>
        </w:tc>
        <w:tc>
          <w:tcPr>
            <w:tcW w:w="4395" w:type="dxa"/>
            <w:vMerge/>
            <w:tcBorders>
              <w:top w:val="single" w:sz="4" w:space="0" w:color="auto"/>
              <w:bottom w:val="single" w:sz="4" w:space="0" w:color="auto"/>
              <w:right w:val="single" w:sz="4" w:space="0" w:color="auto"/>
            </w:tcBorders>
            <w:vAlign w:val="center"/>
            <w:hideMark/>
          </w:tcPr>
          <w:p w14:paraId="01B727AD" w14:textId="77777777" w:rsidR="00154AD2" w:rsidRDefault="00154AD2">
            <w:pPr>
              <w:spacing w:after="0" w:line="240" w:lineRule="auto"/>
              <w:rPr>
                <w:rFonts w:ascii="Times New Roman" w:eastAsia="Times New Roman" w:hAnsi="Times New Roman" w:cs="Times New Roman"/>
                <w:b/>
                <w:noProof/>
                <w:sz w:val="18"/>
              </w:rPr>
            </w:pPr>
          </w:p>
        </w:tc>
      </w:tr>
      <w:tr w:rsidR="00154AD2" w14:paraId="4EBA1B8E" w14:textId="77777777">
        <w:trPr>
          <w:trHeight w:val="850"/>
          <w:tblHeader/>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tcPr>
          <w:p w14:paraId="17430DD4" w14:textId="3D8F77CB" w:rsidR="00154AD2" w:rsidRDefault="007F6BF3">
            <w:pPr>
              <w:pStyle w:val="P68B1DB1-Normal7"/>
              <w:spacing w:after="0" w:line="240" w:lineRule="auto"/>
              <w:jc w:val="center"/>
              <w:rPr>
                <w:rFonts w:eastAsia="Times New Roman" w:cs="Calibri"/>
                <w:noProof/>
              </w:rPr>
            </w:pPr>
            <w:r>
              <w:rPr>
                <w:noProof/>
              </w:rPr>
              <w:t>15.7</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2763EAF" w14:textId="43F37C9D" w:rsidR="00154AD2" w:rsidRDefault="007F6BF3">
            <w:pPr>
              <w:pStyle w:val="P68B1DB1-Normal8"/>
              <w:spacing w:after="0" w:line="240" w:lineRule="auto"/>
              <w:jc w:val="center"/>
              <w:rPr>
                <w:rFonts w:eastAsia="Times New Roman" w:cs="Calibri"/>
                <w:noProof/>
              </w:rPr>
            </w:pPr>
            <w:r>
              <w:rPr>
                <w:noProof/>
              </w:rPr>
              <w:t>TC-C15-I03</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D4F69B0" w14:textId="6F007304" w:rsidR="00154AD2" w:rsidRDefault="007F6BF3">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A963B90" w14:textId="7F495470" w:rsidR="00154AD2" w:rsidRDefault="007F6BF3">
            <w:pPr>
              <w:pStyle w:val="P68B1DB1-Normal8"/>
              <w:spacing w:after="0" w:line="240" w:lineRule="auto"/>
              <w:jc w:val="center"/>
              <w:rPr>
                <w:rFonts w:eastAsia="Times New Roman" w:cs="Calibri"/>
                <w:noProof/>
              </w:rPr>
            </w:pPr>
            <w:r>
              <w:rPr>
                <w:noProof/>
              </w:rPr>
              <w:t>Υπογραφή της σύμβασης για την κατασκευή γραμμής διέλευσης ελαφρών σιδηροδρόμων μεταξύ Odivelas και Loures</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077DDBE" w14:textId="3B3953C9" w:rsidR="00154AD2" w:rsidRDefault="007F6BF3">
            <w:pPr>
              <w:pStyle w:val="P68B1DB1-Normal8"/>
              <w:spacing w:after="0" w:line="240" w:lineRule="auto"/>
              <w:jc w:val="center"/>
              <w:rPr>
                <w:rFonts w:eastAsia="Times New Roman" w:cs="Calibri"/>
                <w:noProof/>
              </w:rPr>
            </w:pPr>
            <w:r>
              <w:rPr>
                <w:noProof/>
              </w:rPr>
              <w:t>Υπογραφή της σύμβασης για την κατασκευή γραμμής διέλευσης ελαφρών σιδηροδρόμων μεταξύ Odivelas και Loures</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18295CC" w14:textId="77777777" w:rsidR="00154AD2" w:rsidRDefault="00154AD2">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9B96970" w14:textId="77777777" w:rsidR="00154AD2" w:rsidRDefault="00154AD2">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290E9541" w14:textId="77777777" w:rsidR="00154AD2" w:rsidRDefault="00154AD2">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2F8099FF" w14:textId="21500CAE" w:rsidR="00154AD2" w:rsidRDefault="007F6BF3">
            <w:pPr>
              <w:pStyle w:val="P68B1DB1-Normal8"/>
              <w:spacing w:after="0" w:line="240" w:lineRule="auto"/>
              <w:jc w:val="center"/>
              <w:rPr>
                <w:rFonts w:eastAsia="Times New Roman" w:cs="Calibri"/>
                <w:noProof/>
              </w:rPr>
            </w:pPr>
            <w:r>
              <w:rPr>
                <w:noProof/>
              </w:rPr>
              <w:t>ΤΡΊΜΗΝΟ 1</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73A09061" w14:textId="0BCE3452" w:rsidR="00154AD2" w:rsidRDefault="007F6BF3">
            <w:pPr>
              <w:pStyle w:val="P68B1DB1-Normal8"/>
              <w:spacing w:after="0" w:line="240" w:lineRule="auto"/>
              <w:jc w:val="center"/>
              <w:rPr>
                <w:rFonts w:eastAsia="Times New Roman" w:cs="Calibri"/>
                <w:noProof/>
              </w:rPr>
            </w:pPr>
            <w:r>
              <w:rPr>
                <w:noProof/>
              </w:rPr>
              <w:t>2024</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tcPr>
          <w:p w14:paraId="71CFDF65" w14:textId="783876D7" w:rsidR="00154AD2" w:rsidRDefault="007F6BF3">
            <w:pPr>
              <w:pStyle w:val="P68B1DB1-Normal8"/>
              <w:spacing w:after="0" w:line="240" w:lineRule="auto"/>
              <w:jc w:val="both"/>
              <w:rPr>
                <w:rFonts w:eastAsia="Times New Roman" w:cs="Calibri"/>
                <w:noProof/>
              </w:rPr>
            </w:pPr>
            <w:r>
              <w:rPr>
                <w:noProof/>
              </w:rPr>
              <w:t xml:space="preserve">Υπογραφή της σύμβασης υλοποίησης του έργου μεταξύ των δημόσιων αρχών και του αναδόχου που επελέγη στο πλαίσιο διαδικασίας υποβολής προσφορών. Σκοπός της σύμβασης είναι η κατασκευή γραμμής διέλευσης ελαφρών σιδηροδρόμων μεταξύ Odivelas και Loures. </w:t>
            </w:r>
          </w:p>
        </w:tc>
      </w:tr>
      <w:tr w:rsidR="00154AD2" w14:paraId="2C0CA749" w14:textId="77777777">
        <w:trPr>
          <w:trHeight w:val="2527"/>
          <w:tblHeader/>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tcPr>
          <w:p w14:paraId="54BFE5C9" w14:textId="29341BA1" w:rsidR="00154AD2" w:rsidRDefault="007F6BF3">
            <w:pPr>
              <w:pStyle w:val="P68B1DB1-Normal7"/>
              <w:spacing w:after="0" w:line="240" w:lineRule="auto"/>
              <w:jc w:val="center"/>
              <w:rPr>
                <w:rFonts w:eastAsia="Times New Roman" w:cs="Calibri"/>
                <w:noProof/>
              </w:rPr>
            </w:pPr>
            <w:r>
              <w:rPr>
                <w:noProof/>
              </w:rPr>
              <w:t>15.8</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0DF29A2" w14:textId="4F14BD57" w:rsidR="00154AD2" w:rsidRDefault="007F6BF3">
            <w:pPr>
              <w:pStyle w:val="P68B1DB1-Normal8"/>
              <w:spacing w:after="0" w:line="240" w:lineRule="auto"/>
              <w:jc w:val="center"/>
              <w:rPr>
                <w:rFonts w:eastAsia="Times New Roman" w:cs="Calibri"/>
                <w:noProof/>
              </w:rPr>
            </w:pPr>
            <w:r>
              <w:rPr>
                <w:noProof/>
              </w:rPr>
              <w:t>TC-C15-I03</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C4D0EFB" w14:textId="69B081E1" w:rsidR="00154AD2" w:rsidRDefault="007F6BF3">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34498EF" w14:textId="33737552" w:rsidR="00154AD2" w:rsidRDefault="007F6BF3">
            <w:pPr>
              <w:pStyle w:val="P68B1DB1-Normal8"/>
              <w:spacing w:after="0" w:line="240" w:lineRule="auto"/>
              <w:jc w:val="center"/>
              <w:rPr>
                <w:rFonts w:eastAsia="Times New Roman" w:cs="Calibri"/>
                <w:noProof/>
              </w:rPr>
            </w:pPr>
            <w:r>
              <w:rPr>
                <w:noProof/>
              </w:rPr>
              <w:t>Έκθεση προόδου σχετικά με την κατασκευή της γραμμής ελαφρού σιδηροδρόμου μεταξύ Odivelas και Loures</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59ABFC70" w14:textId="6F68A9CC" w:rsidR="00154AD2" w:rsidRDefault="007F6BF3">
            <w:pPr>
              <w:pStyle w:val="P68B1DB1-Normal8"/>
              <w:spacing w:after="0" w:line="240" w:lineRule="auto"/>
              <w:jc w:val="center"/>
              <w:rPr>
                <w:rFonts w:eastAsia="Times New Roman" w:cs="Calibri"/>
                <w:noProof/>
              </w:rPr>
            </w:pPr>
            <w:r>
              <w:rPr>
                <w:noProof/>
              </w:rPr>
              <w:t>Έκθεση προόδου στην οποία αναφέρεται ότι οι εργασίες προχωρούν σύμφωνα με το χρονοδιάγραμμα</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60038F1" w14:textId="77777777" w:rsidR="00154AD2" w:rsidRDefault="00154AD2">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419550BD" w14:textId="77777777" w:rsidR="00154AD2" w:rsidRDefault="00154AD2">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18473EAD" w14:textId="77777777" w:rsidR="00154AD2" w:rsidRDefault="00154AD2">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03C286D" w14:textId="1D46DD3D" w:rsidR="00154AD2" w:rsidRDefault="007F6BF3">
            <w:pPr>
              <w:pStyle w:val="P68B1DB1-Normal8"/>
              <w:spacing w:after="0" w:line="240" w:lineRule="auto"/>
              <w:jc w:val="center"/>
              <w:rPr>
                <w:rFonts w:eastAsia="Times New Roman" w:cs="Calibri"/>
                <w:noProof/>
              </w:rPr>
            </w:pPr>
            <w:r>
              <w:rPr>
                <w:noProof/>
              </w:rPr>
              <w:t>ΤΡΊΜΗΝΟ 2</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1EE78C35" w14:textId="00B9F427" w:rsidR="00154AD2" w:rsidRDefault="007F6BF3">
            <w:pPr>
              <w:pStyle w:val="P68B1DB1-Normal8"/>
              <w:spacing w:after="0" w:line="240" w:lineRule="auto"/>
              <w:jc w:val="center"/>
              <w:rPr>
                <w:rFonts w:eastAsia="Times New Roman" w:cs="Calibri"/>
                <w:noProof/>
              </w:rPr>
            </w:pPr>
            <w:r>
              <w:rPr>
                <w:noProof/>
              </w:rPr>
              <w:t>2025</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tcPr>
          <w:p w14:paraId="33FA7FFC" w14:textId="633FF37D" w:rsidR="00154AD2" w:rsidRDefault="007F6BF3">
            <w:pPr>
              <w:pStyle w:val="P68B1DB1-Normal8"/>
              <w:spacing w:after="0" w:line="240" w:lineRule="auto"/>
              <w:jc w:val="both"/>
              <w:rPr>
                <w:rFonts w:eastAsia="Times New Roman" w:cs="Calibri"/>
                <w:noProof/>
              </w:rPr>
            </w:pPr>
            <w:r>
              <w:rPr>
                <w:noProof/>
              </w:rPr>
              <w:t>Η ανάπτυξη των εργασιών για την κατασκευή της γραμμής διέλευσης ελαφρών σιδηροδρόμων μεταξύ Odivelas και Loures και η συμμόρφωση με το χρονοδιάγραμμα εκτέλεσής τους μετρώνται με τακτικές εκθέσεις προόδου καθ’ όλη τη διάρκεια της εκτέλεσης των εργασιών. Περιλαμβάνει την αξιολόγηση της εξέλιξης των εργασιών σύμφωνα με το προβλεπόμενο χρονοδιάγραμμα, συμπεριλαμβανομένου του προσδιορισμού των δραστηριοτήτων που έχουν ήδη ολοκληρωθεί, του προσδιορισμού των δραστηριοτήτων που πρέπει να εκτελεστούν και μιας ανάλυσης κινδύνου των προτεινόμενων προθεσμιών εφαρμογής με, εφόσον απαιτείται, σχέδιο μετριασμού και έκτακτης ανάγκης για να εξασφαλιστεί ότι η σύμβαση θα ολοκληρωθεί εντός των προτεινόμενων προθεσμιών. Το ορόσημο επιτυγχάνεται εάν η έκθεση προόδου αναφέρει ότι κατά τον χρόνο του ορόσημου οι εργασίες προχωρούν σύμφωνα με το χρονοδιάγραμμα.</w:t>
            </w:r>
          </w:p>
        </w:tc>
      </w:tr>
      <w:tr w:rsidR="00154AD2" w14:paraId="5ACB540A" w14:textId="77777777">
        <w:trPr>
          <w:trHeight w:val="640"/>
          <w:tblHeader/>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tcPr>
          <w:p w14:paraId="7C7A72F5" w14:textId="276CF2CE" w:rsidR="00154AD2" w:rsidRDefault="007F6BF3">
            <w:pPr>
              <w:pStyle w:val="P68B1DB1-Normal7"/>
              <w:spacing w:after="0" w:line="240" w:lineRule="auto"/>
              <w:jc w:val="center"/>
              <w:rPr>
                <w:rFonts w:eastAsia="Times New Roman" w:cs="Calibri"/>
                <w:noProof/>
              </w:rPr>
            </w:pPr>
            <w:r>
              <w:rPr>
                <w:noProof/>
              </w:rPr>
              <w:t>15.9</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099203D" w14:textId="19AB8DFF" w:rsidR="00154AD2" w:rsidRDefault="007F6BF3">
            <w:pPr>
              <w:pStyle w:val="P68B1DB1-Normal8"/>
              <w:spacing w:after="0" w:line="240" w:lineRule="auto"/>
              <w:jc w:val="center"/>
              <w:rPr>
                <w:rFonts w:eastAsia="Times New Roman" w:cs="Calibri"/>
                <w:noProof/>
              </w:rPr>
            </w:pPr>
            <w:r>
              <w:rPr>
                <w:noProof/>
              </w:rPr>
              <w:t>TC-C15-I03</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D7661C3" w14:textId="65733C36" w:rsidR="00154AD2" w:rsidRDefault="007F6BF3">
            <w:pPr>
              <w:pStyle w:val="P68B1DB1-Normal8"/>
              <w:spacing w:after="0" w:line="240" w:lineRule="auto"/>
              <w:jc w:val="center"/>
              <w:rPr>
                <w:rFonts w:eastAsia="Times New Roman" w:cs="Calibr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11911FA7" w14:textId="10D9D5E3" w:rsidR="00154AD2" w:rsidRDefault="007F6BF3">
            <w:pPr>
              <w:pStyle w:val="P68B1DB1-Normal8"/>
              <w:spacing w:after="0" w:line="240" w:lineRule="auto"/>
              <w:jc w:val="center"/>
              <w:rPr>
                <w:rFonts w:eastAsia="Times New Roman" w:cs="Calibri"/>
                <w:noProof/>
              </w:rPr>
            </w:pPr>
            <w:r>
              <w:rPr>
                <w:noProof/>
              </w:rPr>
              <w:t>Ολοκλήρωση της κατασκευής γραμμής διέλευσης ελαφρών σιδηροδρόμων μεταξύ Odivelas και Loures</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7781649" w14:textId="77777777" w:rsidR="00154AD2" w:rsidRDefault="00154AD2">
            <w:pPr>
              <w:spacing w:after="0" w:line="240" w:lineRule="auto"/>
              <w:jc w:val="center"/>
              <w:rPr>
                <w:rFonts w:ascii="Calibri" w:eastAsia="Times New Roman" w:hAnsi="Calibri" w:cs="Calibr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24FBAABA" w14:textId="0FEF1905" w:rsidR="00154AD2" w:rsidRDefault="007F6BF3">
            <w:pPr>
              <w:pStyle w:val="P68B1DB1-Normal8"/>
              <w:spacing w:after="0" w:line="240" w:lineRule="auto"/>
              <w:jc w:val="center"/>
              <w:rPr>
                <w:rFonts w:eastAsia="Times New Roman" w:cs="Calibri"/>
                <w:noProof/>
              </w:rPr>
            </w:pPr>
            <w:r>
              <w:rPr>
                <w:noProof/>
              </w:rPr>
              <w:t>Χλμ</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5D1663D" w14:textId="629F8717" w:rsidR="00154AD2" w:rsidRDefault="007F6BF3">
            <w:pPr>
              <w:pStyle w:val="P68B1DB1-Normal8"/>
              <w:spacing w:after="0" w:line="240" w:lineRule="auto"/>
              <w:jc w:val="center"/>
              <w:rPr>
                <w:rFonts w:eastAsia="Times New Roman" w:cs="Calibr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2D4C315A" w14:textId="78D81EC8" w:rsidR="00154AD2" w:rsidRDefault="007F6BF3">
            <w:pPr>
              <w:pStyle w:val="P68B1DB1-Normal8"/>
              <w:spacing w:after="0" w:line="240" w:lineRule="auto"/>
              <w:jc w:val="center"/>
              <w:rPr>
                <w:rFonts w:eastAsia="Times New Roman" w:cs="Calibri"/>
                <w:noProof/>
              </w:rPr>
            </w:pPr>
            <w:r>
              <w:rPr>
                <w:noProof/>
              </w:rPr>
              <w:t>11.5</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5F0E1D2A" w14:textId="1621DBB7" w:rsidR="00154AD2" w:rsidRDefault="007F6BF3">
            <w:pPr>
              <w:pStyle w:val="P68B1DB1-Normal8"/>
              <w:spacing w:after="0" w:line="240" w:lineRule="auto"/>
              <w:jc w:val="center"/>
              <w:rPr>
                <w:rFonts w:eastAsia="Times New Roman" w:cs="Calibri"/>
                <w:noProof/>
              </w:rPr>
            </w:pPr>
            <w:r>
              <w:rPr>
                <w:noProof/>
              </w:rPr>
              <w:t>ΤΡΊΜΗΝΟ 2</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B81BB6F" w14:textId="2BF6C0A4" w:rsidR="00154AD2" w:rsidRDefault="007F6BF3">
            <w:pPr>
              <w:pStyle w:val="P68B1DB1-Normal8"/>
              <w:spacing w:after="0" w:line="240" w:lineRule="auto"/>
              <w:jc w:val="center"/>
              <w:rPr>
                <w:rFonts w:eastAsia="Times New Roman" w:cs="Calibri"/>
                <w:noProof/>
              </w:rPr>
            </w:pPr>
            <w:r>
              <w:rPr>
                <w:noProof/>
              </w:rPr>
              <w:t>2026</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tcPr>
          <w:p w14:paraId="7B006FBB" w14:textId="239AB1DE" w:rsidR="00154AD2" w:rsidRDefault="007F6BF3">
            <w:pPr>
              <w:pStyle w:val="P68B1DB1-Normal8"/>
              <w:spacing w:after="0" w:line="240" w:lineRule="auto"/>
              <w:jc w:val="both"/>
              <w:rPr>
                <w:rFonts w:eastAsia="Times New Roman" w:cs="Calibri"/>
                <w:noProof/>
              </w:rPr>
            </w:pPr>
            <w:r>
              <w:rPr>
                <w:noProof/>
              </w:rPr>
              <w:t xml:space="preserve">Μήκος των κατασκευαστικών εργασιών που ολοκληρώθηκαν για τη σιδηροδρομική γραμμή διέλευσης ελαφρού σιδηροδρόμου για τη σύνδεση της Loures με το δίκτυο Metro της Λισαβόνας στο Odivelas. Η νέα γραμμή ελαφρού σιδηροδρόμου είναι έτοιμη για την άμεση λειτουργία των προγραμματισμένων υπηρεσιών μεταφοράς. </w:t>
            </w:r>
          </w:p>
        </w:tc>
      </w:tr>
    </w:tbl>
    <w:p w14:paraId="0B3D7BA5" w14:textId="77777777" w:rsidR="00154AD2" w:rsidRDefault="00154AD2">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5D80F2C0" w14:textId="77777777" w:rsidR="00154AD2" w:rsidRDefault="00154AD2">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13B5D196" w14:textId="77777777" w:rsidR="00154AD2" w:rsidRDefault="00154AD2">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154AD2" w:rsidSect="003311E3">
          <w:headerReference w:type="even" r:id="rId300"/>
          <w:headerReference w:type="default" r:id="rId301"/>
          <w:footerReference w:type="even" r:id="rId302"/>
          <w:footerReference w:type="default" r:id="rId303"/>
          <w:headerReference w:type="first" r:id="rId304"/>
          <w:footerReference w:type="first" r:id="rId305"/>
          <w:pgSz w:w="16839" w:h="11907" w:orient="landscape"/>
          <w:pgMar w:top="1134" w:right="1134" w:bottom="1134" w:left="1134" w:header="567" w:footer="567" w:gutter="0"/>
          <w:cols w:space="720"/>
          <w:docGrid w:linePitch="360"/>
        </w:sectPr>
      </w:pPr>
    </w:p>
    <w:p w14:paraId="19EC9F83" w14:textId="1B8178D1" w:rsidR="00154AD2" w:rsidRDefault="007F6BF3">
      <w:pPr>
        <w:pStyle w:val="P68B1DB1-Normal3"/>
        <w:keepNext/>
        <w:spacing w:before="40" w:after="0" w:line="259" w:lineRule="auto"/>
        <w:ind w:left="130" w:firstLine="720"/>
        <w:jc w:val="both"/>
        <w:outlineLvl w:val="1"/>
        <w:rPr>
          <w:rFonts w:eastAsiaTheme="minorEastAsia" w:cs="Times New Roman"/>
          <w:noProof/>
        </w:rPr>
      </w:pPr>
      <w:r>
        <w:rPr>
          <w:noProof/>
        </w:rPr>
        <w:t>ΣΥΝΙΣΤΏΣΑ 16: Επιχειρήσεις 4.0</w:t>
      </w:r>
    </w:p>
    <w:p w14:paraId="25B02CF9" w14:textId="77777777" w:rsidR="00154AD2" w:rsidRDefault="007F6BF3">
      <w:pPr>
        <w:pStyle w:val="P68B1DB1-Normal4"/>
        <w:keepNext/>
        <w:spacing w:before="40" w:after="0" w:line="259" w:lineRule="auto"/>
        <w:jc w:val="both"/>
        <w:rPr>
          <w:rFonts w:eastAsiaTheme="minorEastAsia" w:cs="Times New Roman"/>
          <w:noProof/>
        </w:rPr>
      </w:pPr>
      <w:r>
        <w:rPr>
          <w:noProof/>
        </w:rPr>
        <w:t>Η συνιστώσα αντιμετωπίζει τις προκλήσεις που σχετίζονται με τη χαμηλή ψηφιοποίηση των επιχειρήσεων. Σύμφωνα με τα αποτελέσματα του δείκτη ψηφιακής οικονομίας και κοινωνίας (DESI 2020), η Πορτογαλία κατατάσσεται στην 19η θέση</w:t>
      </w:r>
      <w:r>
        <w:rPr>
          <w:noProof/>
          <w:vertAlign w:val="superscript"/>
        </w:rPr>
        <w:t>στην</w:t>
      </w:r>
      <w:r>
        <w:rPr>
          <w:noProof/>
        </w:rPr>
        <w:t xml:space="preserve"> ΕΕ και κάτω από τον μέσο όρο της ΕΕ. Οι πιο εύθραυστες διαστάσεις στην περίπτωση της Πορτογαλίας είναι οι διαστάσεις του «ανθρώπινου κεφαλαίου» και της «χρήσης διαδικτυακών υπηρεσιών» και ορισμένες διαστάσεις της «Ολοκλήρωσης ψηφιακών τεχνολογιών», οι οποίες αντικατοπτρίζουν στο σύνολό τους περιορισμούς στην ψηφιακή ικανότητα και τις ψηφιακές επιδόσεις των εταιρειών. </w:t>
      </w:r>
    </w:p>
    <w:p w14:paraId="72BA11C3" w14:textId="673C874D" w:rsidR="00154AD2" w:rsidRDefault="007F6BF3">
      <w:pPr>
        <w:pStyle w:val="P68B1DB1-Normal4"/>
        <w:keepNext/>
        <w:spacing w:before="40" w:after="0" w:line="259" w:lineRule="auto"/>
        <w:jc w:val="both"/>
        <w:rPr>
          <w:rFonts w:eastAsiaTheme="minorEastAsia" w:cs="Times New Roman"/>
          <w:noProof/>
        </w:rPr>
      </w:pPr>
      <w:r>
        <w:rPr>
          <w:noProof/>
        </w:rPr>
        <w:t>Οι στόχοι της συνιστώσας είναι η στόχευση του επιχειρηματικού τομέα, ιδίως των ΜΜΕ και των εργαζομένων τους, με επενδύσεις για την επιτάχυνση της ψηφιακής μετάβασης που συμπληρώνονται από την ενίσχυση των ψηφιακών δεξιοτήτων του απασχολούμενου εργατικού δυναμικού. Οι επενδύσεις προβλέπουν τις ακόλουθες δράσεις:</w:t>
      </w:r>
    </w:p>
    <w:p w14:paraId="674866B7" w14:textId="34492028" w:rsidR="00154AD2" w:rsidRDefault="007F6BF3">
      <w:pPr>
        <w:pStyle w:val="P68B1DB1-Normal4"/>
        <w:keepNext/>
        <w:numPr>
          <w:ilvl w:val="0"/>
          <w:numId w:val="32"/>
        </w:numPr>
        <w:spacing w:before="40" w:after="160" w:line="259" w:lineRule="auto"/>
        <w:contextualSpacing/>
        <w:jc w:val="both"/>
        <w:rPr>
          <w:rFonts w:eastAsiaTheme="minorEastAsia" w:cs="Times New Roman"/>
          <w:noProof/>
        </w:rPr>
      </w:pPr>
      <w:r>
        <w:rPr>
          <w:noProof/>
        </w:rPr>
        <w:t>Ενίσχυση των ψηφιακών δεξιοτήτων των εργαζομένων και του πληθυσμού σε ηλικία εργασίας·</w:t>
      </w:r>
    </w:p>
    <w:p w14:paraId="5F996481" w14:textId="77777777" w:rsidR="00154AD2" w:rsidRDefault="007F6BF3">
      <w:pPr>
        <w:pStyle w:val="P68B1DB1-Normal4"/>
        <w:keepNext/>
        <w:numPr>
          <w:ilvl w:val="0"/>
          <w:numId w:val="32"/>
        </w:numPr>
        <w:spacing w:before="40" w:after="160" w:line="259" w:lineRule="auto"/>
        <w:contextualSpacing/>
        <w:jc w:val="both"/>
        <w:rPr>
          <w:rFonts w:eastAsiaTheme="minorEastAsia" w:cs="Times New Roman"/>
          <w:noProof/>
        </w:rPr>
      </w:pPr>
      <w:r>
        <w:rPr>
          <w:noProof/>
        </w:rPr>
        <w:t>Εκσυγχρονισμός του επιχειρηματικού μοντέλου των εταιρειών, καθώς και των διαδικασιών παραγωγής τους, συμπεριλαμβανομένης της ψηφιοποίησης των ροών εργασίας, όπως η διαχείριση επιχειρήσεων, τα καινοτόμα προϊόντα και η τιμολόγηση·</w:t>
      </w:r>
    </w:p>
    <w:p w14:paraId="1AB18387" w14:textId="77777777" w:rsidR="00154AD2" w:rsidRDefault="007F6BF3">
      <w:pPr>
        <w:pStyle w:val="P68B1DB1-Normal4"/>
        <w:keepNext/>
        <w:numPr>
          <w:ilvl w:val="0"/>
          <w:numId w:val="32"/>
        </w:numPr>
        <w:spacing w:before="40" w:after="160" w:line="259" w:lineRule="auto"/>
        <w:contextualSpacing/>
        <w:jc w:val="both"/>
        <w:rPr>
          <w:rFonts w:eastAsiaTheme="minorEastAsia" w:cs="Times New Roman"/>
          <w:noProof/>
        </w:rPr>
      </w:pPr>
      <w:r>
        <w:rPr>
          <w:noProof/>
        </w:rPr>
        <w:t>Δημιουργία νέων ψηφιακών διαύλων μάρκετινγκ για προϊόντα και υπηρεσίες·</w:t>
      </w:r>
    </w:p>
    <w:p w14:paraId="270FA3A4" w14:textId="77777777" w:rsidR="00154AD2" w:rsidRDefault="007F6BF3">
      <w:pPr>
        <w:pStyle w:val="P68B1DB1-Normal4"/>
        <w:keepNext/>
        <w:numPr>
          <w:ilvl w:val="0"/>
          <w:numId w:val="32"/>
        </w:numPr>
        <w:spacing w:before="40" w:after="160" w:line="259" w:lineRule="auto"/>
        <w:contextualSpacing/>
        <w:jc w:val="both"/>
        <w:rPr>
          <w:rFonts w:eastAsiaTheme="minorEastAsia" w:cs="Times New Roman"/>
          <w:noProof/>
        </w:rPr>
      </w:pPr>
      <w:r>
        <w:rPr>
          <w:noProof/>
        </w:rPr>
        <w:t>Καινοτομία και ενσωμάτωση προηγμένων ψηφιακών τεχνολογιών στο επιχειρηματικό μοντέλο των επιχειρήσεων· και</w:t>
      </w:r>
    </w:p>
    <w:p w14:paraId="1E059D00" w14:textId="77777777" w:rsidR="00154AD2" w:rsidRDefault="007F6BF3">
      <w:pPr>
        <w:pStyle w:val="P68B1DB1-Normal4"/>
        <w:keepNext/>
        <w:numPr>
          <w:ilvl w:val="0"/>
          <w:numId w:val="32"/>
        </w:numPr>
        <w:spacing w:before="40" w:after="160" w:line="259" w:lineRule="auto"/>
        <w:contextualSpacing/>
        <w:jc w:val="both"/>
        <w:rPr>
          <w:rFonts w:eastAsiaTheme="minorEastAsia" w:cs="Times New Roman"/>
          <w:noProof/>
        </w:rPr>
      </w:pPr>
      <w:r>
        <w:rPr>
          <w:noProof/>
        </w:rPr>
        <w:t>Προώθηση της ψηφιακής επιχειρηματικότητας.</w:t>
      </w:r>
    </w:p>
    <w:p w14:paraId="5864DB58" w14:textId="77777777" w:rsidR="00154AD2" w:rsidRDefault="007F6BF3">
      <w:pPr>
        <w:pStyle w:val="P68B1DB1-Normal4"/>
        <w:spacing w:after="0" w:line="240" w:lineRule="auto"/>
        <w:ind w:left="60"/>
        <w:jc w:val="both"/>
        <w:textAlignment w:val="baseline"/>
        <w:rPr>
          <w:rFonts w:eastAsiaTheme="minorEastAsia" w:cs="Times New Roman"/>
          <w:noProof/>
        </w:rPr>
      </w:pPr>
      <w:r>
        <w:rPr>
          <w:noProof/>
        </w:rPr>
        <w:t>Η συνιστώσα στηρίζει την εφαρμογή των ειδικών ανά χώρα συστάσεων που σχετίζονται με τη στήριξη της χρήσης ψηφιακών τεχνολογιών, τη διασφάλιση ισότιμης πρόσβασης σε ποιοτική εκπαίδευση και κατάρτιση, την τόνωση της ανταγωνιστικότητας των επιχειρήσεων, τη στήριξη της απασχόλησης και την ιεράρχηση μέτρων για τη διατήρηση των θέσεων εργασίας (ειδική ανά χώρα σύσταση 2 2020). Η συνιστώσα στηρίζει επίσης την εφαρμογή των ειδικών ανά χώρα συστάσεων για τη βελτίωση του επιπέδου δεξιοτήτων του πληθυσμού, ιδίως του ψηφιακού γραμματισμού του, μεταξύ άλλων καθιστώντας την εκπαίδευση ενηλίκων πιο συναφή με τις ανάγκες της αγοράς εργασίας (ειδική ανά χώρα σύσταση 2 2019) και την εστίαση των επενδύσεων στην ψηφιακή μετάβαση (ειδική ανά χώρα σύσταση 3 2020).</w:t>
      </w:r>
    </w:p>
    <w:p w14:paraId="303FB0B6" w14:textId="77777777" w:rsidR="00154AD2" w:rsidRDefault="007F6BF3">
      <w:pPr>
        <w:pStyle w:val="P68B1DB1-Normal4"/>
        <w:spacing w:before="40" w:after="0" w:line="259" w:lineRule="auto"/>
        <w:ind w:left="130" w:firstLine="720"/>
        <w:jc w:val="both"/>
        <w:outlineLvl w:val="1"/>
        <w:rPr>
          <w:rFonts w:eastAsiaTheme="minorEastAsia" w:cs="Times New Roman"/>
          <w:noProof/>
        </w:rPr>
      </w:pPr>
      <w:r>
        <w:rPr>
          <w:noProof/>
        </w:rPr>
        <w:t xml:space="preserve">Αναμένεται ότι κανένα μέτρο στη συνιστώσα αυτή δεν βλάπτει σημαντικά τους περιβαλλοντικούς στόχους κατά την έννοια του άρθρου 17 του κανονισμού (ΕΕ) 2020/852, λαμβανομένης υπόψη της περιγραφής των μέτρων και των μέτρων μετριασμού που ορίζονται στο σχέδιο σύμφωνα με την τεχνική καθοδήγηση σχετικά με την αρχή της μη πρόκλησης σημαντικής βλάβης (2021/C58/01). </w:t>
      </w:r>
    </w:p>
    <w:p w14:paraId="166B059E" w14:textId="77777777" w:rsidR="00154AD2" w:rsidRDefault="00154AD2">
      <w:pPr>
        <w:spacing w:before="40" w:after="0" w:line="259" w:lineRule="auto"/>
        <w:ind w:left="130" w:firstLine="720"/>
        <w:jc w:val="both"/>
        <w:outlineLvl w:val="1"/>
        <w:rPr>
          <w:rFonts w:ascii="Times New Roman" w:eastAsiaTheme="minorEastAsia" w:hAnsi="Times New Roman" w:cs="Times New Roman"/>
          <w:noProof/>
          <w:sz w:val="24"/>
        </w:rPr>
      </w:pPr>
    </w:p>
    <w:p w14:paraId="22C34D86" w14:textId="77777777" w:rsidR="00154AD2" w:rsidRDefault="007F6BF3">
      <w:pPr>
        <w:pStyle w:val="P68B1DB1-Normal3"/>
        <w:spacing w:before="40" w:after="0" w:line="259" w:lineRule="auto"/>
        <w:ind w:left="130" w:firstLine="720"/>
        <w:jc w:val="both"/>
        <w:outlineLvl w:val="1"/>
        <w:rPr>
          <w:rFonts w:eastAsiaTheme="minorEastAsia" w:cs="Times New Roman"/>
          <w:noProof/>
        </w:rPr>
      </w:pPr>
      <w:r>
        <w:rPr>
          <w:noProof/>
        </w:rPr>
        <w:t>Π.1. Περιγραφή των μεταρρυθμίσεων και των επενδύσεων που είναι επιλέξιμες για λήψη μη επιστρεπτέας χρηματοδοτικής στήριξης</w:t>
      </w:r>
    </w:p>
    <w:p w14:paraId="3981E054" w14:textId="77777777" w:rsidR="00154AD2" w:rsidRDefault="007F6BF3">
      <w:pPr>
        <w:pStyle w:val="P68B1DB1-Normal5"/>
        <w:spacing w:before="240" w:after="0" w:line="259" w:lineRule="auto"/>
        <w:ind w:left="851"/>
        <w:jc w:val="both"/>
        <w:outlineLvl w:val="2"/>
        <w:rPr>
          <w:rFonts w:eastAsiaTheme="minorEastAsia" w:cs="Times New Roman"/>
          <w:noProof/>
        </w:rPr>
      </w:pPr>
      <w:r>
        <w:rPr>
          <w:noProof/>
        </w:rPr>
        <w:t>Μεταρρύθμιση TD-r31: Ψηφιακή μετάβαση του επιχειρηματικού περιβάλλοντος</w:t>
      </w:r>
    </w:p>
    <w:p w14:paraId="4687B767" w14:textId="77777777" w:rsidR="00154AD2" w:rsidRDefault="007F6BF3">
      <w:pPr>
        <w:pStyle w:val="P68B1DB1-Normal4"/>
        <w:spacing w:before="40" w:after="0" w:line="259" w:lineRule="auto"/>
        <w:jc w:val="both"/>
        <w:rPr>
          <w:rFonts w:eastAsiaTheme="minorEastAsia" w:cs="Times New Roman"/>
          <w:noProof/>
        </w:rPr>
      </w:pPr>
      <w:r>
        <w:rPr>
          <w:noProof/>
        </w:rPr>
        <w:t xml:space="preserve">Στόχοι του μέτρου είναι η ενίσχυση της ανάπτυξης του επιχειρηματικού περιβάλλοντος, ώστε να καταστεί ψηφιακά πιο ανταγωνιστικό και ανθεκτικό στο τρέχον παγκόσμιο οικονομικό και κοινωνικό πλαίσιο. Η μεταρρύθμιση αυτή αποτελεί μέρος του ευρύτερου σχεδίου δράσης για την ψηφιακή μετάβαση (PATD) που ενέκρινε η Πορτογαλία τον Απρίλιο του 2020. </w:t>
      </w:r>
    </w:p>
    <w:p w14:paraId="5F93CFCB" w14:textId="77777777" w:rsidR="00154AD2" w:rsidRDefault="007F6BF3">
      <w:pPr>
        <w:pStyle w:val="P68B1DB1-Normal4"/>
        <w:spacing w:before="40" w:after="0" w:line="259" w:lineRule="auto"/>
        <w:jc w:val="both"/>
        <w:rPr>
          <w:rFonts w:eastAsiaTheme="minorEastAsia" w:cs="Times New Roman"/>
          <w:noProof/>
        </w:rPr>
      </w:pPr>
      <w:r>
        <w:rPr>
          <w:noProof/>
        </w:rPr>
        <w:t>Η μεταρρύθμιση αποτελείται από τα ακόλουθα στοιχεία:</w:t>
      </w:r>
    </w:p>
    <w:p w14:paraId="449795BB" w14:textId="77777777" w:rsidR="00154AD2" w:rsidRDefault="007F6BF3">
      <w:pPr>
        <w:pStyle w:val="P68B1DB1-Normal4"/>
        <w:numPr>
          <w:ilvl w:val="0"/>
          <w:numId w:val="32"/>
        </w:numPr>
        <w:spacing w:before="40" w:after="160" w:line="259" w:lineRule="auto"/>
        <w:ind w:left="714" w:hanging="357"/>
        <w:contextualSpacing/>
        <w:jc w:val="both"/>
        <w:rPr>
          <w:rFonts w:eastAsiaTheme="minorEastAsia" w:cs="Times New Roman"/>
          <w:noProof/>
        </w:rPr>
      </w:pPr>
      <w:r>
        <w:rPr>
          <w:noProof/>
        </w:rPr>
        <w:t>Επανεξέταση του διαμορφωτικού περιεχομένου που περιλαμβάνεται στον εθνικό κατάλογο επαγγελματικών προσόντων, ιδίως όσον αφορά τις ψηφιακές δεξιότητες για χρήση σε επαγγελματικό πλαίσιο. Η ανανέωση αυτή ευθυγραμμίζεται με τις τελευταίες τεχνολογικές εξελίξεις και τις πλέον πιεστικές ανάγκες των επιχειρήσεων σε διάφορους οικονομικούς τομείς. Για τον σκοπό αυτό, από το 2021 μπορούν να διατίθενται νέες εκπαιδευτικές διαδρομές και μαθήματα κατάρτισης μικρής διάρκειας.</w:t>
      </w:r>
    </w:p>
    <w:p w14:paraId="065811DC" w14:textId="77777777" w:rsidR="00154AD2" w:rsidRDefault="007F6BF3">
      <w:pPr>
        <w:pStyle w:val="P68B1DB1-Normal4"/>
        <w:numPr>
          <w:ilvl w:val="0"/>
          <w:numId w:val="32"/>
        </w:numPr>
        <w:spacing w:before="40" w:after="160" w:line="259" w:lineRule="auto"/>
        <w:ind w:left="714" w:hanging="357"/>
        <w:contextualSpacing/>
        <w:jc w:val="both"/>
        <w:rPr>
          <w:rFonts w:eastAsiaTheme="minorEastAsia" w:cs="Times New Roman"/>
          <w:noProof/>
        </w:rPr>
      </w:pPr>
      <w:r>
        <w:rPr>
          <w:noProof/>
        </w:rPr>
        <w:t>Θέσπιση του νομικού και κανονιστικού πλαισίου που απαιτείται για τη δημιουργία ψηφιακών σφραγίδων στους τομείς της κυβερνοασφάλειας, της ιδιωτικότητας, της βιωσιμότητας και της χρηστικότητας. Το πλαίσιο αυτό και η προώθηση της ψηφιακής εμπιστοσύνης αποτελούν προϋπόθεση για την υλοποίηση των επενδύσεων για τις ψηφιακές σφραγίδες που προβλέπονται σε αυτή τη συνιστώσα.</w:t>
      </w:r>
    </w:p>
    <w:p w14:paraId="7BB1E01D" w14:textId="77777777" w:rsidR="00154AD2" w:rsidRDefault="007F6BF3">
      <w:pPr>
        <w:pStyle w:val="P68B1DB1-Normal4"/>
        <w:spacing w:before="40" w:after="0" w:line="259" w:lineRule="auto"/>
        <w:jc w:val="both"/>
        <w:rPr>
          <w:rFonts w:eastAsiaTheme="minorEastAsia" w:cs="Times New Roman"/>
          <w:noProof/>
        </w:rPr>
      </w:pPr>
      <w:r>
        <w:rPr>
          <w:noProof/>
        </w:rPr>
        <w:t xml:space="preserve">Η εφαρμογή της μεταρρύθμισης ολοκληρώνεται έως τις 31 Μαρτίου 2022. </w:t>
      </w:r>
    </w:p>
    <w:p w14:paraId="71EFA567" w14:textId="77777777" w:rsidR="00154AD2" w:rsidRDefault="007F6BF3">
      <w:pPr>
        <w:pStyle w:val="P68B1DB1-Normal5"/>
        <w:spacing w:before="240" w:after="0" w:line="259" w:lineRule="auto"/>
        <w:ind w:left="851"/>
        <w:jc w:val="both"/>
        <w:outlineLvl w:val="2"/>
        <w:rPr>
          <w:rFonts w:eastAsiaTheme="minorEastAsia" w:cs="Times New Roman"/>
          <w:noProof/>
        </w:rPr>
      </w:pPr>
      <w:r>
        <w:rPr>
          <w:noProof/>
        </w:rPr>
        <w:t>Επένδυση TD-C16-i01: Ψηφιακή ενδυνάμωση των επιχειρήσεων</w:t>
      </w:r>
    </w:p>
    <w:p w14:paraId="11A95DC7" w14:textId="74636A6E" w:rsidR="00154AD2" w:rsidRDefault="007F6BF3">
      <w:pPr>
        <w:pStyle w:val="P68B1DB1-Normal4"/>
        <w:spacing w:before="40" w:after="0" w:line="259" w:lineRule="auto"/>
        <w:jc w:val="both"/>
        <w:rPr>
          <w:rFonts w:eastAsiaTheme="minorEastAsia" w:cs="Times New Roman"/>
          <w:noProof/>
        </w:rPr>
      </w:pPr>
      <w:r>
        <w:rPr>
          <w:noProof/>
        </w:rPr>
        <w:t>Στόχοι του μέτρου είναι η αύξηση των ψηφιακών δεξιοτήτων του πληθυσμού σε ηλικία εργασίας, συμπεριλαμβανομένων των εργαζομένων και των διοικητικών στελεχών, με ιδιαίτερη έμφαση στις επιχειρήσεις στους τομείς της βιομηχανίας, του εμπορίου, των υπηρεσιών, του τουρισμού και της γεωργίας, προκειμένου να αυξηθεί ο αριθμός των εργαζομένων με ψηφιακές δεξιότητες και να βελτιωθεί η ανταγωνιστικότητα και η ανθεκτικότητα των επιχειρήσεων, συμβάλλοντας έτσι στη διατήρηση και τη δημιουργία θέσεων εργασίας. Η επένδυση αυτή θα συμβάλει στην αύξηση του αριθμού των εξειδικευμένων θέσεων εργασίας στις υφιστάμενες εταιρείες και θα προωθήσει τη δημιουργία νέων επιχειρήσεων.</w:t>
      </w:r>
    </w:p>
    <w:p w14:paraId="297F4A6D" w14:textId="77777777" w:rsidR="00154AD2" w:rsidRDefault="007F6BF3">
      <w:pPr>
        <w:pStyle w:val="P68B1DB1-Normal4"/>
        <w:spacing w:before="40" w:after="0" w:line="259" w:lineRule="auto"/>
        <w:jc w:val="both"/>
        <w:rPr>
          <w:rFonts w:eastAsiaTheme="minorEastAsia" w:cs="Times New Roman"/>
          <w:noProof/>
        </w:rPr>
      </w:pPr>
      <w:r>
        <w:rPr>
          <w:noProof/>
        </w:rPr>
        <w:t>Η επένδυση αποτελείται από δύο αλληλένδετα προγράμματα κατάρτισης που θα θεσπιστούν για την αντιμετώπιση των κενών στις ψηφιακές δεξιότητες των εργαζομένων (εργαζομένων και διευθυντικών στελεχών) και των επιχειρήσεων. Η επένδυση αναμένεται να επηρεάσει νέες πολιτικές και να συμβάλει στην ανάπτυξη δια βίου επαγγελματικών δεξιοτήτων και πρακτικών κατάρτισης. Η επένδυση αναμένεται επίσης να βελτιώσει την ικανότητα των εταιρειών να αντιμετωπίζουν προκλήσεις και να αξιοποιούν τις ευκαιρίες που προσφέρει η τεχνολογία. Οι δύο δράσεις είναι οι εξής:</w:t>
      </w:r>
    </w:p>
    <w:p w14:paraId="1356F4BE" w14:textId="24F6FE3D" w:rsidR="00154AD2" w:rsidRDefault="007F6BF3">
      <w:pPr>
        <w:pStyle w:val="P68B1DB1-Normal4"/>
        <w:keepNext/>
        <w:numPr>
          <w:ilvl w:val="0"/>
          <w:numId w:val="48"/>
        </w:numPr>
        <w:spacing w:before="40" w:after="160" w:line="259" w:lineRule="auto"/>
        <w:contextualSpacing/>
        <w:jc w:val="both"/>
        <w:rPr>
          <w:rFonts w:eastAsiaTheme="minorEastAsia" w:cs="Times New Roman"/>
          <w:noProof/>
        </w:rPr>
      </w:pPr>
      <w:r>
        <w:rPr>
          <w:noProof/>
        </w:rPr>
        <w:t>Academy Portugal Digital: διαθέσιμη σε ολόκληρο τον πληθυσμό σε ηλικία εργασίας, με στόχο την επίτευξη 500 000 διαγνωστικών ψηφιακών δεξιοτήτων και 125 000 συμμετεχόντων σε διαδικτυακή, μεικτή και διά ζώσης κατάρτιση σε ψηφιακές δεξιότητες. Αυτό περιλαμβάνει επίσης τη δημιουργία 50 ad-hoc MOOC που θα διατίθεται στη διαδικτυακή πλατφόρμα.</w:t>
      </w:r>
    </w:p>
    <w:p w14:paraId="09F7D8E5" w14:textId="328442CD" w:rsidR="00154AD2" w:rsidRDefault="007F6BF3">
      <w:pPr>
        <w:pStyle w:val="P68B1DB1-Normal4"/>
        <w:keepNext/>
        <w:numPr>
          <w:ilvl w:val="0"/>
          <w:numId w:val="48"/>
        </w:numPr>
        <w:spacing w:before="40" w:after="160" w:line="259" w:lineRule="auto"/>
        <w:contextualSpacing/>
        <w:jc w:val="both"/>
        <w:rPr>
          <w:rFonts w:eastAsiaTheme="minorEastAsia" w:cs="Times New Roman"/>
          <w:noProof/>
        </w:rPr>
      </w:pPr>
      <w:r>
        <w:rPr>
          <w:noProof/>
        </w:rPr>
        <w:t>Απασχόληση + Ψηφιακός τομέας 2025: με στόχο να προσφερθεί σε 200 000 συμμετέχοντες βαθύτερη κατάρτιση σε διαδικτυακές, προσωπικές ή μικτές ψηφιακές δεξιότητες</w:t>
      </w:r>
    </w:p>
    <w:p w14:paraId="044881B1" w14:textId="77777777" w:rsidR="00154AD2" w:rsidRDefault="007F6BF3">
      <w:pPr>
        <w:pStyle w:val="P68B1DB1-Normal4"/>
        <w:spacing w:before="40" w:after="0" w:line="259" w:lineRule="auto"/>
        <w:jc w:val="both"/>
        <w:rPr>
          <w:rFonts w:eastAsiaTheme="minorEastAsia" w:cs="Times New Roman"/>
          <w:noProof/>
        </w:rPr>
      </w:pPr>
      <w:r>
        <w:rPr>
          <w:noProof/>
        </w:rPr>
        <w:t>Η υλοποίηση της επένδυσης θα ολοκληρωθεί έως τις 31 Σεπτεμβρίου 2025.</w:t>
      </w:r>
    </w:p>
    <w:p w14:paraId="6CA41520" w14:textId="77777777" w:rsidR="00154AD2" w:rsidRDefault="007F6BF3">
      <w:pPr>
        <w:pStyle w:val="P68B1DB1-Normal5"/>
        <w:spacing w:before="240" w:after="0" w:line="259" w:lineRule="auto"/>
        <w:ind w:left="851"/>
        <w:jc w:val="both"/>
        <w:outlineLvl w:val="2"/>
        <w:rPr>
          <w:rFonts w:eastAsiaTheme="minorEastAsia" w:cs="Times New Roman"/>
          <w:noProof/>
        </w:rPr>
      </w:pPr>
      <w:r>
        <w:rPr>
          <w:noProof/>
        </w:rPr>
        <w:t>Επένδυση TD-C16-i02: Ψηφιακή μετάβαση των επιχειρήσεων</w:t>
      </w:r>
    </w:p>
    <w:p w14:paraId="6DCB64CF" w14:textId="77777777" w:rsidR="00154AD2" w:rsidRDefault="007F6BF3">
      <w:pPr>
        <w:pStyle w:val="P68B1DB1-Normal4"/>
        <w:spacing w:before="40" w:after="0" w:line="259" w:lineRule="auto"/>
        <w:jc w:val="both"/>
        <w:rPr>
          <w:rFonts w:eastAsiaTheme="minorEastAsia" w:cs="Times New Roman"/>
          <w:noProof/>
        </w:rPr>
      </w:pPr>
      <w:r>
        <w:rPr>
          <w:noProof/>
        </w:rPr>
        <w:t xml:space="preserve">Στόχοι του μέτρου είναι να συμβάλει στον μετασχηματισμό των επιχειρηματικών μοντέλων των πορτογαλικών ΜΜΕ και στην ψηφιοποίησή τους. Αυτό είναι ιδιαίτερα σημαντικό δεδομένου ότι η πορτογαλική οικονομία κυριαρχείται κυρίως από πολύ μικρές επιχειρήσεις, οι οποίες δραστηριοποιούνται λιγότερο ψηφιακά από ό, τι οι μεγαλύτερες εταιρείες. Ως εκ τούτου, με τη συμμετοχή των ΜΜΕ στην ψηφιοποίηση των επιχειρήσεων, στόχος της επένδυσης είναι ο μετασχηματισμός του επιχειρηματικού μοντέλου της πορτογαλικής οικονομίας και η συμβολή στην αύξηση της ανταγωνιστικότητας και της ανθεκτικότητας. </w:t>
      </w:r>
    </w:p>
    <w:p w14:paraId="2EE74087" w14:textId="77777777" w:rsidR="00154AD2" w:rsidRDefault="007F6BF3">
      <w:pPr>
        <w:pStyle w:val="P68B1DB1-Normal4"/>
        <w:spacing w:before="40" w:after="0" w:line="259" w:lineRule="auto"/>
        <w:jc w:val="both"/>
        <w:rPr>
          <w:rFonts w:eastAsiaTheme="minorEastAsia" w:cs="Times New Roman"/>
          <w:noProof/>
        </w:rPr>
      </w:pPr>
      <w:r>
        <w:rPr>
          <w:noProof/>
        </w:rPr>
        <w:t>Η επένδυση αποτελείται από τέσσερις ομάδες δράσεων:</w:t>
      </w:r>
    </w:p>
    <w:p w14:paraId="78A34119" w14:textId="7D7B529F" w:rsidR="00154AD2" w:rsidRDefault="007F6BF3">
      <w:pPr>
        <w:pStyle w:val="P68B1DB1-Normal4"/>
        <w:keepNext/>
        <w:numPr>
          <w:ilvl w:val="0"/>
          <w:numId w:val="33"/>
        </w:numPr>
        <w:spacing w:before="40" w:after="160" w:line="259" w:lineRule="auto"/>
        <w:contextualSpacing/>
        <w:jc w:val="both"/>
        <w:rPr>
          <w:rFonts w:eastAsiaTheme="minorEastAsia" w:cs="Times New Roman"/>
          <w:noProof/>
        </w:rPr>
      </w:pPr>
      <w:r>
        <w:rPr>
          <w:noProof/>
        </w:rPr>
        <w:t>«Εθνικό δίκτυο δοκιμαστικών σειρών»: η δημιουργία ενός εθνικού δικτύου δοκιμαστικών Beds αποσκοπούσε στη δημιουργία των συνθηκών ώστε οι επιχειρήσεις να αναπτύξουν και να δοκιμάσουν νέα προϊόντα και υπηρεσίες και να επιταχύνουν τη διαδικασία ψηφιακού μετασχηματισμού, είτε μέσω φυσικού εξοπλισμού και εξοπλισμού δοκιμής υποδομών είτε μέσω εικονικών/ψηφιακών προσομοιωτών. Στόχος είναι η δημιουργία 30 υποδομών κλίνης δοκιμών και η δοκιμή τουλάχιστον 3 000 πιλοτικών προϊόντων ή υπηρεσιών.</w:t>
      </w:r>
    </w:p>
    <w:p w14:paraId="2A0555EB" w14:textId="2B9E5CCC" w:rsidR="00154AD2" w:rsidRDefault="007F6BF3">
      <w:pPr>
        <w:pStyle w:val="P68B1DB1-Normal4"/>
        <w:keepNext/>
        <w:numPr>
          <w:ilvl w:val="0"/>
          <w:numId w:val="33"/>
        </w:numPr>
        <w:spacing w:before="40" w:after="160" w:line="259" w:lineRule="auto"/>
        <w:contextualSpacing/>
        <w:jc w:val="both"/>
        <w:rPr>
          <w:rFonts w:eastAsiaTheme="minorEastAsia" w:cs="Times New Roman"/>
          <w:noProof/>
        </w:rPr>
      </w:pPr>
      <w:r>
        <w:rPr>
          <w:noProof/>
        </w:rPr>
        <w:t>Ψηφιακό εμπόριο: ένα πρόγραμμα για την ψηφιοποίηση των ΜΜΕ, με έμφαση στις πολύ μικρές επιχειρήσεις του εμπορικού τομέα, για την ενεργοποίηση των ψηφιακών εμπορικών διαύλων τους, την ενσωμάτωση της τεχνολογίας σε επιχειρηματικά μοντέλα και την αποϋλοποίηση διαδικασιών με πελάτες και προμηθευτές μέσω της χρήσης τεχνολογιών πληροφοριών και επικοινωνιών. Περιλαμβάνει τρία έργα: I) «επιταχυντές ψηφιακού εμπορίου» με τη δημιουργία 25 τοπικών, περιφερειακών ή τομεακών επιταχυντών (οντότητες που παρέχουν καθοδήγηση, καθοδήγηση, χρηματοδοτική στήριξη σε νεοφυείς επιχειρήσεις και ΜΜΕ για να τις βοηθήσουν να αναπτυχθούν) και ένα σύστημα οικονομικών κινήτρων για την ψηφιοποίηση των επιχειρηματικών μοντέλων των ΜΜΕ (με στόχο 25 000 ΜΜΕ)· II) «γειτονιές ψηφιακού εμπορίου» που θα στηρίξουν την ψηφιοποίηση (με τοπικές πλατφόρμες ηλεκτρονικού εμπορίου και παράδοσης) 75 εμπορικών περιοχών που βρίσκονται σε αστικά κέντρα, προαστιακές ή αγροτικές περιοχές, προκειμένου να ενισχυθούν οι περιοχές αυτές και να προωθηθεί η εδαφική συνοχή και η τοπική οικονομία· III) «Διεθνοποίηση μέσω του ηλεκτρονικού εμπορίου», ώστε να βοηθηθούν οι επιχειρήσεις να αναπτύξουν νέους διαύλους πωλήσεων στο εξωτερικό μέσω διαδικτυακών πωλήσεων.</w:t>
      </w:r>
    </w:p>
    <w:p w14:paraId="29BDD956" w14:textId="77777777" w:rsidR="00154AD2" w:rsidRDefault="007F6BF3">
      <w:pPr>
        <w:pStyle w:val="P68B1DB1-Normal4"/>
        <w:keepNext/>
        <w:numPr>
          <w:ilvl w:val="0"/>
          <w:numId w:val="33"/>
        </w:numPr>
        <w:spacing w:before="40" w:after="160" w:line="259" w:lineRule="auto"/>
        <w:contextualSpacing/>
        <w:jc w:val="both"/>
        <w:rPr>
          <w:rFonts w:eastAsiaTheme="minorEastAsia" w:cs="Times New Roman"/>
          <w:noProof/>
        </w:rPr>
      </w:pPr>
      <w:r>
        <w:rPr>
          <w:noProof/>
        </w:rPr>
        <w:t xml:space="preserve">Στήριξη της ψηφιακής μετάβασης των επιχειρηματικών μοντέλων: Πρόγραμμα καθοδήγησης 4.0, ένα πρόγραμμα για τη στήριξη των επιχειρήσεων στην υιοθέτηση προηγμένων ψηφιακών τεχνολογιών. </w:t>
      </w:r>
    </w:p>
    <w:p w14:paraId="73477E39" w14:textId="77777777" w:rsidR="00154AD2" w:rsidRDefault="007F6BF3">
      <w:pPr>
        <w:pStyle w:val="P68B1DB1-Normal4"/>
        <w:keepNext/>
        <w:numPr>
          <w:ilvl w:val="0"/>
          <w:numId w:val="33"/>
        </w:numPr>
        <w:spacing w:before="40" w:after="160" w:line="259" w:lineRule="auto"/>
        <w:contextualSpacing/>
        <w:jc w:val="both"/>
        <w:rPr>
          <w:rFonts w:eastAsiaTheme="minorEastAsia" w:cs="Times New Roman"/>
          <w:noProof/>
        </w:rPr>
      </w:pPr>
      <w:r>
        <w:rPr>
          <w:noProof/>
        </w:rPr>
        <w:t>Επιχειρηματικότητα: με μέτρα όπως i) «κουπόνι για νεοφυείς επιχειρήσεις — Νέα πράσινα και ψηφιακά προϊόντα», ένα πρόγραμμα κουπονιών που αποσκοπεί στη στήριξη νεοφυών επιχειρήσεων που επιθυμούν να αναπτύξουν ψηφιακά και πράσινα επιχειρηματικά μοντέλα· II) «Ενίσχυση της εθνικής δομής επιχειρηματικότητας — Startup Portugal» με επενδύσεις στη χαρτογράφηση του περιβάλλοντος νεοφυών επιχειρήσεων για τον εντοπισμό προκλήσεων και λύσεων που συνδέονται με το θεματολόγιο για την επιχειρηματικότητα και την εφαρμογή των αντίστοιχων σχεδίων δράσης· και iii) «κουπόνια εκκολαπτηρίων/επιταχυντών εκκίνησης» για τη στήριξη των εκκολαπτηρίων επιχειρήσεων και των επιταχυντών στην ανάπτυξή τους, συμπεριλαμβανομένης της υιοθέτησης νέας ψηφιακής τεχνολογίας, τη βελτίωση των πόρων που έχουν στη διάθεσή τους και την ενίσχυση των γνώσεων και των ικανοτήτων τους προκειμένου να στηρίξουν νεοφυείς επιχειρήσεις με ψηφιακά επιχειρηματικά μοντέλα.</w:t>
      </w:r>
    </w:p>
    <w:p w14:paraId="18C24393" w14:textId="77777777" w:rsidR="00154AD2" w:rsidRDefault="007F6BF3">
      <w:pPr>
        <w:pStyle w:val="P68B1DB1-Normal4"/>
        <w:keepNext/>
        <w:spacing w:before="40" w:after="0" w:line="259" w:lineRule="auto"/>
        <w:jc w:val="both"/>
        <w:rPr>
          <w:rFonts w:eastAsiaTheme="minorEastAsia" w:cs="Times New Roman"/>
          <w:noProof/>
        </w:rPr>
      </w:pPr>
      <w:r>
        <w:rPr>
          <w:noProof/>
        </w:rPr>
        <w:t>Για τα χρηματοδοτικά μέσα, στο πλαίσιο του μέτρου «επιταχυντές του ψηφιακού εμπορίου» που παρέχει χρηματοδοτική στήριξη και οικονομικά κίνητρα, προκειμένου να διασφαλιστεί ότι το μέτρο συμμορφώνεται με την τεχνική καθοδήγηση για την εφαρμογή της αρχής της «μη πρόκλησης σημαντικής βλάβης» (2021/C58/01), τη νομική συμφωνία μεταξύ των πορτογαλικών αρχών και της εντεταλμένης οντότητας ή του ενδιάμεσου χρηματοπιστωτικού οργανισμού που είναι υπεύθυνος για το χρηματοδοτικό μέσο και την επακόλουθη επενδυτική πολιτική του χρηματοδοτικού μέσου:</w:t>
      </w:r>
    </w:p>
    <w:p w14:paraId="6FA72369" w14:textId="77777777" w:rsidR="00154AD2" w:rsidRDefault="007F6BF3">
      <w:pPr>
        <w:pStyle w:val="P68B1DB1-Normal4"/>
        <w:keepNext/>
        <w:numPr>
          <w:ilvl w:val="0"/>
          <w:numId w:val="33"/>
        </w:numPr>
        <w:spacing w:before="40" w:after="160" w:line="259" w:lineRule="auto"/>
        <w:contextualSpacing/>
        <w:jc w:val="both"/>
        <w:rPr>
          <w:rFonts w:eastAsiaTheme="minorEastAsia" w:cs="Times New Roman"/>
          <w:noProof/>
        </w:rPr>
      </w:pPr>
      <w:r>
        <w:rPr>
          <w:noProof/>
        </w:rPr>
        <w:t>να απαιτήσει την εφαρμογή των τεχνικών κατευθυντήριων γραμμών της Επιτροπής σχετικά με τον έλεγχο βιωσιμότητας για το ταμείο InvestEU· και</w:t>
      </w:r>
    </w:p>
    <w:p w14:paraId="7A065825" w14:textId="77777777" w:rsidR="00154AD2" w:rsidRDefault="007F6BF3">
      <w:pPr>
        <w:pStyle w:val="P68B1DB1-Normal4"/>
        <w:keepNext/>
        <w:numPr>
          <w:ilvl w:val="0"/>
          <w:numId w:val="33"/>
        </w:numPr>
        <w:spacing w:before="40" w:after="160" w:line="259" w:lineRule="auto"/>
        <w:contextualSpacing/>
        <w:jc w:val="both"/>
        <w:rPr>
          <w:rFonts w:eastAsiaTheme="minorEastAsia" w:cs="Times New Roman"/>
          <w:noProof/>
        </w:rPr>
      </w:pPr>
      <w:r>
        <w:rPr>
          <w:noProof/>
        </w:rPr>
        <w:t>εξαιρεί από την επιλεξιμότητα τον ακόλουθο κατάλογο δραστηριοτήτων και περιουσιακών στοιχείων: I) δραστηριότητες και περιουσιακά στοιχεία που σχετίζονται με ορυκτά καύσιμα, συμπεριλαμβανομένης της μεταγενέστερης χρήσης</w:t>
      </w:r>
      <w:r>
        <w:rPr>
          <w:noProof/>
        </w:rPr>
        <w:footnoteReference w:id="52"/>
      </w:r>
      <w:r>
        <w:rPr>
          <w:noProof/>
        </w:rPr>
        <w:t>· δραστηριότητες και στοιχεία ενεργητικού στο πλαίσιο του συστήματος εμπορίας δικαιωμάτων εκπομπών της ΕΕ (ΣΕΔΕ) που επιτυγχάνουν προβλεπόμενες εκπομπές αερίων του θερμοκηπίου που δεν είναι χαμηλότερες από τους σχετικούς δείκτες αναφοράς</w:t>
      </w:r>
      <w:r>
        <w:rPr>
          <w:noProof/>
        </w:rPr>
        <w:footnoteReference w:id="53"/>
      </w:r>
      <w:r>
        <w:rPr>
          <w:noProof/>
        </w:rPr>
        <w:t>· δραστηριότητες και περιουσιακά στοιχεία που σχετίζονται με χώρους υγειονομικής ταφής αποβλήτων, αποτεφρωτήρες</w:t>
      </w:r>
      <w:r>
        <w:rPr>
          <w:noProof/>
        </w:rPr>
        <w:footnoteReference w:id="54"/>
      </w:r>
      <w:r>
        <w:rPr>
          <w:noProof/>
        </w:rPr>
        <w:t xml:space="preserve"> και μονάδες μηχανικής βιολογικής επεξεργασίας</w:t>
      </w:r>
      <w:r>
        <w:rPr>
          <w:noProof/>
        </w:rPr>
        <w:footnoteReference w:id="55"/>
      </w:r>
      <w:r>
        <w:rPr>
          <w:noProof/>
        </w:rPr>
        <w:t>· και iv) δραστηριότητες και περιουσιακά στοιχεία όπου η μακροπρόθεσμη διάθεση αποβλήτων μπορεί να προκαλέσει βλάβη στο περιβάλλον· και</w:t>
      </w:r>
    </w:p>
    <w:p w14:paraId="6BD38B90" w14:textId="77777777" w:rsidR="00154AD2" w:rsidRDefault="007F6BF3">
      <w:pPr>
        <w:pStyle w:val="P68B1DB1-Normal4"/>
        <w:keepNext/>
        <w:numPr>
          <w:ilvl w:val="0"/>
          <w:numId w:val="33"/>
        </w:numPr>
        <w:spacing w:before="40" w:after="160" w:line="259" w:lineRule="auto"/>
        <w:contextualSpacing/>
        <w:jc w:val="both"/>
        <w:rPr>
          <w:rFonts w:eastAsiaTheme="minorEastAsia" w:cs="Times New Roman"/>
          <w:noProof/>
        </w:rPr>
      </w:pPr>
      <w:r>
        <w:rPr>
          <w:noProof/>
        </w:rPr>
        <w:t>να απαιτούν την επαλήθευση της νομικής συμμόρφωσης των έργων με τη σχετική ενωσιακή και εθνική περιβαλλοντική νομοθεσία των έργων από την εντεταλμένη οντότητα/τον ενδιάμεσο χρηματοπιστωτικό οργανισμό για όλες τις συναλλαγές, συμπεριλαμβανομένων εκείνων που εξαιρούνται από τον έλεγχο βιωσιμότητας.</w:t>
      </w:r>
    </w:p>
    <w:p w14:paraId="2D9DFB3D" w14:textId="77777777" w:rsidR="00154AD2" w:rsidRDefault="007F6BF3">
      <w:pPr>
        <w:pStyle w:val="P68B1DB1-Normal4"/>
        <w:keepNext/>
        <w:spacing w:before="40" w:after="0" w:line="259" w:lineRule="auto"/>
        <w:jc w:val="both"/>
        <w:rPr>
          <w:rFonts w:eastAsiaTheme="minorEastAsia" w:cs="Times New Roman"/>
          <w:noProof/>
          <w:highlight w:val="green"/>
        </w:rPr>
      </w:pPr>
      <w:r>
        <w:rPr>
          <w:noProof/>
        </w:rPr>
        <w:t>Για τους διαγωνισμούς, προκειμένου να διασφαλιστεί ότι το μέτρο συμμορφώνεται με την τεχνική καθοδήγηση για την εφαρμογή της αρχής της «μη πρόκλησης σημαντικής βλάβης» (2021/C58/01), τα κριτήρια επιλεξιμότητας που περιλαμβάνονται στους όρους αναφοράς για επικείμενες προσκλήσεις υποβολής έργων αποκλείουν τον ακόλουθο κατάλογο δραστηριοτήτων: I) δραστηριότητες που σχετίζονται με ορυκτά καύσιμα, συμπεριλαμβανομένης της μεταγενέστερης χρήσης</w:t>
      </w:r>
      <w:r>
        <w:rPr>
          <w:noProof/>
        </w:rPr>
        <w:footnoteReference w:id="56"/>
      </w:r>
      <w:r>
        <w:rPr>
          <w:noProof/>
        </w:rPr>
        <w:t>· II) δραστηριότητες στο πλαίσιο του συστήματος εμπορίας δικαιωμάτων εκπομπής (ΣΕΔΕ) της ΕΕ που επιτυγχάνουν προβλεπόμενες εκπομπές αερίων του θερμοκηπίου που δεν είναι χαμηλότερες από τους σχετικούς δείκτες αναφοράς</w:t>
      </w:r>
      <w:r>
        <w:rPr>
          <w:noProof/>
        </w:rPr>
        <w:footnoteReference w:id="57"/>
      </w:r>
      <w:r>
        <w:rPr>
          <w:noProof/>
        </w:rPr>
        <w:t>· III) δραστηριότητες που σχετίζονται με χώρους υγειονομικής ταφής αποβλήτων, αποτεφρωτήρες</w:t>
      </w:r>
      <w:r>
        <w:rPr>
          <w:noProof/>
        </w:rPr>
        <w:footnoteReference w:id="58"/>
      </w:r>
      <w:r>
        <w:rPr>
          <w:noProof/>
        </w:rPr>
        <w:t xml:space="preserve"> και μονάδες μηχανικής βιολογικής επεξεργασίας</w:t>
      </w:r>
      <w:r>
        <w:rPr>
          <w:noProof/>
        </w:rPr>
        <w:footnoteReference w:id="59"/>
      </w:r>
      <w:r>
        <w:rPr>
          <w:noProof/>
        </w:rPr>
        <w:t>· και iv) δραστηριότητες στις οποίες η μακροπρόθεσμη διάθεση αποβλήτων μπορεί να βλάψει το περιβάλλον. Οι όροι εντολής απαιτούν επιπλέον να επιλέγονται μόνο οι δραστηριότητες που συμμορφώνονται με τη σχετική ενωσιακή και εθνική περιβαλλοντική νομοθεσία.</w:t>
      </w:r>
    </w:p>
    <w:p w14:paraId="5BF7FFC2" w14:textId="77777777" w:rsidR="00154AD2" w:rsidRDefault="007F6BF3">
      <w:pPr>
        <w:pStyle w:val="P68B1DB1-Normal4"/>
        <w:spacing w:before="40" w:after="0" w:line="259" w:lineRule="auto"/>
        <w:jc w:val="both"/>
        <w:rPr>
          <w:rFonts w:eastAsiaTheme="minorEastAsia" w:cs="Times New Roman"/>
          <w:noProof/>
        </w:rPr>
      </w:pPr>
      <w:r>
        <w:rPr>
          <w:noProof/>
        </w:rPr>
        <w:t>Η υλοποίηση της επένδυσης θα ολοκληρωθεί έως τις 31 Σεπτεμβρίου 2025.</w:t>
      </w:r>
    </w:p>
    <w:p w14:paraId="541BAAE3" w14:textId="77777777" w:rsidR="00154AD2" w:rsidRDefault="007F6BF3">
      <w:pPr>
        <w:pStyle w:val="P68B1DB1-Normal5"/>
        <w:spacing w:before="240" w:after="0" w:line="259" w:lineRule="auto"/>
        <w:ind w:left="851"/>
        <w:jc w:val="both"/>
        <w:outlineLvl w:val="2"/>
        <w:rPr>
          <w:rFonts w:eastAsiaTheme="minorEastAsia" w:cs="Times New Roman"/>
          <w:noProof/>
        </w:rPr>
      </w:pPr>
      <w:r>
        <w:rPr>
          <w:noProof/>
        </w:rPr>
        <w:t>Επένδυση TD-C16-i03: καταλύτης για την ψηφιακή μετάβαση των επιχειρήσεων</w:t>
      </w:r>
    </w:p>
    <w:p w14:paraId="4477B881" w14:textId="77777777" w:rsidR="00154AD2" w:rsidRDefault="007F6BF3">
      <w:pPr>
        <w:pStyle w:val="P68B1DB1-Normal4"/>
        <w:spacing w:before="40" w:after="0" w:line="259" w:lineRule="auto"/>
        <w:jc w:val="both"/>
        <w:rPr>
          <w:rFonts w:eastAsiaTheme="minorEastAsia" w:cs="Times New Roman"/>
          <w:noProof/>
        </w:rPr>
      </w:pPr>
      <w:r>
        <w:rPr>
          <w:noProof/>
        </w:rPr>
        <w:t>Οι στόχοι του μέτρου είναι να συμβάλει στην ψηφιακή και περιβαλλοντική μετάβαση της κοινωνίας και των επιχειρήσεων.</w:t>
      </w:r>
    </w:p>
    <w:p w14:paraId="3FEE183C" w14:textId="77777777" w:rsidR="00154AD2" w:rsidRDefault="007F6BF3">
      <w:pPr>
        <w:pStyle w:val="P68B1DB1-Normal4"/>
        <w:spacing w:before="40" w:after="0" w:line="259" w:lineRule="auto"/>
        <w:jc w:val="both"/>
        <w:rPr>
          <w:rFonts w:eastAsiaTheme="minorEastAsia" w:cs="Times New Roman"/>
          <w:noProof/>
        </w:rPr>
      </w:pPr>
      <w:r>
        <w:rPr>
          <w:noProof/>
        </w:rPr>
        <w:t>Η επένδυση συνίσταται στις ακόλουθες τρεις δράσεις:</w:t>
      </w:r>
    </w:p>
    <w:p w14:paraId="2C249ACD" w14:textId="77777777" w:rsidR="00154AD2" w:rsidRDefault="007F6BF3">
      <w:pPr>
        <w:pStyle w:val="P68B1DB1-Normal4"/>
        <w:keepNext/>
        <w:numPr>
          <w:ilvl w:val="0"/>
          <w:numId w:val="34"/>
        </w:numPr>
        <w:spacing w:before="40" w:after="160" w:line="259" w:lineRule="auto"/>
        <w:contextualSpacing/>
        <w:jc w:val="both"/>
        <w:rPr>
          <w:rFonts w:eastAsiaTheme="minorEastAsia" w:cs="Times New Roman"/>
          <w:noProof/>
        </w:rPr>
      </w:pPr>
      <w:r>
        <w:rPr>
          <w:noProof/>
        </w:rPr>
        <w:t>«Αποϋλοποίηση της τιμολόγησης», με έργο που αποσκοπεί στη μείωση της χρήσης χαρτιού μέσω ψηφιακής πλατφόρμας αποστολής τιμολογίων·</w:t>
      </w:r>
    </w:p>
    <w:p w14:paraId="13537E9F" w14:textId="77777777" w:rsidR="00154AD2" w:rsidRDefault="007F6BF3">
      <w:pPr>
        <w:pStyle w:val="P68B1DB1-Normal4"/>
        <w:keepNext/>
        <w:numPr>
          <w:ilvl w:val="0"/>
          <w:numId w:val="34"/>
        </w:numPr>
        <w:spacing w:before="40" w:after="160" w:line="259" w:lineRule="auto"/>
        <w:contextualSpacing/>
        <w:jc w:val="both"/>
        <w:rPr>
          <w:rFonts w:eastAsiaTheme="minorEastAsia" w:cs="Times New Roman"/>
          <w:noProof/>
        </w:rPr>
      </w:pPr>
      <w:r>
        <w:rPr>
          <w:noProof/>
        </w:rPr>
        <w:t>«Σφραγίδα πιστοποίησης της κυβερνοασφάλειας, της ιδιωτικής ζωής, της χρηστικότητας και της βιωσιμότητας» — επένδυση σε: δημιουργία τεσσάρων νέων σφραγίδων πιστοποίησης για την κυβερνοασφάλεια, την ιδιωτικότητα, τη χρηστικότητα και τη βιωσιμότητα· τη δημιουργία πλατφορμών που υποστηρίζουν την επικοινωνία μεταξύ όλων των εταίρων και των οντοτήτων που συμμετέχουν στη διαδικασία (καθώς και τη δημιουργία διαδικαστικών δεδομένων σχετικά με την παρακολούθηση του προγράμματος)· εκστρατεία για τη διάδοση της πρωτοβουλίας και την ενδυνάμωση των οργανισμών αξιολόγησης της συμμόρφωσης ή των φορέων τεχνικής αξιολόγησης που υποστηρίζουν τις σφραγίδες πιστοποίησης στους εν λόγω τομείς· και</w:t>
      </w:r>
    </w:p>
    <w:p w14:paraId="052D4C91" w14:textId="7B1A0935" w:rsidR="00154AD2" w:rsidRDefault="007F6BF3">
      <w:pPr>
        <w:pStyle w:val="P68B1DB1-Normal4"/>
        <w:keepNext/>
        <w:numPr>
          <w:ilvl w:val="0"/>
          <w:numId w:val="34"/>
        </w:numPr>
        <w:spacing w:before="40" w:after="160" w:line="259" w:lineRule="auto"/>
        <w:contextualSpacing/>
        <w:jc w:val="both"/>
        <w:rPr>
          <w:rFonts w:eastAsiaTheme="minorEastAsia" w:cs="Times New Roman"/>
          <w:noProof/>
        </w:rPr>
      </w:pPr>
      <w:r>
        <w:rPr>
          <w:noProof/>
        </w:rPr>
        <w:t>«Κόμβοι ψηφιακής καινοτομίας (ΚΨΚ)»: μια υπηρεσία για τη στήριξη των εταιρειών και των φορέων δημόσιας διοίκησης ώστε να καταστούν πιο ανταγωνιστικές στον ψηφιακό τομέα, προκειμένου να βελτιώσουν τις διαδικασίες παραγωγής τους, μέσω της αυτοματοποίησης ή της ενσωμάτωσης ανατρεπτικών τεχνολογιών. Η επένδυση αυτή θα ενισχύσει και θα συμπληρώσει το δίκτυο που βρίσκεται ήδη υπό ανάπτυξη στο πλαίσιο του προγράμματος «Ψηφιακή Ευρώπη», ώστε να φτάσει συνολικά τους 16 κόμβους ψηφιακής καινοτομίας που είναι εγκατεστημένοι στην Πορτογαλία.</w:t>
      </w:r>
    </w:p>
    <w:p w14:paraId="35DF0FFF" w14:textId="77777777" w:rsidR="00154AD2" w:rsidRDefault="007F6BF3">
      <w:pPr>
        <w:pStyle w:val="P68B1DB1-Normal4"/>
        <w:spacing w:before="40" w:after="0" w:line="259" w:lineRule="auto"/>
        <w:jc w:val="both"/>
        <w:rPr>
          <w:rFonts w:eastAsiaTheme="minorEastAsia" w:cs="Times New Roman"/>
          <w:noProof/>
        </w:rPr>
      </w:pPr>
      <w:r>
        <w:rPr>
          <w:noProof/>
        </w:rPr>
        <w:t>Για τους διαγωνισμούς που σχετίζονται με τη δημιουργία κόμβων ψηφιακής καινοτομίας και για την επιλογή των δικαιούχων που υποστηρίζονται από τους κόμβους ψηφιακής καινοτομίας, προκειμένου να διασφαλιστεί ότι το μέτρο συμμορφώνεται με τις τεχνικές κατευθυντήριες γραμμές για την εφαρμογή της αρχής της «μη πρόκλησης σημαντικής βλάβης» (2021/C58/01), τα κριτήρια επιλεξιμότητας που περιλαμβάνονται στους όρους αναφοράς για επικείμενες προσκλήσεις υποβολής έργων αποκλείουν τον ακόλουθο κατάλογο δραστηριοτήτων: I) δραστηριότητες που σχετίζονται με ορυκτά καύσιμα, συμπεριλαμβανομένης της μεταγενέστερης χρήσης</w:t>
      </w:r>
      <w:r>
        <w:rPr>
          <w:noProof/>
        </w:rPr>
        <w:footnoteReference w:id="60"/>
      </w:r>
      <w:r>
        <w:rPr>
          <w:noProof/>
        </w:rPr>
        <w:t>· II) δραστηριότητες στο πλαίσιο του συστήματος εμπορίας δικαιωμάτων εκπομπής (ΣΕΔΕ) της ΕΕ που επιτυγχάνουν προβλεπόμενες εκπομπές αερίων του θερμοκηπίου που δεν είναι χαμηλότερες από τους σχετικούς δείκτες αναφοράς</w:t>
      </w:r>
      <w:r>
        <w:rPr>
          <w:noProof/>
        </w:rPr>
        <w:footnoteReference w:id="61"/>
      </w:r>
      <w:r>
        <w:rPr>
          <w:noProof/>
        </w:rPr>
        <w:t>· III) δραστηριότητες που σχετίζονται με χώρους υγειονομικής ταφής αποβλήτων, αποτεφρωτήρες</w:t>
      </w:r>
      <w:r>
        <w:rPr>
          <w:noProof/>
        </w:rPr>
        <w:footnoteReference w:id="62"/>
      </w:r>
      <w:r>
        <w:rPr>
          <w:noProof/>
        </w:rPr>
        <w:t xml:space="preserve"> και μονάδες μηχανικής βιολογικής επεξεργασίας</w:t>
      </w:r>
      <w:r>
        <w:rPr>
          <w:noProof/>
        </w:rPr>
        <w:footnoteReference w:id="63"/>
      </w:r>
      <w:r>
        <w:rPr>
          <w:noProof/>
        </w:rPr>
        <w:t>· και iv) δραστηριότητες στις οποίες η μακροπρόθεσμη διάθεση αποβλήτων μπορεί να βλάψει το περιβάλλον. Οι όροι εντολής απαιτούν επιπλέον να επιλέγονται μόνο οι δραστηριότητες που συμμορφώνονται με τη σχετική ενωσιακή και εθνική περιβαλλοντική νομοθεσία.</w:t>
      </w:r>
    </w:p>
    <w:p w14:paraId="0B19FF08" w14:textId="77777777" w:rsidR="00154AD2" w:rsidRDefault="007F6BF3">
      <w:pPr>
        <w:pStyle w:val="P68B1DB1-Normal4"/>
        <w:spacing w:before="40" w:after="0" w:line="259" w:lineRule="auto"/>
        <w:jc w:val="both"/>
        <w:rPr>
          <w:rFonts w:eastAsiaTheme="minorEastAsia" w:cs="Times New Roman"/>
          <w:noProof/>
        </w:rPr>
      </w:pPr>
      <w:r>
        <w:rPr>
          <w:noProof/>
        </w:rPr>
        <w:t>Η υλοποίηση της επένδυσης θα ολοκληρωθεί έως τις 31 Δεκεμβρίου 2025.</w:t>
      </w:r>
    </w:p>
    <w:p w14:paraId="5085FC73" w14:textId="1BD6ADCA" w:rsidR="00154AD2" w:rsidRDefault="007F6BF3">
      <w:pPr>
        <w:pStyle w:val="P68B1DB1-Normal5"/>
        <w:spacing w:before="240" w:after="0" w:line="259" w:lineRule="auto"/>
        <w:ind w:left="851"/>
        <w:jc w:val="both"/>
        <w:outlineLvl w:val="2"/>
        <w:rPr>
          <w:rFonts w:eastAsiaTheme="minorEastAsia" w:cs="Times New Roman"/>
          <w:noProof/>
        </w:rPr>
      </w:pPr>
      <w:r>
        <w:rPr>
          <w:noProof/>
        </w:rPr>
        <w:t xml:space="preserve">Επένδυση TD-C16-i04: </w:t>
      </w:r>
      <w:bookmarkStart w:id="29" w:name="_Toc137472467"/>
      <w:r>
        <w:rPr>
          <w:noProof/>
        </w:rPr>
        <w:t>Βιομηχανία 4.0</w:t>
      </w:r>
      <w:bookmarkEnd w:id="29"/>
    </w:p>
    <w:p w14:paraId="3F32B16D" w14:textId="77777777" w:rsidR="00154AD2" w:rsidRDefault="007F6BF3">
      <w:pPr>
        <w:pStyle w:val="P68B1DB1-Normal4"/>
        <w:spacing w:after="0"/>
        <w:jc w:val="both"/>
        <w:rPr>
          <w:rFonts w:cs="Times New Roman"/>
          <w:noProof/>
        </w:rPr>
      </w:pPr>
      <w:r>
        <w:rPr>
          <w:noProof/>
        </w:rPr>
        <w:t xml:space="preserve">Στόχος των μέτρων είναι η στήριξη έργων βιομηχανικής έρευνας, πειραματικής ανάπτυξης, οργανωτικής και διαδικαστικής καινοτομίας, η προώθηση του ψηφιακού μετασχηματισμού των εταιρειών και, ως αποτέλεσμα, η βελτίωση της περιβαλλοντικής βιωσιμότητάς τους. </w:t>
      </w:r>
    </w:p>
    <w:p w14:paraId="16CD80C9" w14:textId="77233703" w:rsidR="00154AD2" w:rsidRDefault="007F6BF3">
      <w:pPr>
        <w:pStyle w:val="P68B1DB1-Normal4"/>
        <w:spacing w:after="0"/>
        <w:jc w:val="both"/>
        <w:rPr>
          <w:rFonts w:cs="Times New Roman"/>
          <w:noProof/>
        </w:rPr>
      </w:pPr>
      <w:r>
        <w:rPr>
          <w:noProof/>
        </w:rPr>
        <w:t>Το μέτρο αυτό στηρίζει 200 επενδυτικά έργα που εμπίπτουν σε τουλάχιστον έναν από τους ακόλουθους τομείς δράσης:</w:t>
      </w:r>
    </w:p>
    <w:p w14:paraId="64D25EDB" w14:textId="77777777" w:rsidR="00154AD2" w:rsidRDefault="007F6BF3">
      <w:pPr>
        <w:pStyle w:val="P68B1DB1-Normal4"/>
        <w:spacing w:after="0"/>
        <w:ind w:left="720"/>
        <w:jc w:val="both"/>
        <w:rPr>
          <w:rFonts w:cs="Times New Roman"/>
          <w:noProof/>
        </w:rPr>
      </w:pPr>
      <w:r>
        <w:rPr>
          <w:noProof/>
        </w:rPr>
        <w:t>1.</w:t>
      </w:r>
      <w:r>
        <w:rPr>
          <w:noProof/>
        </w:rPr>
        <w:tab/>
        <w:t>Ψηφιακή μετάβαση των επιχειρησιακών διαδικασιών, συμπεριλαμβανομένης της διαχείρισης και του σχεδιασμού της παραγωγής και της εφοδιαστικής.</w:t>
      </w:r>
    </w:p>
    <w:p w14:paraId="758DEE78" w14:textId="77777777" w:rsidR="00154AD2" w:rsidRDefault="007F6BF3">
      <w:pPr>
        <w:pStyle w:val="P68B1DB1-Normal4"/>
        <w:spacing w:after="0"/>
        <w:ind w:left="720"/>
        <w:jc w:val="both"/>
        <w:rPr>
          <w:rFonts w:cs="Times New Roman"/>
          <w:noProof/>
        </w:rPr>
      </w:pPr>
      <w:r>
        <w:rPr>
          <w:noProof/>
        </w:rPr>
        <w:t>2.</w:t>
      </w:r>
      <w:r>
        <w:rPr>
          <w:noProof/>
        </w:rPr>
        <w:tab/>
        <w:t>Λύσεις για προηγμένη αποθήκευση, διαχείριση και επεξεργασία δεδομένων.</w:t>
      </w:r>
    </w:p>
    <w:p w14:paraId="6102558C" w14:textId="77777777" w:rsidR="00154AD2" w:rsidRDefault="007F6BF3">
      <w:pPr>
        <w:pStyle w:val="P68B1DB1-Normal4"/>
        <w:spacing w:after="0"/>
        <w:ind w:left="720"/>
        <w:jc w:val="both"/>
        <w:rPr>
          <w:rFonts w:cs="Times New Roman"/>
          <w:noProof/>
        </w:rPr>
      </w:pPr>
      <w:r>
        <w:rPr>
          <w:noProof/>
        </w:rPr>
        <w:t>3.</w:t>
      </w:r>
      <w:r>
        <w:rPr>
          <w:noProof/>
        </w:rPr>
        <w:tab/>
        <w:t>Λύσεις τεχνητής νοημοσύνης που εφαρμόζονται στη διαδικασία παραγωγής.</w:t>
      </w:r>
    </w:p>
    <w:p w14:paraId="3198C1B0" w14:textId="729CD56A" w:rsidR="00154AD2" w:rsidRDefault="007F6BF3">
      <w:pPr>
        <w:spacing w:after="0"/>
        <w:ind w:left="720"/>
        <w:jc w:val="both"/>
        <w:rPr>
          <w:rFonts w:ascii="Times New Roman" w:hAnsi="Times New Roman" w:cs="Times New Roman"/>
          <w:noProof/>
          <w:sz w:val="24"/>
        </w:rPr>
      </w:pPr>
      <w:r>
        <w:rPr>
          <w:rFonts w:ascii="Times New Roman" w:hAnsi="Times New Roman"/>
          <w:noProof/>
          <w:sz w:val="24"/>
        </w:rPr>
        <w:t>4.</w:t>
      </w:r>
      <w:r>
        <w:rPr>
          <w:noProof/>
        </w:rPr>
        <w:tab/>
      </w:r>
      <w:r>
        <w:rPr>
          <w:rFonts w:ascii="Times New Roman" w:hAnsi="Times New Roman"/>
          <w:noProof/>
          <w:sz w:val="24"/>
        </w:rPr>
        <w:t>Ψηφιακές αναπαραστάσεις και εικονική μοντελοποίηση (Digital Twins), προσομοίωση και βιομηχανική μοντελοποίηση.</w:t>
      </w:r>
    </w:p>
    <w:p w14:paraId="4C4B5102" w14:textId="77777777" w:rsidR="00154AD2" w:rsidRDefault="007F6BF3">
      <w:pPr>
        <w:pStyle w:val="P68B1DB1-Normal4"/>
        <w:spacing w:after="0"/>
        <w:ind w:left="720"/>
        <w:jc w:val="both"/>
        <w:rPr>
          <w:rFonts w:cs="Times New Roman"/>
          <w:noProof/>
        </w:rPr>
      </w:pPr>
      <w:r>
        <w:rPr>
          <w:noProof/>
        </w:rPr>
        <w:t>5.</w:t>
      </w:r>
      <w:r>
        <w:rPr>
          <w:noProof/>
        </w:rPr>
        <w:tab/>
        <w:t>Σκαρίφημα και προσθετική κατασκευή.</w:t>
      </w:r>
    </w:p>
    <w:p w14:paraId="006F8BED" w14:textId="77777777" w:rsidR="00154AD2" w:rsidRDefault="007F6BF3">
      <w:pPr>
        <w:pStyle w:val="P68B1DB1-Normal4"/>
        <w:spacing w:after="0"/>
        <w:ind w:left="720"/>
        <w:jc w:val="both"/>
        <w:rPr>
          <w:rFonts w:cs="Times New Roman"/>
          <w:noProof/>
        </w:rPr>
      </w:pPr>
      <w:r>
        <w:rPr>
          <w:noProof/>
        </w:rPr>
        <w:t>6.</w:t>
      </w:r>
      <w:r>
        <w:rPr>
          <w:noProof/>
        </w:rPr>
        <w:tab/>
        <w:t>Έργα επαυξημένης πραγματικότητας, εικονική πραγματικότητα και τεχνητό όραμα που εφαρμόζονται σε διαδικασίες.</w:t>
      </w:r>
    </w:p>
    <w:p w14:paraId="5257C08A" w14:textId="77777777" w:rsidR="00154AD2" w:rsidRDefault="007F6BF3">
      <w:pPr>
        <w:pStyle w:val="P68B1DB1-Normal4"/>
        <w:spacing w:after="0"/>
        <w:ind w:left="720"/>
        <w:jc w:val="both"/>
        <w:rPr>
          <w:rFonts w:cs="Times New Roman"/>
          <w:noProof/>
        </w:rPr>
      </w:pPr>
      <w:r>
        <w:rPr>
          <w:noProof/>
        </w:rPr>
        <w:t>7.</w:t>
      </w:r>
      <w:r>
        <w:rPr>
          <w:noProof/>
        </w:rPr>
        <w:tab/>
        <w:t>Συνεργατική και γνωστική ρομποτική, διεπαφή ανθρώπου-μηχανής, συστήματα κυβερνοφυσικής.</w:t>
      </w:r>
    </w:p>
    <w:p w14:paraId="0B8245E1" w14:textId="26E5916E" w:rsidR="00154AD2" w:rsidRDefault="007F6BF3">
      <w:pPr>
        <w:spacing w:after="0"/>
        <w:ind w:left="720"/>
        <w:jc w:val="both"/>
        <w:rPr>
          <w:rFonts w:ascii="Times New Roman" w:hAnsi="Times New Roman" w:cs="Times New Roman"/>
          <w:noProof/>
          <w:sz w:val="24"/>
        </w:rPr>
      </w:pPr>
      <w:r>
        <w:rPr>
          <w:rFonts w:ascii="Times New Roman" w:hAnsi="Times New Roman"/>
          <w:noProof/>
          <w:sz w:val="24"/>
        </w:rPr>
        <w:t>8.</w:t>
      </w:r>
      <w:r>
        <w:rPr>
          <w:noProof/>
        </w:rPr>
        <w:tab/>
      </w:r>
      <w:r>
        <w:rPr>
          <w:rFonts w:ascii="Times New Roman" w:hAnsi="Times New Roman"/>
          <w:noProof/>
          <w:sz w:val="24"/>
        </w:rPr>
        <w:t>Αισθητήρες και προηγμένα ηλεκτρονικά συστήματα, διαδίκτυο των πραγμάτων, υπολογιστικό νέφος και λύσεις παρυφών.</w:t>
      </w:r>
    </w:p>
    <w:p w14:paraId="1FBF7C37" w14:textId="77777777" w:rsidR="00154AD2" w:rsidRDefault="007F6BF3">
      <w:pPr>
        <w:pStyle w:val="P68B1DB1-Normal4"/>
        <w:spacing w:after="0"/>
        <w:ind w:left="720"/>
        <w:jc w:val="both"/>
        <w:rPr>
          <w:rFonts w:cs="Times New Roman"/>
          <w:noProof/>
        </w:rPr>
      </w:pPr>
      <w:r>
        <w:rPr>
          <w:noProof/>
        </w:rPr>
        <w:t>9.</w:t>
      </w:r>
      <w:r>
        <w:rPr>
          <w:noProof/>
        </w:rPr>
        <w:tab/>
        <w:t>Υποδομές δικτύων, επικοινωνιών και προηγμένων υπολογιστικών υποδομών που συνδέονται με διαδικασίες.</w:t>
      </w:r>
    </w:p>
    <w:p w14:paraId="100D1BA8" w14:textId="77777777" w:rsidR="00154AD2" w:rsidRDefault="007F6BF3">
      <w:pPr>
        <w:pStyle w:val="P68B1DB1-Normal4"/>
        <w:spacing w:after="0"/>
        <w:ind w:left="720"/>
        <w:jc w:val="both"/>
        <w:rPr>
          <w:rFonts w:cs="Times New Roman"/>
          <w:noProof/>
        </w:rPr>
      </w:pPr>
      <w:r>
        <w:rPr>
          <w:noProof/>
        </w:rPr>
        <w:t>10.</w:t>
      </w:r>
      <w:r>
        <w:rPr>
          <w:noProof/>
        </w:rPr>
        <w:tab/>
        <w:t>Καινοτόμο λογισμικό, διαλειτουργικότητα των συστημάτων.</w:t>
      </w:r>
    </w:p>
    <w:p w14:paraId="61EAAF0E" w14:textId="09B532F8" w:rsidR="00154AD2" w:rsidRDefault="007F6BF3">
      <w:pPr>
        <w:pStyle w:val="P68B1DB1-Normal4"/>
        <w:spacing w:after="0"/>
        <w:jc w:val="both"/>
        <w:rPr>
          <w:rFonts w:cs="Times New Roman"/>
          <w:noProof/>
        </w:rPr>
      </w:pPr>
      <w:r>
        <w:rPr>
          <w:noProof/>
        </w:rPr>
        <w:t>Για τους διαγωνισμούς, προκειμένου να διασφαλιστεί ότι το μέτρο συμμορφώνεται με την τεχνική καθοδήγηση για την εφαρμογή της αρχής της «μη πρόκλησης σημαντικής βλάβης» (2021/C58/01), τα κριτήρια επιλεξιμότητας που περιλαμβάνονται στους όρους αναφοράς για επικείμενες προσκλήσεις υποβολής έργων αποκλείουν τον ακόλουθο κατάλογο δραστηριοτήτων: I) δραστηριότητες που σχετίζονται με ορυκτά καύσιμα, συμπεριλαμβανομένης της μεταγενέστερης χρήσης</w:t>
      </w:r>
      <w:r>
        <w:rPr>
          <w:noProof/>
        </w:rPr>
        <w:footnoteReference w:id="64"/>
      </w:r>
      <w:r>
        <w:rPr>
          <w:noProof/>
        </w:rPr>
        <w:t>· II) δραστηριότητες στο πλαίσιο του συστήματος εμπορίας δικαιωμάτων εκπομπής (ΣΕΔΕ) της ΕΕ που επιτυγχάνουν προβλεπόμενες εκπομπές αερίων του θερμοκηπίου που δεν είναι χαμηλότερες από τους σχετικούς δείκτες αναφοράς</w:t>
      </w:r>
      <w:r>
        <w:rPr>
          <w:noProof/>
        </w:rPr>
        <w:footnoteReference w:id="65"/>
      </w:r>
      <w:r>
        <w:rPr>
          <w:noProof/>
        </w:rPr>
        <w:t>· δραστηριότητες που σχετίζονται με χώρους υγειονομικής ταφής αποβλήτων, αποτεφρωτήρες</w:t>
      </w:r>
      <w:r>
        <w:rPr>
          <w:noProof/>
        </w:rPr>
        <w:footnoteReference w:id="66"/>
      </w:r>
      <w:r>
        <w:rPr>
          <w:noProof/>
        </w:rPr>
        <w:t xml:space="preserve"> και μονάδες μηχανικής βιολογικής επεξεργασίας</w:t>
      </w:r>
      <w:r>
        <w:rPr>
          <w:noProof/>
        </w:rPr>
        <w:footnoteReference w:id="67"/>
      </w:r>
      <w:r>
        <w:rPr>
          <w:noProof/>
        </w:rPr>
        <w:t>. Οι όροι εντολής απαιτούν επιπλέον να επιλέγονται μόνο οι δραστηριότητες που συμμορφώνονται με τη σχετική ενωσιακή και εθνική περιβαλλοντική νομοθεσία.</w:t>
      </w:r>
    </w:p>
    <w:p w14:paraId="6102D899" w14:textId="33A71017" w:rsidR="00154AD2" w:rsidRDefault="007F6BF3">
      <w:pPr>
        <w:pStyle w:val="P68B1DB1-Normal4"/>
        <w:jc w:val="both"/>
        <w:rPr>
          <w:rFonts w:cs="Times New Roman"/>
          <w:noProof/>
        </w:rPr>
      </w:pPr>
      <w:r>
        <w:rPr>
          <w:noProof/>
        </w:rPr>
        <w:t>Η υλοποίηση της επένδυσης θα ολοκληρωθεί έως τις 31 Δεκεμβρίου 2025.</w:t>
      </w:r>
    </w:p>
    <w:p w14:paraId="0DED3033" w14:textId="15D5D742" w:rsidR="00154AD2" w:rsidRDefault="007F6BF3">
      <w:pPr>
        <w:pStyle w:val="P68B1DB1-Heading214"/>
        <w:spacing w:before="240"/>
        <w:rPr>
          <w:noProof/>
        </w:rPr>
      </w:pPr>
      <w:bookmarkStart w:id="30" w:name="_Toc137472468"/>
      <w:r>
        <w:rPr>
          <w:noProof/>
        </w:rPr>
        <w:t>Επένδυση TD-C16-i05-RAA: Ψηφιακή ικανότητα και μετασχηματισμός των επιχειρήσεων στις Αζόρες</w:t>
      </w:r>
      <w:bookmarkEnd w:id="30"/>
    </w:p>
    <w:p w14:paraId="5F5ED56A" w14:textId="77777777" w:rsidR="00154AD2" w:rsidRDefault="007F6BF3">
      <w:pPr>
        <w:pStyle w:val="P68B1DB1-Normal4"/>
        <w:spacing w:before="40" w:after="0" w:line="22" w:lineRule="atLeast"/>
        <w:jc w:val="both"/>
        <w:rPr>
          <w:rFonts w:cs="Times New Roman"/>
          <w:noProof/>
        </w:rPr>
      </w:pPr>
      <w:r>
        <w:rPr>
          <w:noProof/>
        </w:rPr>
        <w:t>Οι στόχοι του μέτρου είναι η χρηματοδότηση της δημιουργίας ενός συστήματος κινήτρων για την ψηφιακή μετάβαση για τις εταιρείες στις Αζόρες, καθώς και του εξοπλισμού πληροφορικής και δικτύου και της επέκτασης των επιστημονικών και τεχνολογικών πάρκων των Αζορών.</w:t>
      </w:r>
    </w:p>
    <w:p w14:paraId="542E28E3" w14:textId="77777777" w:rsidR="00154AD2" w:rsidRDefault="007F6BF3">
      <w:pPr>
        <w:pStyle w:val="P68B1DB1-Normal4"/>
        <w:spacing w:before="40" w:after="0" w:line="22" w:lineRule="atLeast"/>
        <w:jc w:val="both"/>
        <w:rPr>
          <w:rFonts w:cs="Times New Roman"/>
          <w:noProof/>
        </w:rPr>
      </w:pPr>
      <w:r>
        <w:rPr>
          <w:noProof/>
        </w:rPr>
        <w:t>Το σύστημα κινήτρων για την ψηφιακή μετάβαση των επιχειρήσεων αποσκοπεί στη στήριξη των περιφερειακών επιχειρήσεων στην προσαρμογή και την ενσωμάτωση ψηφιακών τεχνολογιών, με δράσεις που επικεντρώνονται, μεταξύ άλλων, στη διαχείριση, το ηλεκτρονικό εμπόριο, τα εργαλεία αυτοματοποίησης, την ενίσχυση της κυβερνοασφάλειας, την τεχνητή νοημοσύνη, το διαδίκτυο των πραγμάτων.</w:t>
      </w:r>
    </w:p>
    <w:p w14:paraId="09E35D17" w14:textId="77777777" w:rsidR="00154AD2" w:rsidRDefault="007F6BF3">
      <w:pPr>
        <w:pStyle w:val="P68B1DB1-Normal4"/>
        <w:spacing w:before="40" w:after="0" w:line="22" w:lineRule="atLeast"/>
        <w:jc w:val="both"/>
        <w:rPr>
          <w:rFonts w:cs="Times New Roman"/>
          <w:noProof/>
        </w:rPr>
      </w:pPr>
      <w:r>
        <w:rPr>
          <w:noProof/>
        </w:rPr>
        <w:t>Η επένδυση στα επιστημονικά και τεχνολογικά πάρκα των Αζορών (Nonagon και Terinov) αποσκοπεί στη στήριξη των υλικοτεχνικών και τεχνολογικών συνθηκών του επιχειρηματικού οικοσυστήματος της περιοχής. Η επένδυση αυτή έχει ως στόχο να συμβάλει στην ανάπτυξη της οικονομίας που βασίζεται στην τεχνολογία σε στρατηγικούς τομείς, καθιστώντας δυνατή την τεχνογνωσία και βελτιώνοντας την ποιότητα και την αξιοπιστία των υπηρεσιών που παρέχονται από τα εν λόγω πάρκα.</w:t>
      </w:r>
    </w:p>
    <w:p w14:paraId="5A449590" w14:textId="77777777" w:rsidR="00154AD2" w:rsidRDefault="007F6BF3">
      <w:pPr>
        <w:pStyle w:val="P68B1DB1-Normal4"/>
        <w:spacing w:before="40" w:after="0" w:line="22" w:lineRule="atLeast"/>
        <w:jc w:val="both"/>
        <w:rPr>
          <w:rFonts w:cs="Times New Roman"/>
          <w:noProof/>
        </w:rPr>
      </w:pPr>
      <w:r>
        <w:rPr>
          <w:noProof/>
        </w:rPr>
        <w:t>Το σύστημα κινήτρων για την ψηφιακή μετάβαση των επιχειρήσεων διαρθρώνεται γύρω από 3 γραμμές δράσης, ενώ τα επιλέξιμα έργα συμβάλλουν σε τουλάχιστον μία από αυτές:</w:t>
      </w:r>
    </w:p>
    <w:p w14:paraId="142AA256" w14:textId="77777777" w:rsidR="00154AD2" w:rsidRDefault="007F6BF3">
      <w:pPr>
        <w:pStyle w:val="ListParagraph"/>
        <w:keepNext w:val="0"/>
        <w:numPr>
          <w:ilvl w:val="0"/>
          <w:numId w:val="74"/>
        </w:numPr>
        <w:spacing w:before="40" w:after="0" w:line="22" w:lineRule="atLeast"/>
        <w:rPr>
          <w:noProof/>
        </w:rPr>
      </w:pPr>
      <w:r>
        <w:rPr>
          <w:noProof/>
        </w:rPr>
        <w:t>Γραμμή δράσης 1 — στήριξη των περιφερειακών επιχειρήσεων για την προσαρμογή και την ενσωμάτωση ψηφιακών τεχνολογιών που ενισχύουν την ανταγωνιστικότητα, βελτιώνουν την παραγωγικότητα, τονώνουν την καινοτομία και μειώνουν το κόστος των επιχειρηματικών διαδικασιών.</w:t>
      </w:r>
    </w:p>
    <w:p w14:paraId="42A27BBC" w14:textId="77777777" w:rsidR="00154AD2" w:rsidRDefault="007F6BF3">
      <w:pPr>
        <w:pStyle w:val="ListParagraph"/>
        <w:keepNext w:val="0"/>
        <w:numPr>
          <w:ilvl w:val="0"/>
          <w:numId w:val="74"/>
        </w:numPr>
        <w:spacing w:before="40" w:after="0" w:line="22" w:lineRule="atLeast"/>
        <w:rPr>
          <w:noProof/>
        </w:rPr>
      </w:pPr>
      <w:r>
        <w:rPr>
          <w:noProof/>
        </w:rPr>
        <w:t>Γραμμή δράσης 2 — παροχή της δυνατότητας στις εταιρείες Azorean να χρησιμοποιούν εξειδικευμένες συμβουλευτικές υπηρεσίες για την εφαρμογή μεθοδολογιών επιτάχυνσης των επιχειρηματικών διαδικασιών και κυβερνοασφάλειας.</w:t>
      </w:r>
    </w:p>
    <w:p w14:paraId="6E71A181" w14:textId="77777777" w:rsidR="00154AD2" w:rsidRDefault="007F6BF3">
      <w:pPr>
        <w:pStyle w:val="ListParagraph"/>
        <w:keepNext w:val="0"/>
        <w:numPr>
          <w:ilvl w:val="0"/>
          <w:numId w:val="74"/>
        </w:numPr>
        <w:spacing w:before="40" w:after="0" w:line="22" w:lineRule="atLeast"/>
        <w:rPr>
          <w:noProof/>
        </w:rPr>
      </w:pPr>
      <w:r>
        <w:rPr>
          <w:noProof/>
        </w:rPr>
        <w:t>Γραμμή δράσης 3 — στήριξη της διοργάνωσης θεματικών εκδηλώσεων από δημόσιους ή ιδιωτικούς φορείς για την προώθηση συνεργειών μεταξύ εταιρειών της Αζόρας μέσω της ανταλλαγής τεχνολογικών λύσεων, εργαλείων, μεθοδολογιών και βέλτιστων πρακτικών.</w:t>
      </w:r>
    </w:p>
    <w:p w14:paraId="184DB346" w14:textId="77777777" w:rsidR="00154AD2" w:rsidRDefault="007F6BF3">
      <w:pPr>
        <w:pStyle w:val="P68B1DB1-Normal4"/>
        <w:spacing w:before="40" w:after="0" w:line="22" w:lineRule="atLeast"/>
        <w:jc w:val="both"/>
        <w:rPr>
          <w:rFonts w:cs="Times New Roman"/>
          <w:noProof/>
        </w:rPr>
      </w:pPr>
      <w:r>
        <w:rPr>
          <w:noProof/>
        </w:rPr>
        <w:t>Η επένδυση στα επιστημονικά και τεχνολογικά πάρκα θα παράσχει νέα στοιχεία υποδομής δικτύου και υπολογιστικής (υλισμικό) στο επιστημονικό και τεχνολογικό πάρκο Nonangon και την κατασκευή ενός νέου ενεργειακά αποδοτικού κτιρίου στο επιστημονικό και τεχνολογικό πάρκο Terinov.</w:t>
      </w:r>
    </w:p>
    <w:p w14:paraId="63A80828" w14:textId="089A50CF" w:rsidR="00154AD2" w:rsidRDefault="007F6BF3">
      <w:pPr>
        <w:pStyle w:val="P68B1DB1-Normal4"/>
        <w:spacing w:before="40" w:after="0" w:line="22" w:lineRule="atLeast"/>
        <w:jc w:val="both"/>
        <w:rPr>
          <w:rFonts w:cs="Times New Roman"/>
          <w:noProof/>
        </w:rPr>
      </w:pPr>
      <w:r>
        <w:rPr>
          <w:noProof/>
        </w:rPr>
        <w:t>Για τους διαγωνισμούς, προκειμένου να διασφαλιστεί ότι το μέτρο συμμορφώνεται με την τεχνική καθοδήγηση για την εφαρμογή της αρχής της «μη πρόκλησης σημαντικής βλάβης» (2021/C58/01), τα κριτήρια επιλεξιμότητας που περιλαμβάνονται στους όρους αναφοράς για επικείμενες προσκλήσεις υποβολής έργων αποκλείουν τον ακόλουθο κατάλογο δραστηριοτήτων: I) δραστηριότητες που σχετίζονται με ορυκτά καύσιμα, συμπεριλαμβανομένης της μεταγενέστερης χρήσης</w:t>
      </w:r>
      <w:r>
        <w:rPr>
          <w:noProof/>
        </w:rPr>
        <w:footnoteReference w:id="68"/>
      </w:r>
      <w:r>
        <w:rPr>
          <w:noProof/>
        </w:rPr>
        <w:t>· II) δραστηριότητες στο πλαίσιο του συστήματος εμπορίας δικαιωμάτων εκπομπής (ΣΕΔΕ) της ΕΕ που επιτυγχάνουν προβλεπόμενες εκπομπές αερίων του θερμοκηπίου που δεν είναι χαμηλότερες από τους σχετικούς δείκτες αναφοράς</w:t>
      </w:r>
      <w:r>
        <w:rPr>
          <w:noProof/>
        </w:rPr>
        <w:footnoteReference w:id="69"/>
      </w:r>
      <w:r>
        <w:rPr>
          <w:noProof/>
        </w:rPr>
        <w:t>· δραστηριότητες που σχετίζονται με χώρους υγειονομικής ταφής αποβλήτων, αποτεφρωτήρες</w:t>
      </w:r>
      <w:r>
        <w:rPr>
          <w:noProof/>
        </w:rPr>
        <w:footnoteReference w:id="70"/>
      </w:r>
      <w:r>
        <w:rPr>
          <w:noProof/>
        </w:rPr>
        <w:t xml:space="preserve"> και μονάδες μηχανικής βιολογικής επεξεργασίας</w:t>
      </w:r>
      <w:r>
        <w:rPr>
          <w:noProof/>
        </w:rPr>
        <w:footnoteReference w:id="71"/>
      </w:r>
      <w:r>
        <w:rPr>
          <w:noProof/>
        </w:rPr>
        <w:t>. Οι όροι εντολής απαιτούν επιπλέον να επιλέγονται μόνο οι δραστηριότητες που συμμορφώνονται με τη σχετική ενωσιακή και εθνική περιβαλλοντική νομοθεσία.</w:t>
      </w:r>
    </w:p>
    <w:p w14:paraId="05CDA0AA" w14:textId="77777777" w:rsidR="00154AD2" w:rsidRDefault="007F6BF3">
      <w:pPr>
        <w:pStyle w:val="P68B1DB1-Normal4"/>
        <w:spacing w:before="40" w:after="0" w:line="22" w:lineRule="atLeast"/>
        <w:jc w:val="both"/>
        <w:rPr>
          <w:rFonts w:cs="Times New Roman"/>
          <w:noProof/>
          <w:highlight w:val="green"/>
        </w:rPr>
      </w:pPr>
      <w:r>
        <w:rPr>
          <w:noProof/>
        </w:rPr>
        <w:t>Τα νέα κτίρια έχουν ζήτηση πρωτογενούς ενέργειας τουλάχιστον 20 % χαμηλότερη από τις απαιτήσεις των κτιρίων με σχεδόν μηδενική κατανάλωση ενέργειας. Οι ανακαινίσεις ενεργειακής απόδοσης επιτυγχάνουν, κατά μέσο όρο, τουλάχιστον μεσαίας κλίμακας ανακαίνιση, όπως ορίζεται στη σύσταση της Επιτροπής για την ανακαίνιση κτιρίων (ΕΕ) 2019/786.</w:t>
      </w:r>
    </w:p>
    <w:p w14:paraId="61377CD4" w14:textId="77777777" w:rsidR="00154AD2" w:rsidRDefault="007F6BF3">
      <w:pPr>
        <w:pStyle w:val="P68B1DB1-Normal4"/>
        <w:spacing w:before="40" w:after="0" w:line="22" w:lineRule="atLeast"/>
        <w:jc w:val="both"/>
        <w:rPr>
          <w:rFonts w:cs="Times New Roman"/>
          <w:noProof/>
        </w:rPr>
      </w:pPr>
      <w:r>
        <w:rPr>
          <w:noProof/>
        </w:rPr>
        <w:t>Η υλοποίηση της επένδυσης θα ολοκληρωθεί έως τις 31 Αυγούστου 2026.</w:t>
      </w:r>
    </w:p>
    <w:p w14:paraId="28BCB725" w14:textId="47AFAD48" w:rsidR="00154AD2" w:rsidRDefault="007F6BF3">
      <w:pPr>
        <w:pStyle w:val="P68B1DB1-Heading214"/>
        <w:spacing w:before="240"/>
        <w:rPr>
          <w:noProof/>
        </w:rPr>
      </w:pPr>
      <w:bookmarkStart w:id="31" w:name="_Toc137472469"/>
      <w:r>
        <w:rPr>
          <w:noProof/>
        </w:rPr>
        <w:t>Επένδυση TD-C16-i06-RAM: Επιχείρηση 4.0</w:t>
      </w:r>
      <w:bookmarkEnd w:id="31"/>
    </w:p>
    <w:p w14:paraId="6ACAD005" w14:textId="77777777" w:rsidR="00154AD2" w:rsidRDefault="007F6BF3">
      <w:pPr>
        <w:pStyle w:val="P68B1DB1-Normal4"/>
        <w:spacing w:before="40" w:after="0" w:line="22" w:lineRule="atLeast"/>
        <w:jc w:val="both"/>
        <w:rPr>
          <w:rFonts w:cs="Times New Roman"/>
          <w:noProof/>
        </w:rPr>
      </w:pPr>
      <w:r>
        <w:rPr>
          <w:noProof/>
        </w:rPr>
        <w:t xml:space="preserve">Στόχος του μέτρου είναι να συμβάλει στον μετασχηματισμό των επιχειρηματικών μοντέλων των ΜΜΕ της αυτόνομης περιφέρειας της Μαδέρας, με στόχο να καταστεί πιο ψηφιακή, ανταγωνιστική και ανθεκτική. </w:t>
      </w:r>
    </w:p>
    <w:p w14:paraId="019B37E5" w14:textId="77777777" w:rsidR="00154AD2" w:rsidRDefault="007F6BF3">
      <w:pPr>
        <w:pStyle w:val="P68B1DB1-Normal4"/>
        <w:spacing w:before="40" w:after="0" w:line="22" w:lineRule="atLeast"/>
        <w:jc w:val="both"/>
        <w:rPr>
          <w:rFonts w:cs="Times New Roman"/>
          <w:noProof/>
        </w:rPr>
      </w:pPr>
      <w:r>
        <w:rPr>
          <w:noProof/>
        </w:rPr>
        <w:t>Το μέτρο στηρίζει τις επενδύσεις στους ακόλουθους δύο τομείς:</w:t>
      </w:r>
    </w:p>
    <w:p w14:paraId="3ABC0B35" w14:textId="77777777" w:rsidR="00154AD2" w:rsidRDefault="007F6BF3">
      <w:pPr>
        <w:pStyle w:val="ListParagraph"/>
        <w:keepNext w:val="0"/>
        <w:numPr>
          <w:ilvl w:val="0"/>
          <w:numId w:val="74"/>
        </w:numPr>
        <w:spacing w:before="40" w:after="0" w:line="22" w:lineRule="atLeast"/>
        <w:rPr>
          <w:noProof/>
        </w:rPr>
      </w:pPr>
      <w:r>
        <w:rPr>
          <w:noProof/>
        </w:rPr>
        <w:t>Ενσώματα περιουσιακά στοιχεία, συμπεριλαμβανομένης της αγοράς μηχανημάτων και εξοπλισμού που συνδέονται άμεσα με την επένδυση στην ψηφιακή μετάβαση, καθώς και της αγοράς εξοπλισμού ΤΠ, συμπεριλαμβανομένου του λογισμικού που είναι αναγκαίο για τη λειτουργία του, που συνδέεται άμεσα με την ανάπτυξη του έργου.</w:t>
      </w:r>
    </w:p>
    <w:p w14:paraId="5B06C0E0" w14:textId="77777777" w:rsidR="00154AD2" w:rsidRDefault="007F6BF3">
      <w:pPr>
        <w:pStyle w:val="ListParagraph"/>
        <w:keepNext w:val="0"/>
        <w:numPr>
          <w:ilvl w:val="0"/>
          <w:numId w:val="74"/>
        </w:numPr>
        <w:spacing w:before="40" w:after="0" w:line="22" w:lineRule="atLeast"/>
        <w:rPr>
          <w:noProof/>
        </w:rPr>
      </w:pPr>
      <w:r>
        <w:rPr>
          <w:noProof/>
        </w:rPr>
        <w:t>Άυλα περιουσιακά στοιχεία, συμπεριλαμβανομένης της μεταφοράς τεχνολογίας μέσω της απόκτησης δικαιωμάτων ευρεσιτεχνίας και τυποποιημένου ή ειδικά ανεπτυγμένου λογισμικού.</w:t>
      </w:r>
    </w:p>
    <w:p w14:paraId="1727DD62" w14:textId="0C896F62" w:rsidR="00154AD2" w:rsidRDefault="007F6BF3">
      <w:pPr>
        <w:pStyle w:val="P68B1DB1-Normal4"/>
        <w:spacing w:before="40" w:after="0" w:line="22" w:lineRule="atLeast"/>
        <w:jc w:val="both"/>
        <w:rPr>
          <w:rFonts w:cs="Times New Roman"/>
          <w:noProof/>
        </w:rPr>
      </w:pPr>
      <w:r>
        <w:rPr>
          <w:noProof/>
        </w:rPr>
        <w:t>Για τους διαγωνισμούς, προκειμένου να διασφαλιστεί ότι το μέτρο συμμορφώνεται με την τεχνική καθοδήγηση για την εφαρμογή της αρχής της «μη πρόκλησης σημαντικής βλάβης» (2021/C58/01), τα κριτήρια επιλεξιμότητας που περιλαμβάνονται στους όρους αναφοράς για επικείμενες προσκλήσεις υποβολής έργων αποκλείουν τον ακόλουθο κατάλογο δραστηριοτήτων: I) δραστηριότητες που σχετίζονται με ορυκτά καύσιμα, συμπεριλαμβανομένης της μεταγενέστερης χρήσης</w:t>
      </w:r>
      <w:r>
        <w:rPr>
          <w:noProof/>
        </w:rPr>
        <w:footnoteReference w:id="72"/>
      </w:r>
      <w:r>
        <w:rPr>
          <w:noProof/>
        </w:rPr>
        <w:t>· II) δραστηριότητες στο πλαίσιο του συστήματος εμπορίας δικαιωμάτων εκπομπής (ΣΕΔΕ) της ΕΕ που επιτυγχάνουν προβλεπόμενες εκπομπές αερίων του θερμοκηπίου που δεν είναι χαμηλότερες από τους σχετικούς δείκτες αναφοράς</w:t>
      </w:r>
      <w:r>
        <w:rPr>
          <w:noProof/>
        </w:rPr>
        <w:footnoteReference w:id="73"/>
      </w:r>
      <w:r>
        <w:rPr>
          <w:noProof/>
        </w:rPr>
        <w:t>· δραστηριότητες που σχετίζονται με χώρους υγειονομικής ταφής αποβλήτων, αποτεφρωτήρες</w:t>
      </w:r>
      <w:r>
        <w:rPr>
          <w:noProof/>
        </w:rPr>
        <w:footnoteReference w:id="74"/>
      </w:r>
      <w:r>
        <w:rPr>
          <w:noProof/>
        </w:rPr>
        <w:t xml:space="preserve"> και μονάδες μηχανικής βιολογικής επεξεργασίας</w:t>
      </w:r>
      <w:r>
        <w:rPr>
          <w:noProof/>
        </w:rPr>
        <w:footnoteReference w:id="75"/>
      </w:r>
      <w:r>
        <w:rPr>
          <w:noProof/>
        </w:rPr>
        <w:t>. Οι όροι εντολής απαιτούν επιπλέον να επιλέγονται μόνο οι δραστηριότητες που συμμορφώνονται με τη σχετική ενωσιακή και εθνική περιβαλλοντική νομοθεσία.</w:t>
      </w:r>
    </w:p>
    <w:p w14:paraId="048368EF" w14:textId="77777777" w:rsidR="00154AD2" w:rsidRDefault="007F6BF3">
      <w:pPr>
        <w:pStyle w:val="P68B1DB1-Normal4"/>
        <w:spacing w:before="40" w:after="0" w:line="22" w:lineRule="atLeast"/>
        <w:jc w:val="both"/>
        <w:rPr>
          <w:rFonts w:cs="Times New Roman"/>
          <w:noProof/>
        </w:rPr>
      </w:pPr>
      <w:r>
        <w:rPr>
          <w:noProof/>
        </w:rPr>
        <w:t>Η υλοποίηση της επένδυσης θα ολοκληρωθεί έως τις 31 Δεκεμβρίου 2025.</w:t>
      </w:r>
    </w:p>
    <w:p w14:paraId="164509CF" w14:textId="77777777" w:rsidR="00154AD2" w:rsidRDefault="00154AD2">
      <w:pPr>
        <w:spacing w:before="40" w:after="0" w:line="259" w:lineRule="auto"/>
        <w:jc w:val="both"/>
        <w:rPr>
          <w:rFonts w:ascii="Times New Roman" w:eastAsiaTheme="minorEastAsia" w:hAnsi="Times New Roman" w:cs="Times New Roman"/>
          <w:noProof/>
          <w:sz w:val="24"/>
        </w:rPr>
      </w:pPr>
    </w:p>
    <w:p w14:paraId="362ADC30" w14:textId="079570EE" w:rsidR="00154AD2" w:rsidRDefault="00154AD2">
      <w:pPr>
        <w:spacing w:before="40" w:after="0" w:line="259" w:lineRule="auto"/>
        <w:jc w:val="both"/>
        <w:rPr>
          <w:rFonts w:ascii="Times New Roman" w:eastAsiaTheme="minorEastAsia" w:hAnsi="Times New Roman" w:cs="Times New Roman"/>
          <w:noProof/>
          <w:sz w:val="24"/>
        </w:rPr>
        <w:sectPr w:rsidR="00154AD2" w:rsidSect="00E00EDD">
          <w:headerReference w:type="even" r:id="rId306"/>
          <w:headerReference w:type="default" r:id="rId307"/>
          <w:footerReference w:type="even" r:id="rId308"/>
          <w:footerReference w:type="default" r:id="rId309"/>
          <w:headerReference w:type="first" r:id="rId310"/>
          <w:footerReference w:type="first" r:id="rId311"/>
          <w:pgSz w:w="11907" w:h="16839"/>
          <w:pgMar w:top="1134" w:right="1134" w:bottom="1134" w:left="1134" w:header="567" w:footer="567" w:gutter="0"/>
          <w:cols w:space="720"/>
          <w:docGrid w:linePitch="360"/>
        </w:sectPr>
      </w:pPr>
    </w:p>
    <w:p w14:paraId="254DFD7F" w14:textId="77777777" w:rsidR="00154AD2" w:rsidRDefault="007F6BF3">
      <w:pPr>
        <w:pStyle w:val="P68B1DB1-Normal3"/>
        <w:spacing w:before="40" w:after="0" w:line="259" w:lineRule="auto"/>
        <w:ind w:left="130" w:firstLine="720"/>
        <w:jc w:val="both"/>
        <w:outlineLvl w:val="1"/>
        <w:rPr>
          <w:rFonts w:eastAsiaTheme="minorEastAsia" w:cs="Times New Roman"/>
          <w:noProof/>
        </w:rPr>
      </w:pPr>
      <w:r>
        <w:rPr>
          <w:noProof/>
        </w:rPr>
        <w:t>Π.2. Ορόσημα, στόχοι, δείκτες και χρονοδιάγραμμα για την παρακολούθηση και την υλοποίηση της μη επιστρεπτέας χρηματοδοτικής στήριξης</w:t>
      </w:r>
    </w:p>
    <w:p w14:paraId="3C02C5BB" w14:textId="77777777" w:rsidR="00154AD2" w:rsidRDefault="00154AD2">
      <w:pPr>
        <w:keepNext/>
        <w:spacing w:before="40" w:after="0" w:line="259" w:lineRule="auto"/>
        <w:jc w:val="both"/>
        <w:rPr>
          <w:rFonts w:ascii="Times New Roman" w:eastAsiaTheme="minorEastAsia" w:hAnsi="Times New Roman" w:cs="Times New Roman"/>
          <w:noProof/>
          <w:sz w:val="24"/>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850"/>
        <w:gridCol w:w="426"/>
        <w:gridCol w:w="708"/>
        <w:gridCol w:w="3969"/>
      </w:tblGrid>
      <w:tr w:rsidR="00154AD2" w14:paraId="7423F777" w14:textId="77777777">
        <w:trPr>
          <w:trHeight w:val="910"/>
          <w:tblHeader/>
        </w:trPr>
        <w:tc>
          <w:tcPr>
            <w:tcW w:w="1135" w:type="dxa"/>
            <w:vMerge w:val="restart"/>
            <w:shd w:val="clear" w:color="auto" w:fill="BDD6EE"/>
            <w:vAlign w:val="center"/>
            <w:hideMark/>
          </w:tcPr>
          <w:p w14:paraId="5168738B" w14:textId="77777777" w:rsidR="00154AD2" w:rsidRDefault="007F6BF3">
            <w:pPr>
              <w:pStyle w:val="P68B1DB1-Normal6"/>
              <w:spacing w:after="0" w:line="240" w:lineRule="auto"/>
              <w:jc w:val="center"/>
              <w:rPr>
                <w:rFonts w:eastAsia="Times New Roman" w:cs="Times New Roman"/>
                <w:noProof/>
              </w:rPr>
            </w:pPr>
            <w:r>
              <w:rPr>
                <w:noProof/>
              </w:rPr>
              <w:t>Αύξων αριθμός</w:t>
            </w:r>
          </w:p>
        </w:tc>
        <w:tc>
          <w:tcPr>
            <w:tcW w:w="1276" w:type="dxa"/>
            <w:vMerge w:val="restart"/>
            <w:shd w:val="clear" w:color="auto" w:fill="BDD6EE"/>
            <w:vAlign w:val="center"/>
            <w:hideMark/>
          </w:tcPr>
          <w:p w14:paraId="2F2588D1" w14:textId="77777777" w:rsidR="00154AD2" w:rsidRDefault="007F6BF3">
            <w:pPr>
              <w:pStyle w:val="P68B1DB1-Normal6"/>
              <w:spacing w:after="0" w:line="240" w:lineRule="auto"/>
              <w:jc w:val="center"/>
              <w:rPr>
                <w:rFonts w:eastAsia="Times New Roman" w:cs="Times New Roman"/>
                <w:noProof/>
              </w:rPr>
            </w:pPr>
            <w:r>
              <w:rPr>
                <w:noProof/>
              </w:rPr>
              <w:t>Μέτρο (Μεταρρύθμιση ή Επενδύσεις)</w:t>
            </w:r>
          </w:p>
        </w:tc>
        <w:tc>
          <w:tcPr>
            <w:tcW w:w="1134" w:type="dxa"/>
            <w:vMerge w:val="restart"/>
            <w:shd w:val="clear" w:color="auto" w:fill="BDD6EE"/>
            <w:vAlign w:val="center"/>
            <w:hideMark/>
          </w:tcPr>
          <w:p w14:paraId="29213AC1" w14:textId="77777777" w:rsidR="00154AD2" w:rsidRDefault="007F6BF3">
            <w:pPr>
              <w:pStyle w:val="P68B1DB1-Normal6"/>
              <w:spacing w:after="0" w:line="240" w:lineRule="auto"/>
              <w:jc w:val="center"/>
              <w:rPr>
                <w:rFonts w:eastAsia="Times New Roman" w:cs="Times New Roman"/>
                <w:noProof/>
              </w:rPr>
            </w:pPr>
            <w:r>
              <w:rPr>
                <w:noProof/>
              </w:rPr>
              <w:t>Milestone/</w:t>
            </w:r>
          </w:p>
          <w:p w14:paraId="4DFE944A" w14:textId="7AD7D494" w:rsidR="00154AD2" w:rsidRDefault="007F6BF3">
            <w:pPr>
              <w:pStyle w:val="P68B1DB1-Normal6"/>
              <w:spacing w:after="0" w:line="240" w:lineRule="auto"/>
              <w:jc w:val="center"/>
              <w:rPr>
                <w:rFonts w:eastAsia="Times New Roman" w:cs="Times New Roman"/>
                <w:noProof/>
              </w:rPr>
            </w:pPr>
            <w:r>
              <w:rPr>
                <w:noProof/>
              </w:rPr>
              <w:t>Στόχος</w:t>
            </w:r>
          </w:p>
        </w:tc>
        <w:tc>
          <w:tcPr>
            <w:tcW w:w="1701" w:type="dxa"/>
            <w:vMerge w:val="restart"/>
            <w:shd w:val="clear" w:color="auto" w:fill="BDD6EE"/>
            <w:vAlign w:val="center"/>
            <w:hideMark/>
          </w:tcPr>
          <w:p w14:paraId="3A8BB6F8" w14:textId="77777777" w:rsidR="00154AD2" w:rsidRDefault="007F6BF3">
            <w:pPr>
              <w:pStyle w:val="P68B1DB1-Normal6"/>
              <w:spacing w:after="0" w:line="240" w:lineRule="auto"/>
              <w:jc w:val="center"/>
              <w:rPr>
                <w:rFonts w:eastAsia="Times New Roman" w:cs="Times New Roman"/>
                <w:noProof/>
              </w:rPr>
            </w:pPr>
            <w:r>
              <w:rPr>
                <w:noProof/>
              </w:rPr>
              <w:t>Όνομα</w:t>
            </w:r>
          </w:p>
        </w:tc>
        <w:tc>
          <w:tcPr>
            <w:tcW w:w="1275" w:type="dxa"/>
            <w:vMerge w:val="restart"/>
            <w:shd w:val="clear" w:color="auto" w:fill="BDD6EE"/>
            <w:vAlign w:val="center"/>
            <w:hideMark/>
          </w:tcPr>
          <w:p w14:paraId="1CF72B00" w14:textId="77777777" w:rsidR="00154AD2" w:rsidRDefault="007F6BF3">
            <w:pPr>
              <w:pStyle w:val="P68B1DB1-Normal6"/>
              <w:spacing w:after="0" w:line="240" w:lineRule="auto"/>
              <w:jc w:val="center"/>
              <w:rPr>
                <w:rFonts w:eastAsia="Times New Roman" w:cs="Times New Roman"/>
                <w:noProof/>
              </w:rPr>
            </w:pPr>
            <w:r>
              <w:rPr>
                <w:noProof/>
              </w:rPr>
              <w:t>Ποιοτικοί δείκτες (για τα ορόσημα)</w:t>
            </w:r>
          </w:p>
        </w:tc>
        <w:tc>
          <w:tcPr>
            <w:tcW w:w="2835" w:type="dxa"/>
            <w:gridSpan w:val="3"/>
            <w:shd w:val="clear" w:color="auto" w:fill="BDD6EE"/>
            <w:vAlign w:val="center"/>
            <w:hideMark/>
          </w:tcPr>
          <w:p w14:paraId="51396FD9" w14:textId="77777777" w:rsidR="00154AD2" w:rsidRDefault="007F6BF3">
            <w:pPr>
              <w:pStyle w:val="P68B1DB1-Normal6"/>
              <w:spacing w:after="0" w:line="240" w:lineRule="auto"/>
              <w:jc w:val="center"/>
              <w:rPr>
                <w:rFonts w:eastAsia="Times New Roman" w:cs="Times New Roman"/>
                <w:noProof/>
              </w:rPr>
            </w:pPr>
            <w:r>
              <w:rPr>
                <w:noProof/>
              </w:rPr>
              <w:t>Ποσοτικοί δείκτες (για τους στόχους)</w:t>
            </w:r>
          </w:p>
        </w:tc>
        <w:tc>
          <w:tcPr>
            <w:tcW w:w="1134" w:type="dxa"/>
            <w:gridSpan w:val="2"/>
            <w:shd w:val="clear" w:color="auto" w:fill="BDD6EE"/>
            <w:vAlign w:val="center"/>
            <w:hideMark/>
          </w:tcPr>
          <w:p w14:paraId="2384B14C" w14:textId="77777777" w:rsidR="00154AD2" w:rsidRDefault="007F6BF3">
            <w:pPr>
              <w:pStyle w:val="P68B1DB1-Normal6"/>
              <w:spacing w:after="0" w:line="240" w:lineRule="auto"/>
              <w:jc w:val="center"/>
              <w:rPr>
                <w:rFonts w:eastAsia="Times New Roman" w:cs="Times New Roman"/>
                <w:noProof/>
              </w:rPr>
            </w:pPr>
            <w:r>
              <w:rPr>
                <w:noProof/>
              </w:rPr>
              <w:t>Ενδεικτικό χρονοδιάγραμμα ολοκλήρωσης</w:t>
            </w:r>
          </w:p>
        </w:tc>
        <w:tc>
          <w:tcPr>
            <w:tcW w:w="3969" w:type="dxa"/>
            <w:vMerge w:val="restart"/>
            <w:shd w:val="clear" w:color="auto" w:fill="BDD6EE"/>
            <w:vAlign w:val="center"/>
            <w:hideMark/>
          </w:tcPr>
          <w:p w14:paraId="349285CE" w14:textId="77777777" w:rsidR="00154AD2" w:rsidRDefault="007F6BF3">
            <w:pPr>
              <w:pStyle w:val="P68B1DB1-Normal6"/>
              <w:spacing w:after="0" w:line="240" w:lineRule="auto"/>
              <w:jc w:val="center"/>
              <w:rPr>
                <w:rFonts w:eastAsia="Times New Roman" w:cs="Times New Roman"/>
                <w:noProof/>
              </w:rPr>
            </w:pPr>
            <w:r>
              <w:rPr>
                <w:noProof/>
              </w:rPr>
              <w:t>Περιγραφή και σαφής ορισμός κάθε ορόσημου και στόχου</w:t>
            </w:r>
          </w:p>
        </w:tc>
      </w:tr>
      <w:tr w:rsidR="00154AD2" w14:paraId="18352C4C" w14:textId="77777777">
        <w:trPr>
          <w:trHeight w:val="470"/>
          <w:tblHeader/>
        </w:trPr>
        <w:tc>
          <w:tcPr>
            <w:tcW w:w="1135" w:type="dxa"/>
            <w:vMerge/>
            <w:vAlign w:val="center"/>
            <w:hideMark/>
          </w:tcPr>
          <w:p w14:paraId="22D982F3" w14:textId="77777777" w:rsidR="00154AD2" w:rsidRDefault="00154AD2">
            <w:pPr>
              <w:spacing w:after="0" w:line="240" w:lineRule="auto"/>
              <w:rPr>
                <w:rFonts w:ascii="Times New Roman" w:eastAsia="Times New Roman" w:hAnsi="Times New Roman" w:cs="Times New Roman"/>
                <w:b/>
                <w:noProof/>
                <w:sz w:val="18"/>
              </w:rPr>
            </w:pPr>
          </w:p>
        </w:tc>
        <w:tc>
          <w:tcPr>
            <w:tcW w:w="1276" w:type="dxa"/>
            <w:vMerge/>
            <w:vAlign w:val="center"/>
            <w:hideMark/>
          </w:tcPr>
          <w:p w14:paraId="0D815B5A" w14:textId="77777777" w:rsidR="00154AD2" w:rsidRDefault="00154AD2">
            <w:pPr>
              <w:spacing w:after="0" w:line="240" w:lineRule="auto"/>
              <w:rPr>
                <w:rFonts w:ascii="Times New Roman" w:eastAsia="Times New Roman" w:hAnsi="Times New Roman" w:cs="Times New Roman"/>
                <w:b/>
                <w:noProof/>
                <w:sz w:val="18"/>
              </w:rPr>
            </w:pPr>
          </w:p>
        </w:tc>
        <w:tc>
          <w:tcPr>
            <w:tcW w:w="1134" w:type="dxa"/>
            <w:vMerge/>
            <w:shd w:val="clear" w:color="auto" w:fill="BDD6EE"/>
            <w:vAlign w:val="center"/>
            <w:hideMark/>
          </w:tcPr>
          <w:p w14:paraId="369A5294" w14:textId="6750FDB0" w:rsidR="00154AD2" w:rsidRDefault="00154AD2">
            <w:pPr>
              <w:spacing w:after="0" w:line="240" w:lineRule="auto"/>
              <w:jc w:val="center"/>
              <w:rPr>
                <w:rFonts w:ascii="Times New Roman" w:eastAsia="Times New Roman" w:hAnsi="Times New Roman" w:cs="Times New Roman"/>
                <w:b/>
                <w:noProof/>
                <w:sz w:val="18"/>
              </w:rPr>
            </w:pPr>
          </w:p>
        </w:tc>
        <w:tc>
          <w:tcPr>
            <w:tcW w:w="1701" w:type="dxa"/>
            <w:vMerge/>
            <w:vAlign w:val="center"/>
            <w:hideMark/>
          </w:tcPr>
          <w:p w14:paraId="595ECB29" w14:textId="77777777" w:rsidR="00154AD2" w:rsidRDefault="00154AD2">
            <w:pPr>
              <w:spacing w:after="0" w:line="240" w:lineRule="auto"/>
              <w:rPr>
                <w:rFonts w:ascii="Times New Roman" w:eastAsia="Times New Roman" w:hAnsi="Times New Roman" w:cs="Times New Roman"/>
                <w:b/>
                <w:noProof/>
                <w:sz w:val="18"/>
              </w:rPr>
            </w:pPr>
          </w:p>
        </w:tc>
        <w:tc>
          <w:tcPr>
            <w:tcW w:w="1275" w:type="dxa"/>
            <w:vMerge/>
            <w:vAlign w:val="center"/>
            <w:hideMark/>
          </w:tcPr>
          <w:p w14:paraId="24A4C41B" w14:textId="77777777" w:rsidR="00154AD2" w:rsidRDefault="00154AD2">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6003FBF9" w14:textId="77777777" w:rsidR="00154AD2" w:rsidRDefault="007F6BF3">
            <w:pPr>
              <w:pStyle w:val="P68B1DB1-Normal6"/>
              <w:spacing w:after="0" w:line="240" w:lineRule="auto"/>
              <w:jc w:val="center"/>
              <w:rPr>
                <w:rFonts w:eastAsia="Times New Roman" w:cs="Times New Roman"/>
                <w:noProof/>
              </w:rPr>
            </w:pPr>
            <w:r>
              <w:rPr>
                <w:noProof/>
              </w:rPr>
              <w:t>Μονάδα μέτρησης</w:t>
            </w:r>
          </w:p>
        </w:tc>
        <w:tc>
          <w:tcPr>
            <w:tcW w:w="992" w:type="dxa"/>
            <w:shd w:val="clear" w:color="auto" w:fill="BDD6EE"/>
            <w:vAlign w:val="center"/>
            <w:hideMark/>
          </w:tcPr>
          <w:p w14:paraId="13E67A31" w14:textId="77777777" w:rsidR="00154AD2" w:rsidRDefault="007F6BF3">
            <w:pPr>
              <w:pStyle w:val="P68B1DB1-Normal6"/>
              <w:spacing w:after="0" w:line="240" w:lineRule="auto"/>
              <w:jc w:val="center"/>
              <w:rPr>
                <w:rFonts w:eastAsia="Times New Roman" w:cs="Times New Roman"/>
                <w:noProof/>
              </w:rPr>
            </w:pPr>
            <w:r>
              <w:rPr>
                <w:noProof/>
              </w:rPr>
              <w:t>Γραμμή βάσης</w:t>
            </w:r>
          </w:p>
        </w:tc>
        <w:tc>
          <w:tcPr>
            <w:tcW w:w="850" w:type="dxa"/>
            <w:shd w:val="clear" w:color="auto" w:fill="BDD6EE"/>
            <w:vAlign w:val="center"/>
            <w:hideMark/>
          </w:tcPr>
          <w:p w14:paraId="0BEA7183" w14:textId="77777777" w:rsidR="00154AD2" w:rsidRDefault="007F6BF3">
            <w:pPr>
              <w:pStyle w:val="P68B1DB1-Normal6"/>
              <w:spacing w:after="0" w:line="240" w:lineRule="auto"/>
              <w:jc w:val="center"/>
              <w:rPr>
                <w:rFonts w:eastAsia="Times New Roman" w:cs="Times New Roman"/>
                <w:noProof/>
              </w:rPr>
            </w:pPr>
            <w:r>
              <w:rPr>
                <w:noProof/>
              </w:rPr>
              <w:t>Στόχοι</w:t>
            </w:r>
          </w:p>
        </w:tc>
        <w:tc>
          <w:tcPr>
            <w:tcW w:w="426" w:type="dxa"/>
            <w:shd w:val="clear" w:color="auto" w:fill="BDD6EE"/>
            <w:vAlign w:val="center"/>
            <w:hideMark/>
          </w:tcPr>
          <w:p w14:paraId="3C115B8C" w14:textId="77777777" w:rsidR="00154AD2" w:rsidRDefault="007F6BF3">
            <w:pPr>
              <w:pStyle w:val="P68B1DB1-Normal6"/>
              <w:spacing w:after="0" w:line="240" w:lineRule="auto"/>
              <w:jc w:val="center"/>
              <w:rPr>
                <w:rFonts w:eastAsia="Times New Roman" w:cs="Times New Roman"/>
                <w:noProof/>
              </w:rPr>
            </w:pPr>
            <w:r>
              <w:rPr>
                <w:noProof/>
              </w:rPr>
              <w:t>Ε</w:t>
            </w:r>
          </w:p>
        </w:tc>
        <w:tc>
          <w:tcPr>
            <w:tcW w:w="708" w:type="dxa"/>
            <w:shd w:val="clear" w:color="auto" w:fill="BDD6EE"/>
            <w:vAlign w:val="center"/>
            <w:hideMark/>
          </w:tcPr>
          <w:p w14:paraId="00F1E31A" w14:textId="77777777" w:rsidR="00154AD2" w:rsidRDefault="007F6BF3">
            <w:pPr>
              <w:pStyle w:val="P68B1DB1-Normal6"/>
              <w:spacing w:after="0" w:line="240" w:lineRule="auto"/>
              <w:jc w:val="center"/>
              <w:rPr>
                <w:rFonts w:eastAsia="Times New Roman" w:cs="Times New Roman"/>
                <w:noProof/>
              </w:rPr>
            </w:pPr>
            <w:r>
              <w:rPr>
                <w:noProof/>
              </w:rPr>
              <w:t>Έτος</w:t>
            </w:r>
          </w:p>
        </w:tc>
        <w:tc>
          <w:tcPr>
            <w:tcW w:w="3969" w:type="dxa"/>
            <w:vMerge/>
            <w:vAlign w:val="center"/>
            <w:hideMark/>
          </w:tcPr>
          <w:p w14:paraId="5AA21CBC" w14:textId="77777777" w:rsidR="00154AD2" w:rsidRDefault="00154AD2">
            <w:pPr>
              <w:spacing w:after="0" w:line="240" w:lineRule="auto"/>
              <w:rPr>
                <w:rFonts w:ascii="Times New Roman" w:eastAsia="Times New Roman" w:hAnsi="Times New Roman" w:cs="Times New Roman"/>
                <w:b/>
                <w:noProof/>
                <w:sz w:val="18"/>
              </w:rPr>
            </w:pPr>
          </w:p>
        </w:tc>
      </w:tr>
      <w:tr w:rsidR="00154AD2" w14:paraId="7B1ED792" w14:textId="77777777">
        <w:trPr>
          <w:trHeight w:val="1480"/>
        </w:trPr>
        <w:tc>
          <w:tcPr>
            <w:tcW w:w="1135" w:type="dxa"/>
            <w:shd w:val="clear" w:color="auto" w:fill="C5EFCE"/>
            <w:vAlign w:val="center"/>
            <w:hideMark/>
          </w:tcPr>
          <w:p w14:paraId="4AF10FF0" w14:textId="77777777" w:rsidR="00154AD2" w:rsidRDefault="007F6BF3">
            <w:pPr>
              <w:pStyle w:val="P68B1DB1-Normal7"/>
              <w:spacing w:after="0" w:line="240" w:lineRule="auto"/>
              <w:jc w:val="center"/>
              <w:rPr>
                <w:rFonts w:eastAsia="Times New Roman" w:cs="Calibri"/>
                <w:noProof/>
              </w:rPr>
            </w:pPr>
            <w:r>
              <w:rPr>
                <w:noProof/>
              </w:rPr>
              <w:t>16.1</w:t>
            </w:r>
          </w:p>
        </w:tc>
        <w:tc>
          <w:tcPr>
            <w:tcW w:w="1276" w:type="dxa"/>
            <w:shd w:val="clear" w:color="auto" w:fill="C4EFCE"/>
            <w:noWrap/>
            <w:vAlign w:val="center"/>
            <w:hideMark/>
          </w:tcPr>
          <w:p w14:paraId="1CFD4A19" w14:textId="77777777" w:rsidR="00154AD2" w:rsidRDefault="007F6BF3">
            <w:pPr>
              <w:pStyle w:val="P68B1DB1-Normal8"/>
              <w:spacing w:after="0" w:line="240" w:lineRule="auto"/>
              <w:jc w:val="center"/>
              <w:rPr>
                <w:rFonts w:eastAsia="Times New Roman" w:cs="Calibri"/>
                <w:noProof/>
              </w:rPr>
            </w:pPr>
            <w:r>
              <w:rPr>
                <w:noProof/>
              </w:rPr>
              <w:t>TD-C16-r31</w:t>
            </w:r>
          </w:p>
        </w:tc>
        <w:tc>
          <w:tcPr>
            <w:tcW w:w="1134" w:type="dxa"/>
            <w:shd w:val="clear" w:color="auto" w:fill="C4EFCE"/>
            <w:noWrap/>
            <w:vAlign w:val="center"/>
            <w:hideMark/>
          </w:tcPr>
          <w:p w14:paraId="3C1067BD"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5C68A283" w14:textId="77777777" w:rsidR="00154AD2" w:rsidRDefault="007F6BF3">
            <w:pPr>
              <w:pStyle w:val="P68B1DB1-Normal8"/>
              <w:spacing w:after="0" w:line="240" w:lineRule="auto"/>
              <w:jc w:val="center"/>
              <w:rPr>
                <w:rFonts w:eastAsia="Times New Roman" w:cs="Calibri"/>
                <w:noProof/>
              </w:rPr>
            </w:pPr>
            <w:r>
              <w:rPr>
                <w:noProof/>
              </w:rPr>
              <w:t>Έναρξη ισχύος της επανεξέτασης του περιεχομένου κατάρτισης που περιλαμβάνεται στον εθνικό κατάλογο επαγγελματικών προσόντων σχετικά με τις ενότητες στον τομέα των ψηφιακών δεξιοτήτων και τη νομοθεσία ή τον κανονισμό για τη δημιουργία ψηφιακών υπογραφών και σφραγίδων</w:t>
            </w:r>
          </w:p>
        </w:tc>
        <w:tc>
          <w:tcPr>
            <w:tcW w:w="1275" w:type="dxa"/>
            <w:shd w:val="clear" w:color="auto" w:fill="C4EFCE"/>
            <w:noWrap/>
            <w:vAlign w:val="center"/>
            <w:hideMark/>
          </w:tcPr>
          <w:p w14:paraId="352F6829" w14:textId="77777777" w:rsidR="00154AD2" w:rsidRDefault="007F6BF3">
            <w:pPr>
              <w:pStyle w:val="P68B1DB1-Normal8"/>
              <w:spacing w:after="0" w:line="240" w:lineRule="auto"/>
              <w:jc w:val="center"/>
              <w:rPr>
                <w:rFonts w:eastAsia="Times New Roman" w:cs="Calibri"/>
                <w:noProof/>
              </w:rPr>
            </w:pPr>
            <w:r>
              <w:rPr>
                <w:noProof/>
              </w:rPr>
              <w:t>Έναρξη ισχύος της επανεξέτασης του περιεχομένου κατάρτισης που περιλαμβάνεται στον εθνικό κατάλογο επαγγελματικών προσόντων σχετικά με τις ενότητες στον τομέα των ψηφιακών δεξιοτήτων και τη νομοθεσία ή τον κανονισμό για τη δημιουργία ψηφιακών υπογραφών και σφραγίδων</w:t>
            </w:r>
          </w:p>
        </w:tc>
        <w:tc>
          <w:tcPr>
            <w:tcW w:w="993" w:type="dxa"/>
            <w:shd w:val="clear" w:color="auto" w:fill="C4EFCE"/>
            <w:noWrap/>
            <w:vAlign w:val="center"/>
            <w:hideMark/>
          </w:tcPr>
          <w:p w14:paraId="76BBCE4C" w14:textId="77777777" w:rsidR="00154AD2" w:rsidRDefault="007F6BF3">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1DE63EE9" w14:textId="77777777" w:rsidR="00154AD2" w:rsidRDefault="007F6BF3">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25082984" w14:textId="77777777" w:rsidR="00154AD2" w:rsidRDefault="007F6BF3">
            <w:pPr>
              <w:pStyle w:val="P68B1DB1-Normal8"/>
              <w:spacing w:after="0" w:line="240" w:lineRule="auto"/>
              <w:jc w:val="center"/>
              <w:rPr>
                <w:rFonts w:eastAsia="Times New Roman" w:cs="Calibri"/>
                <w:noProof/>
              </w:rPr>
            </w:pPr>
            <w:r>
              <w:rPr>
                <w:noProof/>
              </w:rPr>
              <w:t> </w:t>
            </w:r>
          </w:p>
        </w:tc>
        <w:tc>
          <w:tcPr>
            <w:tcW w:w="426" w:type="dxa"/>
            <w:shd w:val="clear" w:color="auto" w:fill="C4EFCE"/>
            <w:noWrap/>
            <w:vAlign w:val="center"/>
            <w:hideMark/>
          </w:tcPr>
          <w:p w14:paraId="452D819F"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708" w:type="dxa"/>
            <w:shd w:val="clear" w:color="auto" w:fill="C4EFCE"/>
            <w:noWrap/>
            <w:vAlign w:val="center"/>
            <w:hideMark/>
          </w:tcPr>
          <w:p w14:paraId="7DD29457" w14:textId="77777777" w:rsidR="00154AD2" w:rsidRDefault="007F6BF3">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1291B6CF" w14:textId="77777777" w:rsidR="00154AD2" w:rsidRDefault="007F6BF3">
            <w:pPr>
              <w:pStyle w:val="P68B1DB1-Normal8"/>
              <w:spacing w:after="0" w:line="240" w:lineRule="auto"/>
              <w:jc w:val="both"/>
              <w:rPr>
                <w:rFonts w:eastAsia="Times New Roman" w:cs="Calibri"/>
                <w:noProof/>
              </w:rPr>
            </w:pPr>
            <w:r>
              <w:rPr>
                <w:noProof/>
              </w:rPr>
              <w:t>Έναρξη ισχύος των ακόλουθων νομοθετικών ή κανονιστικών διατάξεων: (1) επανεξέταση του περιεχομένου επαγγελματικής και εκπαιδευτικής κατάρτισης που περιλαμβάνεται στον εθνικό κατάλογο επαγγελματικών προσόντων στον τομέα των ψηφιακών δεξιοτήτων, δηλαδή ενοτήτων κατάρτισης που σχετίζονται με τεχνολογίες και εργαλεία, προκειμένου να αναπτυχθούν οι δεξιότητες που απαιτούνται κυρίως στο επαγγελματικό πλαίσιο με βάση τη διάγνωση της πρόβλεψης των αναγκών σε δεξιότητες. (2) νομοθεσία ή ρύθμιση αναγκαία για τη δημιουργία ψηφιακών υπογραφών και σφραγίδων στους τομείς της κυβερνοασφάλειας, της ιδιωτικότητας, της βιωσιμότητας και της χρηστικότητας. Η δημιουργία αυτού του νομικού πλαισίου και η προώθηση της ψηφιακής εμπιστοσύνης αποτελούν προϋπόθεση για την υλοποίηση των επενδύσεων για τις ψηφιακές σφραγίδες που προβλέπονται σε αυτή τη συνιστώσα.</w:t>
            </w:r>
          </w:p>
        </w:tc>
      </w:tr>
      <w:tr w:rsidR="00154AD2" w14:paraId="6459D986" w14:textId="77777777">
        <w:trPr>
          <w:trHeight w:val="630"/>
        </w:trPr>
        <w:tc>
          <w:tcPr>
            <w:tcW w:w="1135" w:type="dxa"/>
            <w:shd w:val="clear" w:color="auto" w:fill="C5EFCE"/>
            <w:vAlign w:val="center"/>
            <w:hideMark/>
          </w:tcPr>
          <w:p w14:paraId="6940FAF7" w14:textId="77777777" w:rsidR="00154AD2" w:rsidRDefault="007F6BF3">
            <w:pPr>
              <w:pStyle w:val="P68B1DB1-Normal7"/>
              <w:spacing w:after="0" w:line="240" w:lineRule="auto"/>
              <w:jc w:val="center"/>
              <w:rPr>
                <w:rFonts w:eastAsia="Times New Roman" w:cs="Calibri"/>
                <w:noProof/>
              </w:rPr>
            </w:pPr>
            <w:r>
              <w:rPr>
                <w:noProof/>
              </w:rPr>
              <w:t>16.2</w:t>
            </w:r>
          </w:p>
        </w:tc>
        <w:tc>
          <w:tcPr>
            <w:tcW w:w="1276" w:type="dxa"/>
            <w:shd w:val="clear" w:color="auto" w:fill="C4EFCE"/>
            <w:noWrap/>
            <w:vAlign w:val="center"/>
            <w:hideMark/>
          </w:tcPr>
          <w:p w14:paraId="7CE8CA8A" w14:textId="77777777" w:rsidR="00154AD2" w:rsidRDefault="007F6BF3">
            <w:pPr>
              <w:pStyle w:val="P68B1DB1-Normal8"/>
              <w:spacing w:after="0" w:line="240" w:lineRule="auto"/>
              <w:jc w:val="center"/>
              <w:rPr>
                <w:rFonts w:eastAsia="Times New Roman" w:cs="Calibri"/>
                <w:noProof/>
              </w:rPr>
            </w:pPr>
            <w:r>
              <w:rPr>
                <w:noProof/>
              </w:rPr>
              <w:t>TD-C16-i01</w:t>
            </w:r>
          </w:p>
        </w:tc>
        <w:tc>
          <w:tcPr>
            <w:tcW w:w="1134" w:type="dxa"/>
            <w:shd w:val="clear" w:color="auto" w:fill="C4EFCE"/>
            <w:noWrap/>
            <w:vAlign w:val="center"/>
            <w:hideMark/>
          </w:tcPr>
          <w:p w14:paraId="09AF1728"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D18194C" w14:textId="77777777" w:rsidR="00154AD2" w:rsidRDefault="007F6BF3">
            <w:pPr>
              <w:pStyle w:val="P68B1DB1-Normal8"/>
              <w:spacing w:after="0" w:line="240" w:lineRule="auto"/>
              <w:jc w:val="center"/>
              <w:rPr>
                <w:rFonts w:eastAsia="Times New Roman" w:cs="Calibri"/>
                <w:noProof/>
              </w:rPr>
            </w:pPr>
            <w:r>
              <w:rPr>
                <w:noProof/>
              </w:rPr>
              <w:t xml:space="preserve">Έναρξη της Ψηφιακής Ακαδημίας της Πορτογαλίας και των προγραμμάτων «Απασχόληση + Ψηφιακές τεχνολογίες» </w:t>
            </w:r>
          </w:p>
        </w:tc>
        <w:tc>
          <w:tcPr>
            <w:tcW w:w="1275" w:type="dxa"/>
            <w:shd w:val="clear" w:color="auto" w:fill="C4EFCE"/>
            <w:noWrap/>
            <w:vAlign w:val="center"/>
            <w:hideMark/>
          </w:tcPr>
          <w:p w14:paraId="408F4230" w14:textId="77777777" w:rsidR="00154AD2" w:rsidRDefault="007F6BF3">
            <w:pPr>
              <w:pStyle w:val="P68B1DB1-Normal8"/>
              <w:spacing w:after="0" w:line="240" w:lineRule="auto"/>
              <w:jc w:val="center"/>
              <w:rPr>
                <w:rFonts w:eastAsia="Times New Roman" w:cs="Calibri"/>
                <w:noProof/>
              </w:rPr>
            </w:pPr>
            <w:r>
              <w:rPr>
                <w:noProof/>
              </w:rPr>
              <w:t>Έναρξη της Ψηφιακής Ακαδημίας της Πορτογαλίας και των προγραμμάτων απασχόλησης + Ψηφιακά προγράμματα</w:t>
            </w:r>
          </w:p>
        </w:tc>
        <w:tc>
          <w:tcPr>
            <w:tcW w:w="993" w:type="dxa"/>
            <w:shd w:val="clear" w:color="auto" w:fill="C4EFCE"/>
            <w:noWrap/>
            <w:vAlign w:val="center"/>
            <w:hideMark/>
          </w:tcPr>
          <w:p w14:paraId="52EB1383" w14:textId="77777777" w:rsidR="00154AD2" w:rsidRDefault="007F6BF3">
            <w:pPr>
              <w:pStyle w:val="P68B1DB1-Normal9"/>
              <w:spacing w:after="0" w:line="240" w:lineRule="auto"/>
              <w:rPr>
                <w:rFonts w:eastAsia="Times New Roman" w:cs="Calibri"/>
                <w:noProof/>
              </w:rPr>
            </w:pPr>
            <w:r>
              <w:rPr>
                <w:noProof/>
              </w:rPr>
              <w:t> </w:t>
            </w:r>
          </w:p>
        </w:tc>
        <w:tc>
          <w:tcPr>
            <w:tcW w:w="992" w:type="dxa"/>
            <w:shd w:val="clear" w:color="auto" w:fill="C4EFCE"/>
            <w:noWrap/>
            <w:vAlign w:val="center"/>
            <w:hideMark/>
          </w:tcPr>
          <w:p w14:paraId="1F586DE5" w14:textId="77777777" w:rsidR="00154AD2" w:rsidRDefault="007F6BF3">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1E7CB3D9" w14:textId="77777777" w:rsidR="00154AD2" w:rsidRDefault="007F6BF3">
            <w:pPr>
              <w:pStyle w:val="P68B1DB1-Normal8"/>
              <w:spacing w:after="0" w:line="240" w:lineRule="auto"/>
              <w:jc w:val="center"/>
              <w:rPr>
                <w:rFonts w:eastAsia="Times New Roman" w:cs="Calibri"/>
                <w:noProof/>
              </w:rPr>
            </w:pPr>
            <w:r>
              <w:rPr>
                <w:noProof/>
              </w:rPr>
              <w:t> </w:t>
            </w:r>
          </w:p>
        </w:tc>
        <w:tc>
          <w:tcPr>
            <w:tcW w:w="426" w:type="dxa"/>
            <w:shd w:val="clear" w:color="auto" w:fill="C4EFCE"/>
            <w:noWrap/>
            <w:vAlign w:val="center"/>
            <w:hideMark/>
          </w:tcPr>
          <w:p w14:paraId="310C5484"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708" w:type="dxa"/>
            <w:shd w:val="clear" w:color="auto" w:fill="C4EFCE"/>
            <w:noWrap/>
            <w:vAlign w:val="center"/>
            <w:hideMark/>
          </w:tcPr>
          <w:p w14:paraId="411306C6" w14:textId="77777777" w:rsidR="00154AD2" w:rsidRDefault="007F6BF3">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498F74B2" w14:textId="77777777" w:rsidR="00154AD2" w:rsidRDefault="007F6BF3">
            <w:pPr>
              <w:pStyle w:val="P68B1DB1-Normal8"/>
              <w:spacing w:after="0" w:line="240" w:lineRule="auto"/>
              <w:jc w:val="both"/>
              <w:rPr>
                <w:rFonts w:eastAsia="Times New Roman" w:cs="Calibri"/>
                <w:noProof/>
              </w:rPr>
            </w:pPr>
            <w:r>
              <w:rPr>
                <w:noProof/>
              </w:rPr>
              <w:t xml:space="preserve">Portugal Digital Academy — (1) Η διαδικτυακή πλατφόρμα είναι λειτουργική και προσβάσιμη από τους χρήστες της, (2) καθορίζονται διαγνωστικές διαδικασίες για την αξιολόγηση των συστάσεων ψηφιακών δεξιοτήτων για τους εκπαιδευόμενους και για τον καθορισμό των εξατομικευμένων μαθημάτων κατάρτισης που χρειάζονται, και η πρώτη δέσμη διαδικτυακών προγραμμάτων κατάρτισης δρομολογείται και είναι προσβάσιμη στους εκπαιδευόμενους. </w:t>
            </w:r>
          </w:p>
          <w:p w14:paraId="11F7A3F6" w14:textId="421B983E" w:rsidR="00154AD2" w:rsidRDefault="007F6BF3">
            <w:pPr>
              <w:pStyle w:val="P68B1DB1-Normal8"/>
              <w:spacing w:after="0" w:line="240" w:lineRule="auto"/>
              <w:jc w:val="both"/>
              <w:rPr>
                <w:rFonts w:eastAsia="Times New Roman" w:cs="Calibri"/>
                <w:noProof/>
              </w:rPr>
            </w:pPr>
            <w:r>
              <w:rPr>
                <w:noProof/>
              </w:rPr>
              <w:t>Απασχόληση + Ψηφιακός τομέας — (1) προσδιορίζονται οι τομείς της οικονομίας που θα αποτελέσουν στόχο και καθορίζονται οι κύριες ψηφιακές προκλήσεις που πρέπει να αντιμετωπιστούν από τα μαθήματα· (2) προσδιορίζονται οι εταίροι και τα ενδιαφερόμενα μέρη για την υλοποίηση του προγράμματος· (3) δρομολογείται το πρόγραμμα κατάρτισης και ξεκινά η διαδικτυακή, διά ζώσης ή μικτή κατάρτιση.</w:t>
            </w:r>
          </w:p>
        </w:tc>
      </w:tr>
      <w:tr w:rsidR="00154AD2" w14:paraId="641661D3" w14:textId="77777777">
        <w:trPr>
          <w:trHeight w:val="640"/>
        </w:trPr>
        <w:tc>
          <w:tcPr>
            <w:tcW w:w="1135" w:type="dxa"/>
            <w:shd w:val="clear" w:color="auto" w:fill="C5EFCE"/>
            <w:vAlign w:val="center"/>
            <w:hideMark/>
          </w:tcPr>
          <w:p w14:paraId="7B9A6855" w14:textId="77777777" w:rsidR="00154AD2" w:rsidRDefault="007F6BF3">
            <w:pPr>
              <w:pStyle w:val="P68B1DB1-Normal7"/>
              <w:spacing w:after="0" w:line="240" w:lineRule="auto"/>
              <w:jc w:val="center"/>
              <w:rPr>
                <w:rFonts w:eastAsia="Times New Roman" w:cs="Calibri"/>
                <w:noProof/>
              </w:rPr>
            </w:pPr>
            <w:r>
              <w:rPr>
                <w:noProof/>
              </w:rPr>
              <w:t>16.3</w:t>
            </w:r>
          </w:p>
        </w:tc>
        <w:tc>
          <w:tcPr>
            <w:tcW w:w="1276" w:type="dxa"/>
            <w:shd w:val="clear" w:color="auto" w:fill="C4EFCE"/>
            <w:noWrap/>
            <w:vAlign w:val="center"/>
            <w:hideMark/>
          </w:tcPr>
          <w:p w14:paraId="6DA18CB9" w14:textId="77777777" w:rsidR="00154AD2" w:rsidRDefault="007F6BF3">
            <w:pPr>
              <w:pStyle w:val="P68B1DB1-Normal8"/>
              <w:spacing w:after="0" w:line="240" w:lineRule="auto"/>
              <w:jc w:val="center"/>
              <w:rPr>
                <w:rFonts w:eastAsia="Times New Roman" w:cs="Calibri"/>
                <w:noProof/>
              </w:rPr>
            </w:pPr>
            <w:r>
              <w:rPr>
                <w:noProof/>
              </w:rPr>
              <w:t>TD-C16-i01</w:t>
            </w:r>
          </w:p>
        </w:tc>
        <w:tc>
          <w:tcPr>
            <w:tcW w:w="1134" w:type="dxa"/>
            <w:shd w:val="clear" w:color="auto" w:fill="C4EFCE"/>
            <w:noWrap/>
            <w:vAlign w:val="center"/>
            <w:hideMark/>
          </w:tcPr>
          <w:p w14:paraId="69A0921C"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0123495" w14:textId="77777777" w:rsidR="00154AD2" w:rsidRDefault="007F6BF3">
            <w:pPr>
              <w:pStyle w:val="P68B1DB1-Normal8"/>
              <w:spacing w:after="0" w:line="240" w:lineRule="auto"/>
              <w:jc w:val="center"/>
              <w:rPr>
                <w:rFonts w:eastAsia="Times New Roman" w:cs="Calibri"/>
                <w:noProof/>
              </w:rPr>
            </w:pPr>
            <w:r>
              <w:rPr>
                <w:noProof/>
              </w:rPr>
              <w:t>Απασχόληση + συμμετέχοντες στην ψηφιακή κατάρτιση</w:t>
            </w:r>
          </w:p>
        </w:tc>
        <w:tc>
          <w:tcPr>
            <w:tcW w:w="1275" w:type="dxa"/>
            <w:shd w:val="clear" w:color="auto" w:fill="C4EFCE"/>
            <w:noWrap/>
            <w:vAlign w:val="center"/>
            <w:hideMark/>
          </w:tcPr>
          <w:p w14:paraId="65780DFF"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9BDCF9F"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11D2D464" w14:textId="77777777" w:rsidR="00154AD2" w:rsidRDefault="007F6BF3">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602ABAB2" w14:textId="77777777" w:rsidR="00154AD2" w:rsidRDefault="007F6BF3">
            <w:pPr>
              <w:pStyle w:val="P68B1DB1-Normal8"/>
              <w:spacing w:after="0" w:line="240" w:lineRule="auto"/>
              <w:jc w:val="center"/>
              <w:rPr>
                <w:rFonts w:eastAsia="Times New Roman" w:cs="Calibri"/>
                <w:noProof/>
              </w:rPr>
            </w:pPr>
            <w:r>
              <w:rPr>
                <w:noProof/>
              </w:rPr>
              <w:t>200 000</w:t>
            </w:r>
          </w:p>
        </w:tc>
        <w:tc>
          <w:tcPr>
            <w:tcW w:w="426" w:type="dxa"/>
            <w:shd w:val="clear" w:color="auto" w:fill="C4EFCE"/>
            <w:noWrap/>
            <w:vAlign w:val="center"/>
            <w:hideMark/>
          </w:tcPr>
          <w:p w14:paraId="62492B9C"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708" w:type="dxa"/>
            <w:shd w:val="clear" w:color="auto" w:fill="C4EFCE"/>
            <w:noWrap/>
            <w:vAlign w:val="center"/>
            <w:hideMark/>
          </w:tcPr>
          <w:p w14:paraId="2C1ADD8F" w14:textId="77777777" w:rsidR="00154AD2" w:rsidRDefault="007F6BF3">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1DB28148" w14:textId="409C353B" w:rsidR="00154AD2" w:rsidRDefault="007F6BF3">
            <w:pPr>
              <w:pStyle w:val="P68B1DB1-Normal8"/>
              <w:spacing w:after="0" w:line="240" w:lineRule="auto"/>
              <w:jc w:val="both"/>
              <w:rPr>
                <w:rFonts w:eastAsia="Times New Roman" w:cs="Calibri"/>
                <w:noProof/>
              </w:rPr>
            </w:pPr>
            <w:r>
              <w:rPr>
                <w:noProof/>
              </w:rPr>
              <w:t>Αριθμός συμμετεχόντων σε κατάρτιση που έχουν ολοκληρώσει διαδικτυακή, διά ζώσης ή μικτή ενότητα κατάρτισης για την επανειδίκευση και την αναβάθμιση των δεξιοτήτων, με έμφαση στις ψηφιακές δεξιότητες που αντιμετωπίζουν τις προκλήσεις των οικονομικών τομέων που προσδιορίστηκαν στο πρόγραμμα «Απασχόληση + Ψηφιακός τομέας». Οι επιλεγμένοι οικονομικοί τομείς είναι εκείνοι που προσδιορίζονται στο ορόσημο του πρώτου τριμήνου του 1 2022.</w:t>
            </w:r>
          </w:p>
        </w:tc>
      </w:tr>
      <w:tr w:rsidR="00154AD2" w14:paraId="3B45A3FB" w14:textId="77777777">
        <w:trPr>
          <w:trHeight w:val="430"/>
        </w:trPr>
        <w:tc>
          <w:tcPr>
            <w:tcW w:w="1135" w:type="dxa"/>
            <w:shd w:val="clear" w:color="auto" w:fill="C5EFCE"/>
            <w:vAlign w:val="center"/>
            <w:hideMark/>
          </w:tcPr>
          <w:p w14:paraId="49B3BE1C" w14:textId="77777777" w:rsidR="00154AD2" w:rsidRDefault="007F6BF3">
            <w:pPr>
              <w:pStyle w:val="P68B1DB1-Normal7"/>
              <w:spacing w:after="0" w:line="240" w:lineRule="auto"/>
              <w:jc w:val="center"/>
              <w:rPr>
                <w:rFonts w:eastAsia="Times New Roman" w:cs="Calibri"/>
                <w:noProof/>
              </w:rPr>
            </w:pPr>
            <w:r>
              <w:rPr>
                <w:noProof/>
              </w:rPr>
              <w:t>16.4</w:t>
            </w:r>
          </w:p>
        </w:tc>
        <w:tc>
          <w:tcPr>
            <w:tcW w:w="1276" w:type="dxa"/>
            <w:shd w:val="clear" w:color="auto" w:fill="C4EFCE"/>
            <w:noWrap/>
            <w:vAlign w:val="center"/>
            <w:hideMark/>
          </w:tcPr>
          <w:p w14:paraId="0F910593" w14:textId="77777777" w:rsidR="00154AD2" w:rsidRDefault="007F6BF3">
            <w:pPr>
              <w:pStyle w:val="P68B1DB1-Normal8"/>
              <w:spacing w:after="0" w:line="240" w:lineRule="auto"/>
              <w:jc w:val="center"/>
              <w:rPr>
                <w:rFonts w:eastAsia="Times New Roman" w:cs="Calibri"/>
                <w:noProof/>
              </w:rPr>
            </w:pPr>
            <w:r>
              <w:rPr>
                <w:noProof/>
              </w:rPr>
              <w:t>TD-C16-i01</w:t>
            </w:r>
          </w:p>
        </w:tc>
        <w:tc>
          <w:tcPr>
            <w:tcW w:w="1134" w:type="dxa"/>
            <w:shd w:val="clear" w:color="auto" w:fill="C4EFCE"/>
            <w:noWrap/>
            <w:vAlign w:val="center"/>
            <w:hideMark/>
          </w:tcPr>
          <w:p w14:paraId="498FA43B"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69C3E62" w14:textId="77777777" w:rsidR="00154AD2" w:rsidRDefault="007F6BF3">
            <w:pPr>
              <w:pStyle w:val="P68B1DB1-Normal8"/>
              <w:spacing w:after="0" w:line="240" w:lineRule="auto"/>
              <w:jc w:val="center"/>
              <w:rPr>
                <w:rFonts w:eastAsia="Times New Roman" w:cs="Calibri"/>
                <w:noProof/>
              </w:rPr>
            </w:pPr>
            <w:r>
              <w:rPr>
                <w:noProof/>
              </w:rPr>
              <w:t>Συμμετέχοντες στην κατάρτιση της Ψηφιακής Ακαδημίας Πορτογαλίας</w:t>
            </w:r>
          </w:p>
        </w:tc>
        <w:tc>
          <w:tcPr>
            <w:tcW w:w="1275" w:type="dxa"/>
            <w:shd w:val="clear" w:color="auto" w:fill="C4EFCE"/>
            <w:noWrap/>
            <w:vAlign w:val="center"/>
            <w:hideMark/>
          </w:tcPr>
          <w:p w14:paraId="5311EC00"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19790E4"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5E9E7350" w14:textId="77777777" w:rsidR="00154AD2" w:rsidRDefault="007F6BF3">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7FBAA0E5" w14:textId="755ABA93" w:rsidR="00154AD2" w:rsidRDefault="007F6BF3">
            <w:pPr>
              <w:pStyle w:val="P68B1DB1-Normal8"/>
              <w:spacing w:after="0" w:line="240" w:lineRule="auto"/>
              <w:jc w:val="center"/>
              <w:rPr>
                <w:rFonts w:eastAsia="Times New Roman" w:cs="Calibri"/>
                <w:noProof/>
              </w:rPr>
            </w:pPr>
            <w:r>
              <w:rPr>
                <w:noProof/>
              </w:rPr>
              <w:t>500 000</w:t>
            </w:r>
          </w:p>
        </w:tc>
        <w:tc>
          <w:tcPr>
            <w:tcW w:w="426" w:type="dxa"/>
            <w:shd w:val="clear" w:color="auto" w:fill="C4EFCE"/>
            <w:noWrap/>
            <w:vAlign w:val="center"/>
            <w:hideMark/>
          </w:tcPr>
          <w:p w14:paraId="35BB736B"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708" w:type="dxa"/>
            <w:shd w:val="clear" w:color="auto" w:fill="C4EFCE"/>
            <w:noWrap/>
            <w:vAlign w:val="center"/>
            <w:hideMark/>
          </w:tcPr>
          <w:p w14:paraId="73479E05" w14:textId="77777777" w:rsidR="00154AD2" w:rsidRDefault="007F6BF3">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2B4C4465" w14:textId="72846C38" w:rsidR="00154AD2" w:rsidRDefault="007F6BF3">
            <w:pPr>
              <w:pStyle w:val="P68B1DB1-Normal8"/>
              <w:spacing w:after="0" w:line="240" w:lineRule="auto"/>
              <w:jc w:val="both"/>
              <w:rPr>
                <w:rFonts w:eastAsia="Times New Roman" w:cs="Calibri"/>
                <w:noProof/>
              </w:rPr>
            </w:pPr>
            <w:r>
              <w:rPr>
                <w:noProof/>
              </w:rPr>
              <w:t>Αριθμός συμμετεχόντων στην κατάρτιση που έχουν λάβει διαγνωστικές ψηφιακές δεξιότητες. 125 000 συμμετέχοντες θα ολοκληρώσουν επίσης διαδικτυακή ενότητα μικτής ή με φυσική παρουσία στο πρόγραμμα της Ψηφιακής Ακαδημίας της Πορτογαλίας.</w:t>
            </w:r>
          </w:p>
          <w:p w14:paraId="1D8610F7" w14:textId="5BE4E11C" w:rsidR="00154AD2" w:rsidRDefault="007F6BF3">
            <w:pPr>
              <w:pStyle w:val="P68B1DB1-Normal8"/>
              <w:spacing w:after="0" w:line="240" w:lineRule="auto"/>
              <w:jc w:val="both"/>
              <w:rPr>
                <w:rFonts w:eastAsia="Times New Roman" w:cs="Calibri"/>
                <w:noProof/>
              </w:rPr>
            </w:pPr>
            <w:r>
              <w:rPr>
                <w:noProof/>
              </w:rPr>
              <w:t>Επιπλέον, καθίστανται διαθέσιμα πενήντα νεοαναπτυχθέντα MOOC.</w:t>
            </w:r>
          </w:p>
        </w:tc>
      </w:tr>
      <w:tr w:rsidR="00154AD2" w14:paraId="36F65094" w14:textId="77777777">
        <w:trPr>
          <w:trHeight w:val="840"/>
        </w:trPr>
        <w:tc>
          <w:tcPr>
            <w:tcW w:w="1135" w:type="dxa"/>
            <w:shd w:val="clear" w:color="auto" w:fill="C5EFCE"/>
            <w:vAlign w:val="center"/>
            <w:hideMark/>
          </w:tcPr>
          <w:p w14:paraId="79B09C43" w14:textId="77777777" w:rsidR="00154AD2" w:rsidRDefault="007F6BF3">
            <w:pPr>
              <w:pStyle w:val="P68B1DB1-Normal7"/>
              <w:spacing w:after="0" w:line="240" w:lineRule="auto"/>
              <w:jc w:val="center"/>
              <w:rPr>
                <w:rFonts w:eastAsia="Times New Roman" w:cs="Calibri"/>
                <w:noProof/>
              </w:rPr>
            </w:pPr>
            <w:r>
              <w:rPr>
                <w:noProof/>
              </w:rPr>
              <w:t>16.5</w:t>
            </w:r>
          </w:p>
        </w:tc>
        <w:tc>
          <w:tcPr>
            <w:tcW w:w="1276" w:type="dxa"/>
            <w:shd w:val="clear" w:color="auto" w:fill="C4EFCE"/>
            <w:noWrap/>
            <w:vAlign w:val="center"/>
            <w:hideMark/>
          </w:tcPr>
          <w:p w14:paraId="0767AC81" w14:textId="77777777" w:rsidR="00154AD2" w:rsidRDefault="007F6BF3">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2F519593"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7E3F188" w14:textId="77777777" w:rsidR="00154AD2" w:rsidRDefault="007F6BF3">
            <w:pPr>
              <w:pStyle w:val="P68B1DB1-Normal8"/>
              <w:spacing w:after="0" w:line="240" w:lineRule="auto"/>
              <w:jc w:val="center"/>
              <w:rPr>
                <w:rFonts w:eastAsia="Times New Roman" w:cs="Calibri"/>
                <w:noProof/>
              </w:rPr>
            </w:pPr>
            <w:r>
              <w:rPr>
                <w:noProof/>
              </w:rPr>
              <w:t xml:space="preserve">ΜΜΕ που υποστηρίζονται από επιταχυντές του ψηφιακού εμπορίου </w:t>
            </w:r>
          </w:p>
        </w:tc>
        <w:tc>
          <w:tcPr>
            <w:tcW w:w="1275" w:type="dxa"/>
            <w:shd w:val="clear" w:color="auto" w:fill="C4EFCE"/>
            <w:noWrap/>
            <w:vAlign w:val="center"/>
            <w:hideMark/>
          </w:tcPr>
          <w:p w14:paraId="2EB5D309"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06DD7F0"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6101D998" w14:textId="77777777" w:rsidR="00154AD2" w:rsidRDefault="007F6BF3">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1F057A08" w14:textId="769CE70E" w:rsidR="00154AD2" w:rsidRDefault="007F6BF3">
            <w:pPr>
              <w:pStyle w:val="P68B1DB1-Normal8"/>
              <w:spacing w:after="0" w:line="240" w:lineRule="auto"/>
              <w:jc w:val="center"/>
              <w:rPr>
                <w:rFonts w:eastAsia="Times New Roman" w:cs="Calibri"/>
                <w:noProof/>
              </w:rPr>
            </w:pPr>
            <w:r>
              <w:rPr>
                <w:noProof/>
              </w:rPr>
              <w:t>12 500</w:t>
            </w:r>
          </w:p>
        </w:tc>
        <w:tc>
          <w:tcPr>
            <w:tcW w:w="426" w:type="dxa"/>
            <w:shd w:val="clear" w:color="auto" w:fill="C4EFCE"/>
            <w:noWrap/>
            <w:vAlign w:val="center"/>
            <w:hideMark/>
          </w:tcPr>
          <w:p w14:paraId="30274845"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708" w:type="dxa"/>
            <w:shd w:val="clear" w:color="auto" w:fill="C4EFCE"/>
            <w:noWrap/>
            <w:vAlign w:val="center"/>
            <w:hideMark/>
          </w:tcPr>
          <w:p w14:paraId="6E0C3DDB" w14:textId="7C58F5E6" w:rsidR="00154AD2" w:rsidRDefault="007F6BF3">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317110C0" w14:textId="77777777" w:rsidR="00154AD2" w:rsidRDefault="007F6BF3">
            <w:pPr>
              <w:pStyle w:val="P68B1DB1-Normal8"/>
              <w:spacing w:after="0" w:line="240" w:lineRule="auto"/>
              <w:jc w:val="both"/>
              <w:rPr>
                <w:rFonts w:eastAsia="Times New Roman" w:cs="Calibri"/>
                <w:noProof/>
              </w:rPr>
            </w:pPr>
            <w:r>
              <w:rPr>
                <w:noProof/>
              </w:rPr>
              <w:t xml:space="preserve">Αριθμός ΜΜΕ που λαμβάνουν στήριξη μέσω της δημιουργίας 25 τοπικών, περιφερειακών ή τομεακών επιταχυντών του ψηφιακού εμπορίου, καθώς και μέσω ενός συστήματος οικονομικών κινήτρων για την ψηφιοποίηση των επιχειρηματικών μοντέλων των ΜΜΕ. Η στήριξη συνίσταται στην αξιολόγηση και τη διάγνωση του επιπέδου ψηφιοποίησης των δικαιούχων ΜΜΕ, καθώς και στην παροχή στοχευμένων υπηρεσιών και κινήτρων για την αύξηση της υιοθέτησης ψηφιακών τεχνολογιών στο επιχειρηματικό μοντέλο των δικαιούχων. </w:t>
            </w:r>
          </w:p>
          <w:p w14:paraId="66ADDCA3" w14:textId="10D0B309" w:rsidR="00154AD2" w:rsidRDefault="007F6BF3">
            <w:pPr>
              <w:pStyle w:val="P68B1DB1-Normal8"/>
              <w:spacing w:after="0" w:line="240" w:lineRule="auto"/>
              <w:jc w:val="both"/>
              <w:rPr>
                <w:rFonts w:eastAsia="Times New Roman" w:cs="Calibri"/>
                <w:noProof/>
              </w:rPr>
            </w:pPr>
            <w:r>
              <w:rPr>
                <w:noProof/>
              </w:rPr>
              <w:t>Τα κριτήρια επιλογής διασφαλίζουν τη συμμόρφωση με την τεχνική καθοδήγηση για την εφαρμογή της αρχής της «μη πρόκλησης σημαντικής βλάβης» (2021/C58/01) των υποστηριζόμενων συναλλαγών στο πλαίσιο του παρόντος μέτρου μέσω της χρήσης ελέγχου βιωσιμότητας, της χρήσης καταλόγου αποκλεισμού και της απαίτησης συμμόρφωσης με τη σχετική ενωσιακή και εθνική περιβαλλοντική νομοθεσία.</w:t>
            </w:r>
          </w:p>
        </w:tc>
      </w:tr>
      <w:tr w:rsidR="00154AD2" w14:paraId="5705A32B" w14:textId="77777777">
        <w:trPr>
          <w:trHeight w:val="420"/>
        </w:trPr>
        <w:tc>
          <w:tcPr>
            <w:tcW w:w="1135" w:type="dxa"/>
            <w:shd w:val="clear" w:color="auto" w:fill="C5EFCE"/>
            <w:vAlign w:val="center"/>
            <w:hideMark/>
          </w:tcPr>
          <w:p w14:paraId="000270AE" w14:textId="77777777" w:rsidR="00154AD2" w:rsidRDefault="007F6BF3">
            <w:pPr>
              <w:pStyle w:val="P68B1DB1-Normal7"/>
              <w:spacing w:after="0" w:line="240" w:lineRule="auto"/>
              <w:jc w:val="center"/>
              <w:rPr>
                <w:rFonts w:eastAsia="Times New Roman" w:cs="Calibri"/>
                <w:noProof/>
              </w:rPr>
            </w:pPr>
            <w:r>
              <w:rPr>
                <w:noProof/>
              </w:rPr>
              <w:t>16.6</w:t>
            </w:r>
          </w:p>
        </w:tc>
        <w:tc>
          <w:tcPr>
            <w:tcW w:w="1276" w:type="dxa"/>
            <w:shd w:val="clear" w:color="auto" w:fill="C4EFCE"/>
            <w:noWrap/>
            <w:vAlign w:val="center"/>
            <w:hideMark/>
          </w:tcPr>
          <w:p w14:paraId="78A96FDD" w14:textId="77777777" w:rsidR="00154AD2" w:rsidRDefault="007F6BF3">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17357B62"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9CB16DF" w14:textId="46C25FDB" w:rsidR="00154AD2" w:rsidRDefault="007F6BF3">
            <w:pPr>
              <w:pStyle w:val="P68B1DB1-Normal8"/>
              <w:spacing w:after="0" w:line="240" w:lineRule="auto"/>
              <w:jc w:val="center"/>
              <w:rPr>
                <w:rFonts w:eastAsia="Times New Roman" w:cs="Calibri"/>
                <w:noProof/>
              </w:rPr>
            </w:pPr>
            <w:r>
              <w:rPr>
                <w:noProof/>
              </w:rPr>
              <w:t>Ανάπτυξη πιλοτικών προϊόντων και υπηρεσιών του εθνικού δικτύου δοκιμών</w:t>
            </w:r>
          </w:p>
        </w:tc>
        <w:tc>
          <w:tcPr>
            <w:tcW w:w="1275" w:type="dxa"/>
            <w:shd w:val="clear" w:color="auto" w:fill="C4EFCE"/>
            <w:noWrap/>
            <w:vAlign w:val="center"/>
            <w:hideMark/>
          </w:tcPr>
          <w:p w14:paraId="7F3952A8"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5524FBBA"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06DA02CA" w14:textId="77777777" w:rsidR="00154AD2" w:rsidRDefault="007F6BF3">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74A9A84A" w14:textId="7BDE7575" w:rsidR="00154AD2" w:rsidRDefault="007F6BF3">
            <w:pPr>
              <w:pStyle w:val="P68B1DB1-Normal8"/>
              <w:spacing w:after="0" w:line="240" w:lineRule="auto"/>
              <w:jc w:val="center"/>
              <w:rPr>
                <w:rFonts w:eastAsia="Times New Roman" w:cs="Calibri"/>
                <w:noProof/>
              </w:rPr>
            </w:pPr>
            <w:r>
              <w:rPr>
                <w:noProof/>
              </w:rPr>
              <w:t>600</w:t>
            </w:r>
          </w:p>
        </w:tc>
        <w:tc>
          <w:tcPr>
            <w:tcW w:w="426" w:type="dxa"/>
            <w:shd w:val="clear" w:color="auto" w:fill="C4EFCE"/>
            <w:noWrap/>
            <w:vAlign w:val="center"/>
            <w:hideMark/>
          </w:tcPr>
          <w:p w14:paraId="2BAA25D5" w14:textId="204D01EA" w:rsidR="00154AD2" w:rsidRDefault="007F6BF3">
            <w:pPr>
              <w:pStyle w:val="P68B1DB1-Normal8"/>
              <w:spacing w:after="0" w:line="240" w:lineRule="auto"/>
              <w:jc w:val="center"/>
              <w:rPr>
                <w:rFonts w:eastAsia="Times New Roman" w:cs="Calibri"/>
                <w:noProof/>
              </w:rPr>
            </w:pPr>
            <w:r>
              <w:rPr>
                <w:noProof/>
              </w:rPr>
              <w:t>ΤΡΊΜΗΝΟ 2</w:t>
            </w:r>
          </w:p>
        </w:tc>
        <w:tc>
          <w:tcPr>
            <w:tcW w:w="708" w:type="dxa"/>
            <w:shd w:val="clear" w:color="auto" w:fill="C4EFCE"/>
            <w:noWrap/>
            <w:vAlign w:val="center"/>
            <w:hideMark/>
          </w:tcPr>
          <w:p w14:paraId="397A151A" w14:textId="454F43F3" w:rsidR="00154AD2" w:rsidRDefault="007F6BF3">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6A17EC12" w14:textId="0CEEA83B" w:rsidR="00154AD2" w:rsidRDefault="007F6BF3">
            <w:pPr>
              <w:pStyle w:val="P68B1DB1-Normal8"/>
              <w:spacing w:after="0" w:line="240" w:lineRule="auto"/>
              <w:jc w:val="both"/>
              <w:rPr>
                <w:rFonts w:eastAsia="Times New Roman" w:cs="Calibri"/>
                <w:noProof/>
              </w:rPr>
            </w:pPr>
            <w:r>
              <w:rPr>
                <w:noProof/>
              </w:rPr>
              <w:t xml:space="preserve">Αριθμός πιλοτικών προϊόντων ή υπηρεσιών που αναπτύχθηκαν (με σκοπό την επίτευξη τουλάχιστον επιπέδου τεχνολογικής ετοιμότητας 5) στο εθνικό δίκτυο δοκιμαστικών βάσεων. </w:t>
            </w:r>
          </w:p>
          <w:p w14:paraId="1B884D2E" w14:textId="229931CB" w:rsidR="00154AD2" w:rsidRDefault="007F6BF3">
            <w:pPr>
              <w:pStyle w:val="P68B1DB1-Normal8"/>
              <w:spacing w:after="0" w:line="240" w:lineRule="auto"/>
              <w:jc w:val="both"/>
              <w:rPr>
                <w:rFonts w:eastAsia="Times New Roman" w:cs="Calibri"/>
                <w:noProof/>
              </w:rPr>
            </w:pPr>
            <w:r>
              <w:rPr>
                <w:noProof/>
              </w:rPr>
              <w:t>Τα κριτήρια επιλογής διασφαλίζουν τη συμμόρφωση με την τεχνική καθοδήγηση σχετικά με την εφαρμογή της αρχής της «μη πρόκλησης σημαντικής βλάβης» (2021/C58/01) των υποστηριζόμενων συναλλαγών στο πλαίσιο του παρόντος μέτρου μέσω της χρήσης καταλόγου αποκλεισμού, και την απαίτηση συμμόρφωσης με τη σχετική ενωσιακή και εθνική περιβαλλοντική νομοθεσία.</w:t>
            </w:r>
          </w:p>
        </w:tc>
      </w:tr>
      <w:tr w:rsidR="00154AD2" w14:paraId="302E1901" w14:textId="77777777">
        <w:trPr>
          <w:trHeight w:val="920"/>
        </w:trPr>
        <w:tc>
          <w:tcPr>
            <w:tcW w:w="1135" w:type="dxa"/>
            <w:shd w:val="clear" w:color="auto" w:fill="C5EFCE"/>
            <w:vAlign w:val="center"/>
            <w:hideMark/>
          </w:tcPr>
          <w:p w14:paraId="04EB0D69" w14:textId="77777777" w:rsidR="00154AD2" w:rsidRDefault="007F6BF3">
            <w:pPr>
              <w:pStyle w:val="P68B1DB1-Normal7"/>
              <w:spacing w:after="0" w:line="240" w:lineRule="auto"/>
              <w:jc w:val="center"/>
              <w:rPr>
                <w:rFonts w:eastAsia="Times New Roman" w:cs="Calibri"/>
                <w:noProof/>
              </w:rPr>
            </w:pPr>
            <w:r>
              <w:rPr>
                <w:noProof/>
              </w:rPr>
              <w:t>16.7</w:t>
            </w:r>
          </w:p>
        </w:tc>
        <w:tc>
          <w:tcPr>
            <w:tcW w:w="1276" w:type="dxa"/>
            <w:shd w:val="clear" w:color="auto" w:fill="C4EFCE"/>
            <w:noWrap/>
            <w:vAlign w:val="center"/>
            <w:hideMark/>
          </w:tcPr>
          <w:p w14:paraId="486E2805" w14:textId="77777777" w:rsidR="00154AD2" w:rsidRDefault="007F6BF3">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45022E78"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FBD8596" w14:textId="77777777" w:rsidR="00154AD2" w:rsidRDefault="007F6BF3">
            <w:pPr>
              <w:pStyle w:val="P68B1DB1-Normal8"/>
              <w:spacing w:after="0" w:line="240" w:lineRule="auto"/>
              <w:jc w:val="center"/>
              <w:rPr>
                <w:rFonts w:eastAsia="Times New Roman" w:cs="Calibri"/>
                <w:noProof/>
              </w:rPr>
            </w:pPr>
            <w:r>
              <w:rPr>
                <w:noProof/>
              </w:rPr>
              <w:t>Δοκιμαστικοί Beds που επιλέγονται για το εθνικό δίκτυο βάσεων δοκιμών</w:t>
            </w:r>
          </w:p>
        </w:tc>
        <w:tc>
          <w:tcPr>
            <w:tcW w:w="1275" w:type="dxa"/>
            <w:shd w:val="clear" w:color="auto" w:fill="C4EFCE"/>
            <w:noWrap/>
            <w:vAlign w:val="center"/>
            <w:hideMark/>
          </w:tcPr>
          <w:p w14:paraId="24BABD16" w14:textId="77777777" w:rsidR="00154AD2" w:rsidRDefault="007F6BF3">
            <w:pPr>
              <w:pStyle w:val="P68B1DB1-Normal9"/>
              <w:spacing w:after="0" w:line="240" w:lineRule="auto"/>
              <w:rPr>
                <w:rFonts w:eastAsia="Times New Roman" w:cs="Calibri"/>
                <w:noProof/>
              </w:rPr>
            </w:pPr>
            <w:r>
              <w:rPr>
                <w:noProof/>
              </w:rPr>
              <w:t> </w:t>
            </w:r>
          </w:p>
        </w:tc>
        <w:tc>
          <w:tcPr>
            <w:tcW w:w="993" w:type="dxa"/>
            <w:shd w:val="clear" w:color="auto" w:fill="C4EFCE"/>
            <w:noWrap/>
            <w:vAlign w:val="center"/>
            <w:hideMark/>
          </w:tcPr>
          <w:p w14:paraId="2AF4B68E"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090C3CF5" w14:textId="77777777" w:rsidR="00154AD2" w:rsidRDefault="007F6BF3">
            <w:pPr>
              <w:pStyle w:val="P68B1DB1-Normal8"/>
              <w:spacing w:after="0" w:line="240" w:lineRule="auto"/>
              <w:jc w:val="center"/>
              <w:rPr>
                <w:rFonts w:eastAsia="Times New Roman" w:cs="Calibri"/>
                <w:noProof/>
              </w:rPr>
            </w:pPr>
            <w:r>
              <w:rPr>
                <w:noProof/>
              </w:rPr>
              <w:t> 0</w:t>
            </w:r>
          </w:p>
        </w:tc>
        <w:tc>
          <w:tcPr>
            <w:tcW w:w="850" w:type="dxa"/>
            <w:shd w:val="clear" w:color="auto" w:fill="C4EFCE"/>
            <w:noWrap/>
            <w:vAlign w:val="center"/>
            <w:hideMark/>
          </w:tcPr>
          <w:p w14:paraId="358B2E8A" w14:textId="77777777" w:rsidR="00154AD2" w:rsidRDefault="007F6BF3">
            <w:pPr>
              <w:pStyle w:val="P68B1DB1-Normal8"/>
              <w:spacing w:after="0" w:line="240" w:lineRule="auto"/>
              <w:jc w:val="center"/>
              <w:rPr>
                <w:rFonts w:eastAsia="Times New Roman" w:cs="Calibri"/>
                <w:noProof/>
              </w:rPr>
            </w:pPr>
            <w:r>
              <w:rPr>
                <w:noProof/>
              </w:rPr>
              <w:t>30 </w:t>
            </w:r>
          </w:p>
        </w:tc>
        <w:tc>
          <w:tcPr>
            <w:tcW w:w="426" w:type="dxa"/>
            <w:shd w:val="clear" w:color="auto" w:fill="C4EFCE"/>
            <w:noWrap/>
            <w:vAlign w:val="center"/>
            <w:hideMark/>
          </w:tcPr>
          <w:p w14:paraId="37852C11"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708" w:type="dxa"/>
            <w:shd w:val="clear" w:color="auto" w:fill="C4EFCE"/>
            <w:noWrap/>
            <w:vAlign w:val="center"/>
            <w:hideMark/>
          </w:tcPr>
          <w:p w14:paraId="0AF84A0B" w14:textId="77777777" w:rsidR="00154AD2" w:rsidRDefault="007F6BF3">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63D5DF3F" w14:textId="77777777" w:rsidR="00154AD2" w:rsidRDefault="007F6BF3">
            <w:pPr>
              <w:pStyle w:val="P68B1DB1-Normal9"/>
              <w:spacing w:after="0" w:line="240" w:lineRule="auto"/>
              <w:jc w:val="both"/>
              <w:rPr>
                <w:rFonts w:eastAsia="Times New Roman" w:cs="Calibri"/>
                <w:noProof/>
                <w:sz w:val="16"/>
              </w:rPr>
            </w:pPr>
            <w:r>
              <w:rPr>
                <w:noProof/>
                <w:sz w:val="16"/>
              </w:rPr>
              <w:t xml:space="preserve">Αριθμός δοκιμαστικών σειρών που επιλέχθηκαν να εγκατασταθούν με τον απαραίτητο εξοπλισμό ώστε να καταστεί δυνατή η ανάπτυξη και η δοκιμή πιλοτικών προϊόντων στο εθνικό δίκτυο Beds. Η κάλυψη των βιομηχανικών τομέων, καθώς και των υποτομέων τους, αντιστοιχεί σε εκείνες που προβλέπονται για το δίκτυο κόμβων ψηφιακής καινοτομίας (ΚΨΚ), προκειμένου να δημιουργηθούν συνέργειες και συμπληρωματικότητες με το δίκτυο κόμβων ψηφιακής καινοτομίας (ΚΨΚ). </w:t>
            </w:r>
          </w:p>
          <w:p w14:paraId="723D2E82" w14:textId="1C437B17" w:rsidR="00154AD2" w:rsidRDefault="007F6BF3">
            <w:pPr>
              <w:pStyle w:val="P68B1DB1-Normal8"/>
              <w:spacing w:after="0" w:line="240" w:lineRule="auto"/>
              <w:jc w:val="both"/>
              <w:rPr>
                <w:rFonts w:eastAsia="Times New Roman" w:cs="Calibri"/>
                <w:noProof/>
              </w:rPr>
            </w:pPr>
            <w:r>
              <w:rPr>
                <w:noProof/>
              </w:rPr>
              <w:t>Τα κριτήρια επιλογής διασφαλίζουν τη συμμόρφωση με την τεχνική καθοδήγηση σχετικά με την εφαρμογή της αρχής της «μη πρόκλησης σημαντικής βλάβης» (2021/C58/01) των υποστηριζόμενων συναλλαγών στο πλαίσιο του παρόντος μέτρου μέσω της χρήσης καταλόγου αποκλεισμού και την απαίτηση συμμόρφωσης με τη σχετική ενωσιακή και εθνική περιβαλλοντική νομοθεσία.</w:t>
            </w:r>
          </w:p>
        </w:tc>
      </w:tr>
      <w:tr w:rsidR="00154AD2" w14:paraId="642663A6" w14:textId="77777777">
        <w:trPr>
          <w:trHeight w:val="420"/>
        </w:trPr>
        <w:tc>
          <w:tcPr>
            <w:tcW w:w="1135" w:type="dxa"/>
            <w:shd w:val="clear" w:color="auto" w:fill="C5EFCE"/>
            <w:vAlign w:val="center"/>
            <w:hideMark/>
          </w:tcPr>
          <w:p w14:paraId="0C199B10" w14:textId="77777777" w:rsidR="00154AD2" w:rsidRDefault="007F6BF3">
            <w:pPr>
              <w:pStyle w:val="P68B1DB1-Normal7"/>
              <w:spacing w:after="0" w:line="240" w:lineRule="auto"/>
              <w:jc w:val="center"/>
              <w:rPr>
                <w:rFonts w:eastAsia="Times New Roman" w:cs="Calibri"/>
                <w:noProof/>
              </w:rPr>
            </w:pPr>
            <w:r>
              <w:rPr>
                <w:noProof/>
              </w:rPr>
              <w:t>16.8</w:t>
            </w:r>
          </w:p>
        </w:tc>
        <w:tc>
          <w:tcPr>
            <w:tcW w:w="1276" w:type="dxa"/>
            <w:shd w:val="clear" w:color="auto" w:fill="C4EFCE"/>
            <w:noWrap/>
            <w:vAlign w:val="center"/>
            <w:hideMark/>
          </w:tcPr>
          <w:p w14:paraId="4D5E6E95" w14:textId="77777777" w:rsidR="00154AD2" w:rsidRDefault="007F6BF3">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3AC525B1"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843CFCB" w14:textId="17138ACC" w:rsidR="00154AD2" w:rsidRDefault="007F6BF3">
            <w:pPr>
              <w:pStyle w:val="P68B1DB1-Normal8"/>
              <w:spacing w:after="0" w:line="240" w:lineRule="auto"/>
              <w:jc w:val="center"/>
              <w:rPr>
                <w:rFonts w:eastAsia="Times New Roman" w:cs="Calibri"/>
                <w:noProof/>
              </w:rPr>
            </w:pPr>
            <w:r>
              <w:rPr>
                <w:noProof/>
              </w:rPr>
              <w:t xml:space="preserve">Ανάπτυξη πιλοτικών προϊόντων και υπηρεσιών του εθνικού δικτύου δοκιμών </w:t>
            </w:r>
          </w:p>
        </w:tc>
        <w:tc>
          <w:tcPr>
            <w:tcW w:w="1275" w:type="dxa"/>
            <w:shd w:val="clear" w:color="auto" w:fill="C4EFCE"/>
            <w:noWrap/>
            <w:vAlign w:val="center"/>
            <w:hideMark/>
          </w:tcPr>
          <w:p w14:paraId="1C876615"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163E41C"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4032CDA7" w14:textId="3AB8A8F0" w:rsidR="00154AD2" w:rsidRDefault="007F6BF3">
            <w:pPr>
              <w:pStyle w:val="P68B1DB1-Normal8"/>
              <w:spacing w:after="0" w:line="240" w:lineRule="auto"/>
              <w:jc w:val="center"/>
              <w:rPr>
                <w:rFonts w:eastAsia="Times New Roman" w:cs="Calibri"/>
                <w:noProof/>
              </w:rPr>
            </w:pPr>
            <w:r>
              <w:rPr>
                <w:noProof/>
              </w:rPr>
              <w:t>600</w:t>
            </w:r>
          </w:p>
        </w:tc>
        <w:tc>
          <w:tcPr>
            <w:tcW w:w="850" w:type="dxa"/>
            <w:shd w:val="clear" w:color="auto" w:fill="C4EFCE"/>
            <w:noWrap/>
            <w:vAlign w:val="center"/>
            <w:hideMark/>
          </w:tcPr>
          <w:p w14:paraId="78086472" w14:textId="5935E04B" w:rsidR="00154AD2" w:rsidRDefault="007F6BF3">
            <w:pPr>
              <w:pStyle w:val="P68B1DB1-Normal8"/>
              <w:spacing w:after="0" w:line="240" w:lineRule="auto"/>
              <w:jc w:val="center"/>
              <w:rPr>
                <w:rFonts w:eastAsia="Times New Roman" w:cs="Calibri"/>
                <w:noProof/>
              </w:rPr>
            </w:pPr>
            <w:r>
              <w:rPr>
                <w:noProof/>
              </w:rPr>
              <w:t>3 000</w:t>
            </w:r>
          </w:p>
        </w:tc>
        <w:tc>
          <w:tcPr>
            <w:tcW w:w="426" w:type="dxa"/>
            <w:shd w:val="clear" w:color="auto" w:fill="C4EFCE"/>
            <w:noWrap/>
            <w:vAlign w:val="center"/>
            <w:hideMark/>
          </w:tcPr>
          <w:p w14:paraId="75024F04"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708" w:type="dxa"/>
            <w:shd w:val="clear" w:color="auto" w:fill="C4EFCE"/>
            <w:noWrap/>
            <w:vAlign w:val="center"/>
            <w:hideMark/>
          </w:tcPr>
          <w:p w14:paraId="749E31FA" w14:textId="77777777" w:rsidR="00154AD2" w:rsidRDefault="007F6BF3">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45E28F56" w14:textId="02EA86AD" w:rsidR="00154AD2" w:rsidRDefault="007F6BF3">
            <w:pPr>
              <w:pStyle w:val="P68B1DB1-Normal8"/>
              <w:spacing w:after="0" w:line="240" w:lineRule="auto"/>
              <w:jc w:val="both"/>
              <w:rPr>
                <w:rFonts w:eastAsia="Times New Roman" w:cs="Calibri"/>
                <w:noProof/>
              </w:rPr>
            </w:pPr>
            <w:r>
              <w:rPr>
                <w:noProof/>
              </w:rPr>
              <w:t xml:space="preserve">Αριθμός πιλοτικών προϊόντων ή υπηρεσιών που αναπτύχθηκαν με σκοπό την επίτευξη επιπέδου τεχνολογικής ετοιμότητας 5) στο εθνικό δίκτυο δοκιμασιών. </w:t>
            </w:r>
          </w:p>
          <w:p w14:paraId="73F048D1" w14:textId="0BEE092C" w:rsidR="00154AD2" w:rsidRDefault="007F6BF3">
            <w:pPr>
              <w:pStyle w:val="P68B1DB1-Normal8"/>
              <w:spacing w:after="0" w:line="240" w:lineRule="auto"/>
              <w:jc w:val="both"/>
              <w:rPr>
                <w:rFonts w:eastAsia="Times New Roman" w:cs="Calibri"/>
                <w:noProof/>
              </w:rPr>
            </w:pPr>
            <w:r>
              <w:rPr>
                <w:noProof/>
              </w:rPr>
              <w:t>Τα κριτήρια επιλογής διασφαλίζουν τη συμμόρφωση με την τεχνική καθοδήγηση σχετικά με την εφαρμογή της αρχής της «μη πρόκλησης σημαντικής βλάβης» (2021/C58/01) των υποστηριζόμενων συναλλαγών στο πλαίσιο του παρόντος μέτρου μέσω της χρήσης καταλόγου αποκλεισμού και την απαίτηση συμμόρφωσης με τη σχετική ενωσιακή και εθνική περιβαλλοντική νομοθεσία.</w:t>
            </w:r>
          </w:p>
        </w:tc>
      </w:tr>
      <w:tr w:rsidR="00154AD2" w14:paraId="5FCAF347" w14:textId="77777777">
        <w:trPr>
          <w:trHeight w:val="1050"/>
        </w:trPr>
        <w:tc>
          <w:tcPr>
            <w:tcW w:w="1135" w:type="dxa"/>
            <w:shd w:val="clear" w:color="auto" w:fill="C5EFCE"/>
            <w:vAlign w:val="center"/>
            <w:hideMark/>
          </w:tcPr>
          <w:p w14:paraId="6A609E24" w14:textId="77777777" w:rsidR="00154AD2" w:rsidRDefault="007F6BF3">
            <w:pPr>
              <w:pStyle w:val="P68B1DB1-Normal7"/>
              <w:spacing w:after="0" w:line="240" w:lineRule="auto"/>
              <w:jc w:val="center"/>
              <w:rPr>
                <w:rFonts w:eastAsia="Times New Roman" w:cs="Calibri"/>
                <w:noProof/>
              </w:rPr>
            </w:pPr>
            <w:r>
              <w:rPr>
                <w:noProof/>
              </w:rPr>
              <w:t>16.9</w:t>
            </w:r>
          </w:p>
        </w:tc>
        <w:tc>
          <w:tcPr>
            <w:tcW w:w="1276" w:type="dxa"/>
            <w:shd w:val="clear" w:color="auto" w:fill="C4EFCE"/>
            <w:noWrap/>
            <w:vAlign w:val="center"/>
            <w:hideMark/>
          </w:tcPr>
          <w:p w14:paraId="179FBF25" w14:textId="77777777" w:rsidR="00154AD2" w:rsidRDefault="007F6BF3">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6674AFC7"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5884E1F" w14:textId="77777777" w:rsidR="00154AD2" w:rsidRDefault="007F6BF3">
            <w:pPr>
              <w:pStyle w:val="P68B1DB1-Normal8"/>
              <w:spacing w:after="0" w:line="240" w:lineRule="auto"/>
              <w:jc w:val="center"/>
              <w:rPr>
                <w:rFonts w:eastAsia="Times New Roman" w:cs="Calibri"/>
                <w:noProof/>
              </w:rPr>
            </w:pPr>
            <w:r>
              <w:rPr>
                <w:noProof/>
              </w:rPr>
              <w:t xml:space="preserve">Γειτονιές ψηφιακού εμπορίου  </w:t>
            </w:r>
          </w:p>
        </w:tc>
        <w:tc>
          <w:tcPr>
            <w:tcW w:w="1275" w:type="dxa"/>
            <w:shd w:val="clear" w:color="auto" w:fill="C4EFCE"/>
            <w:noWrap/>
            <w:vAlign w:val="center"/>
            <w:hideMark/>
          </w:tcPr>
          <w:p w14:paraId="7929B328"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FCAF2B3"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37CDAFE5" w14:textId="77777777" w:rsidR="00154AD2" w:rsidRDefault="007F6BF3">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68E1A920" w14:textId="7A3D3DC3" w:rsidR="00154AD2" w:rsidRDefault="007F6BF3">
            <w:pPr>
              <w:pStyle w:val="P68B1DB1-Normal8"/>
              <w:spacing w:after="0" w:line="240" w:lineRule="auto"/>
              <w:jc w:val="center"/>
              <w:rPr>
                <w:rFonts w:eastAsia="Times New Roman" w:cs="Calibri"/>
                <w:noProof/>
              </w:rPr>
            </w:pPr>
            <w:r>
              <w:rPr>
                <w:noProof/>
              </w:rPr>
              <w:t>75</w:t>
            </w:r>
          </w:p>
        </w:tc>
        <w:tc>
          <w:tcPr>
            <w:tcW w:w="426" w:type="dxa"/>
            <w:shd w:val="clear" w:color="auto" w:fill="C4EFCE"/>
            <w:noWrap/>
            <w:vAlign w:val="center"/>
            <w:hideMark/>
          </w:tcPr>
          <w:p w14:paraId="34220EA9"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708" w:type="dxa"/>
            <w:shd w:val="clear" w:color="auto" w:fill="C4EFCE"/>
            <w:noWrap/>
            <w:vAlign w:val="center"/>
            <w:hideMark/>
          </w:tcPr>
          <w:p w14:paraId="199941AA" w14:textId="77777777" w:rsidR="00154AD2" w:rsidRDefault="007F6BF3">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5A0B7D8F" w14:textId="77777777" w:rsidR="00154AD2" w:rsidRDefault="007F6BF3">
            <w:pPr>
              <w:pStyle w:val="P68B1DB1-Normal8"/>
              <w:spacing w:after="0" w:line="240" w:lineRule="auto"/>
              <w:jc w:val="both"/>
              <w:rPr>
                <w:rFonts w:eastAsia="Times New Roman" w:cs="Calibri"/>
                <w:noProof/>
              </w:rPr>
            </w:pPr>
            <w:r>
              <w:rPr>
                <w:noProof/>
              </w:rPr>
              <w:t xml:space="preserve">Αριθμός γειτονιών ψηφιακού εμπορίου σε αστικά κέντρα, προαστιακές ή αγροτικές περιοχές. Οι επενδύσεις αυτές καλύπτουν τη συνδεσιμότητα και τις τοπικές ψηφιακές υποδομές, ιδίως την εγκατάσταση (ή την αναβάθμιση) υφιστάμενου εξοπλισμού και εγκαταστάσεων ασύρματης πρόσβασης στο διαδίκτυο για πελάτες σε εμπορικές περιοχές. Καλύπτει επίσης την ενσωμάτωση τεχνολογικών λύσεων για τη διαχείριση της παράδοσης δεμάτων και την υιοθέτηση ηλεκτρονικών μέσων πληρωμής με σκοπό την ψηφιοποίηση της εμπειρίας των καταναλωτών, καθώς και του επιχειρηματικού μοντέλου των καταστημάτων. </w:t>
            </w:r>
          </w:p>
          <w:p w14:paraId="2778C930" w14:textId="5EE6DF25" w:rsidR="00154AD2" w:rsidRDefault="007F6BF3">
            <w:pPr>
              <w:pStyle w:val="P68B1DB1-Normal8"/>
              <w:spacing w:after="0" w:line="240" w:lineRule="auto"/>
              <w:jc w:val="both"/>
              <w:rPr>
                <w:rFonts w:eastAsia="Times New Roman" w:cs="Calibri"/>
                <w:noProof/>
              </w:rPr>
            </w:pPr>
            <w:r>
              <w:rPr>
                <w:noProof/>
              </w:rPr>
              <w:t>Τα κριτήρια επιλογής διασφαλίζουν τη συμμόρφωση με την τεχνική καθοδήγηση σχετικά με την εφαρμογή της αρχής της «μη πρόκλησης σημαντικής βλάβης» (2021/C58/01) των υποστηριζόμενων συναλλαγών στο πλαίσιο του παρόντος μέτρου μέσω της χρήσης καταλόγου αποκλεισμού και την απαίτηση συμμόρφωσης με τη σχετική ενωσιακή και εθνική περιβαλλοντική νομοθεσία.</w:t>
            </w:r>
          </w:p>
        </w:tc>
      </w:tr>
      <w:tr w:rsidR="00154AD2" w14:paraId="3DFAB9AF" w14:textId="77777777">
        <w:trPr>
          <w:trHeight w:val="840"/>
        </w:trPr>
        <w:tc>
          <w:tcPr>
            <w:tcW w:w="1135" w:type="dxa"/>
            <w:shd w:val="clear" w:color="auto" w:fill="C5EFCE"/>
            <w:vAlign w:val="center"/>
            <w:hideMark/>
          </w:tcPr>
          <w:p w14:paraId="0F8CC808" w14:textId="77777777" w:rsidR="00154AD2" w:rsidRDefault="007F6BF3">
            <w:pPr>
              <w:pStyle w:val="P68B1DB1-Normal7"/>
              <w:spacing w:after="0" w:line="240" w:lineRule="auto"/>
              <w:jc w:val="center"/>
              <w:rPr>
                <w:rFonts w:eastAsia="Times New Roman" w:cs="Calibri"/>
                <w:noProof/>
              </w:rPr>
            </w:pPr>
            <w:r>
              <w:rPr>
                <w:noProof/>
              </w:rPr>
              <w:t>16.10</w:t>
            </w:r>
          </w:p>
        </w:tc>
        <w:tc>
          <w:tcPr>
            <w:tcW w:w="1276" w:type="dxa"/>
            <w:shd w:val="clear" w:color="auto" w:fill="C4EFCE"/>
            <w:noWrap/>
            <w:vAlign w:val="center"/>
            <w:hideMark/>
          </w:tcPr>
          <w:p w14:paraId="26E29367" w14:textId="77777777" w:rsidR="00154AD2" w:rsidRDefault="007F6BF3">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5D3DAE9B"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260687F" w14:textId="77777777" w:rsidR="00154AD2" w:rsidRDefault="007F6BF3">
            <w:pPr>
              <w:pStyle w:val="P68B1DB1-Normal8"/>
              <w:spacing w:after="0" w:line="240" w:lineRule="auto"/>
              <w:jc w:val="center"/>
              <w:rPr>
                <w:rFonts w:eastAsia="Times New Roman" w:cs="Calibri"/>
                <w:noProof/>
              </w:rPr>
            </w:pPr>
            <w:r>
              <w:rPr>
                <w:noProof/>
              </w:rPr>
              <w:t xml:space="preserve">ΜΜΕ που υποστηρίζονται από επιταχυντές του ψηφιακού εμπορίου </w:t>
            </w:r>
          </w:p>
        </w:tc>
        <w:tc>
          <w:tcPr>
            <w:tcW w:w="1275" w:type="dxa"/>
            <w:shd w:val="clear" w:color="auto" w:fill="C4EFCE"/>
            <w:noWrap/>
            <w:vAlign w:val="center"/>
            <w:hideMark/>
          </w:tcPr>
          <w:p w14:paraId="67959119"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FEC586D"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59094076" w14:textId="1A775469" w:rsidR="00154AD2" w:rsidRDefault="007F6BF3">
            <w:pPr>
              <w:pStyle w:val="P68B1DB1-Normal8"/>
              <w:spacing w:after="0" w:line="240" w:lineRule="auto"/>
              <w:jc w:val="center"/>
              <w:rPr>
                <w:rFonts w:eastAsia="Times New Roman" w:cs="Calibri"/>
                <w:noProof/>
              </w:rPr>
            </w:pPr>
            <w:r>
              <w:rPr>
                <w:noProof/>
              </w:rPr>
              <w:t>12 500</w:t>
            </w:r>
          </w:p>
        </w:tc>
        <w:tc>
          <w:tcPr>
            <w:tcW w:w="850" w:type="dxa"/>
            <w:shd w:val="clear" w:color="auto" w:fill="C4EFCE"/>
            <w:noWrap/>
            <w:vAlign w:val="center"/>
            <w:hideMark/>
          </w:tcPr>
          <w:p w14:paraId="52FADA3D" w14:textId="6EEE0035" w:rsidR="00154AD2" w:rsidRDefault="007F6BF3">
            <w:pPr>
              <w:pStyle w:val="P68B1DB1-Normal8"/>
              <w:spacing w:after="0" w:line="240" w:lineRule="auto"/>
              <w:jc w:val="center"/>
              <w:rPr>
                <w:rFonts w:eastAsia="Times New Roman" w:cs="Calibri"/>
                <w:noProof/>
              </w:rPr>
            </w:pPr>
            <w:r>
              <w:rPr>
                <w:noProof/>
              </w:rPr>
              <w:t>25 000</w:t>
            </w:r>
          </w:p>
        </w:tc>
        <w:tc>
          <w:tcPr>
            <w:tcW w:w="426" w:type="dxa"/>
            <w:shd w:val="clear" w:color="auto" w:fill="C4EFCE"/>
            <w:noWrap/>
            <w:vAlign w:val="center"/>
            <w:hideMark/>
          </w:tcPr>
          <w:p w14:paraId="7C933B29"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708" w:type="dxa"/>
            <w:shd w:val="clear" w:color="auto" w:fill="C4EFCE"/>
            <w:noWrap/>
            <w:vAlign w:val="center"/>
            <w:hideMark/>
          </w:tcPr>
          <w:p w14:paraId="37518E67" w14:textId="78F8B329" w:rsidR="00154AD2" w:rsidRDefault="007F6BF3">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3308F67E" w14:textId="77777777" w:rsidR="00154AD2" w:rsidRDefault="007F6BF3">
            <w:pPr>
              <w:pStyle w:val="P68B1DB1-Normal8"/>
              <w:spacing w:after="0" w:line="240" w:lineRule="auto"/>
              <w:jc w:val="both"/>
              <w:rPr>
                <w:rFonts w:eastAsia="Times New Roman" w:cs="Calibri"/>
                <w:noProof/>
              </w:rPr>
            </w:pPr>
            <w:r>
              <w:rPr>
                <w:noProof/>
              </w:rPr>
              <w:t xml:space="preserve">Αριθμός ΜΜΕ που λαμβάνουν στήριξη μέσω της δημιουργίας 25 τοπικών, περιφερειακών ή τομεακών επιταχυντών του ψηφιακού εμπορίου, καθώς και ενός συστήματος οικονομικών κινήτρων για την ψηφιοποίηση των επιχειρηματικών μοντέλων των ΜΜΕ. Η στήριξη συνίσταται στην αξιολόγηση και τη διάγνωση του επιπέδου ψηφιοποίησης των δικαιούχων ΜΜΕ, καθώς και στην παροχή στοχευμένων υπηρεσιών και κινήτρων για την αύξηση της υιοθέτησης ψηφιακών τεχνολογιών στο επιχειρηματικό μοντέλο των δικαιούχων. </w:t>
            </w:r>
          </w:p>
          <w:p w14:paraId="4ED0DEA8" w14:textId="4B2A5B9A" w:rsidR="00154AD2" w:rsidRDefault="007F6BF3">
            <w:pPr>
              <w:pStyle w:val="P68B1DB1-Normal8"/>
              <w:spacing w:after="0" w:line="240" w:lineRule="auto"/>
              <w:jc w:val="both"/>
              <w:rPr>
                <w:rFonts w:eastAsia="Times New Roman" w:cs="Calibri"/>
                <w:noProof/>
              </w:rPr>
            </w:pPr>
            <w:r>
              <w:rPr>
                <w:noProof/>
              </w:rPr>
              <w:t>Τα κριτήρια επιλογής διασφαλίζουν τη συμμόρφωση με την τεχνική καθοδήγηση για την εφαρμογή της αρχής της «μη πρόκλησης σημαντικής βλάβης» (2021/C58/01) των υποστηριζόμενων συναλλαγών στο πλαίσιο του παρόντος μέτρου μέσω της χρήσης ελέγχου βιωσιμότητας, της χρήσης καταλόγου αποκλεισμού και της απαίτησης συμμόρφωσης με τη σχετική ενωσιακή και εθνική περιβαλλοντική νομοθεσία.</w:t>
            </w:r>
          </w:p>
        </w:tc>
      </w:tr>
      <w:tr w:rsidR="00154AD2" w14:paraId="2F71EA50" w14:textId="77777777">
        <w:trPr>
          <w:trHeight w:val="840"/>
        </w:trPr>
        <w:tc>
          <w:tcPr>
            <w:tcW w:w="1135" w:type="dxa"/>
            <w:shd w:val="clear" w:color="auto" w:fill="C5EFCE"/>
            <w:vAlign w:val="center"/>
            <w:hideMark/>
          </w:tcPr>
          <w:p w14:paraId="3D28E0B0" w14:textId="77777777" w:rsidR="00154AD2" w:rsidRDefault="007F6BF3">
            <w:pPr>
              <w:pStyle w:val="P68B1DB1-Normal7"/>
              <w:spacing w:after="0" w:line="240" w:lineRule="auto"/>
              <w:jc w:val="center"/>
              <w:rPr>
                <w:rFonts w:eastAsia="Times New Roman" w:cs="Calibri"/>
                <w:noProof/>
              </w:rPr>
            </w:pPr>
            <w:r>
              <w:rPr>
                <w:noProof/>
              </w:rPr>
              <w:t>16.11</w:t>
            </w:r>
          </w:p>
        </w:tc>
        <w:tc>
          <w:tcPr>
            <w:tcW w:w="1276" w:type="dxa"/>
            <w:shd w:val="clear" w:color="auto" w:fill="C4EFCE"/>
            <w:noWrap/>
            <w:vAlign w:val="center"/>
            <w:hideMark/>
          </w:tcPr>
          <w:p w14:paraId="644097FA" w14:textId="77777777" w:rsidR="00154AD2" w:rsidRDefault="007F6BF3">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1D133C12"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05F447BF" w14:textId="77777777" w:rsidR="00154AD2" w:rsidRDefault="007F6BF3">
            <w:pPr>
              <w:pStyle w:val="P68B1DB1-Normal8"/>
              <w:spacing w:after="0" w:line="240" w:lineRule="auto"/>
              <w:jc w:val="center"/>
              <w:rPr>
                <w:rFonts w:eastAsia="Times New Roman" w:cs="Calibri"/>
                <w:noProof/>
              </w:rPr>
            </w:pPr>
            <w:r>
              <w:rPr>
                <w:noProof/>
              </w:rPr>
              <w:t>ΜΜΕ και εκκολαπτήρια νεοφυών επιχειρήσεων που υποστηρίζονται άμεσα από προγράμματα ψηφιοποίησης</w:t>
            </w:r>
          </w:p>
        </w:tc>
        <w:tc>
          <w:tcPr>
            <w:tcW w:w="1275" w:type="dxa"/>
            <w:shd w:val="clear" w:color="auto" w:fill="C4EFCE"/>
            <w:noWrap/>
            <w:vAlign w:val="center"/>
            <w:hideMark/>
          </w:tcPr>
          <w:p w14:paraId="07712FA0"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C3CBA4F"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60C4307B" w14:textId="77777777" w:rsidR="00154AD2" w:rsidRDefault="007F6BF3">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6184B8F8" w14:textId="3B8AD6B5" w:rsidR="00154AD2" w:rsidRDefault="007F6BF3">
            <w:pPr>
              <w:pStyle w:val="P68B1DB1-Normal8"/>
              <w:spacing w:after="0" w:line="240" w:lineRule="auto"/>
              <w:jc w:val="center"/>
              <w:rPr>
                <w:rFonts w:eastAsia="Times New Roman" w:cs="Calibri"/>
                <w:noProof/>
              </w:rPr>
            </w:pPr>
            <w:r>
              <w:rPr>
                <w:noProof/>
              </w:rPr>
              <w:t>8 600</w:t>
            </w:r>
          </w:p>
        </w:tc>
        <w:tc>
          <w:tcPr>
            <w:tcW w:w="426" w:type="dxa"/>
            <w:shd w:val="clear" w:color="auto" w:fill="C4EFCE"/>
            <w:noWrap/>
            <w:vAlign w:val="center"/>
            <w:hideMark/>
          </w:tcPr>
          <w:p w14:paraId="3BB8FD93"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708" w:type="dxa"/>
            <w:shd w:val="clear" w:color="auto" w:fill="C4EFCE"/>
            <w:noWrap/>
            <w:vAlign w:val="center"/>
            <w:hideMark/>
          </w:tcPr>
          <w:p w14:paraId="42E4D76E" w14:textId="77777777" w:rsidR="00154AD2" w:rsidRDefault="007F6BF3">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4019B1A1" w14:textId="514E9783" w:rsidR="00154AD2" w:rsidRDefault="007F6BF3">
            <w:pPr>
              <w:pStyle w:val="P68B1DB1-Normal8"/>
              <w:spacing w:after="0" w:line="240" w:lineRule="auto"/>
              <w:jc w:val="both"/>
              <w:rPr>
                <w:rFonts w:eastAsia="Times New Roman" w:cs="Calibri"/>
                <w:noProof/>
              </w:rPr>
            </w:pPr>
            <w:r>
              <w:rPr>
                <w:noProof/>
              </w:rPr>
              <w:t xml:space="preserve">Αριθμός ΜΜΕ (8500) και εκκολαπτηρίων επιχειρήσεων εκκίνησης (100) που υποστηρίζονται από ένα από τα ακόλουθα προγράμματα: (1) διεθνοποίηση μέσω του ηλεκτρονικού εμπορίου· (2) καθοδήγηση 4.0 δράσεων για τη στήριξη επιχειρηματικών μοντέλων για την ψηφιακή μετάβαση· (3) κουπόνια για νεοφυείς επιχειρήσεις για την ανάπτυξη νέων πράσινων και ψηφιακών προϊόντων· (4) κουπόνια για εκκολαπτήρια νεοφυών επιχειρήσεων και επιταχυντές για την τεχνολογική τους ανάπτυξη. </w:t>
            </w:r>
          </w:p>
          <w:p w14:paraId="6029676F" w14:textId="7C82C703" w:rsidR="00154AD2" w:rsidRDefault="007F6BF3">
            <w:pPr>
              <w:pStyle w:val="P68B1DB1-Normal8"/>
              <w:spacing w:after="0" w:line="240" w:lineRule="auto"/>
              <w:jc w:val="both"/>
              <w:rPr>
                <w:rFonts w:eastAsia="Times New Roman" w:cs="Calibri"/>
                <w:noProof/>
              </w:rPr>
            </w:pPr>
            <w:r>
              <w:rPr>
                <w:noProof/>
              </w:rPr>
              <w:t>Τα κριτήρια επιλογής διασφαλίζουν τη συμμόρφωση με την τεχνική καθοδήγηση σχετικά με την εφαρμογή της αρχής της «μη πρόκλησης σημαντικής βλάβης» (2021/C58/01) των υποστηριζόμενων συναλλαγών στο πλαίσιο του παρόντος μέτρου μέσω της χρήσης καταλόγου αποκλεισμού και την απαίτηση συμμόρφωσης με τη σχετική ενωσιακή και εθνική περιβαλλοντική νομοθεσία.</w:t>
            </w:r>
          </w:p>
        </w:tc>
      </w:tr>
      <w:tr w:rsidR="00154AD2" w14:paraId="38A52C15" w14:textId="77777777">
        <w:trPr>
          <w:trHeight w:val="1643"/>
        </w:trPr>
        <w:tc>
          <w:tcPr>
            <w:tcW w:w="1135" w:type="dxa"/>
            <w:shd w:val="clear" w:color="auto" w:fill="C5EFCE"/>
            <w:vAlign w:val="center"/>
            <w:hideMark/>
          </w:tcPr>
          <w:p w14:paraId="4CAE8DE6" w14:textId="77777777" w:rsidR="00154AD2" w:rsidRDefault="007F6BF3">
            <w:pPr>
              <w:pStyle w:val="P68B1DB1-Normal7"/>
              <w:spacing w:after="0" w:line="240" w:lineRule="auto"/>
              <w:jc w:val="center"/>
              <w:rPr>
                <w:rFonts w:eastAsia="Times New Roman" w:cs="Calibri"/>
                <w:noProof/>
              </w:rPr>
            </w:pPr>
            <w:r>
              <w:rPr>
                <w:noProof/>
              </w:rPr>
              <w:t>16.12</w:t>
            </w:r>
          </w:p>
        </w:tc>
        <w:tc>
          <w:tcPr>
            <w:tcW w:w="1276" w:type="dxa"/>
            <w:shd w:val="clear" w:color="auto" w:fill="C4EFCE"/>
            <w:noWrap/>
            <w:vAlign w:val="center"/>
            <w:hideMark/>
          </w:tcPr>
          <w:p w14:paraId="5F867C02" w14:textId="77777777" w:rsidR="00154AD2" w:rsidRDefault="007F6BF3">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45502F32"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02F5C2B" w14:textId="77777777" w:rsidR="00154AD2" w:rsidRDefault="007F6BF3">
            <w:pPr>
              <w:pStyle w:val="P68B1DB1-Normal8"/>
              <w:spacing w:after="0" w:line="240" w:lineRule="auto"/>
              <w:jc w:val="center"/>
              <w:rPr>
                <w:rFonts w:eastAsia="Times New Roman" w:cs="Calibri"/>
                <w:noProof/>
              </w:rPr>
            </w:pPr>
            <w:r>
              <w:rPr>
                <w:noProof/>
              </w:rPr>
              <w:t>Νεοφυείς επιχειρήσεις που χαρτογραφήθηκαν στην πλατφόρμα Startup Portugal</w:t>
            </w:r>
          </w:p>
        </w:tc>
        <w:tc>
          <w:tcPr>
            <w:tcW w:w="1275" w:type="dxa"/>
            <w:shd w:val="clear" w:color="auto" w:fill="C4EFCE"/>
            <w:noWrap/>
            <w:vAlign w:val="center"/>
            <w:hideMark/>
          </w:tcPr>
          <w:p w14:paraId="23EFB0A5"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D58674F"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0380127A" w14:textId="77777777" w:rsidR="00154AD2" w:rsidRDefault="007F6BF3">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63517E74" w14:textId="77777777" w:rsidR="00154AD2" w:rsidRDefault="007F6BF3">
            <w:pPr>
              <w:pStyle w:val="P68B1DB1-Normal8"/>
              <w:spacing w:after="0" w:line="240" w:lineRule="auto"/>
              <w:jc w:val="center"/>
              <w:rPr>
                <w:rFonts w:eastAsia="Times New Roman" w:cs="Calibri"/>
                <w:noProof/>
              </w:rPr>
            </w:pPr>
            <w:r>
              <w:rPr>
                <w:noProof/>
              </w:rPr>
              <w:t>5 000</w:t>
            </w:r>
          </w:p>
        </w:tc>
        <w:tc>
          <w:tcPr>
            <w:tcW w:w="426" w:type="dxa"/>
            <w:shd w:val="clear" w:color="auto" w:fill="C4EFCE"/>
            <w:noWrap/>
            <w:vAlign w:val="center"/>
            <w:hideMark/>
          </w:tcPr>
          <w:p w14:paraId="486D0174"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708" w:type="dxa"/>
            <w:shd w:val="clear" w:color="auto" w:fill="C4EFCE"/>
            <w:noWrap/>
            <w:vAlign w:val="center"/>
            <w:hideMark/>
          </w:tcPr>
          <w:p w14:paraId="18DDACC3" w14:textId="77777777" w:rsidR="00154AD2" w:rsidRDefault="007F6BF3">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0B3984B8" w14:textId="77777777" w:rsidR="00154AD2" w:rsidRDefault="007F6BF3">
            <w:pPr>
              <w:pStyle w:val="P68B1DB1-Normal8"/>
              <w:spacing w:after="0" w:line="240" w:lineRule="auto"/>
              <w:jc w:val="both"/>
              <w:rPr>
                <w:rFonts w:eastAsia="Times New Roman" w:cs="Calibri"/>
                <w:noProof/>
              </w:rPr>
            </w:pPr>
            <w:r>
              <w:rPr>
                <w:noProof/>
              </w:rPr>
              <w:t>Αριθμός νεοφυών επιχειρήσεων που χαρτογραφήθηκαν με τον προσδιορισμό των κύριων επιχειρηματικών χαρακτηριστικών τους στην πλατφόρμα Start-up Portugal. Η νέα πλατφόρμα παρακολουθεί το οικοσύστημα των νεοφυών επιχειρήσεων, ιδίως, μεταξύ άλλων, των επιχειρήσεων που βασίζονται στην ψηφιακή τεχνολογία. Η πλατφόρμα διατίθεται σε ολόκληρο το οικοσύστημα (νεοφυείς επιχειρήσεις, επενδυτές, επιταχυντές/εκκολαπτήρια, δημόσιοι φορείς).</w:t>
            </w:r>
          </w:p>
        </w:tc>
      </w:tr>
      <w:tr w:rsidR="00154AD2" w14:paraId="7350D2DA" w14:textId="77777777">
        <w:trPr>
          <w:trHeight w:val="840"/>
        </w:trPr>
        <w:tc>
          <w:tcPr>
            <w:tcW w:w="1135" w:type="dxa"/>
            <w:shd w:val="clear" w:color="auto" w:fill="C5EFCE"/>
            <w:vAlign w:val="center"/>
            <w:hideMark/>
          </w:tcPr>
          <w:p w14:paraId="33990609" w14:textId="77777777" w:rsidR="00154AD2" w:rsidRDefault="007F6BF3">
            <w:pPr>
              <w:pStyle w:val="P68B1DB1-Normal7"/>
              <w:spacing w:after="0" w:line="240" w:lineRule="auto"/>
              <w:jc w:val="center"/>
              <w:rPr>
                <w:rFonts w:eastAsia="Times New Roman" w:cs="Calibri"/>
                <w:noProof/>
              </w:rPr>
            </w:pPr>
            <w:r>
              <w:rPr>
                <w:noProof/>
              </w:rPr>
              <w:t>16.13</w:t>
            </w:r>
          </w:p>
        </w:tc>
        <w:tc>
          <w:tcPr>
            <w:tcW w:w="1276" w:type="dxa"/>
            <w:shd w:val="clear" w:color="auto" w:fill="C4EFCE"/>
            <w:noWrap/>
            <w:vAlign w:val="center"/>
            <w:hideMark/>
          </w:tcPr>
          <w:p w14:paraId="10894A09" w14:textId="77777777" w:rsidR="00154AD2" w:rsidRDefault="007F6BF3">
            <w:pPr>
              <w:pStyle w:val="P68B1DB1-Normal8"/>
              <w:spacing w:after="0" w:line="240" w:lineRule="auto"/>
              <w:jc w:val="center"/>
              <w:rPr>
                <w:rFonts w:eastAsia="Times New Roman" w:cs="Calibri"/>
                <w:noProof/>
              </w:rPr>
            </w:pPr>
            <w:r>
              <w:rPr>
                <w:noProof/>
              </w:rPr>
              <w:t>TD-C16-i03</w:t>
            </w:r>
          </w:p>
        </w:tc>
        <w:tc>
          <w:tcPr>
            <w:tcW w:w="1134" w:type="dxa"/>
            <w:shd w:val="clear" w:color="auto" w:fill="C4EFCE"/>
            <w:noWrap/>
            <w:vAlign w:val="center"/>
            <w:hideMark/>
          </w:tcPr>
          <w:p w14:paraId="7DE9E8AC"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190118A" w14:textId="77777777" w:rsidR="00154AD2" w:rsidRDefault="007F6BF3">
            <w:pPr>
              <w:pStyle w:val="P68B1DB1-Normal8"/>
              <w:spacing w:after="0" w:line="240" w:lineRule="auto"/>
              <w:jc w:val="center"/>
              <w:rPr>
                <w:rFonts w:eastAsia="Times New Roman" w:cs="Calibri"/>
                <w:noProof/>
              </w:rPr>
            </w:pPr>
            <w:r>
              <w:rPr>
                <w:noProof/>
              </w:rPr>
              <w:t xml:space="preserve">Κόμβοι ψηφιακής καινοτομίας (ΚΨΚ) </w:t>
            </w:r>
          </w:p>
        </w:tc>
        <w:tc>
          <w:tcPr>
            <w:tcW w:w="1275" w:type="dxa"/>
            <w:shd w:val="clear" w:color="auto" w:fill="C4EFCE"/>
            <w:noWrap/>
            <w:vAlign w:val="center"/>
            <w:hideMark/>
          </w:tcPr>
          <w:p w14:paraId="5EFD82C5" w14:textId="77777777" w:rsidR="00154AD2" w:rsidRDefault="007F6BF3">
            <w:pPr>
              <w:pStyle w:val="P68B1DB1-Normal9"/>
              <w:spacing w:after="0" w:line="240" w:lineRule="auto"/>
              <w:rPr>
                <w:rFonts w:eastAsia="Times New Roman" w:cs="Calibri"/>
                <w:noProof/>
              </w:rPr>
            </w:pPr>
            <w:r>
              <w:rPr>
                <w:noProof/>
              </w:rPr>
              <w:t> </w:t>
            </w:r>
          </w:p>
        </w:tc>
        <w:tc>
          <w:tcPr>
            <w:tcW w:w="993" w:type="dxa"/>
            <w:shd w:val="clear" w:color="auto" w:fill="C4EFCE"/>
            <w:noWrap/>
            <w:vAlign w:val="center"/>
            <w:hideMark/>
          </w:tcPr>
          <w:p w14:paraId="3E8E9CC7" w14:textId="77777777" w:rsidR="00154AD2" w:rsidRDefault="007F6BF3">
            <w:pPr>
              <w:pStyle w:val="P68B1DB1-Normal8"/>
              <w:spacing w:after="0" w:line="240" w:lineRule="auto"/>
              <w:jc w:val="center"/>
              <w:rPr>
                <w:rFonts w:eastAsia="Times New Roman" w:cs="Calibri"/>
                <w:noProof/>
              </w:rPr>
            </w:pPr>
            <w:r>
              <w:rPr>
                <w:noProof/>
              </w:rPr>
              <w:t> Αριθμός</w:t>
            </w:r>
          </w:p>
        </w:tc>
        <w:tc>
          <w:tcPr>
            <w:tcW w:w="992" w:type="dxa"/>
            <w:shd w:val="clear" w:color="auto" w:fill="C4EFCE"/>
            <w:noWrap/>
            <w:vAlign w:val="center"/>
            <w:hideMark/>
          </w:tcPr>
          <w:p w14:paraId="002156A3" w14:textId="77777777" w:rsidR="00154AD2" w:rsidRDefault="007F6BF3">
            <w:pPr>
              <w:pStyle w:val="P68B1DB1-Normal8"/>
              <w:spacing w:after="0" w:line="240" w:lineRule="auto"/>
              <w:jc w:val="center"/>
              <w:rPr>
                <w:rFonts w:eastAsia="Times New Roman" w:cs="Calibri"/>
                <w:noProof/>
              </w:rPr>
            </w:pPr>
            <w:r>
              <w:rPr>
                <w:noProof/>
              </w:rPr>
              <w:t>0 </w:t>
            </w:r>
          </w:p>
        </w:tc>
        <w:tc>
          <w:tcPr>
            <w:tcW w:w="850" w:type="dxa"/>
            <w:shd w:val="clear" w:color="auto" w:fill="C4EFCE"/>
            <w:noWrap/>
            <w:vAlign w:val="center"/>
            <w:hideMark/>
          </w:tcPr>
          <w:p w14:paraId="1A05649D" w14:textId="77777777" w:rsidR="00154AD2" w:rsidRDefault="007F6BF3">
            <w:pPr>
              <w:pStyle w:val="P68B1DB1-Normal8"/>
              <w:spacing w:after="0" w:line="240" w:lineRule="auto"/>
              <w:jc w:val="center"/>
              <w:rPr>
                <w:rFonts w:eastAsia="Times New Roman" w:cs="Calibri"/>
                <w:noProof/>
              </w:rPr>
            </w:pPr>
            <w:r>
              <w:rPr>
                <w:noProof/>
              </w:rPr>
              <w:t>16 </w:t>
            </w:r>
          </w:p>
        </w:tc>
        <w:tc>
          <w:tcPr>
            <w:tcW w:w="426" w:type="dxa"/>
            <w:shd w:val="clear" w:color="auto" w:fill="C4EFCE"/>
            <w:noWrap/>
            <w:vAlign w:val="center"/>
            <w:hideMark/>
          </w:tcPr>
          <w:p w14:paraId="5BF193C2"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5DBE4E93" w14:textId="77777777" w:rsidR="00154AD2" w:rsidRDefault="007F6BF3">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4DEDE547" w14:textId="77777777" w:rsidR="00154AD2" w:rsidRDefault="007F6BF3">
            <w:pPr>
              <w:pStyle w:val="P68B1DB1-Normal8"/>
              <w:spacing w:after="0" w:line="240" w:lineRule="auto"/>
              <w:jc w:val="both"/>
              <w:rPr>
                <w:rFonts w:eastAsia="Times New Roman" w:cs="Calibri"/>
                <w:noProof/>
              </w:rPr>
            </w:pPr>
            <w:r>
              <w:rPr>
                <w:noProof/>
              </w:rPr>
              <w:t xml:space="preserve">Αριθμός κοινοπραξιών ΚΨΚ που επιλέχθηκαν με την έγκριση των προσφορών. Η δημιουργία κάθε ΚΨΚ συνεπάγεται στη συνέχεια τη δημιουργία ενός εκκολαπτηρίου επιχειρήσεων/επιταχυντή για την προώθηση του επιχειρηματικού οικοσυστήματος που συνδέεται με τους τομείς που καλύπτονται από τον κόμβο. Η επένδυση αυτή θα ενισχύσει και θα συμπληρώσει το δίκτυο που βρίσκεται ήδη υπό ανάπτυξη στο πλαίσιο του προγράμματος «Ψηφιακή Ευρώπη». </w:t>
            </w:r>
          </w:p>
          <w:p w14:paraId="68D94C4B" w14:textId="6D8CCEFE" w:rsidR="00154AD2" w:rsidRDefault="007F6BF3">
            <w:pPr>
              <w:pStyle w:val="P68B1DB1-Normal8"/>
              <w:spacing w:after="0" w:line="240" w:lineRule="auto"/>
              <w:jc w:val="both"/>
              <w:rPr>
                <w:rFonts w:eastAsia="Times New Roman" w:cs="Calibri"/>
                <w:noProof/>
              </w:rPr>
            </w:pPr>
            <w:r>
              <w:rPr>
                <w:noProof/>
              </w:rPr>
              <w:t>Τα κριτήρια επιλογής διασφαλίζουν τη συμμόρφωση με την τεχνική καθοδήγηση σχετικά με την εφαρμογή της αρχής της «μη πρόκλησης σημαντικής βλάβης» (2021/C58/01) των υποστηριζόμενων συναλλαγών στο πλαίσιο του παρόντος μέτρου μέσω της χρήσης καταλόγου αποκλεισμού και την απαίτηση συμμόρφωσης με τη σχετική ενωσιακή και εθνική περιβαλλοντική νομοθεσία.</w:t>
            </w:r>
          </w:p>
        </w:tc>
      </w:tr>
      <w:tr w:rsidR="00154AD2" w14:paraId="79AB1DD3" w14:textId="77777777">
        <w:trPr>
          <w:trHeight w:val="1260"/>
        </w:trPr>
        <w:tc>
          <w:tcPr>
            <w:tcW w:w="1135" w:type="dxa"/>
            <w:shd w:val="clear" w:color="auto" w:fill="C5EFCE"/>
            <w:vAlign w:val="center"/>
            <w:hideMark/>
          </w:tcPr>
          <w:p w14:paraId="5646FF40" w14:textId="77777777" w:rsidR="00154AD2" w:rsidRDefault="007F6BF3">
            <w:pPr>
              <w:pStyle w:val="P68B1DB1-Normal7"/>
              <w:spacing w:after="0" w:line="240" w:lineRule="auto"/>
              <w:jc w:val="center"/>
              <w:rPr>
                <w:rFonts w:eastAsia="Times New Roman" w:cs="Calibri"/>
                <w:noProof/>
              </w:rPr>
            </w:pPr>
            <w:r>
              <w:rPr>
                <w:noProof/>
              </w:rPr>
              <w:t>16.14</w:t>
            </w:r>
          </w:p>
        </w:tc>
        <w:tc>
          <w:tcPr>
            <w:tcW w:w="1276" w:type="dxa"/>
            <w:shd w:val="clear" w:color="auto" w:fill="C4EFCE"/>
            <w:noWrap/>
            <w:vAlign w:val="center"/>
            <w:hideMark/>
          </w:tcPr>
          <w:p w14:paraId="7CBB2F82" w14:textId="77777777" w:rsidR="00154AD2" w:rsidRDefault="007F6BF3">
            <w:pPr>
              <w:pStyle w:val="P68B1DB1-Normal8"/>
              <w:spacing w:after="0" w:line="240" w:lineRule="auto"/>
              <w:jc w:val="center"/>
              <w:rPr>
                <w:rFonts w:eastAsia="Times New Roman" w:cs="Calibri"/>
                <w:noProof/>
              </w:rPr>
            </w:pPr>
            <w:r>
              <w:rPr>
                <w:noProof/>
              </w:rPr>
              <w:t>TD-C16-i03</w:t>
            </w:r>
          </w:p>
        </w:tc>
        <w:tc>
          <w:tcPr>
            <w:tcW w:w="1134" w:type="dxa"/>
            <w:shd w:val="clear" w:color="auto" w:fill="C4EFCE"/>
            <w:noWrap/>
            <w:vAlign w:val="center"/>
            <w:hideMark/>
          </w:tcPr>
          <w:p w14:paraId="341A98B2"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7B60B1E9" w14:textId="4F175647" w:rsidR="00154AD2" w:rsidRDefault="007F6BF3">
            <w:pPr>
              <w:pStyle w:val="P68B1DB1-Normal8"/>
              <w:spacing w:after="0" w:line="240" w:lineRule="auto"/>
              <w:jc w:val="center"/>
              <w:rPr>
                <w:rFonts w:eastAsia="Times New Roman" w:cs="Calibri"/>
                <w:noProof/>
              </w:rPr>
            </w:pPr>
            <w:r>
              <w:rPr>
                <w:noProof/>
              </w:rPr>
              <w:t>Δημιουργία υπηρεσιών για την αποστολή ψηφιακών τιμολογίων και πιστοποιήσεων κυβερνοασφάλειας, ιδιωτικότητας, χρηστικότητας και βιωσιμότητας</w:t>
            </w:r>
          </w:p>
        </w:tc>
        <w:tc>
          <w:tcPr>
            <w:tcW w:w="1275" w:type="dxa"/>
            <w:shd w:val="clear" w:color="auto" w:fill="C4EFCE"/>
            <w:noWrap/>
            <w:vAlign w:val="center"/>
            <w:hideMark/>
          </w:tcPr>
          <w:p w14:paraId="47964243" w14:textId="23D0FDDC" w:rsidR="00154AD2" w:rsidRDefault="007F6BF3">
            <w:pPr>
              <w:pStyle w:val="P68B1DB1-Normal8"/>
              <w:spacing w:after="0" w:line="240" w:lineRule="auto"/>
              <w:jc w:val="center"/>
              <w:rPr>
                <w:rFonts w:eastAsia="Times New Roman" w:cs="Calibri"/>
                <w:noProof/>
              </w:rPr>
            </w:pPr>
            <w:r>
              <w:rPr>
                <w:noProof/>
              </w:rPr>
              <w:t>Δημιουργία υπηρεσιών για την αποστολή ψηφιακών τιμολογίων και πιστοποιήσεων κυβερνοασφάλειας, ιδιωτικότητας, χρηστικότητας και βιωσιμότητας</w:t>
            </w:r>
          </w:p>
        </w:tc>
        <w:tc>
          <w:tcPr>
            <w:tcW w:w="993" w:type="dxa"/>
            <w:shd w:val="clear" w:color="auto" w:fill="C4EFCE"/>
            <w:noWrap/>
            <w:vAlign w:val="center"/>
            <w:hideMark/>
          </w:tcPr>
          <w:p w14:paraId="6A78DFAD" w14:textId="77777777" w:rsidR="00154AD2" w:rsidRDefault="007F6BF3">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3A29D9CC" w14:textId="77777777" w:rsidR="00154AD2" w:rsidRDefault="007F6BF3">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72953ACD" w14:textId="77777777" w:rsidR="00154AD2" w:rsidRDefault="007F6BF3">
            <w:pPr>
              <w:pStyle w:val="P68B1DB1-Normal8"/>
              <w:spacing w:after="0" w:line="240" w:lineRule="auto"/>
              <w:jc w:val="center"/>
              <w:rPr>
                <w:rFonts w:eastAsia="Times New Roman" w:cs="Calibri"/>
                <w:noProof/>
              </w:rPr>
            </w:pPr>
            <w:r>
              <w:rPr>
                <w:noProof/>
              </w:rPr>
              <w:t> </w:t>
            </w:r>
          </w:p>
        </w:tc>
        <w:tc>
          <w:tcPr>
            <w:tcW w:w="426" w:type="dxa"/>
            <w:shd w:val="clear" w:color="auto" w:fill="C4EFCE"/>
            <w:noWrap/>
            <w:vAlign w:val="center"/>
            <w:hideMark/>
          </w:tcPr>
          <w:p w14:paraId="61FDC68D"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5FB707A1" w14:textId="4D55CBE4" w:rsidR="00154AD2" w:rsidRDefault="007F6BF3">
            <w:pPr>
              <w:pStyle w:val="P68B1DB1-Normal8"/>
              <w:spacing w:after="0" w:line="240" w:lineRule="auto"/>
              <w:jc w:val="center"/>
              <w:rPr>
                <w:rFonts w:eastAsia="Times New Roman" w:cs="Calibri"/>
                <w:noProof/>
              </w:rPr>
            </w:pPr>
            <w:r>
              <w:rPr>
                <w:noProof/>
              </w:rPr>
              <w:t>2023</w:t>
            </w:r>
          </w:p>
        </w:tc>
        <w:tc>
          <w:tcPr>
            <w:tcW w:w="3969" w:type="dxa"/>
            <w:shd w:val="clear" w:color="auto" w:fill="C4EFCE"/>
            <w:vAlign w:val="center"/>
            <w:hideMark/>
          </w:tcPr>
          <w:p w14:paraId="47407F89" w14:textId="556CFAD8" w:rsidR="00154AD2" w:rsidRDefault="007F6BF3">
            <w:pPr>
              <w:pStyle w:val="P68B1DB1-Normal8"/>
              <w:spacing w:after="0" w:line="240" w:lineRule="auto"/>
              <w:jc w:val="both"/>
              <w:rPr>
                <w:rFonts w:eastAsia="Times New Roman" w:cs="Calibri"/>
                <w:noProof/>
              </w:rPr>
            </w:pPr>
            <w:r>
              <w:rPr>
                <w:noProof/>
              </w:rPr>
              <w:t xml:space="preserve">Θα δημιουργηθούν πέντε νέες υπηρεσίες για: 1) αποστολή ψηφιακών τιμολογίων· και 2) πιστοποίηση κυβερνοασφάλειας, 3) πιστοποίηση ιδιωτικότητας, 4) πιστοποίηση χρηστικότητας και 5) πιστοποίηση βιωσιμότητας· συμπεριλαμβανομένων των σχετικών εκστρατειών διάδοσης για όλες τις υπηρεσίες. Οι υπηρεσίες πιστοποίησης υποστηρίζουν τις αιτήσεις και την υποβολή αιτημάτων πιστοποίησης, τη διαχείριση διαδικασιών, την έκδοση και το κεντρικό αποθετήριο των εκδοθέντων πιστοποιητικών και σφραγίδων. Οι υπηρεσίες πιστοποίησης υποστηρίζουν επίσης την επικοινωνία μεταξύ όλων των εταίρων και των οντοτήτων που συμμετέχουν στις διαδικασίες, καθώς και την παραγωγή διαδικαστικών δεδομένων σχετικά με την παρακολούθηση του προγράμματος. </w:t>
            </w:r>
          </w:p>
          <w:p w14:paraId="0BACA7B9" w14:textId="50E00C55" w:rsidR="00154AD2" w:rsidRDefault="007F6BF3">
            <w:pPr>
              <w:pStyle w:val="P68B1DB1-Normal8"/>
              <w:spacing w:after="0" w:line="240" w:lineRule="auto"/>
              <w:jc w:val="both"/>
              <w:rPr>
                <w:rFonts w:eastAsia="Times New Roman" w:cs="Calibri"/>
                <w:noProof/>
              </w:rPr>
            </w:pPr>
            <w:r>
              <w:rPr>
                <w:noProof/>
              </w:rPr>
              <w:t>Οι υπηρεσίες πρέπει να είναι λειτουργικές και προσβάσιμες στους προβλεπόμενους χρήστες.</w:t>
            </w:r>
          </w:p>
        </w:tc>
      </w:tr>
      <w:tr w:rsidR="00154AD2" w14:paraId="6CC3F169" w14:textId="77777777">
        <w:trPr>
          <w:trHeight w:val="420"/>
        </w:trPr>
        <w:tc>
          <w:tcPr>
            <w:tcW w:w="1135" w:type="dxa"/>
            <w:shd w:val="clear" w:color="auto" w:fill="C5EFCE"/>
            <w:vAlign w:val="center"/>
            <w:hideMark/>
          </w:tcPr>
          <w:p w14:paraId="1DB80902" w14:textId="77777777" w:rsidR="00154AD2" w:rsidRDefault="007F6BF3">
            <w:pPr>
              <w:pStyle w:val="P68B1DB1-Normal7"/>
              <w:spacing w:after="0" w:line="240" w:lineRule="auto"/>
              <w:jc w:val="center"/>
              <w:rPr>
                <w:rFonts w:eastAsia="Times New Roman" w:cs="Calibri"/>
                <w:noProof/>
              </w:rPr>
            </w:pPr>
            <w:r>
              <w:rPr>
                <w:noProof/>
              </w:rPr>
              <w:t>16.15</w:t>
            </w:r>
          </w:p>
        </w:tc>
        <w:tc>
          <w:tcPr>
            <w:tcW w:w="1276" w:type="dxa"/>
            <w:shd w:val="clear" w:color="auto" w:fill="C4EFCE"/>
            <w:noWrap/>
            <w:vAlign w:val="center"/>
            <w:hideMark/>
          </w:tcPr>
          <w:p w14:paraId="383E4833" w14:textId="77777777" w:rsidR="00154AD2" w:rsidRDefault="007F6BF3">
            <w:pPr>
              <w:pStyle w:val="P68B1DB1-Normal8"/>
              <w:spacing w:after="0" w:line="240" w:lineRule="auto"/>
              <w:jc w:val="center"/>
              <w:rPr>
                <w:rFonts w:eastAsia="Times New Roman" w:cs="Calibri"/>
                <w:noProof/>
              </w:rPr>
            </w:pPr>
            <w:r>
              <w:rPr>
                <w:noProof/>
              </w:rPr>
              <w:t>TD-C16-i03</w:t>
            </w:r>
          </w:p>
        </w:tc>
        <w:tc>
          <w:tcPr>
            <w:tcW w:w="1134" w:type="dxa"/>
            <w:shd w:val="clear" w:color="auto" w:fill="C4EFCE"/>
            <w:noWrap/>
            <w:vAlign w:val="center"/>
            <w:hideMark/>
          </w:tcPr>
          <w:p w14:paraId="4864A864"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89CD254" w14:textId="77777777" w:rsidR="00154AD2" w:rsidRDefault="007F6BF3">
            <w:pPr>
              <w:pStyle w:val="P68B1DB1-Normal8"/>
              <w:spacing w:after="0" w:line="240" w:lineRule="auto"/>
              <w:jc w:val="center"/>
              <w:rPr>
                <w:rFonts w:eastAsia="Times New Roman" w:cs="Calibri"/>
                <w:noProof/>
              </w:rPr>
            </w:pPr>
            <w:r>
              <w:rPr>
                <w:noProof/>
              </w:rPr>
              <w:t xml:space="preserve">Δικαιούχοι συμβουλευτικών υπηρεσιών κόμβων ψηφιακής καινοτομίας </w:t>
            </w:r>
          </w:p>
        </w:tc>
        <w:tc>
          <w:tcPr>
            <w:tcW w:w="1275" w:type="dxa"/>
            <w:shd w:val="clear" w:color="auto" w:fill="C4EFCE"/>
            <w:noWrap/>
            <w:vAlign w:val="center"/>
            <w:hideMark/>
          </w:tcPr>
          <w:p w14:paraId="133DBDBB"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2A460E9"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3726AA67" w14:textId="77777777" w:rsidR="00154AD2" w:rsidRDefault="007F6BF3">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61641080" w14:textId="77777777" w:rsidR="00154AD2" w:rsidRDefault="007F6BF3">
            <w:pPr>
              <w:pStyle w:val="P68B1DB1-Normal8"/>
              <w:spacing w:after="0" w:line="240" w:lineRule="auto"/>
              <w:jc w:val="center"/>
              <w:rPr>
                <w:rFonts w:eastAsia="Times New Roman" w:cs="Calibri"/>
                <w:noProof/>
              </w:rPr>
            </w:pPr>
            <w:r>
              <w:rPr>
                <w:noProof/>
              </w:rPr>
              <w:t>4 000</w:t>
            </w:r>
          </w:p>
        </w:tc>
        <w:tc>
          <w:tcPr>
            <w:tcW w:w="426" w:type="dxa"/>
            <w:shd w:val="clear" w:color="auto" w:fill="C4EFCE"/>
            <w:noWrap/>
            <w:vAlign w:val="center"/>
            <w:hideMark/>
          </w:tcPr>
          <w:p w14:paraId="56D9EB98"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708" w:type="dxa"/>
            <w:shd w:val="clear" w:color="auto" w:fill="C4EFCE"/>
            <w:noWrap/>
            <w:vAlign w:val="center"/>
            <w:hideMark/>
          </w:tcPr>
          <w:p w14:paraId="0130120B" w14:textId="77777777" w:rsidR="00154AD2" w:rsidRDefault="007F6BF3">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1636AA94" w14:textId="0B784B8C" w:rsidR="00154AD2" w:rsidRDefault="007F6BF3">
            <w:pPr>
              <w:pStyle w:val="P68B1DB1-Normal8"/>
              <w:spacing w:after="0" w:line="240" w:lineRule="auto"/>
              <w:jc w:val="both"/>
              <w:rPr>
                <w:rFonts w:eastAsia="Times New Roman" w:cs="Calibri"/>
                <w:noProof/>
              </w:rPr>
            </w:pPr>
            <w:r>
              <w:rPr>
                <w:noProof/>
              </w:rPr>
              <w:t xml:space="preserve">Αριθμός εταιρειών και δημόσιων οντοτήτων που έλαβαν συμβουλευτικές υπηρεσίες από το δίκτυο κόμβων ψηφιακής καινοτομίας με σκοπό τη βελτίωση των γνώσεων και των διαδικασιών παραγωγής μέσω της αυτοματοποίησης ή της ενσωμάτωσης ανατρεπτικών τεχνολογιών. </w:t>
            </w:r>
          </w:p>
          <w:p w14:paraId="5AE72FC4" w14:textId="77777777" w:rsidR="00154AD2" w:rsidRDefault="00154AD2">
            <w:pPr>
              <w:spacing w:after="0" w:line="240" w:lineRule="auto"/>
              <w:jc w:val="both"/>
              <w:rPr>
                <w:rFonts w:ascii="Calibri" w:eastAsia="Times New Roman" w:hAnsi="Calibri" w:cs="Calibri"/>
                <w:noProof/>
                <w:sz w:val="16"/>
              </w:rPr>
            </w:pPr>
          </w:p>
          <w:p w14:paraId="2C30F216" w14:textId="36F5FEA4" w:rsidR="00154AD2" w:rsidRDefault="007F6BF3">
            <w:pPr>
              <w:pStyle w:val="P68B1DB1-Normal8"/>
              <w:spacing w:after="0" w:line="240" w:lineRule="auto"/>
              <w:jc w:val="both"/>
              <w:rPr>
                <w:rFonts w:eastAsia="Times New Roman" w:cs="Calibri"/>
                <w:noProof/>
              </w:rPr>
            </w:pPr>
            <w:r>
              <w:rPr>
                <w:noProof/>
              </w:rPr>
              <w:t>Τα κριτήρια επιλογής διασφαλίζουν τη συμμόρφωση με την τεχνική καθοδήγηση σχετικά με την εφαρμογή της αρχής της «μη πρόκλησης σημαντικής βλάβης» (2021/C58/01) των υποστηριζόμενων συναλλαγών στο πλαίσιο του παρόντος μέτρου μέσω της χρήσης καταλόγου αποκλεισμού και την απαίτηση συμμόρφωσης με τη σχετική ενωσιακή και εθνική περιβαλλοντική νομοθεσία.</w:t>
            </w:r>
          </w:p>
        </w:tc>
      </w:tr>
      <w:tr w:rsidR="00154AD2" w14:paraId="4304841E" w14:textId="77777777">
        <w:trPr>
          <w:trHeight w:val="420"/>
        </w:trPr>
        <w:tc>
          <w:tcPr>
            <w:tcW w:w="1135" w:type="dxa"/>
            <w:shd w:val="clear" w:color="auto" w:fill="C5EFCE"/>
            <w:vAlign w:val="center"/>
          </w:tcPr>
          <w:p w14:paraId="539E2D22" w14:textId="3A085AAA" w:rsidR="00154AD2" w:rsidRDefault="007F6BF3">
            <w:pPr>
              <w:pStyle w:val="P68B1DB1-Normal11"/>
              <w:spacing w:after="0" w:line="240" w:lineRule="auto"/>
              <w:jc w:val="center"/>
              <w:rPr>
                <w:rFonts w:eastAsia="Times New Roman"/>
                <w:noProof/>
              </w:rPr>
            </w:pPr>
            <w:r>
              <w:rPr>
                <w:noProof/>
              </w:rPr>
              <w:t>16.16</w:t>
            </w:r>
          </w:p>
        </w:tc>
        <w:tc>
          <w:tcPr>
            <w:tcW w:w="1276" w:type="dxa"/>
            <w:shd w:val="clear" w:color="auto" w:fill="C4EFCE"/>
            <w:noWrap/>
            <w:vAlign w:val="center"/>
          </w:tcPr>
          <w:p w14:paraId="763655D4" w14:textId="6D8AFDF4" w:rsidR="00154AD2" w:rsidRDefault="007F6BF3">
            <w:pPr>
              <w:pStyle w:val="P68B1DB1-Normal12"/>
              <w:spacing w:after="0" w:line="240" w:lineRule="auto"/>
              <w:jc w:val="center"/>
              <w:rPr>
                <w:rFonts w:eastAsia="Times New Roman"/>
                <w:noProof/>
              </w:rPr>
            </w:pPr>
            <w:r>
              <w:rPr>
                <w:noProof/>
              </w:rPr>
              <w:t>TD-C16-i04</w:t>
            </w:r>
          </w:p>
        </w:tc>
        <w:tc>
          <w:tcPr>
            <w:tcW w:w="1134" w:type="dxa"/>
            <w:shd w:val="clear" w:color="auto" w:fill="C4EFCE"/>
            <w:noWrap/>
            <w:vAlign w:val="center"/>
          </w:tcPr>
          <w:p w14:paraId="1D87961C" w14:textId="083D5D73" w:rsidR="00154AD2" w:rsidRDefault="007F6BF3">
            <w:pPr>
              <w:pStyle w:val="P68B1DB1-Normal12"/>
              <w:spacing w:after="0" w:line="240" w:lineRule="auto"/>
              <w:jc w:val="center"/>
              <w:rPr>
                <w:rFonts w:eastAsia="Times New Roman"/>
                <w:noProof/>
              </w:rPr>
            </w:pPr>
            <w:r>
              <w:rPr>
                <w:noProof/>
              </w:rPr>
              <w:t>T</w:t>
            </w:r>
          </w:p>
        </w:tc>
        <w:tc>
          <w:tcPr>
            <w:tcW w:w="1701" w:type="dxa"/>
            <w:shd w:val="clear" w:color="auto" w:fill="C4EFCE"/>
            <w:noWrap/>
            <w:vAlign w:val="center"/>
          </w:tcPr>
          <w:p w14:paraId="75967FD1" w14:textId="3536B628" w:rsidR="00154AD2" w:rsidRDefault="007F6BF3">
            <w:pPr>
              <w:pStyle w:val="P68B1DB1-Normal12"/>
              <w:spacing w:after="0" w:line="240" w:lineRule="auto"/>
              <w:jc w:val="center"/>
              <w:rPr>
                <w:rFonts w:eastAsia="Times New Roman"/>
                <w:noProof/>
              </w:rPr>
            </w:pPr>
            <w:r>
              <w:rPr>
                <w:noProof/>
              </w:rPr>
              <w:t>Επιλογή έργων της Βιομηχανίας 4.0</w:t>
            </w:r>
          </w:p>
        </w:tc>
        <w:tc>
          <w:tcPr>
            <w:tcW w:w="1275" w:type="dxa"/>
            <w:shd w:val="clear" w:color="auto" w:fill="C4EFCE"/>
            <w:noWrap/>
            <w:vAlign w:val="center"/>
          </w:tcPr>
          <w:p w14:paraId="29B2785A" w14:textId="77777777" w:rsidR="00154AD2" w:rsidRDefault="00154AD2">
            <w:pPr>
              <w:spacing w:after="0" w:line="240" w:lineRule="auto"/>
              <w:jc w:val="center"/>
              <w:rPr>
                <w:rFonts w:eastAsia="Times New Roman"/>
                <w:noProof/>
                <w:sz w:val="16"/>
              </w:rPr>
            </w:pPr>
          </w:p>
        </w:tc>
        <w:tc>
          <w:tcPr>
            <w:tcW w:w="993" w:type="dxa"/>
            <w:shd w:val="clear" w:color="auto" w:fill="C4EFCE"/>
            <w:noWrap/>
            <w:vAlign w:val="center"/>
          </w:tcPr>
          <w:p w14:paraId="3EBFDF40" w14:textId="0EF6EAE9" w:rsidR="00154AD2" w:rsidRDefault="007F6BF3">
            <w:pPr>
              <w:pStyle w:val="P68B1DB1-Normal12"/>
              <w:spacing w:after="0" w:line="240" w:lineRule="auto"/>
              <w:jc w:val="center"/>
              <w:rPr>
                <w:rFonts w:eastAsia="Times New Roman"/>
                <w:noProof/>
              </w:rPr>
            </w:pPr>
            <w:r>
              <w:rPr>
                <w:noProof/>
              </w:rPr>
              <w:t>Αριθμός</w:t>
            </w:r>
          </w:p>
        </w:tc>
        <w:tc>
          <w:tcPr>
            <w:tcW w:w="992" w:type="dxa"/>
            <w:shd w:val="clear" w:color="auto" w:fill="C4EFCE"/>
            <w:noWrap/>
            <w:vAlign w:val="center"/>
          </w:tcPr>
          <w:p w14:paraId="61E469D2" w14:textId="319E9FF9" w:rsidR="00154AD2" w:rsidRDefault="007F6BF3">
            <w:pPr>
              <w:pStyle w:val="P68B1DB1-Normal12"/>
              <w:spacing w:after="0" w:line="240" w:lineRule="auto"/>
              <w:jc w:val="center"/>
              <w:rPr>
                <w:rFonts w:eastAsia="Times New Roman"/>
                <w:noProof/>
              </w:rPr>
            </w:pPr>
            <w:r>
              <w:rPr>
                <w:noProof/>
              </w:rPr>
              <w:t>0</w:t>
            </w:r>
          </w:p>
        </w:tc>
        <w:tc>
          <w:tcPr>
            <w:tcW w:w="850" w:type="dxa"/>
            <w:shd w:val="clear" w:color="auto" w:fill="C4EFCE"/>
            <w:noWrap/>
            <w:vAlign w:val="center"/>
          </w:tcPr>
          <w:p w14:paraId="12BC99BF" w14:textId="2D6BD732" w:rsidR="00154AD2" w:rsidRDefault="007F6BF3">
            <w:pPr>
              <w:pStyle w:val="P68B1DB1-Normal12"/>
              <w:spacing w:after="0" w:line="240" w:lineRule="auto"/>
              <w:jc w:val="center"/>
              <w:rPr>
                <w:rFonts w:eastAsia="Times New Roman"/>
                <w:noProof/>
              </w:rPr>
            </w:pPr>
            <w:r>
              <w:rPr>
                <w:noProof/>
              </w:rPr>
              <w:t>200</w:t>
            </w:r>
          </w:p>
        </w:tc>
        <w:tc>
          <w:tcPr>
            <w:tcW w:w="426" w:type="dxa"/>
            <w:shd w:val="clear" w:color="auto" w:fill="C4EFCE"/>
            <w:noWrap/>
            <w:vAlign w:val="center"/>
          </w:tcPr>
          <w:p w14:paraId="686302E9" w14:textId="1D2B546F" w:rsidR="00154AD2" w:rsidRDefault="007F6BF3">
            <w:pPr>
              <w:pStyle w:val="P68B1DB1-Normal12"/>
              <w:spacing w:after="0" w:line="240" w:lineRule="auto"/>
              <w:jc w:val="center"/>
              <w:rPr>
                <w:rFonts w:eastAsia="Times New Roman"/>
                <w:noProof/>
              </w:rPr>
            </w:pPr>
            <w:r>
              <w:rPr>
                <w:noProof/>
              </w:rPr>
              <w:t>ΤΡΊΜΗΝΟ 4</w:t>
            </w:r>
          </w:p>
        </w:tc>
        <w:tc>
          <w:tcPr>
            <w:tcW w:w="708" w:type="dxa"/>
            <w:shd w:val="clear" w:color="auto" w:fill="C4EFCE"/>
            <w:noWrap/>
            <w:vAlign w:val="center"/>
          </w:tcPr>
          <w:p w14:paraId="39738C45" w14:textId="2252F3CD" w:rsidR="00154AD2" w:rsidRDefault="007F6BF3">
            <w:pPr>
              <w:pStyle w:val="P68B1DB1-Normal12"/>
              <w:spacing w:after="0" w:line="240" w:lineRule="auto"/>
              <w:jc w:val="center"/>
              <w:rPr>
                <w:rFonts w:eastAsia="Times New Roman"/>
                <w:noProof/>
              </w:rPr>
            </w:pPr>
            <w:r>
              <w:rPr>
                <w:noProof/>
              </w:rPr>
              <w:t>2023</w:t>
            </w:r>
          </w:p>
        </w:tc>
        <w:tc>
          <w:tcPr>
            <w:tcW w:w="3969" w:type="dxa"/>
            <w:shd w:val="clear" w:color="auto" w:fill="C4EFCE"/>
            <w:vAlign w:val="center"/>
          </w:tcPr>
          <w:p w14:paraId="635FD244" w14:textId="3B0DF872" w:rsidR="00154AD2" w:rsidRDefault="007F6BF3">
            <w:pPr>
              <w:pStyle w:val="P68B1DB1-Bodytext1013"/>
              <w:spacing w:after="0" w:line="240" w:lineRule="auto"/>
              <w:rPr>
                <w:rFonts w:cstheme="minorBidi"/>
                <w:noProof/>
              </w:rPr>
            </w:pPr>
            <w:r>
              <w:rPr>
                <w:noProof/>
              </w:rPr>
              <w:t>Επιλέγονται 200 έργα της βιομηχανίας 4.0. Τα έργα συμμορφώνονται με την τυπολογία των δράσεων που περιγράφεται στην περιγραφή του μέτρου.</w:t>
            </w:r>
          </w:p>
          <w:p w14:paraId="20D914ED" w14:textId="5E511421" w:rsidR="00154AD2" w:rsidRDefault="007F6BF3">
            <w:pPr>
              <w:pStyle w:val="P68B1DB1-Normal12"/>
              <w:spacing w:after="0" w:line="240" w:lineRule="auto"/>
              <w:jc w:val="both"/>
              <w:rPr>
                <w:rFonts w:eastAsia="Times New Roman"/>
                <w:noProof/>
              </w:rPr>
            </w:pPr>
            <w:r>
              <w:rPr>
                <w:noProof/>
              </w:rPr>
              <w:t>Τα κριτήρια επιλογής διασφαλίζουν τη συμμόρφωση με την τεχνική καθοδήγηση για την εφαρμογή της αρχής της «μη πρόκλησης σημαντικής βλάβης» (2021/C58/01) των υποστηριζόμενων συναλλαγών στο πλαίσιο του παρόντος μέτρου μέσω της χρήσης καταλόγου αποκλεισμού, όπως ορίζεται στην περιγραφή του μέτρου και της απαίτησης συμμόρφωσης με τη σχετική ενωσιακή και εθνική περιβαλλοντική νομοθεσία.</w:t>
            </w:r>
          </w:p>
        </w:tc>
      </w:tr>
      <w:tr w:rsidR="00154AD2" w14:paraId="46C66D80" w14:textId="77777777">
        <w:trPr>
          <w:trHeight w:val="420"/>
        </w:trPr>
        <w:tc>
          <w:tcPr>
            <w:tcW w:w="1135" w:type="dxa"/>
            <w:shd w:val="clear" w:color="auto" w:fill="C5EFCE"/>
            <w:vAlign w:val="center"/>
          </w:tcPr>
          <w:p w14:paraId="26F66ABE" w14:textId="545B5AF7" w:rsidR="00154AD2" w:rsidRDefault="007F6BF3">
            <w:pPr>
              <w:pStyle w:val="P68B1DB1-Normal11"/>
              <w:spacing w:after="0" w:line="240" w:lineRule="auto"/>
              <w:jc w:val="center"/>
              <w:rPr>
                <w:rFonts w:eastAsia="Times New Roman"/>
                <w:noProof/>
              </w:rPr>
            </w:pPr>
            <w:r>
              <w:rPr>
                <w:noProof/>
              </w:rPr>
              <w:t>16.17</w:t>
            </w:r>
          </w:p>
        </w:tc>
        <w:tc>
          <w:tcPr>
            <w:tcW w:w="1276" w:type="dxa"/>
            <w:shd w:val="clear" w:color="auto" w:fill="C4EFCE"/>
            <w:noWrap/>
            <w:vAlign w:val="center"/>
          </w:tcPr>
          <w:p w14:paraId="5669B910" w14:textId="4FBD872D" w:rsidR="00154AD2" w:rsidRDefault="007F6BF3">
            <w:pPr>
              <w:pStyle w:val="P68B1DB1-Normal12"/>
              <w:spacing w:after="0" w:line="240" w:lineRule="auto"/>
              <w:jc w:val="center"/>
              <w:rPr>
                <w:rFonts w:eastAsia="Times New Roman"/>
                <w:noProof/>
              </w:rPr>
            </w:pPr>
            <w:r>
              <w:rPr>
                <w:noProof/>
              </w:rPr>
              <w:t>TD-C16-i04</w:t>
            </w:r>
          </w:p>
        </w:tc>
        <w:tc>
          <w:tcPr>
            <w:tcW w:w="1134" w:type="dxa"/>
            <w:shd w:val="clear" w:color="auto" w:fill="C4EFCE"/>
            <w:noWrap/>
            <w:vAlign w:val="center"/>
          </w:tcPr>
          <w:p w14:paraId="30ED83F0" w14:textId="34F7B432" w:rsidR="00154AD2" w:rsidRDefault="007F6BF3">
            <w:pPr>
              <w:pStyle w:val="P68B1DB1-Normal12"/>
              <w:spacing w:after="0" w:line="240" w:lineRule="auto"/>
              <w:jc w:val="center"/>
              <w:rPr>
                <w:rFonts w:eastAsia="Times New Roman"/>
                <w:noProof/>
              </w:rPr>
            </w:pPr>
            <w:r>
              <w:rPr>
                <w:noProof/>
              </w:rPr>
              <w:t>T</w:t>
            </w:r>
          </w:p>
        </w:tc>
        <w:tc>
          <w:tcPr>
            <w:tcW w:w="1701" w:type="dxa"/>
            <w:shd w:val="clear" w:color="auto" w:fill="C4EFCE"/>
            <w:noWrap/>
            <w:vAlign w:val="center"/>
          </w:tcPr>
          <w:p w14:paraId="22EB61F6" w14:textId="1577C572" w:rsidR="00154AD2" w:rsidRDefault="007F6BF3">
            <w:pPr>
              <w:pStyle w:val="P68B1DB1-Bodytext1013"/>
              <w:rPr>
                <w:rFonts w:cstheme="minorBidi"/>
                <w:noProof/>
              </w:rPr>
            </w:pPr>
            <w:r>
              <w:rPr>
                <w:noProof/>
              </w:rPr>
              <w:t>Ολοκλήρωση των έργων «Βιομηχανία 4.0»</w:t>
            </w:r>
          </w:p>
        </w:tc>
        <w:tc>
          <w:tcPr>
            <w:tcW w:w="1275" w:type="dxa"/>
            <w:shd w:val="clear" w:color="auto" w:fill="C4EFCE"/>
            <w:noWrap/>
            <w:vAlign w:val="center"/>
          </w:tcPr>
          <w:p w14:paraId="3B19D0B1" w14:textId="77777777" w:rsidR="00154AD2" w:rsidRDefault="00154AD2">
            <w:pPr>
              <w:spacing w:after="0" w:line="240" w:lineRule="auto"/>
              <w:jc w:val="center"/>
              <w:rPr>
                <w:rFonts w:eastAsia="Times New Roman"/>
                <w:noProof/>
                <w:sz w:val="16"/>
              </w:rPr>
            </w:pPr>
          </w:p>
        </w:tc>
        <w:tc>
          <w:tcPr>
            <w:tcW w:w="993" w:type="dxa"/>
            <w:shd w:val="clear" w:color="auto" w:fill="C4EFCE"/>
            <w:noWrap/>
            <w:vAlign w:val="center"/>
          </w:tcPr>
          <w:p w14:paraId="6867E439" w14:textId="38FE02BE" w:rsidR="00154AD2" w:rsidRDefault="007F6BF3">
            <w:pPr>
              <w:pStyle w:val="P68B1DB1-Normal12"/>
              <w:spacing w:after="0" w:line="240" w:lineRule="auto"/>
              <w:jc w:val="center"/>
              <w:rPr>
                <w:rFonts w:eastAsia="Times New Roman"/>
                <w:noProof/>
              </w:rPr>
            </w:pPr>
            <w:r>
              <w:rPr>
                <w:noProof/>
              </w:rPr>
              <w:t>Αριθμός</w:t>
            </w:r>
          </w:p>
        </w:tc>
        <w:tc>
          <w:tcPr>
            <w:tcW w:w="992" w:type="dxa"/>
            <w:shd w:val="clear" w:color="auto" w:fill="C4EFCE"/>
            <w:noWrap/>
            <w:vAlign w:val="center"/>
          </w:tcPr>
          <w:p w14:paraId="74AB5B4F" w14:textId="03BC0992" w:rsidR="00154AD2" w:rsidRDefault="007F6BF3">
            <w:pPr>
              <w:pStyle w:val="P68B1DB1-Normal12"/>
              <w:spacing w:after="0" w:line="240" w:lineRule="auto"/>
              <w:jc w:val="center"/>
              <w:rPr>
                <w:rFonts w:eastAsia="Times New Roman"/>
                <w:noProof/>
              </w:rPr>
            </w:pPr>
            <w:r>
              <w:rPr>
                <w:noProof/>
              </w:rPr>
              <w:t>0</w:t>
            </w:r>
          </w:p>
        </w:tc>
        <w:tc>
          <w:tcPr>
            <w:tcW w:w="850" w:type="dxa"/>
            <w:shd w:val="clear" w:color="auto" w:fill="C4EFCE"/>
            <w:noWrap/>
            <w:vAlign w:val="center"/>
          </w:tcPr>
          <w:p w14:paraId="6CDAE886" w14:textId="5FC7D1A5" w:rsidR="00154AD2" w:rsidRDefault="007F6BF3">
            <w:pPr>
              <w:pStyle w:val="P68B1DB1-Normal12"/>
              <w:spacing w:after="0" w:line="240" w:lineRule="auto"/>
              <w:jc w:val="center"/>
              <w:rPr>
                <w:rFonts w:eastAsia="Times New Roman"/>
                <w:noProof/>
              </w:rPr>
            </w:pPr>
            <w:r>
              <w:rPr>
                <w:noProof/>
              </w:rPr>
              <w:t>200</w:t>
            </w:r>
          </w:p>
        </w:tc>
        <w:tc>
          <w:tcPr>
            <w:tcW w:w="426" w:type="dxa"/>
            <w:shd w:val="clear" w:color="auto" w:fill="C4EFCE"/>
            <w:noWrap/>
            <w:vAlign w:val="center"/>
          </w:tcPr>
          <w:p w14:paraId="25173C37" w14:textId="0FC29C35" w:rsidR="00154AD2" w:rsidRDefault="007F6BF3">
            <w:pPr>
              <w:pStyle w:val="P68B1DB1-Normal12"/>
              <w:spacing w:after="0" w:line="240" w:lineRule="auto"/>
              <w:jc w:val="center"/>
              <w:rPr>
                <w:rFonts w:eastAsia="Times New Roman"/>
                <w:noProof/>
              </w:rPr>
            </w:pPr>
            <w:r>
              <w:rPr>
                <w:noProof/>
              </w:rPr>
              <w:t>ΤΡΊΜΗΝΟ 4</w:t>
            </w:r>
          </w:p>
        </w:tc>
        <w:tc>
          <w:tcPr>
            <w:tcW w:w="708" w:type="dxa"/>
            <w:shd w:val="clear" w:color="auto" w:fill="C4EFCE"/>
            <w:noWrap/>
            <w:vAlign w:val="center"/>
          </w:tcPr>
          <w:p w14:paraId="076DD43D" w14:textId="37EF5AFF" w:rsidR="00154AD2" w:rsidRDefault="007F6BF3">
            <w:pPr>
              <w:pStyle w:val="P68B1DB1-Normal12"/>
              <w:spacing w:after="0" w:line="240" w:lineRule="auto"/>
              <w:jc w:val="center"/>
              <w:rPr>
                <w:rFonts w:eastAsia="Times New Roman"/>
                <w:noProof/>
              </w:rPr>
            </w:pPr>
            <w:r>
              <w:rPr>
                <w:noProof/>
              </w:rPr>
              <w:t>2025</w:t>
            </w:r>
          </w:p>
        </w:tc>
        <w:tc>
          <w:tcPr>
            <w:tcW w:w="3969" w:type="dxa"/>
            <w:shd w:val="clear" w:color="auto" w:fill="C4EFCE"/>
            <w:vAlign w:val="center"/>
          </w:tcPr>
          <w:p w14:paraId="1B73DBDD" w14:textId="54C9FED3" w:rsidR="00154AD2" w:rsidRDefault="007F6BF3">
            <w:pPr>
              <w:pStyle w:val="P68B1DB1-Bodytext1013"/>
              <w:spacing w:after="0" w:line="240" w:lineRule="auto"/>
              <w:jc w:val="both"/>
              <w:rPr>
                <w:rFonts w:cstheme="minorBidi"/>
                <w:noProof/>
              </w:rPr>
            </w:pPr>
            <w:r>
              <w:rPr>
                <w:noProof/>
              </w:rPr>
              <w:t>200 έργα της βιομηχανίας 4.0 θα ολοκληρωθούν. Τα έργα συμμορφώνονται με την τυπολογία των δράσεων που περιγράφεται στην περιγραφή του μέτρου.</w:t>
            </w:r>
          </w:p>
        </w:tc>
      </w:tr>
      <w:tr w:rsidR="00154AD2" w14:paraId="69BB9BE5" w14:textId="77777777">
        <w:trPr>
          <w:trHeight w:val="420"/>
        </w:trPr>
        <w:tc>
          <w:tcPr>
            <w:tcW w:w="1135" w:type="dxa"/>
            <w:shd w:val="clear" w:color="auto" w:fill="C5EFCE"/>
            <w:vAlign w:val="center"/>
          </w:tcPr>
          <w:p w14:paraId="4E63D694" w14:textId="76E3D32E" w:rsidR="00154AD2" w:rsidRDefault="007F6BF3">
            <w:pPr>
              <w:pStyle w:val="P68B1DB1-Normal11"/>
              <w:spacing w:after="0" w:line="240" w:lineRule="auto"/>
              <w:jc w:val="center"/>
              <w:rPr>
                <w:rFonts w:eastAsia="Times New Roman"/>
                <w:noProof/>
              </w:rPr>
            </w:pPr>
            <w:r>
              <w:rPr>
                <w:noProof/>
              </w:rPr>
              <w:t>16.18</w:t>
            </w:r>
          </w:p>
        </w:tc>
        <w:tc>
          <w:tcPr>
            <w:tcW w:w="1276" w:type="dxa"/>
            <w:shd w:val="clear" w:color="auto" w:fill="C4EFCE"/>
            <w:noWrap/>
            <w:vAlign w:val="center"/>
          </w:tcPr>
          <w:p w14:paraId="672BD7BC" w14:textId="1D2975A9" w:rsidR="00154AD2" w:rsidRDefault="007F6BF3">
            <w:pPr>
              <w:pStyle w:val="P68B1DB1-Normal12"/>
              <w:spacing w:after="0" w:line="240" w:lineRule="auto"/>
              <w:jc w:val="center"/>
              <w:rPr>
                <w:rFonts w:eastAsia="Times New Roman"/>
                <w:noProof/>
              </w:rPr>
            </w:pPr>
            <w:r>
              <w:rPr>
                <w:noProof/>
              </w:rPr>
              <w:t>TD-C16-i05-RAA</w:t>
            </w:r>
          </w:p>
        </w:tc>
        <w:tc>
          <w:tcPr>
            <w:tcW w:w="1134" w:type="dxa"/>
            <w:shd w:val="clear" w:color="auto" w:fill="C4EFCE"/>
            <w:noWrap/>
            <w:vAlign w:val="center"/>
          </w:tcPr>
          <w:p w14:paraId="18003DB0" w14:textId="5A93A83D" w:rsidR="00154AD2" w:rsidRDefault="007F6BF3">
            <w:pPr>
              <w:pStyle w:val="P68B1DB1-Normal12"/>
              <w:spacing w:after="0" w:line="240" w:lineRule="auto"/>
              <w:jc w:val="center"/>
              <w:rPr>
                <w:rFonts w:eastAsia="Times New Roman"/>
                <w:noProof/>
              </w:rPr>
            </w:pPr>
            <w:r>
              <w:rPr>
                <w:noProof/>
              </w:rPr>
              <w:t>T</w:t>
            </w:r>
          </w:p>
        </w:tc>
        <w:tc>
          <w:tcPr>
            <w:tcW w:w="1701" w:type="dxa"/>
            <w:shd w:val="clear" w:color="auto" w:fill="C4EFCE"/>
            <w:noWrap/>
            <w:vAlign w:val="center"/>
          </w:tcPr>
          <w:p w14:paraId="5C4B3C1D" w14:textId="1FCEFD83" w:rsidR="00154AD2" w:rsidRDefault="007F6BF3">
            <w:pPr>
              <w:pStyle w:val="P68B1DB1-Normal12"/>
              <w:spacing w:after="0" w:line="240" w:lineRule="auto"/>
              <w:jc w:val="center"/>
              <w:rPr>
                <w:noProof/>
              </w:rPr>
            </w:pPr>
            <w:r>
              <w:rPr>
                <w:noProof/>
              </w:rPr>
              <w:t>Αριθμός ολοκληρωμένων έργων στο πλαίσιο του συστήματος κινήτρων για την ψηφιακή μετάβαση των επιχειρήσεων</w:t>
            </w:r>
          </w:p>
        </w:tc>
        <w:tc>
          <w:tcPr>
            <w:tcW w:w="1275" w:type="dxa"/>
            <w:shd w:val="clear" w:color="auto" w:fill="C4EFCE"/>
            <w:noWrap/>
            <w:vAlign w:val="center"/>
          </w:tcPr>
          <w:p w14:paraId="4D4E00B2" w14:textId="77777777" w:rsidR="00154AD2" w:rsidRDefault="00154AD2">
            <w:pPr>
              <w:spacing w:after="0" w:line="240" w:lineRule="auto"/>
              <w:jc w:val="center"/>
              <w:rPr>
                <w:noProof/>
                <w:sz w:val="16"/>
              </w:rPr>
            </w:pPr>
          </w:p>
        </w:tc>
        <w:tc>
          <w:tcPr>
            <w:tcW w:w="993" w:type="dxa"/>
            <w:shd w:val="clear" w:color="auto" w:fill="C4EFCE"/>
            <w:noWrap/>
            <w:vAlign w:val="center"/>
          </w:tcPr>
          <w:p w14:paraId="447D968A" w14:textId="302D8EBB" w:rsidR="00154AD2" w:rsidRDefault="007F6BF3">
            <w:pPr>
              <w:pStyle w:val="P68B1DB1-Normal12"/>
              <w:spacing w:after="0" w:line="240" w:lineRule="auto"/>
              <w:jc w:val="center"/>
              <w:rPr>
                <w:rFonts w:eastAsia="Times New Roman"/>
                <w:noProof/>
              </w:rPr>
            </w:pPr>
            <w:r>
              <w:rPr>
                <w:noProof/>
              </w:rPr>
              <w:t>Αριθμός</w:t>
            </w:r>
          </w:p>
        </w:tc>
        <w:tc>
          <w:tcPr>
            <w:tcW w:w="992" w:type="dxa"/>
            <w:shd w:val="clear" w:color="auto" w:fill="C4EFCE"/>
            <w:noWrap/>
            <w:vAlign w:val="center"/>
          </w:tcPr>
          <w:p w14:paraId="2104F8DD" w14:textId="5EC972A0" w:rsidR="00154AD2" w:rsidRDefault="007F6BF3">
            <w:pPr>
              <w:pStyle w:val="P68B1DB1-Normal12"/>
              <w:spacing w:after="0" w:line="240" w:lineRule="auto"/>
              <w:jc w:val="center"/>
              <w:rPr>
                <w:rFonts w:eastAsia="Times New Roman"/>
                <w:noProof/>
              </w:rPr>
            </w:pPr>
            <w:r>
              <w:rPr>
                <w:noProof/>
              </w:rPr>
              <w:t>0</w:t>
            </w:r>
          </w:p>
        </w:tc>
        <w:tc>
          <w:tcPr>
            <w:tcW w:w="850" w:type="dxa"/>
            <w:shd w:val="clear" w:color="auto" w:fill="C4EFCE"/>
            <w:noWrap/>
            <w:vAlign w:val="center"/>
          </w:tcPr>
          <w:p w14:paraId="56CBE9C3" w14:textId="713F4408" w:rsidR="00154AD2" w:rsidRDefault="007F6BF3">
            <w:pPr>
              <w:pStyle w:val="P68B1DB1-Normal12"/>
              <w:spacing w:after="0" w:line="240" w:lineRule="auto"/>
              <w:jc w:val="center"/>
              <w:rPr>
                <w:rFonts w:eastAsia="Times New Roman"/>
                <w:noProof/>
              </w:rPr>
            </w:pPr>
            <w:r>
              <w:rPr>
                <w:noProof/>
              </w:rPr>
              <w:t>350</w:t>
            </w:r>
          </w:p>
        </w:tc>
        <w:tc>
          <w:tcPr>
            <w:tcW w:w="426" w:type="dxa"/>
            <w:shd w:val="clear" w:color="auto" w:fill="C4EFCE"/>
            <w:noWrap/>
            <w:vAlign w:val="center"/>
          </w:tcPr>
          <w:p w14:paraId="67D3AF82" w14:textId="2B6F454B" w:rsidR="00154AD2" w:rsidRDefault="007F6BF3">
            <w:pPr>
              <w:pStyle w:val="P68B1DB1-Normal12"/>
              <w:spacing w:after="0" w:line="240" w:lineRule="auto"/>
              <w:jc w:val="center"/>
              <w:rPr>
                <w:rFonts w:eastAsia="Times New Roman"/>
                <w:noProof/>
              </w:rPr>
            </w:pPr>
            <w:r>
              <w:rPr>
                <w:noProof/>
              </w:rPr>
              <w:t>ΤΡΊΜΗΝΟ 2</w:t>
            </w:r>
          </w:p>
        </w:tc>
        <w:tc>
          <w:tcPr>
            <w:tcW w:w="708" w:type="dxa"/>
            <w:shd w:val="clear" w:color="auto" w:fill="C4EFCE"/>
            <w:noWrap/>
            <w:vAlign w:val="center"/>
          </w:tcPr>
          <w:p w14:paraId="3F010DFB" w14:textId="14DE7404" w:rsidR="00154AD2" w:rsidRDefault="007F6BF3">
            <w:pPr>
              <w:pStyle w:val="P68B1DB1-Normal12"/>
              <w:spacing w:after="0" w:line="240" w:lineRule="auto"/>
              <w:jc w:val="center"/>
              <w:rPr>
                <w:rFonts w:eastAsia="Times New Roman"/>
                <w:noProof/>
              </w:rPr>
            </w:pPr>
            <w:r>
              <w:rPr>
                <w:noProof/>
              </w:rPr>
              <w:t>2026</w:t>
            </w:r>
          </w:p>
        </w:tc>
        <w:tc>
          <w:tcPr>
            <w:tcW w:w="3969" w:type="dxa"/>
            <w:shd w:val="clear" w:color="auto" w:fill="C4EFCE"/>
            <w:vAlign w:val="center"/>
          </w:tcPr>
          <w:p w14:paraId="26822469" w14:textId="3E45E6E1" w:rsidR="00154AD2" w:rsidRDefault="007F6BF3">
            <w:pPr>
              <w:pStyle w:val="P68B1DB1-Bodytext1013"/>
              <w:spacing w:after="0" w:line="240" w:lineRule="auto"/>
              <w:jc w:val="both"/>
              <w:rPr>
                <w:rFonts w:cstheme="minorBidi"/>
                <w:noProof/>
              </w:rPr>
            </w:pPr>
            <w:r>
              <w:rPr>
                <w:noProof/>
              </w:rPr>
              <w:t>350 έργα θα ολοκληρωθούν στο πλαίσιο του συστήματος κινήτρων για την ψηφιακή μετάβαση των επιχειρήσεων. Τα σχέδια συμμορφώνονται με την τυπολογία των δράσεων που περιγράφονται στη γραμμή δράσης 1, στη γραμμή δράσης 2 ή στη γραμμή δράσης 3 στην περιγραφή του μέτρου.</w:t>
            </w:r>
          </w:p>
        </w:tc>
      </w:tr>
      <w:tr w:rsidR="00154AD2" w14:paraId="2E682C8F" w14:textId="77777777">
        <w:trPr>
          <w:trHeight w:val="420"/>
        </w:trPr>
        <w:tc>
          <w:tcPr>
            <w:tcW w:w="1135" w:type="dxa"/>
            <w:shd w:val="clear" w:color="auto" w:fill="C5EFCE"/>
            <w:vAlign w:val="center"/>
          </w:tcPr>
          <w:p w14:paraId="380A2F8F" w14:textId="66F3324C" w:rsidR="00154AD2" w:rsidRDefault="007F6BF3">
            <w:pPr>
              <w:pStyle w:val="P68B1DB1-Normal11"/>
              <w:spacing w:after="0" w:line="240" w:lineRule="auto"/>
              <w:jc w:val="center"/>
              <w:rPr>
                <w:rFonts w:eastAsia="Times New Roman"/>
                <w:noProof/>
              </w:rPr>
            </w:pPr>
            <w:r>
              <w:rPr>
                <w:noProof/>
              </w:rPr>
              <w:t>16.19</w:t>
            </w:r>
          </w:p>
        </w:tc>
        <w:tc>
          <w:tcPr>
            <w:tcW w:w="1276" w:type="dxa"/>
            <w:shd w:val="clear" w:color="auto" w:fill="C4EFCE"/>
            <w:noWrap/>
            <w:vAlign w:val="center"/>
          </w:tcPr>
          <w:p w14:paraId="79CF44D5" w14:textId="1ADD6940" w:rsidR="00154AD2" w:rsidRDefault="007F6BF3">
            <w:pPr>
              <w:pStyle w:val="P68B1DB1-Normal12"/>
              <w:spacing w:after="0" w:line="240" w:lineRule="auto"/>
              <w:jc w:val="center"/>
              <w:rPr>
                <w:rFonts w:eastAsia="Times New Roman"/>
                <w:noProof/>
              </w:rPr>
            </w:pPr>
            <w:r>
              <w:rPr>
                <w:noProof/>
              </w:rPr>
              <w:t>TD-C16-i05-RAA</w:t>
            </w:r>
          </w:p>
        </w:tc>
        <w:tc>
          <w:tcPr>
            <w:tcW w:w="1134" w:type="dxa"/>
            <w:shd w:val="clear" w:color="auto" w:fill="C4EFCE"/>
            <w:noWrap/>
            <w:vAlign w:val="center"/>
          </w:tcPr>
          <w:p w14:paraId="1F908EF3" w14:textId="2500FFAF" w:rsidR="00154AD2" w:rsidRDefault="007F6BF3">
            <w:pPr>
              <w:pStyle w:val="P68B1DB1-Normal12"/>
              <w:spacing w:after="0" w:line="240" w:lineRule="auto"/>
              <w:jc w:val="center"/>
              <w:rPr>
                <w:rFonts w:eastAsia="Times New Roman"/>
                <w:noProof/>
              </w:rPr>
            </w:pPr>
            <w:r>
              <w:rPr>
                <w:noProof/>
              </w:rPr>
              <w:t>M</w:t>
            </w:r>
          </w:p>
        </w:tc>
        <w:tc>
          <w:tcPr>
            <w:tcW w:w="1701" w:type="dxa"/>
            <w:shd w:val="clear" w:color="auto" w:fill="C4EFCE"/>
            <w:noWrap/>
            <w:vAlign w:val="center"/>
          </w:tcPr>
          <w:p w14:paraId="07C8C597" w14:textId="27719A8B" w:rsidR="00154AD2" w:rsidRDefault="007F6BF3">
            <w:pPr>
              <w:pStyle w:val="P68B1DB1-Normal12"/>
              <w:spacing w:after="0" w:line="240" w:lineRule="auto"/>
              <w:jc w:val="center"/>
              <w:rPr>
                <w:rFonts w:eastAsia="Times New Roman"/>
                <w:noProof/>
              </w:rPr>
            </w:pPr>
            <w:r>
              <w:rPr>
                <w:noProof/>
              </w:rPr>
              <w:t>Επέκταση ή εξοπλισμός των επιστημονικών και τεχνολογικών πάρκων</w:t>
            </w:r>
          </w:p>
        </w:tc>
        <w:tc>
          <w:tcPr>
            <w:tcW w:w="1275" w:type="dxa"/>
            <w:shd w:val="clear" w:color="auto" w:fill="C4EFCE"/>
            <w:noWrap/>
            <w:vAlign w:val="center"/>
          </w:tcPr>
          <w:p w14:paraId="3C50E602" w14:textId="4C429DB6" w:rsidR="00154AD2" w:rsidRDefault="007F6BF3">
            <w:pPr>
              <w:pStyle w:val="P68B1DB1-Normal12"/>
              <w:spacing w:after="0" w:line="240" w:lineRule="auto"/>
              <w:jc w:val="center"/>
              <w:rPr>
                <w:rFonts w:eastAsia="Times New Roman"/>
                <w:noProof/>
              </w:rPr>
            </w:pPr>
            <w:r>
              <w:rPr>
                <w:noProof/>
              </w:rPr>
              <w:t>Εγκατάσταση υποδομής δικτύου και υπολογιστικής και κατασκευή κτιρίου</w:t>
            </w:r>
          </w:p>
        </w:tc>
        <w:tc>
          <w:tcPr>
            <w:tcW w:w="993" w:type="dxa"/>
            <w:shd w:val="clear" w:color="auto" w:fill="C4EFCE"/>
            <w:noWrap/>
            <w:vAlign w:val="center"/>
          </w:tcPr>
          <w:p w14:paraId="06949E64" w14:textId="379E29AD" w:rsidR="00154AD2" w:rsidRDefault="00154AD2">
            <w:pPr>
              <w:spacing w:after="0" w:line="240" w:lineRule="auto"/>
              <w:jc w:val="center"/>
              <w:rPr>
                <w:noProof/>
                <w:sz w:val="16"/>
              </w:rPr>
            </w:pPr>
          </w:p>
        </w:tc>
        <w:tc>
          <w:tcPr>
            <w:tcW w:w="992" w:type="dxa"/>
            <w:shd w:val="clear" w:color="auto" w:fill="C4EFCE"/>
            <w:noWrap/>
            <w:vAlign w:val="center"/>
          </w:tcPr>
          <w:p w14:paraId="0E8D16A2" w14:textId="6A47AB65" w:rsidR="00154AD2" w:rsidRDefault="00154AD2">
            <w:pPr>
              <w:spacing w:after="0" w:line="240" w:lineRule="auto"/>
              <w:jc w:val="center"/>
              <w:rPr>
                <w:noProof/>
                <w:sz w:val="16"/>
              </w:rPr>
            </w:pPr>
          </w:p>
        </w:tc>
        <w:tc>
          <w:tcPr>
            <w:tcW w:w="850" w:type="dxa"/>
            <w:shd w:val="clear" w:color="auto" w:fill="C4EFCE"/>
            <w:noWrap/>
            <w:vAlign w:val="center"/>
          </w:tcPr>
          <w:p w14:paraId="55A9F016" w14:textId="3D8C3522" w:rsidR="00154AD2" w:rsidRDefault="00154AD2">
            <w:pPr>
              <w:spacing w:after="0" w:line="240" w:lineRule="auto"/>
              <w:jc w:val="center"/>
              <w:rPr>
                <w:noProof/>
                <w:sz w:val="16"/>
              </w:rPr>
            </w:pPr>
          </w:p>
        </w:tc>
        <w:tc>
          <w:tcPr>
            <w:tcW w:w="426" w:type="dxa"/>
            <w:shd w:val="clear" w:color="auto" w:fill="C4EFCE"/>
            <w:noWrap/>
            <w:vAlign w:val="center"/>
          </w:tcPr>
          <w:p w14:paraId="736C4E69" w14:textId="0EFE5CFF" w:rsidR="00154AD2" w:rsidRDefault="007F6BF3">
            <w:pPr>
              <w:pStyle w:val="P68B1DB1-Normal12"/>
              <w:spacing w:after="0" w:line="240" w:lineRule="auto"/>
              <w:jc w:val="center"/>
              <w:rPr>
                <w:rFonts w:eastAsia="Times New Roman"/>
                <w:noProof/>
              </w:rPr>
            </w:pPr>
            <w:r>
              <w:rPr>
                <w:noProof/>
              </w:rPr>
              <w:t>ΤΡΊΜΗΝΟ 2</w:t>
            </w:r>
          </w:p>
        </w:tc>
        <w:tc>
          <w:tcPr>
            <w:tcW w:w="708" w:type="dxa"/>
            <w:shd w:val="clear" w:color="auto" w:fill="C4EFCE"/>
            <w:noWrap/>
            <w:vAlign w:val="center"/>
          </w:tcPr>
          <w:p w14:paraId="1D090ADB" w14:textId="4F4266E5" w:rsidR="00154AD2" w:rsidRDefault="007F6BF3">
            <w:pPr>
              <w:pStyle w:val="P68B1DB1-Normal12"/>
              <w:spacing w:after="0" w:line="240" w:lineRule="auto"/>
              <w:jc w:val="center"/>
              <w:rPr>
                <w:rFonts w:eastAsia="Times New Roman"/>
                <w:noProof/>
              </w:rPr>
            </w:pPr>
            <w:r>
              <w:rPr>
                <w:noProof/>
              </w:rPr>
              <w:t>2026</w:t>
            </w:r>
          </w:p>
        </w:tc>
        <w:tc>
          <w:tcPr>
            <w:tcW w:w="3969" w:type="dxa"/>
            <w:shd w:val="clear" w:color="auto" w:fill="C4EFCE"/>
          </w:tcPr>
          <w:p w14:paraId="7EF23F02" w14:textId="5B5C41B8" w:rsidR="00154AD2" w:rsidRDefault="007F6BF3">
            <w:pPr>
              <w:pStyle w:val="P68B1DB1-Normal12"/>
              <w:spacing w:after="0" w:line="240" w:lineRule="auto"/>
              <w:jc w:val="both"/>
              <w:rPr>
                <w:rFonts w:eastAsia="Times New Roman"/>
                <w:noProof/>
              </w:rPr>
            </w:pPr>
            <w:r>
              <w:rPr>
                <w:noProof/>
              </w:rPr>
              <w:t>Στο επιστημονικό και τεχνολογικό πάρκο Nonangon θα εγκατασταθούν νέα στοιχεία υποδομής δικτύου και πληροφορικής (υλισμικό) και θα κατασκευαστεί νέο ενεργειακά αποδοτικό κτίριο περίπου 878 τετραγωνικών μέτρων στο επιστημονικό και τεχνολογικό πάρκο Terinov. Τα νέα κτίρια έχουν ζήτηση πρωτογενούς ενέργειας τουλάχιστον 20 % χαμηλότερη από τις απαιτήσεις των κτιρίων με σχεδόν μηδενική κατανάλωση ενέργειας. Οι ανακαινίσεις ενεργειακής απόδοσης επιτυγχάνουν, κατά μέσο όρο, τουλάχιστον μεσαίας κλίμακας ανακαίνιση, όπως ορίζεται στη σύσταση της Επιτροπής για την ανακαίνιση κτιρίων (ΕΕ) 2019/786.</w:t>
            </w:r>
          </w:p>
        </w:tc>
      </w:tr>
      <w:tr w:rsidR="00154AD2" w14:paraId="1BB3C3E0" w14:textId="77777777">
        <w:trPr>
          <w:trHeight w:val="420"/>
        </w:trPr>
        <w:tc>
          <w:tcPr>
            <w:tcW w:w="1135" w:type="dxa"/>
            <w:shd w:val="clear" w:color="auto" w:fill="C5EFCE"/>
            <w:vAlign w:val="center"/>
          </w:tcPr>
          <w:p w14:paraId="6422BF72" w14:textId="48224803" w:rsidR="00154AD2" w:rsidRDefault="007F6BF3">
            <w:pPr>
              <w:pStyle w:val="P68B1DB1-Normal11"/>
              <w:spacing w:after="0" w:line="240" w:lineRule="auto"/>
              <w:jc w:val="center"/>
              <w:rPr>
                <w:rFonts w:eastAsia="Times New Roman"/>
                <w:noProof/>
              </w:rPr>
            </w:pPr>
            <w:r>
              <w:rPr>
                <w:noProof/>
              </w:rPr>
              <w:t>16.20</w:t>
            </w:r>
          </w:p>
        </w:tc>
        <w:tc>
          <w:tcPr>
            <w:tcW w:w="1276" w:type="dxa"/>
            <w:shd w:val="clear" w:color="auto" w:fill="C4EFCE"/>
            <w:noWrap/>
            <w:vAlign w:val="center"/>
          </w:tcPr>
          <w:p w14:paraId="241755ED" w14:textId="663183C3" w:rsidR="00154AD2" w:rsidRDefault="007F6BF3">
            <w:pPr>
              <w:pStyle w:val="P68B1DB1-Normal12"/>
              <w:spacing w:after="0" w:line="240" w:lineRule="auto"/>
              <w:jc w:val="center"/>
              <w:rPr>
                <w:rFonts w:eastAsia="Times New Roman"/>
                <w:noProof/>
              </w:rPr>
            </w:pPr>
            <w:r>
              <w:rPr>
                <w:noProof/>
              </w:rPr>
              <w:t>TD-C16-i06-RAM</w:t>
            </w:r>
          </w:p>
        </w:tc>
        <w:tc>
          <w:tcPr>
            <w:tcW w:w="1134" w:type="dxa"/>
            <w:shd w:val="clear" w:color="auto" w:fill="C4EFCE"/>
            <w:noWrap/>
            <w:vAlign w:val="center"/>
          </w:tcPr>
          <w:p w14:paraId="2E4832F3" w14:textId="1498C687" w:rsidR="00154AD2" w:rsidRDefault="007F6BF3">
            <w:pPr>
              <w:pStyle w:val="P68B1DB1-Normal12"/>
              <w:spacing w:after="0" w:line="240" w:lineRule="auto"/>
              <w:jc w:val="center"/>
              <w:rPr>
                <w:rFonts w:eastAsia="Times New Roman"/>
                <w:noProof/>
              </w:rPr>
            </w:pPr>
            <w:r>
              <w:rPr>
                <w:noProof/>
              </w:rPr>
              <w:t>T</w:t>
            </w:r>
          </w:p>
        </w:tc>
        <w:tc>
          <w:tcPr>
            <w:tcW w:w="1701" w:type="dxa"/>
            <w:shd w:val="clear" w:color="auto" w:fill="C4EFCE"/>
            <w:noWrap/>
            <w:vAlign w:val="center"/>
          </w:tcPr>
          <w:p w14:paraId="22D7638E" w14:textId="1AB722F4" w:rsidR="00154AD2" w:rsidRDefault="007F6BF3">
            <w:pPr>
              <w:pStyle w:val="P68B1DB1-Normal12"/>
              <w:spacing w:after="0" w:line="240" w:lineRule="auto"/>
              <w:jc w:val="center"/>
              <w:rPr>
                <w:rFonts w:eastAsia="Times New Roman"/>
                <w:noProof/>
              </w:rPr>
            </w:pPr>
            <w:r>
              <w:rPr>
                <w:noProof/>
              </w:rPr>
              <w:t>Επιχείρηση 4.0</w:t>
            </w:r>
          </w:p>
        </w:tc>
        <w:tc>
          <w:tcPr>
            <w:tcW w:w="1275" w:type="dxa"/>
            <w:shd w:val="clear" w:color="auto" w:fill="C4EFCE"/>
            <w:noWrap/>
            <w:vAlign w:val="center"/>
          </w:tcPr>
          <w:p w14:paraId="3C12F8CE" w14:textId="77777777" w:rsidR="00154AD2" w:rsidRDefault="00154AD2">
            <w:pPr>
              <w:spacing w:after="0" w:line="240" w:lineRule="auto"/>
              <w:jc w:val="center"/>
              <w:rPr>
                <w:rFonts w:eastAsia="Times New Roman"/>
                <w:noProof/>
                <w:sz w:val="16"/>
              </w:rPr>
            </w:pPr>
          </w:p>
        </w:tc>
        <w:tc>
          <w:tcPr>
            <w:tcW w:w="993" w:type="dxa"/>
            <w:shd w:val="clear" w:color="auto" w:fill="C4EFCE"/>
            <w:noWrap/>
            <w:vAlign w:val="center"/>
          </w:tcPr>
          <w:p w14:paraId="3EDFD5D8" w14:textId="0DAE7C66" w:rsidR="00154AD2" w:rsidRDefault="007F6BF3">
            <w:pPr>
              <w:pStyle w:val="P68B1DB1-Normal12"/>
              <w:spacing w:after="0" w:line="240" w:lineRule="auto"/>
              <w:jc w:val="center"/>
              <w:rPr>
                <w:rFonts w:eastAsia="Times New Roman"/>
                <w:noProof/>
              </w:rPr>
            </w:pPr>
            <w:r>
              <w:rPr>
                <w:noProof/>
              </w:rPr>
              <w:t>Αριθμός</w:t>
            </w:r>
          </w:p>
        </w:tc>
        <w:tc>
          <w:tcPr>
            <w:tcW w:w="992" w:type="dxa"/>
            <w:shd w:val="clear" w:color="auto" w:fill="C4EFCE"/>
            <w:noWrap/>
            <w:vAlign w:val="center"/>
          </w:tcPr>
          <w:p w14:paraId="2C1BA599" w14:textId="79E71A0F" w:rsidR="00154AD2" w:rsidRDefault="007F6BF3">
            <w:pPr>
              <w:pStyle w:val="P68B1DB1-Normal12"/>
              <w:spacing w:after="0" w:line="240" w:lineRule="auto"/>
              <w:jc w:val="center"/>
              <w:rPr>
                <w:rFonts w:eastAsia="Times New Roman"/>
                <w:noProof/>
              </w:rPr>
            </w:pPr>
            <w:r>
              <w:rPr>
                <w:noProof/>
              </w:rPr>
              <w:t>0</w:t>
            </w:r>
          </w:p>
        </w:tc>
        <w:tc>
          <w:tcPr>
            <w:tcW w:w="850" w:type="dxa"/>
            <w:shd w:val="clear" w:color="auto" w:fill="C4EFCE"/>
            <w:noWrap/>
            <w:vAlign w:val="center"/>
          </w:tcPr>
          <w:p w14:paraId="3BACA82A" w14:textId="31DFBCD1" w:rsidR="00154AD2" w:rsidRDefault="007F6BF3">
            <w:pPr>
              <w:pStyle w:val="P68B1DB1-Normal12"/>
              <w:spacing w:after="0" w:line="240" w:lineRule="auto"/>
              <w:jc w:val="center"/>
              <w:rPr>
                <w:rFonts w:eastAsia="Times New Roman"/>
                <w:noProof/>
              </w:rPr>
            </w:pPr>
            <w:r>
              <w:rPr>
                <w:noProof/>
              </w:rPr>
              <w:t>300</w:t>
            </w:r>
          </w:p>
        </w:tc>
        <w:tc>
          <w:tcPr>
            <w:tcW w:w="426" w:type="dxa"/>
            <w:shd w:val="clear" w:color="auto" w:fill="C4EFCE"/>
            <w:noWrap/>
            <w:vAlign w:val="center"/>
          </w:tcPr>
          <w:p w14:paraId="69BC14F8" w14:textId="02E6162D" w:rsidR="00154AD2" w:rsidRDefault="007F6BF3">
            <w:pPr>
              <w:pStyle w:val="P68B1DB1-Normal12"/>
              <w:spacing w:after="0" w:line="240" w:lineRule="auto"/>
              <w:jc w:val="center"/>
              <w:rPr>
                <w:rFonts w:eastAsia="Times New Roman"/>
                <w:noProof/>
              </w:rPr>
            </w:pPr>
            <w:r>
              <w:rPr>
                <w:noProof/>
              </w:rPr>
              <w:t>ΤΡΊΜΗΝΟ 4</w:t>
            </w:r>
          </w:p>
        </w:tc>
        <w:tc>
          <w:tcPr>
            <w:tcW w:w="708" w:type="dxa"/>
            <w:shd w:val="clear" w:color="auto" w:fill="C4EFCE"/>
            <w:noWrap/>
            <w:vAlign w:val="center"/>
          </w:tcPr>
          <w:p w14:paraId="6F7D5365" w14:textId="2233F5B5" w:rsidR="00154AD2" w:rsidRDefault="007F6BF3">
            <w:pPr>
              <w:pStyle w:val="P68B1DB1-Normal12"/>
              <w:spacing w:after="0" w:line="240" w:lineRule="auto"/>
              <w:jc w:val="center"/>
              <w:rPr>
                <w:rFonts w:eastAsia="Times New Roman"/>
                <w:noProof/>
              </w:rPr>
            </w:pPr>
            <w:r>
              <w:rPr>
                <w:noProof/>
              </w:rPr>
              <w:t>2025</w:t>
            </w:r>
          </w:p>
        </w:tc>
        <w:tc>
          <w:tcPr>
            <w:tcW w:w="3969" w:type="dxa"/>
            <w:shd w:val="clear" w:color="auto" w:fill="C4EFCE"/>
            <w:vAlign w:val="center"/>
          </w:tcPr>
          <w:p w14:paraId="20DC7735" w14:textId="02E207D5" w:rsidR="00154AD2" w:rsidRDefault="007F6BF3">
            <w:pPr>
              <w:pStyle w:val="P68B1DB1-Bodytext1013"/>
              <w:spacing w:after="0" w:line="240" w:lineRule="auto"/>
              <w:rPr>
                <w:rFonts w:cstheme="minorBidi"/>
                <w:noProof/>
              </w:rPr>
            </w:pPr>
            <w:r>
              <w:rPr>
                <w:noProof/>
              </w:rPr>
              <w:t>Θα ολοκληρωθούν 300 έργα ψηφιοποίησης για τις ΜΜΕ. Τα έργα συνίστανται στην ανάπτυξη ή την αγορά υλικών ή άυλων στοιχείων ενεργητικού που συνδέονται άμεσα με την επένδυση στην ψηφιακή μετάβαση.</w:t>
            </w:r>
          </w:p>
          <w:p w14:paraId="35F539B6" w14:textId="02E207D5" w:rsidR="00154AD2" w:rsidRDefault="007F6BF3">
            <w:pPr>
              <w:pStyle w:val="P68B1DB1-Normal12"/>
              <w:spacing w:after="0" w:line="240" w:lineRule="auto"/>
              <w:jc w:val="both"/>
              <w:rPr>
                <w:rFonts w:eastAsia="Times New Roman"/>
                <w:noProof/>
              </w:rPr>
            </w:pPr>
            <w:r>
              <w:rPr>
                <w:noProof/>
              </w:rPr>
              <w:t>Τα κριτήρια επιλογής διασφαλίζουν τη συμμόρφωση με την τεχνική καθοδήγηση για την εφαρμογή της αρχής της «μη πρόκλησης σημαντικής βλάβης» (2021/C58/01) των υποστηριζόμενων συναλλαγών στο πλαίσιο του παρόντος μέτρου μέσω της χρήσης καταλόγου αποκλεισμού, όπως ορίζεται στην περιγραφή του μέτρου και της απαίτησης συμμόρφωσης με τη σχετική ενωσιακή και εθνική περιβαλλοντική νομοθεσία.</w:t>
            </w:r>
          </w:p>
        </w:tc>
      </w:tr>
    </w:tbl>
    <w:p w14:paraId="4E8D9638" w14:textId="77777777" w:rsidR="00154AD2" w:rsidRDefault="00154AD2">
      <w:pPr>
        <w:spacing w:before="40" w:after="0" w:line="259" w:lineRule="auto"/>
        <w:jc w:val="both"/>
        <w:rPr>
          <w:rFonts w:ascii="Times New Roman" w:eastAsiaTheme="minorEastAsia" w:hAnsi="Times New Roman" w:cs="Times New Roman"/>
          <w:noProof/>
          <w:sz w:val="24"/>
          <w:u w:val="single"/>
        </w:rPr>
      </w:pPr>
    </w:p>
    <w:p w14:paraId="0AC9B701" w14:textId="77777777" w:rsidR="00154AD2" w:rsidRDefault="00154AD2">
      <w:pPr>
        <w:spacing w:before="40" w:after="0" w:line="259" w:lineRule="auto"/>
        <w:ind w:left="130" w:firstLine="720"/>
        <w:jc w:val="both"/>
        <w:outlineLvl w:val="1"/>
        <w:rPr>
          <w:rFonts w:ascii="Times New Roman" w:eastAsiaTheme="minorEastAsia" w:hAnsi="Times New Roman" w:cs="Times New Roman"/>
          <w:b/>
          <w:noProof/>
          <w:sz w:val="24"/>
          <w:u w:val="single"/>
        </w:rPr>
        <w:sectPr w:rsidR="00154AD2" w:rsidSect="00E00EDD">
          <w:headerReference w:type="even" r:id="rId312"/>
          <w:headerReference w:type="default" r:id="rId313"/>
          <w:footerReference w:type="even" r:id="rId314"/>
          <w:footerReference w:type="default" r:id="rId315"/>
          <w:headerReference w:type="first" r:id="rId316"/>
          <w:footerReference w:type="first" r:id="rId317"/>
          <w:pgSz w:w="16839" w:h="11907" w:orient="landscape"/>
          <w:pgMar w:top="1134" w:right="1134" w:bottom="1134" w:left="1134" w:header="567" w:footer="567" w:gutter="0"/>
          <w:cols w:space="720"/>
          <w:docGrid w:linePitch="360"/>
        </w:sectPr>
      </w:pPr>
    </w:p>
    <w:p w14:paraId="777E4EB1" w14:textId="77777777" w:rsidR="00154AD2" w:rsidRDefault="007F6BF3">
      <w:pPr>
        <w:pStyle w:val="P68B1DB1-Normal3"/>
        <w:spacing w:before="40" w:after="0" w:line="259" w:lineRule="auto"/>
        <w:ind w:left="130" w:firstLine="720"/>
        <w:jc w:val="both"/>
        <w:outlineLvl w:val="1"/>
        <w:rPr>
          <w:rFonts w:eastAsiaTheme="minorEastAsia" w:cs="Times New Roman"/>
          <w:noProof/>
        </w:rPr>
      </w:pPr>
      <w:r>
        <w:rPr>
          <w:noProof/>
        </w:rPr>
        <w:t>ΙΖ</w:t>
      </w:r>
      <w:r>
        <w:rPr>
          <w:smallCaps/>
          <w:noProof/>
        </w:rPr>
        <w:t>. ΣΥΝΙΣΤΏΣΑ 1</w:t>
      </w:r>
      <w:r>
        <w:rPr>
          <w:noProof/>
        </w:rPr>
        <w:t>7</w:t>
      </w:r>
      <w:r>
        <w:rPr>
          <w:smallCaps/>
          <w:noProof/>
        </w:rPr>
        <w:t xml:space="preserve">: </w:t>
      </w:r>
      <w:r>
        <w:rPr>
          <w:noProof/>
        </w:rPr>
        <w:t>Ποιότητα και βιωσιμότητα των δημόσιων οικονομικών</w:t>
      </w:r>
    </w:p>
    <w:p w14:paraId="439DD862" w14:textId="77777777" w:rsidR="00154AD2" w:rsidRDefault="007F6BF3">
      <w:pPr>
        <w:pStyle w:val="P68B1DB1-Normal4"/>
        <w:spacing w:before="40" w:after="0" w:line="259" w:lineRule="auto"/>
        <w:jc w:val="both"/>
        <w:rPr>
          <w:rFonts w:eastAsiaTheme="minorEastAsia" w:cs="Times New Roman"/>
          <w:noProof/>
        </w:rPr>
      </w:pPr>
      <w:r>
        <w:rPr>
          <w:noProof/>
        </w:rPr>
        <w:t>Η συνιστώσα αντιμετωπίζει προκλήσεις που σχετίζονται με τον υψηλό δείκτη δημόσιου χρέους ως προς το ΑΕΠ της Πορτογαλίας, ο οποίος επιδεινώθηκε περαιτέρω λόγω της κρίσης COVID-19. Το μέγεθος του δείκτη δημόσιου χρέους προς το ΑΕΠ της Πορτογαλίας περιορίζει τα διαθέσιμα δημοσιονομικά περιθώρια και, όταν το επιτρέψουν οι οικονομικές συνθήκες, καθιστά αναγκαία τη διασφάλιση της δημοσιονομικής βιωσιμότητας μεσοπρόθεσμα. Στο πλαίσιο αυτό, οι ισχυρότερες συνθήκες πλαισίου για τη δημοσιονομική πολιτική αναμένεται να συμβάλουν σε μια πιο φιλική προς την ανάπτυξη πορεία για ισχυρότερη δημοσιονομική βιωσιμότητα.</w:t>
      </w:r>
    </w:p>
    <w:p w14:paraId="1982F9A7" w14:textId="77777777" w:rsidR="00154AD2" w:rsidRDefault="007F6BF3">
      <w:pPr>
        <w:pStyle w:val="P68B1DB1-Normal4"/>
        <w:spacing w:before="40" w:after="120" w:line="259" w:lineRule="auto"/>
        <w:jc w:val="both"/>
        <w:rPr>
          <w:rFonts w:eastAsiaTheme="minorEastAsia" w:cs="Times New Roman"/>
          <w:noProof/>
        </w:rPr>
      </w:pPr>
      <w:r>
        <w:rPr>
          <w:noProof/>
        </w:rPr>
        <w:t>Στόχος της συνιστώσας είναι η ενίσχυση της διαχείρισης των δημόσιων οικονομικών στην Πορτογαλία και η γεφύρωση των υφιστάμενων κενών στις δημοσιονομικές-διαρθρωτικές μεταρρυθμίσεις. Μεταξύ άλλων, οι στόχοι αυτοί περιλαμβάνουν:</w:t>
      </w:r>
    </w:p>
    <w:p w14:paraId="50B02B2C" w14:textId="77777777" w:rsidR="00154AD2" w:rsidRDefault="007F6BF3">
      <w:pPr>
        <w:pStyle w:val="P68B1DB1-Normal4"/>
        <w:keepNext/>
        <w:numPr>
          <w:ilvl w:val="0"/>
          <w:numId w:val="61"/>
        </w:numPr>
        <w:spacing w:before="40" w:after="160" w:line="259" w:lineRule="auto"/>
        <w:contextualSpacing/>
        <w:jc w:val="both"/>
        <w:rPr>
          <w:rFonts w:eastAsiaTheme="minorEastAsia" w:cs="Times New Roman"/>
          <w:noProof/>
        </w:rPr>
      </w:pPr>
      <w:r>
        <w:rPr>
          <w:noProof/>
        </w:rPr>
        <w:t xml:space="preserve">υλοποίηση της πλήρους και αποτελεσματικής εφαρμογής του νόμου για το δημοσιονομικό πλαίσιο του 2015 και των συναφών διαρθρωτικών αλλαγών όσον αφορά την κατάρτιση του προϋπολογισμού, τη λογιστική και τα συστήματα πληροφοριών· </w:t>
      </w:r>
    </w:p>
    <w:p w14:paraId="117516F8" w14:textId="77777777" w:rsidR="00154AD2" w:rsidRDefault="007F6BF3">
      <w:pPr>
        <w:pStyle w:val="P68B1DB1-Normal4"/>
        <w:keepNext/>
        <w:numPr>
          <w:ilvl w:val="0"/>
          <w:numId w:val="61"/>
        </w:numPr>
        <w:spacing w:before="40" w:after="160" w:line="259" w:lineRule="auto"/>
        <w:contextualSpacing/>
        <w:jc w:val="both"/>
        <w:rPr>
          <w:rFonts w:eastAsiaTheme="minorEastAsia" w:cs="Times New Roman"/>
          <w:noProof/>
        </w:rPr>
      </w:pPr>
      <w:r>
        <w:rPr>
          <w:noProof/>
        </w:rPr>
        <w:t xml:space="preserve">αύξηση της εξοικονόμησης αποδοτικότητας μέσω της μεγαλύτερης υιοθέτησης κεντρικών διαδικασιών σύναψης συμβάσεων και επανεξετάσεων των δαπανών, οι οποίες προβλέπεται να ενσωματωθούν στην τακτική διαδικασία του προϋπολογισμού και να υπόκεινται σε συστηματικές </w:t>
      </w:r>
      <w:r>
        <w:rPr>
          <w:i/>
          <w:noProof/>
        </w:rPr>
        <w:t>εκ των υστέρων</w:t>
      </w:r>
      <w:r>
        <w:rPr>
          <w:noProof/>
        </w:rPr>
        <w:t xml:space="preserve"> αξιολογήσεις·</w:t>
      </w:r>
    </w:p>
    <w:p w14:paraId="53FEF5B8" w14:textId="77777777" w:rsidR="00154AD2" w:rsidRDefault="007F6BF3">
      <w:pPr>
        <w:pStyle w:val="P68B1DB1-Normal4"/>
        <w:keepNext/>
        <w:numPr>
          <w:ilvl w:val="0"/>
          <w:numId w:val="61"/>
        </w:numPr>
        <w:spacing w:before="40" w:after="160" w:line="259" w:lineRule="auto"/>
        <w:contextualSpacing/>
        <w:jc w:val="both"/>
        <w:rPr>
          <w:rFonts w:eastAsiaTheme="minorEastAsia" w:cs="Times New Roman"/>
          <w:noProof/>
        </w:rPr>
      </w:pPr>
      <w:r>
        <w:rPr>
          <w:noProof/>
        </w:rPr>
        <w:t>βελτίωση των οικονομικών επιδόσεων των κρατικών επιχειρήσεων μέσω μεγαλύτερης διαφάνειας, ενισχυμένης παρακολούθησης και ισχυρότερης διακυβέρνησης, με τη διοίκηση να είναι πιο υπεύθυνη και προσανατολισμένη στις επιδόσεις· και,</w:t>
      </w:r>
    </w:p>
    <w:p w14:paraId="77257493" w14:textId="77777777" w:rsidR="00154AD2" w:rsidRDefault="007F6BF3">
      <w:pPr>
        <w:pStyle w:val="P68B1DB1-Normal4"/>
        <w:keepNext/>
        <w:numPr>
          <w:ilvl w:val="0"/>
          <w:numId w:val="61"/>
        </w:numPr>
        <w:spacing w:before="40" w:after="160" w:line="259" w:lineRule="auto"/>
        <w:contextualSpacing/>
        <w:jc w:val="both"/>
        <w:rPr>
          <w:rFonts w:eastAsiaTheme="minorEastAsia" w:cs="Times New Roman"/>
          <w:noProof/>
        </w:rPr>
      </w:pPr>
      <w:r>
        <w:rPr>
          <w:noProof/>
        </w:rPr>
        <w:t>ενίσχυση της αποτελεσματικότητας της φορολογικής διοίκησης — συμπεριλαμβανομένων τόσο της φορολογικής και τελωνειακής αρχής όσο και των υπηρεσιών κοινωνικής ασφάλισης — μέσω της αξιοποίησης των διαθέσιμων δυνατοτήτων για μεγαλύτερη ψηφιοποίηση και φιλικότητα προς τις επιχειρήσεις.</w:t>
      </w:r>
    </w:p>
    <w:p w14:paraId="0D3AD004" w14:textId="7EC49C9D" w:rsidR="00154AD2" w:rsidRDefault="007F6BF3">
      <w:pPr>
        <w:pStyle w:val="P68B1DB1-Normal4"/>
        <w:spacing w:before="40" w:after="120" w:line="259" w:lineRule="auto"/>
        <w:jc w:val="both"/>
        <w:rPr>
          <w:rFonts w:eastAsiaTheme="minorEastAsia" w:cs="Times New Roman"/>
          <w:noProof/>
        </w:rPr>
      </w:pPr>
      <w:r>
        <w:rPr>
          <w:noProof/>
        </w:rPr>
        <w:t>Η συνιστώσα συμβάλλει στην εφαρμογή της ειδικής ανά χώρα σύστασης για τη βελτίωση της ποιότητας των δημόσιων οικονομικών, ενισχύοντας παράλληλα τον συνολικό έλεγχο των δαπανών, την οικονομική αποδοτικότητα και την επαρκή κατάρτιση του προϋπολογισμού (ειδική ανά χώρα σύσταση 1 2019), τη σύσταση για τη βελτίωση της οικονομικής βιωσιμότητας των κρατικών επιχειρήσεων, διασφαλίζοντας παράλληλα πιο έγκαιρη, διαφανή και ολοκληρωμένη παρακολούθηση (ειδική ανά χώρα σύσταση 1 2019), τη σύσταση, όταν το επιτρέψουν οι οικονομικές συνθήκες, την εφαρμογή δημοσιονομικών πολιτικών που αποσκοπούν στην επίτευξη συνετής μεσοπρόθεσμης δημοσιονομικής θέσης και τη διασφάλιση της βιωσιμότητας του χρέους (ειδική ανά χώρα σύσταση 1 2020) και τη σύσταση για βελτίωση της αποτελεσματικότητας του φορολογικού συστήματος, ιδίως δίνοντας προτεραιότητα στην απλούστευση του πλαισίου του (ειδικές ανά χώρα συστάσεις 1 2022 και 2023). Η συνιστώσα συμβάλλει επίσης στην εφαρμογή της ειδικής ανά χώρα σύστασης για την εστίαση των επενδύσεων στην ψηφιακή μετάβαση (ειδική ανά χώρα σύσταση 3 2020).</w:t>
      </w:r>
    </w:p>
    <w:p w14:paraId="6610EC5D" w14:textId="77777777" w:rsidR="00154AD2" w:rsidRDefault="007F6BF3">
      <w:pPr>
        <w:pStyle w:val="P68B1DB1-Normal4"/>
        <w:spacing w:before="40" w:after="120" w:line="259" w:lineRule="auto"/>
        <w:jc w:val="both"/>
        <w:rPr>
          <w:rFonts w:eastAsiaTheme="minorEastAsia" w:cs="Times New Roman"/>
          <w:noProof/>
        </w:rPr>
      </w:pPr>
      <w:r>
        <w:rPr>
          <w:noProof/>
        </w:rPr>
        <w:t xml:space="preserve">Αναμένεται ότι κανένα μέτρο στη συνιστώσα αυτή δεν βλάπτει σημαντικά τους περιβαλλοντικούς στόχους κατά την έννοια του άρθρου 17 του κανονισμού (ΕΕ) 2020/852, λαμβανομένης υπόψη της περιγραφής των μέτρων και των μέτρων μετριασμού που ορίζονται στο σχέδιο σύμφωνα με την τεχνική καθοδήγηση σχετικά με την αρχή της μη πρόκλησης σημαντικής βλάβης (2021/C58/01). </w:t>
      </w:r>
    </w:p>
    <w:p w14:paraId="3248AA7D" w14:textId="77777777" w:rsidR="00154AD2" w:rsidRDefault="00154AD2">
      <w:pPr>
        <w:spacing w:before="40" w:after="120" w:line="259" w:lineRule="auto"/>
        <w:jc w:val="both"/>
        <w:rPr>
          <w:rFonts w:ascii="Times New Roman" w:eastAsiaTheme="minorEastAsia" w:hAnsi="Times New Roman" w:cs="Times New Roman"/>
          <w:noProof/>
          <w:sz w:val="24"/>
        </w:rPr>
      </w:pPr>
    </w:p>
    <w:p w14:paraId="28C15D2C" w14:textId="77777777" w:rsidR="00154AD2" w:rsidRDefault="007F6BF3">
      <w:pPr>
        <w:pStyle w:val="P68B1DB1-Normal3"/>
        <w:spacing w:before="40" w:after="0" w:line="259" w:lineRule="auto"/>
        <w:ind w:left="130" w:firstLine="720"/>
        <w:jc w:val="both"/>
        <w:outlineLvl w:val="1"/>
        <w:rPr>
          <w:rFonts w:eastAsiaTheme="minorEastAsia" w:cs="Times New Roman"/>
          <w:noProof/>
        </w:rPr>
      </w:pPr>
      <w:r>
        <w:rPr>
          <w:noProof/>
        </w:rPr>
        <w:t>Ε.1. Περιγραφή των μεταρρυθμίσεων και των επενδύσεων που είναι επιλέξιμες για λήψη μη επιστρεπτέας χρηματοδοτικής στήριξης</w:t>
      </w:r>
    </w:p>
    <w:p w14:paraId="1D2019B5" w14:textId="329788CF" w:rsidR="00154AD2" w:rsidRDefault="007F6BF3">
      <w:pPr>
        <w:pStyle w:val="P68B1DB1-Normal5"/>
        <w:spacing w:before="240" w:after="0" w:line="259" w:lineRule="auto"/>
        <w:ind w:left="851"/>
        <w:jc w:val="both"/>
        <w:outlineLvl w:val="2"/>
        <w:rPr>
          <w:rFonts w:eastAsia="Times New Roman" w:cs="Times New Roman"/>
          <w:noProof/>
        </w:rPr>
      </w:pPr>
      <w:r>
        <w:rPr>
          <w:noProof/>
        </w:rPr>
        <w:t>Μεταρρύθμιση TD-r32: Εκσυγχρονισμός και απλούστευση της διαχείρισης των δημόσιων οικονομικών</w:t>
      </w:r>
    </w:p>
    <w:p w14:paraId="7386FB7C" w14:textId="77777777" w:rsidR="00154AD2" w:rsidRDefault="007F6BF3">
      <w:pPr>
        <w:pStyle w:val="P68B1DB1-Normal4"/>
        <w:spacing w:before="40" w:after="120" w:line="259" w:lineRule="auto"/>
        <w:jc w:val="both"/>
        <w:rPr>
          <w:rFonts w:eastAsiaTheme="minorEastAsia" w:cs="Times New Roman"/>
          <w:noProof/>
        </w:rPr>
      </w:pPr>
      <w:r>
        <w:rPr>
          <w:noProof/>
        </w:rPr>
        <w:t>Πρωταρχικός στόχος της μεταρρύθμισης είναι η βελτίωση της ποιότητας και της βιωσιμότητας των δημόσιων οικονομικών και, ειδικότερα, η ενίσχυση του ελέγχου των δαπανών και της κατάλληλης κατάρτισης του προϋπολογισμού. Η μεταρρύθμιση αποσκοπεί επίσης στην αύξηση της διαφάνειας και της αποτελεσματικότητας στη χρήση των δημόσιων πόρων, μέσω μιας πιο ολοκληρωμένης διαχείρισης των διοικητικών και οικονομικών διαδικασιών σε όλους τους φορείς της γενικής κυβέρνησης.</w:t>
      </w:r>
    </w:p>
    <w:p w14:paraId="1C6AAFDF" w14:textId="77777777" w:rsidR="00154AD2" w:rsidRDefault="007F6BF3">
      <w:pPr>
        <w:pStyle w:val="P68B1DB1-Normal4"/>
        <w:spacing w:before="40" w:after="120" w:line="259" w:lineRule="auto"/>
        <w:jc w:val="both"/>
        <w:rPr>
          <w:rFonts w:eastAsia="Times New Roman" w:cs="Times New Roman"/>
          <w:noProof/>
        </w:rPr>
      </w:pPr>
      <w:r>
        <w:rPr>
          <w:noProof/>
        </w:rPr>
        <w:t xml:space="preserve">Η μεταρρύθμιση είναι μια συνολική δημοσιονομική-διαρθρωτική μεταρρύθμιση, η οποία συνίσταται σε αλληλοενισχυόμενες πρωτοβουλίες. </w:t>
      </w:r>
    </w:p>
    <w:p w14:paraId="43E9C02C" w14:textId="57B93928" w:rsidR="00154AD2" w:rsidRDefault="007F6BF3">
      <w:pPr>
        <w:pStyle w:val="P68B1DB1-Normal4"/>
        <w:keepNext/>
        <w:numPr>
          <w:ilvl w:val="0"/>
          <w:numId w:val="67"/>
        </w:numPr>
        <w:spacing w:before="40" w:after="120" w:line="259" w:lineRule="auto"/>
        <w:contextualSpacing/>
        <w:jc w:val="both"/>
        <w:rPr>
          <w:rFonts w:eastAsiaTheme="minorEastAsia" w:cs="Times New Roman"/>
          <w:noProof/>
        </w:rPr>
      </w:pPr>
      <w:r>
        <w:rPr>
          <w:noProof/>
        </w:rPr>
        <w:t>Πρώτον, τα σταδιακά βήματα θα συμβάλουν στην πλήρη και αποτελεσματική εφαρμογή του δημοσιονομικού νόμου-πλαισίου του 2015. Σε αυτές περιλαμβάνονται η κατάρτιση του προϋπολογισμού του προγράμματος και η τροφοδότησή του στον δημοσιονομικό σχεδιασμό και την παρακολούθησή του, καθώς και η έναρξη ισχύος νομοθεσίας για την απαλλαγή της κρατικής λογιστικής οντότητας. Η προγραμματισμένη σημαντική αναβάθμιση των πληροφοριακών συστημάτων για τη διαχείριση των δημόσιων οικονομικών αναμένεται επίσης να διευκολύνει την τήρηση του συστήματος λογιστικής σε δεδουλευμένη βάση.</w:t>
      </w:r>
    </w:p>
    <w:p w14:paraId="797E40BB" w14:textId="77777777" w:rsidR="00154AD2" w:rsidRDefault="007F6BF3">
      <w:pPr>
        <w:pStyle w:val="P68B1DB1-Normal4"/>
        <w:keepNext/>
        <w:numPr>
          <w:ilvl w:val="0"/>
          <w:numId w:val="67"/>
        </w:numPr>
        <w:spacing w:before="40" w:after="120" w:line="259" w:lineRule="auto"/>
        <w:contextualSpacing/>
        <w:jc w:val="both"/>
        <w:rPr>
          <w:rFonts w:eastAsiaTheme="minorEastAsia" w:cs="Times New Roman"/>
          <w:noProof/>
        </w:rPr>
      </w:pPr>
      <w:r>
        <w:rPr>
          <w:noProof/>
        </w:rPr>
        <w:t xml:space="preserve">Δεύτερον, οι επανεξετάσεις των δαπανών προβλέπεται να καταστούν διαρθρωτικό χαρακτηριστικό της δημοσιονομικής διαδικασίας της Πορτογαλίας, μέσω της καλύτερης ενσωμάτωσής τους στον ετήσιο δημοσιονομικό κύκλο και της εκ των υστέρων αξιολόγησης της πιθανής βελτίωσης της αποδοτικότητας. </w:t>
      </w:r>
    </w:p>
    <w:p w14:paraId="7B864396" w14:textId="77777777" w:rsidR="00154AD2" w:rsidRDefault="007F6BF3">
      <w:pPr>
        <w:pStyle w:val="P68B1DB1-Normal4"/>
        <w:keepNext/>
        <w:numPr>
          <w:ilvl w:val="0"/>
          <w:numId w:val="67"/>
        </w:numPr>
        <w:spacing w:before="40" w:after="120" w:line="259" w:lineRule="auto"/>
        <w:contextualSpacing/>
        <w:jc w:val="both"/>
        <w:rPr>
          <w:rFonts w:eastAsiaTheme="minorEastAsia" w:cs="Times New Roman"/>
          <w:noProof/>
        </w:rPr>
      </w:pPr>
      <w:r>
        <w:rPr>
          <w:noProof/>
        </w:rPr>
        <w:t xml:space="preserve">Τρίτον, πρέπει να επέλθουν βελτιώσεις στο πεδίο εφαρμογής των κεντρικών δημόσιων συμβάσεων για την ενίσχυση της αποτελεσματικότητας. </w:t>
      </w:r>
    </w:p>
    <w:p w14:paraId="68DBC2DB" w14:textId="77777777" w:rsidR="00154AD2" w:rsidRDefault="007F6BF3">
      <w:pPr>
        <w:pStyle w:val="P68B1DB1-Normal4"/>
        <w:keepNext/>
        <w:numPr>
          <w:ilvl w:val="0"/>
          <w:numId w:val="67"/>
        </w:numPr>
        <w:spacing w:before="40" w:after="120" w:line="259" w:lineRule="auto"/>
        <w:contextualSpacing/>
        <w:jc w:val="both"/>
        <w:rPr>
          <w:rFonts w:eastAsiaTheme="minorEastAsia" w:cs="Times New Roman"/>
          <w:noProof/>
        </w:rPr>
      </w:pPr>
      <w:r>
        <w:rPr>
          <w:noProof/>
        </w:rPr>
        <w:t>Τέταρτον, σχεδιάζεται μια διττή προσέγγιση για τις κρατικές επιχειρήσεις, σύμφωνα με την οποία τα μέτρα για την αύξηση της διαφάνειας στη δημοσιοποίηση χρηματοοικονομικών δεδομένων πρέπει να συμπληρώνονται με μέτρα για την ενίσχυση της διακυβέρνησης, μεταξύ άλλων μέσω ενισχυμένων συμβάσεων διαχείρισης για την προώθηση διαχειριστικών πρακτικών βάσει κινήτρων, και με την υπογραφή σχεδίων προϋπολογισμού και δραστηριοτήτων που θα επιτρέπουν μεγαλύτερη αυτονομία σε συνδυασμό με ισχυρότερη λογοδοσία και παρακολούθηση.</w:t>
      </w:r>
    </w:p>
    <w:p w14:paraId="51CF4504" w14:textId="77777777" w:rsidR="00154AD2" w:rsidRDefault="007F6BF3">
      <w:pPr>
        <w:pStyle w:val="P68B1DB1-Normal4"/>
        <w:spacing w:before="40" w:after="120" w:line="259" w:lineRule="auto"/>
        <w:jc w:val="both"/>
        <w:rPr>
          <w:rFonts w:eastAsiaTheme="minorEastAsia" w:cs="Times New Roman"/>
          <w:noProof/>
        </w:rPr>
      </w:pPr>
      <w:r>
        <w:rPr>
          <w:noProof/>
        </w:rPr>
        <w:t>Η εφαρμογή της μεταρρύθμισης ολοκληρώνεται έως τις 31 Δεκεμβρίου 2025.</w:t>
      </w:r>
    </w:p>
    <w:p w14:paraId="17979527" w14:textId="77777777" w:rsidR="00154AD2" w:rsidRDefault="007F6BF3">
      <w:pPr>
        <w:pStyle w:val="P68B1DB1-Normal5"/>
        <w:spacing w:before="240" w:after="0" w:line="259" w:lineRule="auto"/>
        <w:ind w:left="851"/>
        <w:jc w:val="both"/>
        <w:outlineLvl w:val="2"/>
        <w:rPr>
          <w:rFonts w:eastAsia="Times New Roman" w:cs="Times New Roman"/>
          <w:noProof/>
        </w:rPr>
      </w:pPr>
      <w:r>
        <w:rPr>
          <w:noProof/>
        </w:rPr>
        <w:t>Επένδυση TD-C17-i01: Πληροφοριακά Συστήματα Διαχείρισης Δημοσίων Οικονομικών</w:t>
      </w:r>
    </w:p>
    <w:p w14:paraId="2D41C5D2" w14:textId="77777777" w:rsidR="00154AD2" w:rsidRDefault="007F6BF3">
      <w:pPr>
        <w:pStyle w:val="P68B1DB1-Normal4"/>
        <w:spacing w:before="40" w:after="120" w:line="259" w:lineRule="auto"/>
        <w:jc w:val="both"/>
        <w:rPr>
          <w:rFonts w:eastAsia="Times New Roman" w:cs="Times New Roman"/>
          <w:noProof/>
        </w:rPr>
      </w:pPr>
      <w:r>
        <w:rPr>
          <w:noProof/>
        </w:rPr>
        <w:t>Στόχος της επένδυσης είναι να καταστεί λειτουργική η σχετική μεταρρύθμιση της διαχείρισης των δημόσιων οικονομικών, με σκοπό τη βελτίωση της ποιότητας και της βιωσιμότητας των δημόσιων οικονομικών. Η επένδυση είναι ιδιαίτερα σημαντική για την πλήρη και αποτελεσματική εφαρμογή του δημοσιονομικού νόμου-πλαισίου του 2015.</w:t>
      </w:r>
    </w:p>
    <w:p w14:paraId="4F4EDC29" w14:textId="77777777" w:rsidR="00154AD2" w:rsidRDefault="007F6BF3">
      <w:pPr>
        <w:pStyle w:val="P68B1DB1-Normal4"/>
        <w:spacing w:before="40" w:after="120" w:line="259" w:lineRule="auto"/>
        <w:jc w:val="both"/>
        <w:rPr>
          <w:rFonts w:eastAsia="Times New Roman" w:cs="Times New Roman"/>
          <w:noProof/>
        </w:rPr>
      </w:pPr>
      <w:r>
        <w:rPr>
          <w:noProof/>
        </w:rPr>
        <w:t>Η επένδυση συνίσταται σε συμπληρωματικές επιμέρους επενδύσεις οι οποίες, συνδυαστικά, θα πρέπει να συμβάλλουν στην ολοκληρωμένη διαχείριση των δημόσιων εσόδων και δαπανών. Πρώτον, οι επιμέρους επενδύσεις προσανατολίζονται σε λύσεις τεχνολογίας των πληροφοριών που επιτρέπουν την παρακολούθηση των κρατικών συναλλαγών, με βάση την ψηφιοποίηση των διαδικασιών, την αυτοματοποίηση της λογιστικής και την ενσωμάτωση στα κεντρικά συστήματα του Υπουργείου Οικονομικών, οι οποίες ωφελούν τον δημοσιονομικό σχεδιασμό, την παρακολούθηση και τη λογοδοσία. Σε αυτές περιλαμβάνεται η ανάπτυξη λύσεων τεχνολογίας των πληροφοριών που θα επιτρέπουν την ολοκληρωμένη διαχείριση του δημόσιου ταμείου μέσω της κρατικής λογιστικής οντότητας, καθώς και τη στήριξη της κατάρτισης του κρατικού προϋπολογισμού και του μεσοπρόθεσμου δημοσιονομικού σχεδιασμού μέσω της εισαγωγής του προϋπολογισμού του προγράμματος και της τήρησης του συστήματος λογιστικής σε δεδουλευμένη βάση. Δεύτερον, προβλέπονται επίσης βοηθητικές βελτιώσεις στα συστήματα πληροφοριών για τις κεντρικές προμήθειες, καθώς και για τη διαχείριση των δημόσιων οχημάτων και της ακίνητης περιουσίας.</w:t>
      </w:r>
    </w:p>
    <w:p w14:paraId="1F60E6B1" w14:textId="77777777" w:rsidR="00154AD2" w:rsidRDefault="007F6BF3">
      <w:pPr>
        <w:pStyle w:val="P68B1DB1-Normal4"/>
        <w:spacing w:before="40" w:after="0" w:line="259" w:lineRule="auto"/>
        <w:jc w:val="both"/>
        <w:rPr>
          <w:rFonts w:eastAsia="Times New Roman" w:cs="Times New Roman"/>
          <w:noProof/>
        </w:rPr>
      </w:pPr>
      <w:r>
        <w:rPr>
          <w:noProof/>
        </w:rPr>
        <w:t>Η υλοποίηση της επένδυσης θα ολοκληρωθεί έως τις 30 Ιουνίου 2026.</w:t>
      </w:r>
    </w:p>
    <w:p w14:paraId="637EC6F3" w14:textId="77777777" w:rsidR="00154AD2" w:rsidRDefault="007F6BF3">
      <w:pPr>
        <w:pStyle w:val="P68B1DB1-Normal5"/>
        <w:spacing w:before="240" w:after="0" w:line="259" w:lineRule="auto"/>
        <w:ind w:left="851"/>
        <w:jc w:val="both"/>
        <w:outlineLvl w:val="2"/>
        <w:rPr>
          <w:rFonts w:eastAsia="Times New Roman" w:cs="Times New Roman"/>
          <w:noProof/>
        </w:rPr>
      </w:pPr>
      <w:r>
        <w:rPr>
          <w:noProof/>
        </w:rPr>
        <w:t>Επένδυση TD-C17-i02: Εκσυγχρονισμός των πληροφοριακών συστημάτων της Φορολογικής και Τελωνειακής Αρχής Φορολογίας Αγροτικών Περιουσιακών Στοιχείων</w:t>
      </w:r>
    </w:p>
    <w:p w14:paraId="11A35064" w14:textId="77777777" w:rsidR="00154AD2" w:rsidRDefault="007F6BF3">
      <w:pPr>
        <w:pStyle w:val="P68B1DB1-Normal4"/>
        <w:spacing w:before="40" w:after="120" w:line="259" w:lineRule="auto"/>
        <w:jc w:val="both"/>
        <w:rPr>
          <w:rFonts w:eastAsia="Times New Roman" w:cs="Times New Roman"/>
          <w:noProof/>
        </w:rPr>
      </w:pPr>
      <w:r>
        <w:rPr>
          <w:noProof/>
        </w:rPr>
        <w:t>Στόχος της επένδυσης είναι η προώθηση της ψηφιοποίησης όλων των διαδικασιών που σχετίζονται με τη φορολόγηση των αγροτικών ακινήτων, ιδίως των σχετικών πληροφοριών — χαρτογράφηση και συναφή χαρακτηριστικά (όπως οι καλλιέργειες και το οικονομικό δυναμικό) — και η ανάπτυξη της προσυμπλήρωσης για συγκεκριμένες υποχρεώσεις δήλωσης.</w:t>
      </w:r>
    </w:p>
    <w:p w14:paraId="414FC653" w14:textId="1B3EFAB6" w:rsidR="00154AD2" w:rsidRDefault="007F6BF3">
      <w:pPr>
        <w:pStyle w:val="P68B1DB1-Normal4"/>
        <w:keepNext/>
        <w:spacing w:before="40" w:after="120" w:line="259" w:lineRule="auto"/>
        <w:jc w:val="both"/>
        <w:rPr>
          <w:rFonts w:eastAsia="Times New Roman" w:cs="Times New Roman"/>
          <w:noProof/>
        </w:rPr>
      </w:pPr>
      <w:r>
        <w:rPr>
          <w:noProof/>
        </w:rPr>
        <w:t>Η επένδυση αποτελείται από διάφορες επιμέρους επενδύσεις που περιλαμβάνουν: I) την ψηφιοποίηση των υποστηρικτικών πληροφοριών για τους πίνακες ακινήτων· την ενίσχυση των υποδομών της τεχνολογίας των πληροφοριών για τη διατήρηση ψηφιοποιημένων πληροφοριών σχετικά με ακίνητα· ανάπτυξη μηχανισμών διαβούλευσης και απεικόνισης για τους πίνακες ακινήτων· ανάπτυξη συστήματος πληροφοριών για την υποστήριξη της απλουστευμένης κτηματολογικής αξιολόγησης των αγροτικών ακινήτων· V) την ανάπτυξη λύσης διαχείρισης πληροφοριών με γεωαναφορά· και vi) την ανάπτυξη υπηρεσιών δήλωσης προπλήρωσης (ιδίως για τη φορολογία ακίνητης περιουσίας και συγκεκριμένες συναλλαγές που υπόκεινται σε τέλος χαρτοσήμου).</w:t>
      </w:r>
    </w:p>
    <w:p w14:paraId="2C782842" w14:textId="77777777" w:rsidR="00154AD2" w:rsidRDefault="007F6BF3">
      <w:pPr>
        <w:pStyle w:val="P68B1DB1-Normal4"/>
        <w:spacing w:before="40" w:after="0" w:line="259" w:lineRule="auto"/>
        <w:jc w:val="both"/>
        <w:rPr>
          <w:rFonts w:eastAsia="Times New Roman" w:cs="Times New Roman"/>
          <w:noProof/>
        </w:rPr>
      </w:pPr>
      <w:r>
        <w:rPr>
          <w:noProof/>
        </w:rPr>
        <w:t>Η υλοποίηση της επένδυσης θα ολοκληρωθεί έως τις 31 Δεκεμβρίου 2025.</w:t>
      </w:r>
    </w:p>
    <w:p w14:paraId="18AD381B" w14:textId="77777777" w:rsidR="00154AD2" w:rsidRDefault="007F6BF3">
      <w:pPr>
        <w:pStyle w:val="P68B1DB1-Normal5"/>
        <w:keepNext/>
        <w:spacing w:before="240" w:after="0" w:line="259" w:lineRule="auto"/>
        <w:ind w:left="851"/>
        <w:jc w:val="both"/>
        <w:outlineLvl w:val="2"/>
        <w:rPr>
          <w:rFonts w:eastAsia="Times New Roman" w:cs="Times New Roman"/>
          <w:noProof/>
        </w:rPr>
      </w:pPr>
      <w:r>
        <w:rPr>
          <w:noProof/>
        </w:rPr>
        <w:t>Επένδυση TD-C17-i03: Ψηφιακή μετάβαση των υπηρεσιών κοινωνικής ασφάλισης</w:t>
      </w:r>
    </w:p>
    <w:p w14:paraId="484E2C44" w14:textId="77777777" w:rsidR="00154AD2" w:rsidRDefault="007F6BF3">
      <w:pPr>
        <w:pStyle w:val="P68B1DB1-Normal4"/>
        <w:keepNext/>
        <w:spacing w:before="40" w:after="120" w:line="259" w:lineRule="auto"/>
        <w:jc w:val="both"/>
        <w:rPr>
          <w:rFonts w:eastAsia="Times New Roman" w:cs="Times New Roman"/>
          <w:noProof/>
        </w:rPr>
      </w:pPr>
      <w:r>
        <w:rPr>
          <w:noProof/>
        </w:rPr>
        <w:t>Στόχος της επένδυσης είναι η προώθηση της ψηφιοποίησης των υπηρεσιών κοινωνικής ασφάλισης με σκοπό να καταστούν πιο φιλικές προς τον χρήστη, να ενισχυθεί η αποτελεσματικότητα και να περιοριστεί η απάτη και η φοροδιαφυγή.</w:t>
      </w:r>
    </w:p>
    <w:p w14:paraId="7A04F8FA" w14:textId="77777777" w:rsidR="00154AD2" w:rsidRDefault="007F6BF3">
      <w:pPr>
        <w:pStyle w:val="P68B1DB1-Normal4"/>
        <w:keepNext/>
        <w:spacing w:before="40" w:after="120" w:line="259" w:lineRule="auto"/>
        <w:jc w:val="both"/>
        <w:rPr>
          <w:rFonts w:eastAsia="Times New Roman" w:cs="Times New Roman"/>
          <w:noProof/>
        </w:rPr>
      </w:pPr>
      <w:r>
        <w:rPr>
          <w:noProof/>
        </w:rPr>
        <w:t xml:space="preserve">Η επένδυση συνίσταται σε ενέργειες με σκοπό: I) να βελτιώσει τον σχεδιασμό και την οργάνωση των υπηρεσιών κοινωνικής ασφάλισης, με βάση την αναβάθμιση των υποκείμενων συστημάτων πληροφοριών, στους τομείς των κοινωνικών παροχών, των κοινωνικών εισφορών, της πρόληψης της απάτης, της διαχείρισης πληροφοριών και των διαύλων πληρωμής· II) να αναπτύξει και να εφαρμόσει ένα νέο μοντέλο σχέσεων, το οποίο αναμένεται να ενσωματώσει τους διάφορους διαύλους αλληλεπίδρασης μεταξύ των πολιτών, των επιχειρήσεων και των υπηρεσιών κοινωνικής ασφάλισης μέσω μιας προσέγγισης πολλαπλών διαύλων· III) να προσαρμόσουν τους χώρους εργασίας των υπηρεσιών κοινωνικής ασφάλισης ώστε να επιτρέπουν πιο ευέλικτες ρυθμίσεις εργασίας, όπως η τηλεργασία· IV) υλοποίηση υποδομών τεχνολογίας πληροφοριών που βασίζονται σε λύσεις υπολογιστικού νέφους που έχουν τη δυνατότητα να υποστηρίξουν τις επιδόσεις και τη διαλειτουργικότητα· και v) επανεξέταση των εσωτερικών διαδικασιών και κατάρτιση των εργαζομένων στον τομέα της κοινωνικής ασφάλισης για τη στήριξη της ομαλής υλοποίησης των προαναφερόμενων επενδύσεων και διαρθρωτικών αλλαγών. </w:t>
      </w:r>
    </w:p>
    <w:p w14:paraId="1A95DF4E" w14:textId="77777777" w:rsidR="00154AD2" w:rsidRDefault="007F6BF3">
      <w:pPr>
        <w:pStyle w:val="P68B1DB1-Normal4"/>
        <w:spacing w:before="40" w:after="0" w:line="259" w:lineRule="auto"/>
        <w:jc w:val="both"/>
        <w:rPr>
          <w:rFonts w:eastAsia="Times New Roman" w:cs="Times New Roman"/>
          <w:noProof/>
        </w:rPr>
      </w:pPr>
      <w:r>
        <w:rPr>
          <w:noProof/>
        </w:rPr>
        <w:t>Η υλοποίηση της επένδυσης θα ολοκληρωθεί έως τις 31 Δεκεμβρίου 2025.</w:t>
      </w:r>
    </w:p>
    <w:p w14:paraId="4F1F38D4" w14:textId="399786BD" w:rsidR="00154AD2" w:rsidRDefault="007F6BF3">
      <w:pPr>
        <w:pStyle w:val="P68B1DB1-Normal5"/>
        <w:keepNext/>
        <w:spacing w:before="240" w:after="0" w:line="259" w:lineRule="auto"/>
        <w:ind w:left="851"/>
        <w:jc w:val="both"/>
        <w:outlineLvl w:val="2"/>
        <w:rPr>
          <w:rFonts w:eastAsia="Times New Roman" w:cs="Times New Roman"/>
          <w:noProof/>
        </w:rPr>
      </w:pPr>
      <w:bookmarkStart w:id="32" w:name="_Toc137472472"/>
      <w:r>
        <w:rPr>
          <w:noProof/>
        </w:rPr>
        <w:t xml:space="preserve">Μεταρρύθμιση TD-C17-r40: Απλούστευση του φορολογικού συστήματος </w:t>
      </w:r>
      <w:bookmarkEnd w:id="32"/>
    </w:p>
    <w:p w14:paraId="7BD4017E" w14:textId="77777777" w:rsidR="00154AD2" w:rsidRDefault="007F6BF3">
      <w:pPr>
        <w:spacing w:before="40" w:after="0" w:line="259" w:lineRule="auto"/>
        <w:jc w:val="both"/>
        <w:rPr>
          <w:rFonts w:ascii="Times New Roman" w:hAnsi="Times New Roman" w:cs="Times New Roman"/>
          <w:noProof/>
          <w:sz w:val="24"/>
        </w:rPr>
      </w:pPr>
      <w:r>
        <w:rPr>
          <w:rFonts w:ascii="Times New Roman" w:hAnsi="Times New Roman"/>
          <w:noProof/>
          <w:sz w:val="24"/>
        </w:rPr>
        <w:t>Στόχος της μεταρρύθμισης αυτής είναι η βελτίωση της αποτελεσματικότητας του φορολογικού συστήματος της Πορτογαλίας. Η μεταρρύθμιση εισάγει μόνιμο σύστημα για τη συνεπή παρακολούθηση και αξιολόγηση νέων και υφιστάμενων φορολογικών πλεονεκτημάτων («</w:t>
      </w:r>
      <w:r>
        <w:rPr>
          <w:rFonts w:ascii="Times New Roman" w:hAnsi="Times New Roman"/>
          <w:i/>
          <w:noProof/>
          <w:sz w:val="24"/>
        </w:rPr>
        <w:t>Beneícios fiscais</w:t>
      </w:r>
      <w:r>
        <w:rPr>
          <w:rFonts w:ascii="Times New Roman" w:hAnsi="Times New Roman"/>
          <w:noProof/>
          <w:sz w:val="24"/>
        </w:rPr>
        <w:t>»)</w:t>
      </w:r>
      <w:r>
        <w:rPr>
          <w:rStyle w:val="FootnoteReference"/>
          <w:rFonts w:ascii="Times New Roman" w:hAnsi="Times New Roman" w:cs="Times New Roman"/>
          <w:noProof/>
          <w:sz w:val="24"/>
        </w:rPr>
        <w:footnoteReference w:id="76"/>
      </w:r>
      <w:r>
        <w:rPr>
          <w:rFonts w:ascii="Times New Roman" w:hAnsi="Times New Roman"/>
          <w:noProof/>
          <w:sz w:val="24"/>
        </w:rPr>
        <w:t>. Αυτό θα έχει ως αποτέλεσμα την απλούστευση του υφιστάμενου πλαισίου, με τη μείωση του αριθμού των φορολογικών πλεονεκτημάτων, τη μείωση των σχετικών φορολογικών δαπανών (</w:t>
      </w:r>
      <w:r>
        <w:rPr>
          <w:rFonts w:ascii="Times New Roman" w:hAnsi="Times New Roman"/>
          <w:i/>
          <w:noProof/>
          <w:sz w:val="24"/>
        </w:rPr>
        <w:t>«despesas</w:t>
      </w:r>
      <w:r>
        <w:rPr>
          <w:rFonts w:ascii="Times New Roman" w:hAnsi="Times New Roman"/>
          <w:noProof/>
          <w:sz w:val="24"/>
        </w:rPr>
        <w:t>fiscais») και την ενίσχυση της οικονομικής αποδοτικότητας των φορολογικών πλεονεκτημάτων που παραμένουν.</w:t>
      </w:r>
    </w:p>
    <w:p w14:paraId="0F4A2EDF" w14:textId="77777777" w:rsidR="00154AD2" w:rsidRDefault="007F6BF3">
      <w:pPr>
        <w:pStyle w:val="P68B1DB1-Normal4"/>
        <w:spacing w:before="40" w:after="0" w:line="259" w:lineRule="auto"/>
        <w:jc w:val="both"/>
        <w:rPr>
          <w:rFonts w:eastAsia="@MS Mincho" w:cs="Times New Roman"/>
          <w:noProof/>
        </w:rPr>
      </w:pPr>
      <w:r>
        <w:rPr>
          <w:noProof/>
        </w:rPr>
        <w:t>Η μεταρρύθμιση συνίσταται σε νομική πράξη για τη δημιουργία μιας μόνιμης τεχνικής μονάδας φορολογικής πολιτικής (</w:t>
      </w:r>
      <w:r>
        <w:rPr>
          <w:i/>
          <w:noProof/>
        </w:rPr>
        <w:t>Unidade Técnica de Avaliação Tributária e Aduaneira</w:t>
      </w:r>
      <w:r>
        <w:rPr>
          <w:noProof/>
        </w:rPr>
        <w:t xml:space="preserve">, γνωστή και ως U-TAX) με εντολή να παρακολουθεί και να αξιολογεί συστηματικά τα νέα και υφιστάμενα φορολογικά πλεονεκτήματα και να συμβάλλει στον σχεδιασμό, την εφαρμογή και την αξιολόγηση των επιπτώσεων των φορολογικών πολιτικών. Η μονάδα φορολογικής πολιτικής συμβάλλει επίσης στην εκπόνηση νομικών πράξεων στον τομέα της φορολογίας, σε συνεργασία με άλλες σχετικές οντότητες, όπως το </w:t>
      </w:r>
      <w:r>
        <w:rPr>
          <w:i/>
          <w:noProof/>
        </w:rPr>
        <w:t xml:space="preserve">Centro de Estudos Fiscais e Aduaneiros </w:t>
      </w:r>
      <w:r>
        <w:rPr>
          <w:noProof/>
        </w:rPr>
        <w:t>(CEF). Η νομική πράξη προσδιορίζει την επίσημη δομή της U-TAX, συμπεριλαμβανομένου του οργανογράμματός της, της λειτουργίας και των καθηκόντων της. Η U-TAX είναι τεχνικά ανεξάρτητη από τη Φορολογική και Τελωνειακή Αρχή και απαντά απευθείας στο Υπουργείο Οικονομικών. Η U-TAX απαρτίζεται από μόνιμο τεχνικό προσωπικό με εμπειρογνωμοσύνη στις φορολογικές πολιτικές. Η νομική πράξη καθορίζει επίσης τις επίσημες αλληλεπιδράσεις μεταξύ της U-TAX και άλλων σχετικών δημόσιων και ιδιωτικών οντοτήτων, ως ερευνητικών και ακαδημαϊκών ιδρυμάτων, και προβλέπει τον ορισμό των συμφωνιών κοινοχρησίας δεδομένων μεταξύ της U-TAX και των σχετικών δημόσιων φορέων, ως φορολογικής και τελωνειακής αρχής και του πορτογαλικού στατιστικού ινστιτούτου (INE). Η νομική πράξη διασφαλίζει επίσης τη δέσμευση της U-TAX σχετικά με την ποιότητα και τη διαφάνεια των αναλυτικών εκθέσεών της και τη διατήρηση των προτύπων ποιότητας των δεδομένων. Η εν λόγω μονάδα φορολογικής πολιτικής δημοσιεύει έκθεση αξιολόγησης με ανάλυση κόστους-οφέλους σχετικά με τα υφιστάμενα φορολογικά πλεονεκτήματα, με κριτήρια αποδοτικότητας και αποτελεσματικότητας, καθώς και περιβαλλοντικές παραμέτρους. Μετά την αξιολόγηση αυτή πραγματοποιείται αναθεώρηση του νομικού πλαισίου ενός σημαντικού συνόλου φορολογικών πλεονεκτημάτων.</w:t>
      </w:r>
    </w:p>
    <w:p w14:paraId="6901A2AB" w14:textId="77777777" w:rsidR="00154AD2" w:rsidRDefault="007F6BF3">
      <w:pPr>
        <w:pStyle w:val="P68B1DB1-Normal4"/>
        <w:spacing w:before="40" w:after="0" w:line="259" w:lineRule="auto"/>
        <w:jc w:val="both"/>
        <w:rPr>
          <w:rFonts w:cs="Times New Roman"/>
          <w:noProof/>
        </w:rPr>
      </w:pPr>
      <w:r>
        <w:rPr>
          <w:noProof/>
        </w:rPr>
        <w:t>Η εφαρμογή της μεταρρύθμισης αυτής θα ολοκληρωθεί έως τις 31 Μαρτίου 2026.</w:t>
      </w:r>
    </w:p>
    <w:p w14:paraId="282DA7C3" w14:textId="77777777" w:rsidR="00154AD2" w:rsidRDefault="00154AD2">
      <w:pPr>
        <w:spacing w:before="40" w:after="0" w:line="259" w:lineRule="auto"/>
        <w:jc w:val="both"/>
        <w:rPr>
          <w:rFonts w:ascii="Times New Roman" w:eastAsia="Times New Roman" w:hAnsi="Times New Roman" w:cs="Times New Roman"/>
          <w:noProof/>
          <w:sz w:val="24"/>
        </w:rPr>
      </w:pPr>
    </w:p>
    <w:p w14:paraId="03613E4E" w14:textId="75A6C9BA" w:rsidR="00154AD2" w:rsidRDefault="00154AD2">
      <w:pPr>
        <w:spacing w:before="40" w:after="0" w:line="259" w:lineRule="auto"/>
        <w:jc w:val="both"/>
        <w:rPr>
          <w:rFonts w:ascii="Times New Roman" w:eastAsia="Times New Roman" w:hAnsi="Times New Roman" w:cs="Times New Roman"/>
          <w:noProof/>
          <w:sz w:val="24"/>
        </w:rPr>
        <w:sectPr w:rsidR="00154AD2" w:rsidSect="00E00EDD">
          <w:headerReference w:type="even" r:id="rId318"/>
          <w:headerReference w:type="default" r:id="rId319"/>
          <w:footerReference w:type="even" r:id="rId320"/>
          <w:footerReference w:type="default" r:id="rId321"/>
          <w:headerReference w:type="first" r:id="rId322"/>
          <w:footerReference w:type="first" r:id="rId323"/>
          <w:pgSz w:w="11907" w:h="16839"/>
          <w:pgMar w:top="1134" w:right="1134" w:bottom="1134" w:left="1134" w:header="567" w:footer="567" w:gutter="0"/>
          <w:cols w:space="720"/>
          <w:docGrid w:linePitch="360"/>
        </w:sectPr>
      </w:pPr>
    </w:p>
    <w:p w14:paraId="449FF56D" w14:textId="77777777" w:rsidR="00154AD2" w:rsidRDefault="007F6BF3">
      <w:pPr>
        <w:pStyle w:val="P68B1DB1-Normal3"/>
        <w:keepNext/>
        <w:spacing w:before="40" w:after="0" w:line="259" w:lineRule="auto"/>
        <w:ind w:left="130" w:firstLine="720"/>
        <w:jc w:val="both"/>
        <w:outlineLvl w:val="1"/>
        <w:rPr>
          <w:rFonts w:eastAsiaTheme="minorEastAsia" w:cs="Times New Roman"/>
          <w:noProof/>
        </w:rPr>
      </w:pPr>
      <w:r>
        <w:rPr>
          <w:noProof/>
        </w:rPr>
        <w:t>Ε.2. Ορόσημα, στόχοι, δείκτες και χρονοδιάγραμμα για την παρακολούθηση και την υλοποίηση της μη επιστρεπτέας χρηματοδοτικής στήριξης</w:t>
      </w:r>
    </w:p>
    <w:p w14:paraId="47972E30" w14:textId="77777777" w:rsidR="00154AD2" w:rsidRDefault="00154AD2">
      <w:pPr>
        <w:keepNext/>
        <w:spacing w:before="40" w:after="0" w:line="259" w:lineRule="auto"/>
        <w:jc w:val="both"/>
        <w:rPr>
          <w:rFonts w:ascii="Times New Roman" w:eastAsiaTheme="minorEastAsia" w:hAnsi="Times New Roman" w:cs="Times New Roman"/>
          <w:noProof/>
          <w:sz w:val="24"/>
        </w:rPr>
      </w:pPr>
    </w:p>
    <w:tbl>
      <w:tblPr>
        <w:tblW w:w="152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1036"/>
        <w:gridCol w:w="1161"/>
        <w:gridCol w:w="1034"/>
        <w:gridCol w:w="1539"/>
        <w:gridCol w:w="1356"/>
        <w:gridCol w:w="909"/>
        <w:gridCol w:w="908"/>
        <w:gridCol w:w="657"/>
        <w:gridCol w:w="530"/>
        <w:gridCol w:w="656"/>
        <w:gridCol w:w="5456"/>
      </w:tblGrid>
      <w:tr w:rsidR="00154AD2" w14:paraId="0CC744D9" w14:textId="77777777">
        <w:trPr>
          <w:trHeight w:val="910"/>
          <w:tblHeader/>
        </w:trPr>
        <w:tc>
          <w:tcPr>
            <w:tcW w:w="1043" w:type="dxa"/>
            <w:gridSpan w:val="2"/>
            <w:vMerge w:val="restart"/>
            <w:shd w:val="clear" w:color="auto" w:fill="BDD6EE"/>
            <w:vAlign w:val="center"/>
            <w:hideMark/>
          </w:tcPr>
          <w:p w14:paraId="0DD3CE3E" w14:textId="77777777" w:rsidR="00154AD2" w:rsidRDefault="007F6BF3">
            <w:pPr>
              <w:pStyle w:val="P68B1DB1-Normal6"/>
              <w:spacing w:after="0" w:line="240" w:lineRule="auto"/>
              <w:jc w:val="center"/>
              <w:rPr>
                <w:rFonts w:eastAsia="Times New Roman" w:cs="Times New Roman"/>
                <w:noProof/>
              </w:rPr>
            </w:pPr>
            <w:r>
              <w:rPr>
                <w:noProof/>
              </w:rPr>
              <w:t>Αύξων αριθμός</w:t>
            </w:r>
          </w:p>
        </w:tc>
        <w:tc>
          <w:tcPr>
            <w:tcW w:w="1161" w:type="dxa"/>
            <w:vMerge w:val="restart"/>
            <w:shd w:val="clear" w:color="auto" w:fill="BDD6EE"/>
            <w:vAlign w:val="center"/>
            <w:hideMark/>
          </w:tcPr>
          <w:p w14:paraId="119BDC18" w14:textId="77777777" w:rsidR="00154AD2" w:rsidRDefault="007F6BF3">
            <w:pPr>
              <w:pStyle w:val="P68B1DB1-Normal6"/>
              <w:spacing w:after="0" w:line="240" w:lineRule="auto"/>
              <w:jc w:val="center"/>
              <w:rPr>
                <w:rFonts w:eastAsia="Times New Roman" w:cs="Times New Roman"/>
                <w:noProof/>
              </w:rPr>
            </w:pPr>
            <w:r>
              <w:rPr>
                <w:noProof/>
              </w:rPr>
              <w:t>Μέτρο (Μεταρρύθμιση ή Επενδύσεις)</w:t>
            </w:r>
          </w:p>
        </w:tc>
        <w:tc>
          <w:tcPr>
            <w:tcW w:w="1034" w:type="dxa"/>
            <w:vMerge w:val="restart"/>
            <w:shd w:val="clear" w:color="auto" w:fill="BDD6EE"/>
            <w:vAlign w:val="center"/>
            <w:hideMark/>
          </w:tcPr>
          <w:p w14:paraId="68B0DBF9" w14:textId="77777777" w:rsidR="00154AD2" w:rsidRDefault="007F6BF3">
            <w:pPr>
              <w:pStyle w:val="P68B1DB1-Normal6"/>
              <w:spacing w:after="0" w:line="240" w:lineRule="auto"/>
              <w:jc w:val="center"/>
              <w:rPr>
                <w:rFonts w:eastAsia="Times New Roman" w:cs="Times New Roman"/>
                <w:noProof/>
              </w:rPr>
            </w:pPr>
            <w:r>
              <w:rPr>
                <w:noProof/>
              </w:rPr>
              <w:t>Milestone/</w:t>
            </w:r>
          </w:p>
          <w:p w14:paraId="235747B5" w14:textId="63F3C043" w:rsidR="00154AD2" w:rsidRDefault="007F6BF3">
            <w:pPr>
              <w:pStyle w:val="P68B1DB1-Normal6"/>
              <w:spacing w:after="0" w:line="240" w:lineRule="auto"/>
              <w:jc w:val="center"/>
              <w:rPr>
                <w:rFonts w:eastAsia="Times New Roman" w:cs="Times New Roman"/>
                <w:noProof/>
              </w:rPr>
            </w:pPr>
            <w:r>
              <w:rPr>
                <w:noProof/>
              </w:rPr>
              <w:t>Στόχος</w:t>
            </w:r>
          </w:p>
        </w:tc>
        <w:tc>
          <w:tcPr>
            <w:tcW w:w="1539" w:type="dxa"/>
            <w:vMerge w:val="restart"/>
            <w:shd w:val="clear" w:color="auto" w:fill="BDD6EE"/>
            <w:vAlign w:val="center"/>
            <w:hideMark/>
          </w:tcPr>
          <w:p w14:paraId="6666AD10" w14:textId="77777777" w:rsidR="00154AD2" w:rsidRDefault="007F6BF3">
            <w:pPr>
              <w:pStyle w:val="P68B1DB1-Normal6"/>
              <w:spacing w:after="0" w:line="240" w:lineRule="auto"/>
              <w:jc w:val="center"/>
              <w:rPr>
                <w:rFonts w:eastAsia="Times New Roman" w:cs="Times New Roman"/>
                <w:noProof/>
              </w:rPr>
            </w:pPr>
            <w:r>
              <w:rPr>
                <w:noProof/>
              </w:rPr>
              <w:t>Όνομα</w:t>
            </w:r>
          </w:p>
        </w:tc>
        <w:tc>
          <w:tcPr>
            <w:tcW w:w="1356" w:type="dxa"/>
            <w:vMerge w:val="restart"/>
            <w:shd w:val="clear" w:color="auto" w:fill="BDD6EE"/>
            <w:vAlign w:val="center"/>
            <w:hideMark/>
          </w:tcPr>
          <w:p w14:paraId="0C0A3581" w14:textId="77777777" w:rsidR="00154AD2" w:rsidRDefault="007F6BF3">
            <w:pPr>
              <w:pStyle w:val="P68B1DB1-Normal6"/>
              <w:spacing w:after="0" w:line="240" w:lineRule="auto"/>
              <w:jc w:val="center"/>
              <w:rPr>
                <w:rFonts w:eastAsia="Times New Roman" w:cs="Times New Roman"/>
                <w:noProof/>
              </w:rPr>
            </w:pPr>
            <w:r>
              <w:rPr>
                <w:noProof/>
              </w:rPr>
              <w:t>Ποιοτικοί δείκτες (για τα ορόσημα)</w:t>
            </w:r>
          </w:p>
        </w:tc>
        <w:tc>
          <w:tcPr>
            <w:tcW w:w="2474" w:type="dxa"/>
            <w:gridSpan w:val="3"/>
            <w:shd w:val="clear" w:color="auto" w:fill="BDD6EE"/>
            <w:vAlign w:val="center"/>
            <w:hideMark/>
          </w:tcPr>
          <w:p w14:paraId="7EB33E8C" w14:textId="77777777" w:rsidR="00154AD2" w:rsidRDefault="007F6BF3">
            <w:pPr>
              <w:pStyle w:val="P68B1DB1-Normal6"/>
              <w:spacing w:after="0" w:line="240" w:lineRule="auto"/>
              <w:jc w:val="center"/>
              <w:rPr>
                <w:rFonts w:eastAsia="Times New Roman" w:cs="Times New Roman"/>
                <w:noProof/>
              </w:rPr>
            </w:pPr>
            <w:r>
              <w:rPr>
                <w:noProof/>
              </w:rPr>
              <w:t>Ποσοτικοί δείκτες (για τους στόχους)</w:t>
            </w:r>
          </w:p>
        </w:tc>
        <w:tc>
          <w:tcPr>
            <w:tcW w:w="1186" w:type="dxa"/>
            <w:gridSpan w:val="2"/>
            <w:shd w:val="clear" w:color="auto" w:fill="BDD6EE"/>
            <w:vAlign w:val="center"/>
            <w:hideMark/>
          </w:tcPr>
          <w:p w14:paraId="3D7372E7" w14:textId="77777777" w:rsidR="00154AD2" w:rsidRDefault="007F6BF3">
            <w:pPr>
              <w:pStyle w:val="P68B1DB1-Normal6"/>
              <w:spacing w:after="0" w:line="240" w:lineRule="auto"/>
              <w:jc w:val="center"/>
              <w:rPr>
                <w:rFonts w:eastAsia="Times New Roman" w:cs="Times New Roman"/>
                <w:noProof/>
              </w:rPr>
            </w:pPr>
            <w:r>
              <w:rPr>
                <w:noProof/>
              </w:rPr>
              <w:t>Ενδεικτικό χρονοδιάγραμμα ολοκλήρωσης</w:t>
            </w:r>
          </w:p>
        </w:tc>
        <w:tc>
          <w:tcPr>
            <w:tcW w:w="5456" w:type="dxa"/>
            <w:vMerge w:val="restart"/>
            <w:shd w:val="clear" w:color="auto" w:fill="BDD6EE"/>
            <w:noWrap/>
            <w:vAlign w:val="center"/>
            <w:hideMark/>
          </w:tcPr>
          <w:p w14:paraId="110BCD14" w14:textId="77777777" w:rsidR="00154AD2" w:rsidRDefault="007F6BF3">
            <w:pPr>
              <w:pStyle w:val="P68B1DB1-Normal6"/>
              <w:spacing w:after="0" w:line="240" w:lineRule="auto"/>
              <w:jc w:val="center"/>
              <w:rPr>
                <w:rFonts w:eastAsia="Times New Roman" w:cs="Times New Roman"/>
                <w:noProof/>
              </w:rPr>
            </w:pPr>
            <w:r>
              <w:rPr>
                <w:noProof/>
              </w:rPr>
              <w:t>Περιγραφή και σαφής ορισμός κάθε ορόσημου και στόχου</w:t>
            </w:r>
          </w:p>
        </w:tc>
      </w:tr>
      <w:tr w:rsidR="00154AD2" w14:paraId="26D58C7B" w14:textId="77777777">
        <w:trPr>
          <w:trHeight w:val="521"/>
          <w:tblHeader/>
        </w:trPr>
        <w:tc>
          <w:tcPr>
            <w:tcW w:w="1043" w:type="dxa"/>
            <w:gridSpan w:val="2"/>
            <w:vMerge/>
            <w:vAlign w:val="center"/>
          </w:tcPr>
          <w:p w14:paraId="0A90FC04" w14:textId="77777777" w:rsidR="00154AD2" w:rsidRDefault="00154AD2">
            <w:pPr>
              <w:spacing w:after="0" w:line="240" w:lineRule="auto"/>
              <w:jc w:val="center"/>
              <w:rPr>
                <w:rFonts w:ascii="Calibri" w:eastAsia="Times New Roman" w:hAnsi="Calibri" w:cs="Calibri"/>
                <w:b/>
                <w:noProof/>
                <w:sz w:val="16"/>
              </w:rPr>
            </w:pPr>
          </w:p>
        </w:tc>
        <w:tc>
          <w:tcPr>
            <w:tcW w:w="1161" w:type="dxa"/>
            <w:vMerge/>
            <w:noWrap/>
            <w:vAlign w:val="center"/>
          </w:tcPr>
          <w:p w14:paraId="7720E5AA" w14:textId="77777777" w:rsidR="00154AD2" w:rsidRDefault="00154AD2">
            <w:pPr>
              <w:spacing w:after="0" w:line="240" w:lineRule="auto"/>
              <w:jc w:val="center"/>
              <w:rPr>
                <w:rFonts w:ascii="Calibri" w:eastAsia="Times New Roman" w:hAnsi="Calibri" w:cs="Calibri"/>
                <w:noProof/>
                <w:sz w:val="16"/>
              </w:rPr>
            </w:pPr>
          </w:p>
        </w:tc>
        <w:tc>
          <w:tcPr>
            <w:tcW w:w="1034" w:type="dxa"/>
            <w:vMerge/>
            <w:noWrap/>
            <w:vAlign w:val="center"/>
          </w:tcPr>
          <w:p w14:paraId="44179E26" w14:textId="77777777" w:rsidR="00154AD2" w:rsidRDefault="00154AD2">
            <w:pPr>
              <w:spacing w:after="0" w:line="240" w:lineRule="auto"/>
              <w:jc w:val="center"/>
              <w:rPr>
                <w:rFonts w:ascii="Calibri" w:eastAsia="Times New Roman" w:hAnsi="Calibri" w:cs="Calibri"/>
                <w:noProof/>
                <w:sz w:val="16"/>
              </w:rPr>
            </w:pPr>
          </w:p>
        </w:tc>
        <w:tc>
          <w:tcPr>
            <w:tcW w:w="1539" w:type="dxa"/>
            <w:vMerge/>
            <w:noWrap/>
            <w:vAlign w:val="center"/>
          </w:tcPr>
          <w:p w14:paraId="591AE727" w14:textId="77777777" w:rsidR="00154AD2" w:rsidRDefault="00154AD2">
            <w:pPr>
              <w:spacing w:after="0" w:line="240" w:lineRule="auto"/>
              <w:jc w:val="center"/>
              <w:rPr>
                <w:rFonts w:ascii="Calibri" w:eastAsia="Times New Roman" w:hAnsi="Calibri" w:cs="Calibri"/>
                <w:noProof/>
                <w:sz w:val="16"/>
              </w:rPr>
            </w:pPr>
          </w:p>
        </w:tc>
        <w:tc>
          <w:tcPr>
            <w:tcW w:w="1356" w:type="dxa"/>
            <w:vMerge/>
            <w:noWrap/>
            <w:vAlign w:val="center"/>
          </w:tcPr>
          <w:p w14:paraId="7822AAB7" w14:textId="77777777" w:rsidR="00154AD2" w:rsidRDefault="00154AD2">
            <w:pPr>
              <w:spacing w:after="0" w:line="240" w:lineRule="auto"/>
              <w:jc w:val="center"/>
              <w:rPr>
                <w:rFonts w:ascii="Calibri" w:eastAsia="Times New Roman" w:hAnsi="Calibri" w:cs="Calibri"/>
                <w:noProof/>
                <w:sz w:val="16"/>
              </w:rPr>
            </w:pPr>
          </w:p>
        </w:tc>
        <w:tc>
          <w:tcPr>
            <w:tcW w:w="909" w:type="dxa"/>
            <w:shd w:val="clear" w:color="auto" w:fill="BDD6EE"/>
            <w:noWrap/>
            <w:vAlign w:val="center"/>
          </w:tcPr>
          <w:p w14:paraId="64FC2FBB" w14:textId="4031209A" w:rsidR="00154AD2" w:rsidRDefault="007F6BF3">
            <w:pPr>
              <w:pStyle w:val="P68B1DB1-Normal6"/>
              <w:spacing w:after="0" w:line="240" w:lineRule="auto"/>
              <w:jc w:val="center"/>
              <w:rPr>
                <w:rFonts w:ascii="Calibri" w:eastAsia="Times New Roman" w:hAnsi="Calibri" w:cs="Calibri"/>
                <w:noProof/>
                <w:sz w:val="16"/>
              </w:rPr>
            </w:pPr>
            <w:r>
              <w:rPr>
                <w:noProof/>
              </w:rPr>
              <w:t>Μονάδα μέτρησης</w:t>
            </w:r>
          </w:p>
        </w:tc>
        <w:tc>
          <w:tcPr>
            <w:tcW w:w="908" w:type="dxa"/>
            <w:shd w:val="clear" w:color="auto" w:fill="BDD6EE"/>
            <w:noWrap/>
            <w:vAlign w:val="center"/>
          </w:tcPr>
          <w:p w14:paraId="39BFFF83" w14:textId="07A9DA21" w:rsidR="00154AD2" w:rsidRDefault="007F6BF3">
            <w:pPr>
              <w:pStyle w:val="P68B1DB1-Normal6"/>
              <w:spacing w:after="0" w:line="240" w:lineRule="auto"/>
              <w:jc w:val="center"/>
              <w:rPr>
                <w:rFonts w:ascii="Calibri" w:eastAsia="Times New Roman" w:hAnsi="Calibri" w:cs="Calibri"/>
                <w:noProof/>
                <w:sz w:val="16"/>
              </w:rPr>
            </w:pPr>
            <w:r>
              <w:rPr>
                <w:noProof/>
              </w:rPr>
              <w:t>Γραμμή βάσης</w:t>
            </w:r>
          </w:p>
        </w:tc>
        <w:tc>
          <w:tcPr>
            <w:tcW w:w="657" w:type="dxa"/>
            <w:shd w:val="clear" w:color="auto" w:fill="BDD6EE"/>
            <w:noWrap/>
            <w:vAlign w:val="center"/>
          </w:tcPr>
          <w:p w14:paraId="15BA119E" w14:textId="139D46FC" w:rsidR="00154AD2" w:rsidRDefault="007F6BF3">
            <w:pPr>
              <w:pStyle w:val="P68B1DB1-Normal6"/>
              <w:spacing w:after="0" w:line="240" w:lineRule="auto"/>
              <w:jc w:val="center"/>
              <w:rPr>
                <w:rFonts w:ascii="Calibri" w:eastAsia="Times New Roman" w:hAnsi="Calibri" w:cs="Calibri"/>
                <w:noProof/>
                <w:sz w:val="16"/>
              </w:rPr>
            </w:pPr>
            <w:r>
              <w:rPr>
                <w:noProof/>
              </w:rPr>
              <w:t>Στόχοι</w:t>
            </w:r>
          </w:p>
        </w:tc>
        <w:tc>
          <w:tcPr>
            <w:tcW w:w="530" w:type="dxa"/>
            <w:shd w:val="clear" w:color="auto" w:fill="BDD6EE"/>
            <w:noWrap/>
            <w:vAlign w:val="center"/>
          </w:tcPr>
          <w:p w14:paraId="1E42A9C0" w14:textId="475D06D5" w:rsidR="00154AD2" w:rsidRDefault="007F6BF3">
            <w:pPr>
              <w:pStyle w:val="P68B1DB1-Normal6"/>
              <w:spacing w:after="0" w:line="240" w:lineRule="auto"/>
              <w:jc w:val="center"/>
              <w:rPr>
                <w:rFonts w:ascii="Calibri" w:eastAsia="Times New Roman" w:hAnsi="Calibri" w:cs="Calibri"/>
                <w:noProof/>
                <w:sz w:val="16"/>
              </w:rPr>
            </w:pPr>
            <w:r>
              <w:rPr>
                <w:noProof/>
              </w:rPr>
              <w:t>Ε</w:t>
            </w:r>
          </w:p>
        </w:tc>
        <w:tc>
          <w:tcPr>
            <w:tcW w:w="656" w:type="dxa"/>
            <w:shd w:val="clear" w:color="auto" w:fill="BDD6EE"/>
            <w:noWrap/>
            <w:vAlign w:val="center"/>
          </w:tcPr>
          <w:p w14:paraId="7E76EBEF" w14:textId="6888EA5F" w:rsidR="00154AD2" w:rsidRDefault="007F6BF3">
            <w:pPr>
              <w:pStyle w:val="P68B1DB1-Normal6"/>
              <w:spacing w:after="0" w:line="240" w:lineRule="auto"/>
              <w:jc w:val="center"/>
              <w:rPr>
                <w:rFonts w:ascii="Calibri" w:eastAsia="Times New Roman" w:hAnsi="Calibri" w:cs="Calibri"/>
                <w:noProof/>
                <w:sz w:val="16"/>
              </w:rPr>
            </w:pPr>
            <w:r>
              <w:rPr>
                <w:noProof/>
              </w:rPr>
              <w:t>Έτος</w:t>
            </w:r>
          </w:p>
        </w:tc>
        <w:tc>
          <w:tcPr>
            <w:tcW w:w="5456" w:type="dxa"/>
            <w:vMerge/>
            <w:noWrap/>
            <w:vAlign w:val="center"/>
          </w:tcPr>
          <w:p w14:paraId="33463114" w14:textId="77777777" w:rsidR="00154AD2" w:rsidRDefault="00154AD2">
            <w:pPr>
              <w:spacing w:after="0" w:line="240" w:lineRule="auto"/>
              <w:jc w:val="both"/>
              <w:rPr>
                <w:rFonts w:ascii="Calibri" w:eastAsia="Times New Roman" w:hAnsi="Calibri" w:cs="Calibri"/>
                <w:noProof/>
                <w:sz w:val="16"/>
              </w:rPr>
            </w:pPr>
          </w:p>
        </w:tc>
      </w:tr>
      <w:tr w:rsidR="00154AD2" w14:paraId="7694BA31" w14:textId="77777777">
        <w:trPr>
          <w:trHeight w:val="850"/>
        </w:trPr>
        <w:tc>
          <w:tcPr>
            <w:tcW w:w="1043" w:type="dxa"/>
            <w:gridSpan w:val="2"/>
            <w:shd w:val="clear" w:color="auto" w:fill="C4EFCE"/>
            <w:vAlign w:val="center"/>
            <w:hideMark/>
          </w:tcPr>
          <w:p w14:paraId="3E3FBA2E" w14:textId="77777777" w:rsidR="00154AD2" w:rsidRDefault="007F6BF3">
            <w:pPr>
              <w:pStyle w:val="P68B1DB1-Normal7"/>
              <w:spacing w:after="0" w:line="240" w:lineRule="auto"/>
              <w:jc w:val="center"/>
              <w:rPr>
                <w:rFonts w:eastAsia="Times New Roman" w:cs="Calibri"/>
                <w:noProof/>
              </w:rPr>
            </w:pPr>
            <w:r>
              <w:rPr>
                <w:noProof/>
              </w:rPr>
              <w:t>17.1</w:t>
            </w:r>
          </w:p>
        </w:tc>
        <w:tc>
          <w:tcPr>
            <w:tcW w:w="1161" w:type="dxa"/>
            <w:shd w:val="clear" w:color="auto" w:fill="C4EFCE"/>
            <w:noWrap/>
            <w:vAlign w:val="center"/>
            <w:hideMark/>
          </w:tcPr>
          <w:p w14:paraId="2DD63E92" w14:textId="77777777" w:rsidR="00154AD2" w:rsidRDefault="007F6BF3">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0F2B21F0" w14:textId="77777777" w:rsidR="00154AD2" w:rsidRDefault="007F6BF3">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04C19ED3" w14:textId="77777777" w:rsidR="00154AD2" w:rsidRDefault="007F6BF3">
            <w:pPr>
              <w:pStyle w:val="P68B1DB1-Normal8"/>
              <w:spacing w:after="0" w:line="240" w:lineRule="auto"/>
              <w:jc w:val="center"/>
              <w:rPr>
                <w:rFonts w:eastAsia="Times New Roman" w:cs="Calibri"/>
                <w:noProof/>
              </w:rPr>
            </w:pPr>
            <w:r>
              <w:rPr>
                <w:noProof/>
              </w:rPr>
              <w:t>Ολοκλήρωση του σχεδιασμού και της εφαρμογής νέων μοντέλων δημόσιων συμβάσεων για το εθνικό κεντρικό σύστημα δημόσιων συμβάσεων, όπως προβλέπεται στο στρατηγικό σχέδιο 2020-2023 του φορέα κοινών υπηρεσιών της δημόσιας διοίκησης</w:t>
            </w:r>
          </w:p>
        </w:tc>
        <w:tc>
          <w:tcPr>
            <w:tcW w:w="1356" w:type="dxa"/>
            <w:shd w:val="clear" w:color="auto" w:fill="C4EFCE"/>
            <w:noWrap/>
            <w:vAlign w:val="center"/>
            <w:hideMark/>
          </w:tcPr>
          <w:p w14:paraId="12F6C5B1" w14:textId="77777777" w:rsidR="00154AD2" w:rsidRDefault="007F6BF3">
            <w:pPr>
              <w:pStyle w:val="P68B1DB1-Normal8"/>
              <w:spacing w:after="0" w:line="240" w:lineRule="auto"/>
              <w:jc w:val="center"/>
              <w:rPr>
                <w:rFonts w:eastAsia="Times New Roman" w:cs="Calibri"/>
                <w:noProof/>
              </w:rPr>
            </w:pPr>
            <w:r>
              <w:rPr>
                <w:noProof/>
              </w:rPr>
              <w:t> </w:t>
            </w:r>
          </w:p>
        </w:tc>
        <w:tc>
          <w:tcPr>
            <w:tcW w:w="909" w:type="dxa"/>
            <w:shd w:val="clear" w:color="auto" w:fill="C4EFCE"/>
            <w:noWrap/>
            <w:vAlign w:val="center"/>
            <w:hideMark/>
          </w:tcPr>
          <w:p w14:paraId="200AE441"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08" w:type="dxa"/>
            <w:shd w:val="clear" w:color="auto" w:fill="C4EFCE"/>
            <w:noWrap/>
            <w:vAlign w:val="center"/>
            <w:hideMark/>
          </w:tcPr>
          <w:p w14:paraId="5CE359FE" w14:textId="77777777" w:rsidR="00154AD2" w:rsidRDefault="007F6BF3">
            <w:pPr>
              <w:pStyle w:val="P68B1DB1-Normal8"/>
              <w:spacing w:after="0" w:line="240" w:lineRule="auto"/>
              <w:jc w:val="center"/>
              <w:rPr>
                <w:rFonts w:eastAsia="Times New Roman" w:cs="Calibri"/>
                <w:noProof/>
              </w:rPr>
            </w:pPr>
            <w:r>
              <w:rPr>
                <w:noProof/>
              </w:rPr>
              <w:t>0</w:t>
            </w:r>
          </w:p>
        </w:tc>
        <w:tc>
          <w:tcPr>
            <w:tcW w:w="657" w:type="dxa"/>
            <w:shd w:val="clear" w:color="auto" w:fill="C4EFCE"/>
            <w:noWrap/>
            <w:vAlign w:val="center"/>
            <w:hideMark/>
          </w:tcPr>
          <w:p w14:paraId="190050F3" w14:textId="77777777" w:rsidR="00154AD2" w:rsidRDefault="007F6BF3">
            <w:pPr>
              <w:pStyle w:val="P68B1DB1-Normal8"/>
              <w:spacing w:after="0" w:line="240" w:lineRule="auto"/>
              <w:jc w:val="center"/>
              <w:rPr>
                <w:rFonts w:eastAsia="Times New Roman" w:cs="Calibri"/>
                <w:noProof/>
              </w:rPr>
            </w:pPr>
            <w:r>
              <w:rPr>
                <w:noProof/>
              </w:rPr>
              <w:t>10</w:t>
            </w:r>
          </w:p>
        </w:tc>
        <w:tc>
          <w:tcPr>
            <w:tcW w:w="530" w:type="dxa"/>
            <w:shd w:val="clear" w:color="auto" w:fill="C4EFCE"/>
            <w:noWrap/>
            <w:vAlign w:val="center"/>
            <w:hideMark/>
          </w:tcPr>
          <w:p w14:paraId="3C2E2E6E"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56" w:type="dxa"/>
            <w:shd w:val="clear" w:color="auto" w:fill="C4EFCE"/>
            <w:noWrap/>
            <w:vAlign w:val="center"/>
            <w:hideMark/>
          </w:tcPr>
          <w:p w14:paraId="52B7F59F" w14:textId="77777777" w:rsidR="00154AD2" w:rsidRDefault="007F6BF3">
            <w:pPr>
              <w:pStyle w:val="P68B1DB1-Normal8"/>
              <w:spacing w:after="0" w:line="240" w:lineRule="auto"/>
              <w:jc w:val="center"/>
              <w:rPr>
                <w:rFonts w:eastAsia="Times New Roman" w:cs="Calibri"/>
                <w:noProof/>
              </w:rPr>
            </w:pPr>
            <w:r>
              <w:rPr>
                <w:noProof/>
              </w:rPr>
              <w:t>2022</w:t>
            </w:r>
          </w:p>
        </w:tc>
        <w:tc>
          <w:tcPr>
            <w:tcW w:w="5456" w:type="dxa"/>
            <w:shd w:val="clear" w:color="auto" w:fill="C4EFCE"/>
            <w:noWrap/>
            <w:vAlign w:val="center"/>
            <w:hideMark/>
          </w:tcPr>
          <w:p w14:paraId="7656AF6C" w14:textId="77777777" w:rsidR="00154AD2" w:rsidRDefault="007F6BF3">
            <w:pPr>
              <w:pStyle w:val="P68B1DB1-Normal8"/>
              <w:spacing w:after="0" w:line="240" w:lineRule="auto"/>
              <w:jc w:val="both"/>
              <w:rPr>
                <w:rFonts w:eastAsia="Times New Roman" w:cs="Calibri"/>
                <w:noProof/>
              </w:rPr>
            </w:pPr>
            <w:r>
              <w:rPr>
                <w:noProof/>
              </w:rPr>
              <w:t>Αριθμός αναθεωρημένων συμφωνιών-πλαισίων και υποδειγμάτων σύναψης συμβάσεων, με σκοπό: I) να προωθήσει τη διοικητική απλούστευση· ενίσχυση των μηχανισμών παρακολούθησης και ελέγχου· την ενίσχυση της οικονομικής αποδοτικότητας και του εξορθολογισμού· IV) να διευρύνει τον κατάλογο των αγαθών και των υπηρεσιών που αποτελούν αντικείμενο κεντρικών συμβάσεων· και v) προώθηση της συνεργασίας μεταξύ εσωτερικών και εξωτερικών ενδιαφερόμενων μερών.</w:t>
            </w:r>
          </w:p>
        </w:tc>
      </w:tr>
      <w:tr w:rsidR="00154AD2" w14:paraId="5D6E4B31" w14:textId="77777777">
        <w:trPr>
          <w:trHeight w:val="640"/>
        </w:trPr>
        <w:tc>
          <w:tcPr>
            <w:tcW w:w="1043" w:type="dxa"/>
            <w:gridSpan w:val="2"/>
            <w:shd w:val="clear" w:color="auto" w:fill="C4EFCE"/>
            <w:vAlign w:val="center"/>
            <w:hideMark/>
          </w:tcPr>
          <w:p w14:paraId="42B7E2A9" w14:textId="77777777" w:rsidR="00154AD2" w:rsidRDefault="007F6BF3">
            <w:pPr>
              <w:pStyle w:val="P68B1DB1-Normal7"/>
              <w:spacing w:after="0" w:line="240" w:lineRule="auto"/>
              <w:jc w:val="center"/>
              <w:rPr>
                <w:rFonts w:eastAsia="Times New Roman" w:cs="Calibri"/>
                <w:noProof/>
              </w:rPr>
            </w:pPr>
            <w:r>
              <w:rPr>
                <w:noProof/>
              </w:rPr>
              <w:t>17.2</w:t>
            </w:r>
          </w:p>
        </w:tc>
        <w:tc>
          <w:tcPr>
            <w:tcW w:w="1161" w:type="dxa"/>
            <w:shd w:val="clear" w:color="auto" w:fill="C4EFCE"/>
            <w:noWrap/>
            <w:vAlign w:val="center"/>
            <w:hideMark/>
          </w:tcPr>
          <w:p w14:paraId="237F46C9" w14:textId="77777777" w:rsidR="00154AD2" w:rsidRDefault="007F6BF3">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64CB5B3E" w14:textId="77777777" w:rsidR="00154AD2" w:rsidRDefault="007F6BF3">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68784BA3" w14:textId="77777777" w:rsidR="00154AD2" w:rsidRDefault="007F6BF3">
            <w:pPr>
              <w:pStyle w:val="P68B1DB1-Normal8"/>
              <w:spacing w:after="0" w:line="240" w:lineRule="auto"/>
              <w:jc w:val="center"/>
              <w:rPr>
                <w:rFonts w:eastAsia="Times New Roman" w:cs="Calibri"/>
                <w:noProof/>
              </w:rPr>
            </w:pPr>
            <w:r>
              <w:rPr>
                <w:noProof/>
              </w:rPr>
              <w:t>Έναρξη ισχύος της νομοθεσίας στην οποία βασίζεται η κρατική λογιστική οντότητα</w:t>
            </w:r>
          </w:p>
        </w:tc>
        <w:tc>
          <w:tcPr>
            <w:tcW w:w="1356" w:type="dxa"/>
            <w:shd w:val="clear" w:color="auto" w:fill="C4EFCE"/>
            <w:noWrap/>
            <w:vAlign w:val="center"/>
            <w:hideMark/>
          </w:tcPr>
          <w:p w14:paraId="69FA9E8E" w14:textId="77777777" w:rsidR="00154AD2" w:rsidRDefault="007F6BF3">
            <w:pPr>
              <w:pStyle w:val="P68B1DB1-Normal8"/>
              <w:spacing w:after="0" w:line="240" w:lineRule="auto"/>
              <w:jc w:val="center"/>
              <w:rPr>
                <w:rFonts w:eastAsia="Times New Roman" w:cs="Calibri"/>
                <w:noProof/>
              </w:rPr>
            </w:pPr>
            <w:r>
              <w:rPr>
                <w:noProof/>
              </w:rPr>
              <w:t>Έναρξη ισχύος της νομοθεσίας στην οποία βασίζεται η κρατική λογιστική οντότητα</w:t>
            </w:r>
          </w:p>
        </w:tc>
        <w:tc>
          <w:tcPr>
            <w:tcW w:w="909" w:type="dxa"/>
            <w:shd w:val="clear" w:color="auto" w:fill="C4EFCE"/>
            <w:noWrap/>
            <w:vAlign w:val="center"/>
            <w:hideMark/>
          </w:tcPr>
          <w:p w14:paraId="4EA18E78" w14:textId="77777777" w:rsidR="00154AD2" w:rsidRDefault="007F6BF3">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26E3661D" w14:textId="77777777" w:rsidR="00154AD2" w:rsidRDefault="007F6BF3">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7CD13C2D" w14:textId="77777777" w:rsidR="00154AD2" w:rsidRDefault="007F6BF3">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01FE7BCB"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56" w:type="dxa"/>
            <w:shd w:val="clear" w:color="auto" w:fill="C4EFCE"/>
            <w:noWrap/>
            <w:vAlign w:val="center"/>
            <w:hideMark/>
          </w:tcPr>
          <w:p w14:paraId="1ADFCE86" w14:textId="77777777" w:rsidR="00154AD2" w:rsidRDefault="007F6BF3">
            <w:pPr>
              <w:pStyle w:val="P68B1DB1-Normal8"/>
              <w:spacing w:after="0" w:line="240" w:lineRule="auto"/>
              <w:jc w:val="center"/>
              <w:rPr>
                <w:rFonts w:eastAsia="Times New Roman" w:cs="Calibri"/>
                <w:noProof/>
              </w:rPr>
            </w:pPr>
            <w:r>
              <w:rPr>
                <w:noProof/>
              </w:rPr>
              <w:t>2022</w:t>
            </w:r>
          </w:p>
        </w:tc>
        <w:tc>
          <w:tcPr>
            <w:tcW w:w="5456" w:type="dxa"/>
            <w:shd w:val="clear" w:color="auto" w:fill="C4EFCE"/>
            <w:noWrap/>
            <w:vAlign w:val="center"/>
            <w:hideMark/>
          </w:tcPr>
          <w:p w14:paraId="1702B1DE" w14:textId="77777777" w:rsidR="00154AD2" w:rsidRDefault="007F6BF3">
            <w:pPr>
              <w:pStyle w:val="P68B1DB1-Normal8"/>
              <w:spacing w:after="0" w:line="240" w:lineRule="auto"/>
              <w:jc w:val="both"/>
              <w:rPr>
                <w:rFonts w:eastAsia="Times New Roman" w:cs="Calibri"/>
                <w:noProof/>
              </w:rPr>
            </w:pPr>
            <w:r>
              <w:rPr>
                <w:noProof/>
              </w:rPr>
              <w:t>Έναρξη ισχύος παράγωγου δικαίου (ή/και διοικητικών κατευθυντήριων γραμμών) για τη ρύθμιση των συγκεκριμένων στοιχείων εσόδων και δαπανών που θα περιληφθούν στον προϋπολογισμό της Κρατικής Λογιστικής Οντότητας, σε πλήρη συμμόρφωση με τα άρθρα 49 και 55 του περί Δημοσιονομικού Πλαισίου του 2015 Νόμου.</w:t>
            </w:r>
          </w:p>
        </w:tc>
      </w:tr>
      <w:tr w:rsidR="00154AD2" w14:paraId="2670F13A" w14:textId="77777777">
        <w:trPr>
          <w:trHeight w:val="640"/>
        </w:trPr>
        <w:tc>
          <w:tcPr>
            <w:tcW w:w="1043" w:type="dxa"/>
            <w:gridSpan w:val="2"/>
            <w:shd w:val="clear" w:color="auto" w:fill="C4EFCE"/>
            <w:vAlign w:val="center"/>
            <w:hideMark/>
          </w:tcPr>
          <w:p w14:paraId="6B4783D2" w14:textId="77777777" w:rsidR="00154AD2" w:rsidRDefault="007F6BF3">
            <w:pPr>
              <w:pStyle w:val="P68B1DB1-Normal7"/>
              <w:spacing w:after="0" w:line="240" w:lineRule="auto"/>
              <w:jc w:val="center"/>
              <w:rPr>
                <w:rFonts w:eastAsia="Times New Roman" w:cs="Calibri"/>
                <w:noProof/>
              </w:rPr>
            </w:pPr>
            <w:r>
              <w:rPr>
                <w:noProof/>
              </w:rPr>
              <w:t>17.3</w:t>
            </w:r>
          </w:p>
        </w:tc>
        <w:tc>
          <w:tcPr>
            <w:tcW w:w="1161" w:type="dxa"/>
            <w:shd w:val="clear" w:color="auto" w:fill="C4EFCE"/>
            <w:noWrap/>
            <w:vAlign w:val="center"/>
            <w:hideMark/>
          </w:tcPr>
          <w:p w14:paraId="3198F425" w14:textId="77777777" w:rsidR="00154AD2" w:rsidRDefault="007F6BF3">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53DAF5CC" w14:textId="77777777" w:rsidR="00154AD2" w:rsidRDefault="007F6BF3">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12148275" w14:textId="77777777" w:rsidR="00154AD2" w:rsidRDefault="007F6BF3">
            <w:pPr>
              <w:pStyle w:val="P68B1DB1-Normal8"/>
              <w:spacing w:after="0" w:line="240" w:lineRule="auto"/>
              <w:jc w:val="center"/>
              <w:rPr>
                <w:rFonts w:eastAsia="Times New Roman" w:cs="Calibri"/>
                <w:noProof/>
              </w:rPr>
            </w:pPr>
            <w:r>
              <w:rPr>
                <w:noProof/>
              </w:rPr>
              <w:t>Ολοκλήρωση και έγκριση του μοντέλου παρακολούθησης της δημοσιονομικής και χρηματοοικονομικής εκτέλεσης της Γενικής Κυβέρνησης</w:t>
            </w:r>
          </w:p>
        </w:tc>
        <w:tc>
          <w:tcPr>
            <w:tcW w:w="1356" w:type="dxa"/>
            <w:shd w:val="clear" w:color="auto" w:fill="C4EFCE"/>
            <w:noWrap/>
            <w:vAlign w:val="center"/>
            <w:hideMark/>
          </w:tcPr>
          <w:p w14:paraId="37DD72D5" w14:textId="77777777" w:rsidR="00154AD2" w:rsidRDefault="007F6BF3">
            <w:pPr>
              <w:pStyle w:val="P68B1DB1-Normal8"/>
              <w:spacing w:after="0" w:line="240" w:lineRule="auto"/>
              <w:jc w:val="center"/>
              <w:rPr>
                <w:rFonts w:eastAsia="Times New Roman" w:cs="Calibri"/>
                <w:noProof/>
              </w:rPr>
            </w:pPr>
            <w:r>
              <w:rPr>
                <w:noProof/>
              </w:rPr>
              <w:t>Ολοκλήρωση και έγκριση του μοντέλου παρακολούθησης της δημοσιονομικής και χρηματοοικονομικής εκτέλεσης της Γενικής Κυβέρνησης</w:t>
            </w:r>
          </w:p>
        </w:tc>
        <w:tc>
          <w:tcPr>
            <w:tcW w:w="909" w:type="dxa"/>
            <w:shd w:val="clear" w:color="auto" w:fill="C4EFCE"/>
            <w:noWrap/>
            <w:vAlign w:val="center"/>
            <w:hideMark/>
          </w:tcPr>
          <w:p w14:paraId="458B3549" w14:textId="77777777" w:rsidR="00154AD2" w:rsidRDefault="007F6BF3">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08881E8B" w14:textId="77777777" w:rsidR="00154AD2" w:rsidRDefault="007F6BF3">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690878FC" w14:textId="77777777" w:rsidR="00154AD2" w:rsidRDefault="007F6BF3">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0516481F"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56" w:type="dxa"/>
            <w:shd w:val="clear" w:color="auto" w:fill="C4EFCE"/>
            <w:noWrap/>
            <w:vAlign w:val="center"/>
            <w:hideMark/>
          </w:tcPr>
          <w:p w14:paraId="42D9884E" w14:textId="77777777" w:rsidR="00154AD2" w:rsidRDefault="007F6BF3">
            <w:pPr>
              <w:pStyle w:val="P68B1DB1-Normal8"/>
              <w:spacing w:after="0" w:line="240" w:lineRule="auto"/>
              <w:jc w:val="center"/>
              <w:rPr>
                <w:rFonts w:eastAsia="Times New Roman" w:cs="Calibri"/>
                <w:noProof/>
              </w:rPr>
            </w:pPr>
            <w:r>
              <w:rPr>
                <w:noProof/>
              </w:rPr>
              <w:t>2022</w:t>
            </w:r>
          </w:p>
        </w:tc>
        <w:tc>
          <w:tcPr>
            <w:tcW w:w="5456" w:type="dxa"/>
            <w:shd w:val="clear" w:color="auto" w:fill="C4EFCE"/>
            <w:noWrap/>
            <w:vAlign w:val="center"/>
            <w:hideMark/>
          </w:tcPr>
          <w:p w14:paraId="2E4EF746" w14:textId="77777777" w:rsidR="00154AD2" w:rsidRDefault="007F6BF3">
            <w:pPr>
              <w:pStyle w:val="P68B1DB1-Normal8"/>
              <w:spacing w:after="0" w:line="240" w:lineRule="auto"/>
              <w:jc w:val="both"/>
              <w:rPr>
                <w:rFonts w:eastAsia="Times New Roman" w:cs="Calibri"/>
                <w:noProof/>
              </w:rPr>
            </w:pPr>
            <w:r>
              <w:rPr>
                <w:noProof/>
              </w:rPr>
              <w:t xml:space="preserve">Ολοκλήρωση και έγκριση από το Υπουργείο Οικονομικών του μοντέλου για τον έλεγχο και την παρακολούθηση της δημοσιονομικής και χρηματοοικονομικής εκτέλεσης της γενικής κυβέρνησης, σε πλήρη συμμόρφωση με τις διατάξεις του νόμου για το δημοσιονομικό πλαίσιο του 2015 και τις αρχές του λογιστικού προτύπου για τη δημόσια διοίκηση βάσει δεδουλευμένων. </w:t>
            </w:r>
          </w:p>
        </w:tc>
      </w:tr>
      <w:tr w:rsidR="00154AD2" w14:paraId="5A197FDC" w14:textId="77777777">
        <w:trPr>
          <w:trHeight w:val="640"/>
        </w:trPr>
        <w:tc>
          <w:tcPr>
            <w:tcW w:w="1043" w:type="dxa"/>
            <w:gridSpan w:val="2"/>
            <w:shd w:val="clear" w:color="auto" w:fill="C4EFCE"/>
            <w:vAlign w:val="center"/>
            <w:hideMark/>
          </w:tcPr>
          <w:p w14:paraId="55E30BC5" w14:textId="77777777" w:rsidR="00154AD2" w:rsidRDefault="007F6BF3">
            <w:pPr>
              <w:pStyle w:val="P68B1DB1-Normal7"/>
              <w:spacing w:after="0" w:line="240" w:lineRule="auto"/>
              <w:jc w:val="center"/>
              <w:rPr>
                <w:rFonts w:eastAsia="Times New Roman" w:cs="Calibri"/>
                <w:noProof/>
              </w:rPr>
            </w:pPr>
            <w:r>
              <w:rPr>
                <w:noProof/>
              </w:rPr>
              <w:t>17.4</w:t>
            </w:r>
          </w:p>
        </w:tc>
        <w:tc>
          <w:tcPr>
            <w:tcW w:w="1161" w:type="dxa"/>
            <w:shd w:val="clear" w:color="auto" w:fill="C4EFCE"/>
            <w:noWrap/>
            <w:vAlign w:val="center"/>
            <w:hideMark/>
          </w:tcPr>
          <w:p w14:paraId="02476C45" w14:textId="77777777" w:rsidR="00154AD2" w:rsidRDefault="007F6BF3">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09115588" w14:textId="77777777" w:rsidR="00154AD2" w:rsidRDefault="007F6BF3">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790AFA4D" w14:textId="77777777" w:rsidR="00154AD2" w:rsidRDefault="007F6BF3">
            <w:pPr>
              <w:pStyle w:val="P68B1DB1-Normal8"/>
              <w:spacing w:after="0" w:line="240" w:lineRule="auto"/>
              <w:jc w:val="center"/>
              <w:rPr>
                <w:rFonts w:eastAsia="Times New Roman" w:cs="Calibri"/>
                <w:noProof/>
              </w:rPr>
            </w:pPr>
            <w:r>
              <w:rPr>
                <w:noProof/>
              </w:rPr>
              <w:t>Έγκριση του μοντέλου κοστολόγησης για την κατάρτιση του προϋπολογισμού των προγραμμάτων</w:t>
            </w:r>
          </w:p>
        </w:tc>
        <w:tc>
          <w:tcPr>
            <w:tcW w:w="1356" w:type="dxa"/>
            <w:shd w:val="clear" w:color="auto" w:fill="C4EFCE"/>
            <w:noWrap/>
            <w:vAlign w:val="center"/>
            <w:hideMark/>
          </w:tcPr>
          <w:p w14:paraId="35316023" w14:textId="77777777" w:rsidR="00154AD2" w:rsidRDefault="007F6BF3">
            <w:pPr>
              <w:pStyle w:val="P68B1DB1-Normal8"/>
              <w:spacing w:after="0" w:line="240" w:lineRule="auto"/>
              <w:jc w:val="center"/>
              <w:rPr>
                <w:rFonts w:eastAsia="Times New Roman" w:cs="Calibri"/>
                <w:noProof/>
              </w:rPr>
            </w:pPr>
            <w:r>
              <w:rPr>
                <w:noProof/>
              </w:rPr>
              <w:t>Θέσπιση νομοθεσίας για το μοντέλο κοστολόγησης για την κατάρτιση του προϋπολογισμού προγραμμάτων</w:t>
            </w:r>
          </w:p>
        </w:tc>
        <w:tc>
          <w:tcPr>
            <w:tcW w:w="909" w:type="dxa"/>
            <w:shd w:val="clear" w:color="auto" w:fill="C4EFCE"/>
            <w:noWrap/>
            <w:vAlign w:val="center"/>
            <w:hideMark/>
          </w:tcPr>
          <w:p w14:paraId="4241F94E" w14:textId="77777777" w:rsidR="00154AD2" w:rsidRDefault="007F6BF3">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7805EFF6" w14:textId="77777777" w:rsidR="00154AD2" w:rsidRDefault="007F6BF3">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16D3AD47" w14:textId="77777777" w:rsidR="00154AD2" w:rsidRDefault="007F6BF3">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51AB287A"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56" w:type="dxa"/>
            <w:shd w:val="clear" w:color="auto" w:fill="C4EFCE"/>
            <w:noWrap/>
            <w:vAlign w:val="center"/>
            <w:hideMark/>
          </w:tcPr>
          <w:p w14:paraId="2E3CA631" w14:textId="77777777" w:rsidR="00154AD2" w:rsidRDefault="007F6BF3">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67C05F6B" w14:textId="31DDD4CA" w:rsidR="00154AD2" w:rsidRDefault="007F6BF3">
            <w:pPr>
              <w:pStyle w:val="P68B1DB1-Normal8"/>
              <w:spacing w:after="0" w:line="240" w:lineRule="auto"/>
              <w:jc w:val="both"/>
              <w:rPr>
                <w:rFonts w:eastAsia="Times New Roman" w:cs="Calibri"/>
                <w:noProof/>
              </w:rPr>
            </w:pPr>
            <w:r>
              <w:rPr>
                <w:noProof/>
              </w:rPr>
              <w:t>Θέσπιση παράγωγου δικαίου (και/ή διοικητικών κατευθυντήριων γραμμών) για τον καθορισμό των αρχών για την κοστολόγηση και την παρακολούθηση της συμμόρφωσης με τους δείκτες βάσει επιδόσεων που καθορίζονται για κάθε δημοσιονομικό πρόγραμμα και δημόσια πολιτική, με σκοπό την έναρξη ισχύος έως το 1ο τρίμηνο του 2027.</w:t>
            </w:r>
          </w:p>
        </w:tc>
      </w:tr>
      <w:tr w:rsidR="00154AD2" w14:paraId="38313B89" w14:textId="77777777">
        <w:trPr>
          <w:trHeight w:val="420"/>
        </w:trPr>
        <w:tc>
          <w:tcPr>
            <w:tcW w:w="1043" w:type="dxa"/>
            <w:gridSpan w:val="2"/>
            <w:shd w:val="clear" w:color="auto" w:fill="C4EFCE"/>
            <w:vAlign w:val="center"/>
            <w:hideMark/>
          </w:tcPr>
          <w:p w14:paraId="1F4AFBA8" w14:textId="77777777" w:rsidR="00154AD2" w:rsidRDefault="007F6BF3">
            <w:pPr>
              <w:pStyle w:val="P68B1DB1-Normal7"/>
              <w:spacing w:after="0" w:line="240" w:lineRule="auto"/>
              <w:jc w:val="center"/>
              <w:rPr>
                <w:rFonts w:eastAsia="Times New Roman" w:cs="Calibri"/>
                <w:noProof/>
              </w:rPr>
            </w:pPr>
            <w:r>
              <w:rPr>
                <w:noProof/>
              </w:rPr>
              <w:t>17.5</w:t>
            </w:r>
          </w:p>
        </w:tc>
        <w:tc>
          <w:tcPr>
            <w:tcW w:w="1161" w:type="dxa"/>
            <w:shd w:val="clear" w:color="auto" w:fill="C4EFCE"/>
            <w:noWrap/>
            <w:vAlign w:val="center"/>
            <w:hideMark/>
          </w:tcPr>
          <w:p w14:paraId="1AA5229E" w14:textId="77777777" w:rsidR="00154AD2" w:rsidRDefault="007F6BF3">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4C2DBEEB" w14:textId="77777777" w:rsidR="00154AD2" w:rsidRDefault="007F6BF3">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12022E11" w14:textId="77777777" w:rsidR="00154AD2" w:rsidRDefault="007F6BF3">
            <w:pPr>
              <w:pStyle w:val="P68B1DB1-Normal8"/>
              <w:spacing w:after="0" w:line="240" w:lineRule="auto"/>
              <w:jc w:val="center"/>
              <w:rPr>
                <w:rFonts w:eastAsia="Times New Roman" w:cs="Calibri"/>
                <w:noProof/>
              </w:rPr>
            </w:pPr>
            <w:r>
              <w:rPr>
                <w:noProof/>
              </w:rPr>
              <w:t>Εφαρμογή μηχανισμών για την ενσωμάτωση των επανεξετάσεων των δαπανών στην τακτική διαδικασία του προϋπολογισμού, συμπεριλαμβανομένης της εκ των υστέρων αξιολόγησης της εξοικονόμησης αποδοτικότητας</w:t>
            </w:r>
          </w:p>
        </w:tc>
        <w:tc>
          <w:tcPr>
            <w:tcW w:w="1356" w:type="dxa"/>
            <w:shd w:val="clear" w:color="auto" w:fill="C4EFCE"/>
            <w:noWrap/>
            <w:vAlign w:val="center"/>
            <w:hideMark/>
          </w:tcPr>
          <w:p w14:paraId="78ADFCD7" w14:textId="77777777" w:rsidR="00154AD2" w:rsidRDefault="007F6BF3">
            <w:pPr>
              <w:pStyle w:val="P68B1DB1-Normal8"/>
              <w:spacing w:after="0" w:line="240" w:lineRule="auto"/>
              <w:jc w:val="center"/>
              <w:rPr>
                <w:rFonts w:eastAsia="Times New Roman" w:cs="Calibri"/>
                <w:noProof/>
              </w:rPr>
            </w:pPr>
            <w:r>
              <w:rPr>
                <w:noProof/>
              </w:rPr>
              <w:t>Έκθεση σχετικά με την ενσωμάτωση των επανεξετάσεων των δαπανών στην τακτική διαδικασία του προϋπολογισμού και την εκ των υστέρων αξιολόγησή τους</w:t>
            </w:r>
          </w:p>
        </w:tc>
        <w:tc>
          <w:tcPr>
            <w:tcW w:w="909" w:type="dxa"/>
            <w:shd w:val="clear" w:color="auto" w:fill="C4EFCE"/>
            <w:noWrap/>
            <w:vAlign w:val="center"/>
            <w:hideMark/>
          </w:tcPr>
          <w:p w14:paraId="45C9CCED" w14:textId="5C00014C" w:rsidR="00154AD2" w:rsidRDefault="00154AD2">
            <w:pPr>
              <w:spacing w:after="0" w:line="240" w:lineRule="auto"/>
              <w:jc w:val="center"/>
              <w:rPr>
                <w:rFonts w:ascii="Calibri" w:eastAsia="Times New Roman" w:hAnsi="Calibri" w:cs="Calibri"/>
                <w:noProof/>
                <w:sz w:val="16"/>
              </w:rPr>
            </w:pPr>
          </w:p>
        </w:tc>
        <w:tc>
          <w:tcPr>
            <w:tcW w:w="908" w:type="dxa"/>
            <w:shd w:val="clear" w:color="auto" w:fill="C4EFCE"/>
            <w:noWrap/>
            <w:vAlign w:val="center"/>
            <w:hideMark/>
          </w:tcPr>
          <w:p w14:paraId="69C76DA5" w14:textId="073E9F9F" w:rsidR="00154AD2" w:rsidRDefault="00154AD2">
            <w:pPr>
              <w:spacing w:after="0" w:line="240" w:lineRule="auto"/>
              <w:jc w:val="center"/>
              <w:rPr>
                <w:rFonts w:ascii="Calibri" w:eastAsia="Times New Roman" w:hAnsi="Calibri" w:cs="Calibri"/>
                <w:noProof/>
                <w:sz w:val="16"/>
              </w:rPr>
            </w:pPr>
          </w:p>
        </w:tc>
        <w:tc>
          <w:tcPr>
            <w:tcW w:w="657" w:type="dxa"/>
            <w:shd w:val="clear" w:color="auto" w:fill="C4EFCE"/>
            <w:noWrap/>
            <w:vAlign w:val="center"/>
            <w:hideMark/>
          </w:tcPr>
          <w:p w14:paraId="22C65312" w14:textId="087E5688" w:rsidR="00154AD2" w:rsidRDefault="00154AD2">
            <w:pPr>
              <w:spacing w:after="0" w:line="240" w:lineRule="auto"/>
              <w:jc w:val="center"/>
              <w:rPr>
                <w:rFonts w:ascii="Calibri" w:eastAsia="Times New Roman" w:hAnsi="Calibri" w:cs="Calibri"/>
                <w:noProof/>
                <w:sz w:val="16"/>
              </w:rPr>
            </w:pPr>
          </w:p>
        </w:tc>
        <w:tc>
          <w:tcPr>
            <w:tcW w:w="530" w:type="dxa"/>
            <w:shd w:val="clear" w:color="auto" w:fill="C4EFCE"/>
            <w:noWrap/>
            <w:vAlign w:val="center"/>
            <w:hideMark/>
          </w:tcPr>
          <w:p w14:paraId="2D6DA43E"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56" w:type="dxa"/>
            <w:shd w:val="clear" w:color="auto" w:fill="C4EFCE"/>
            <w:noWrap/>
            <w:vAlign w:val="center"/>
            <w:hideMark/>
          </w:tcPr>
          <w:p w14:paraId="6242BC08" w14:textId="77777777" w:rsidR="00154AD2" w:rsidRDefault="007F6BF3">
            <w:pPr>
              <w:pStyle w:val="P68B1DB1-Normal8"/>
              <w:spacing w:after="0" w:line="240" w:lineRule="auto"/>
              <w:jc w:val="center"/>
              <w:rPr>
                <w:rFonts w:eastAsia="Times New Roman" w:cs="Calibri"/>
                <w:noProof/>
              </w:rPr>
            </w:pPr>
            <w:r>
              <w:rPr>
                <w:noProof/>
              </w:rPr>
              <w:t>2024</w:t>
            </w:r>
          </w:p>
        </w:tc>
        <w:tc>
          <w:tcPr>
            <w:tcW w:w="5456" w:type="dxa"/>
            <w:shd w:val="clear" w:color="auto" w:fill="C4EFCE"/>
            <w:noWrap/>
            <w:vAlign w:val="center"/>
            <w:hideMark/>
          </w:tcPr>
          <w:p w14:paraId="3ADBED7B" w14:textId="14A7F5C0" w:rsidR="00154AD2" w:rsidRDefault="007F6BF3">
            <w:pPr>
              <w:pStyle w:val="P68B1DB1-Normal8"/>
              <w:spacing w:after="0" w:line="240" w:lineRule="auto"/>
              <w:jc w:val="both"/>
              <w:rPr>
                <w:rFonts w:eastAsia="Times New Roman" w:cs="Calibri"/>
                <w:noProof/>
              </w:rPr>
            </w:pPr>
            <w:r>
              <w:rPr>
                <w:noProof/>
              </w:rPr>
              <w:t xml:space="preserve">Αναπτύσσεται διαρθρωτικό και θεσμικό πλαίσιο για την επανεξέταση των δαπανών προκειμένου να ενσωματωθούν πλήρως στην ετήσια διαδικασία του προϋπολογισμού και στο μεσοπρόθεσμο δημοσιονομικό πλαίσιο της Πορτογαλίας. </w:t>
            </w:r>
          </w:p>
          <w:p w14:paraId="0D6B1F45" w14:textId="62498E10" w:rsidR="00154AD2" w:rsidRDefault="007F6BF3">
            <w:pPr>
              <w:pStyle w:val="P68B1DB1-Normal8"/>
              <w:spacing w:after="0" w:line="240" w:lineRule="auto"/>
              <w:jc w:val="both"/>
              <w:rPr>
                <w:rFonts w:eastAsia="Times New Roman" w:cs="Calibri"/>
                <w:noProof/>
              </w:rPr>
            </w:pPr>
            <w:r>
              <w:rPr>
                <w:noProof/>
              </w:rPr>
              <w:t>Η διαδικασία περιλαμβάνει τη διάγνωση, τον σχεδιασμό λύσεων και τον καθορισμό ενός μοντέλου που επιτρέπει τη βελτίωση της αποδοτικότητας κατά την παροχή δημόσιων υπηρεσιών, την προώθηση της διεύρυνσης της επανεξέτασης των δαπανών σε πρόσθετους τομείς εντός της γενικής κυβέρνησης και την αποδέσμευση πόρων, μέσω της βελτίωσης της αποδοτικότητας, για την ψηφιακή και την πράσινη μετάβαση.</w:t>
            </w:r>
          </w:p>
          <w:p w14:paraId="3534731F" w14:textId="619B412E" w:rsidR="00154AD2" w:rsidRDefault="007F6BF3">
            <w:pPr>
              <w:pStyle w:val="P68B1DB1-Normal8"/>
              <w:spacing w:after="0" w:line="240" w:lineRule="auto"/>
              <w:jc w:val="both"/>
              <w:rPr>
                <w:rFonts w:eastAsia="Times New Roman" w:cs="Calibri"/>
                <w:noProof/>
              </w:rPr>
            </w:pPr>
            <w:r>
              <w:rPr>
                <w:noProof/>
              </w:rPr>
              <w:t>Εκτός από την ενσωμάτωση των επανεξετάσεων των δαπανών στην ετήσια διαδικασία του προϋπολογισμού, υπόκεινται σε αποτελεσματικές ετήσιες εκ των υστέρων αξιολογήσεις προκειμένου να εξακριβώνεται η επιτευχθείσα βελτίωση της αποδοτικότητας. Το εγχείρημα μπορεί να περιλαμβάνει μεγαλύτερη υιοθέτηση κοινών υπηρεσιών και κεντρικές δημόσιες συμβάσεις, με βάση τη χρήση τεχνολογικών πλατφορμών και κοινών πόρων.</w:t>
            </w:r>
          </w:p>
        </w:tc>
      </w:tr>
      <w:tr w:rsidR="00154AD2" w14:paraId="621F6AC1" w14:textId="77777777">
        <w:trPr>
          <w:trHeight w:val="640"/>
        </w:trPr>
        <w:tc>
          <w:tcPr>
            <w:tcW w:w="1043" w:type="dxa"/>
            <w:gridSpan w:val="2"/>
            <w:shd w:val="clear" w:color="auto" w:fill="C4EFCE"/>
            <w:vAlign w:val="center"/>
            <w:hideMark/>
          </w:tcPr>
          <w:p w14:paraId="47662CD7" w14:textId="77777777" w:rsidR="00154AD2" w:rsidRDefault="007F6BF3">
            <w:pPr>
              <w:pStyle w:val="P68B1DB1-Normal7"/>
              <w:spacing w:after="0" w:line="240" w:lineRule="auto"/>
              <w:jc w:val="center"/>
              <w:rPr>
                <w:rFonts w:eastAsia="Times New Roman" w:cs="Calibri"/>
                <w:noProof/>
              </w:rPr>
            </w:pPr>
            <w:r>
              <w:rPr>
                <w:noProof/>
              </w:rPr>
              <w:t>17.6</w:t>
            </w:r>
          </w:p>
        </w:tc>
        <w:tc>
          <w:tcPr>
            <w:tcW w:w="1161" w:type="dxa"/>
            <w:shd w:val="clear" w:color="auto" w:fill="C4EFCE"/>
            <w:noWrap/>
            <w:vAlign w:val="center"/>
            <w:hideMark/>
          </w:tcPr>
          <w:p w14:paraId="35D30780" w14:textId="77777777" w:rsidR="00154AD2" w:rsidRDefault="007F6BF3">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7BD399B4" w14:textId="77777777" w:rsidR="00154AD2" w:rsidRDefault="007F6BF3">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7FBC9748" w14:textId="77777777" w:rsidR="00154AD2" w:rsidRDefault="007F6BF3">
            <w:pPr>
              <w:pStyle w:val="P68B1DB1-Normal8"/>
              <w:spacing w:after="0" w:line="240" w:lineRule="auto"/>
              <w:jc w:val="center"/>
              <w:rPr>
                <w:rFonts w:eastAsia="Times New Roman" w:cs="Calibri"/>
                <w:noProof/>
              </w:rPr>
            </w:pPr>
            <w:r>
              <w:rPr>
                <w:noProof/>
              </w:rPr>
              <w:t>Έναρξη ισχύος του νέου υποδείγματος σύμβασης διαχείρισης στο πλαίσιο του νέου συστήματος κινήτρων/κυρώσεων για τη διαχείριση κρατικών επιχειρήσεων</w:t>
            </w:r>
          </w:p>
        </w:tc>
        <w:tc>
          <w:tcPr>
            <w:tcW w:w="1356" w:type="dxa"/>
            <w:shd w:val="clear" w:color="auto" w:fill="C4EFCE"/>
            <w:noWrap/>
            <w:vAlign w:val="center"/>
            <w:hideMark/>
          </w:tcPr>
          <w:p w14:paraId="01049FF8" w14:textId="77777777" w:rsidR="00154AD2" w:rsidRDefault="007F6BF3">
            <w:pPr>
              <w:pStyle w:val="P68B1DB1-Normal8"/>
              <w:spacing w:after="0" w:line="240" w:lineRule="auto"/>
              <w:jc w:val="center"/>
              <w:rPr>
                <w:rFonts w:eastAsia="Times New Roman" w:cs="Calibri"/>
                <w:noProof/>
              </w:rPr>
            </w:pPr>
            <w:r>
              <w:rPr>
                <w:noProof/>
              </w:rPr>
              <w:t>Έναρξη ισχύος του νέου υποδείγματος σύμβασης διαχείρισης</w:t>
            </w:r>
          </w:p>
        </w:tc>
        <w:tc>
          <w:tcPr>
            <w:tcW w:w="909" w:type="dxa"/>
            <w:shd w:val="clear" w:color="auto" w:fill="C4EFCE"/>
            <w:noWrap/>
            <w:vAlign w:val="center"/>
            <w:hideMark/>
          </w:tcPr>
          <w:p w14:paraId="2979957B" w14:textId="77777777" w:rsidR="00154AD2" w:rsidRDefault="007F6BF3">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386865DA" w14:textId="77777777" w:rsidR="00154AD2" w:rsidRDefault="007F6BF3">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18183D31" w14:textId="77777777" w:rsidR="00154AD2" w:rsidRDefault="007F6BF3">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74F04CA0"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56" w:type="dxa"/>
            <w:shd w:val="clear" w:color="auto" w:fill="C4EFCE"/>
            <w:noWrap/>
            <w:vAlign w:val="center"/>
            <w:hideMark/>
          </w:tcPr>
          <w:p w14:paraId="41B88F6F" w14:textId="77777777" w:rsidR="00154AD2" w:rsidRDefault="007F6BF3">
            <w:pPr>
              <w:pStyle w:val="P68B1DB1-Normal8"/>
              <w:spacing w:after="0" w:line="240" w:lineRule="auto"/>
              <w:jc w:val="center"/>
              <w:rPr>
                <w:rFonts w:eastAsia="Times New Roman" w:cs="Calibri"/>
                <w:noProof/>
              </w:rPr>
            </w:pPr>
            <w:r>
              <w:rPr>
                <w:noProof/>
              </w:rPr>
              <w:t>2021</w:t>
            </w:r>
          </w:p>
        </w:tc>
        <w:tc>
          <w:tcPr>
            <w:tcW w:w="5456" w:type="dxa"/>
            <w:shd w:val="clear" w:color="auto" w:fill="C4EFCE"/>
            <w:noWrap/>
            <w:vAlign w:val="center"/>
            <w:hideMark/>
          </w:tcPr>
          <w:p w14:paraId="60637229" w14:textId="77777777" w:rsidR="00154AD2" w:rsidRDefault="007F6BF3">
            <w:pPr>
              <w:pStyle w:val="P68B1DB1-Normal8"/>
              <w:spacing w:after="0" w:line="240" w:lineRule="auto"/>
              <w:jc w:val="both"/>
              <w:rPr>
                <w:rFonts w:eastAsia="Times New Roman" w:cs="Calibri"/>
                <w:noProof/>
              </w:rPr>
            </w:pPr>
            <w:r>
              <w:rPr>
                <w:noProof/>
              </w:rPr>
              <w:t>Έναρξη ισχύος του νέου υποδείγματος σύμβασης διαχείρισης που θα υπογραφεί με δημόσιους διαχειριστές που διορίζονται στα διοικητικά συμβούλια κρατικών επιχειρήσεων, προκειμένου να αυξηθεί η ευθύνη και η λογοδοσία στη διαχείριση των δημόσιων πόρων μέσω ενός νέου συστήματος κινήτρων/κυρώσεων προσανατολισμένων στις επιδόσεις.</w:t>
            </w:r>
          </w:p>
        </w:tc>
      </w:tr>
      <w:tr w:rsidR="00154AD2" w14:paraId="05E11610" w14:textId="77777777">
        <w:trPr>
          <w:trHeight w:val="640"/>
        </w:trPr>
        <w:tc>
          <w:tcPr>
            <w:tcW w:w="1043" w:type="dxa"/>
            <w:gridSpan w:val="2"/>
            <w:shd w:val="clear" w:color="auto" w:fill="C4EFCE"/>
            <w:vAlign w:val="center"/>
            <w:hideMark/>
          </w:tcPr>
          <w:p w14:paraId="6A4F627A" w14:textId="77777777" w:rsidR="00154AD2" w:rsidRDefault="007F6BF3">
            <w:pPr>
              <w:pStyle w:val="P68B1DB1-Normal7"/>
              <w:spacing w:after="0" w:line="240" w:lineRule="auto"/>
              <w:jc w:val="center"/>
              <w:rPr>
                <w:rFonts w:eastAsia="Times New Roman" w:cs="Calibri"/>
                <w:noProof/>
              </w:rPr>
            </w:pPr>
            <w:r>
              <w:rPr>
                <w:noProof/>
              </w:rPr>
              <w:t>17.7</w:t>
            </w:r>
          </w:p>
        </w:tc>
        <w:tc>
          <w:tcPr>
            <w:tcW w:w="1161" w:type="dxa"/>
            <w:shd w:val="clear" w:color="auto" w:fill="C4EFCE"/>
            <w:noWrap/>
            <w:vAlign w:val="center"/>
            <w:hideMark/>
          </w:tcPr>
          <w:p w14:paraId="0281BF89" w14:textId="77777777" w:rsidR="00154AD2" w:rsidRDefault="007F6BF3">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469D9CBF" w14:textId="77777777" w:rsidR="00154AD2" w:rsidRDefault="007F6BF3">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27932B26" w14:textId="77777777" w:rsidR="00154AD2" w:rsidRDefault="007F6BF3">
            <w:pPr>
              <w:pStyle w:val="P68B1DB1-Normal8"/>
              <w:spacing w:after="0" w:line="240" w:lineRule="auto"/>
              <w:jc w:val="center"/>
              <w:rPr>
                <w:rFonts w:eastAsia="Times New Roman" w:cs="Calibri"/>
                <w:noProof/>
              </w:rPr>
            </w:pPr>
            <w:r>
              <w:rPr>
                <w:noProof/>
              </w:rPr>
              <w:t>Έναρξη ισχύος του νέου μοντέλου ανάλυσης και γνωστοποίησης της οικονομικής κατάστασης και των επιδόσεων των κρατικών επιχειρήσεων</w:t>
            </w:r>
          </w:p>
        </w:tc>
        <w:tc>
          <w:tcPr>
            <w:tcW w:w="1356" w:type="dxa"/>
            <w:shd w:val="clear" w:color="auto" w:fill="C4EFCE"/>
            <w:noWrap/>
            <w:vAlign w:val="center"/>
            <w:hideMark/>
          </w:tcPr>
          <w:p w14:paraId="53EB2087" w14:textId="77777777" w:rsidR="00154AD2" w:rsidRDefault="007F6BF3">
            <w:pPr>
              <w:pStyle w:val="P68B1DB1-Normal8"/>
              <w:spacing w:after="0" w:line="240" w:lineRule="auto"/>
              <w:jc w:val="center"/>
              <w:rPr>
                <w:rFonts w:eastAsia="Times New Roman" w:cs="Calibri"/>
                <w:noProof/>
              </w:rPr>
            </w:pPr>
            <w:r>
              <w:rPr>
                <w:noProof/>
              </w:rPr>
              <w:t>Έναρξη ισχύος της νέας έκθεσης στην οποία περιγράφεται λεπτομερώς η οικονομική κατάσταση και οι επιδόσεις των κρατικών επιχειρήσεων</w:t>
            </w:r>
          </w:p>
        </w:tc>
        <w:tc>
          <w:tcPr>
            <w:tcW w:w="909" w:type="dxa"/>
            <w:shd w:val="clear" w:color="auto" w:fill="C4EFCE"/>
            <w:noWrap/>
            <w:vAlign w:val="center"/>
            <w:hideMark/>
          </w:tcPr>
          <w:p w14:paraId="7E4BBF12" w14:textId="77777777" w:rsidR="00154AD2" w:rsidRDefault="007F6BF3">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3AEE0230" w14:textId="77777777" w:rsidR="00154AD2" w:rsidRDefault="007F6BF3">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57D6AD99" w14:textId="77777777" w:rsidR="00154AD2" w:rsidRDefault="007F6BF3">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61CEAF54"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56" w:type="dxa"/>
            <w:shd w:val="clear" w:color="auto" w:fill="C4EFCE"/>
            <w:noWrap/>
            <w:vAlign w:val="center"/>
            <w:hideMark/>
          </w:tcPr>
          <w:p w14:paraId="5129272B" w14:textId="77777777" w:rsidR="00154AD2" w:rsidRDefault="007F6BF3">
            <w:pPr>
              <w:pStyle w:val="P68B1DB1-Normal8"/>
              <w:spacing w:after="0" w:line="240" w:lineRule="auto"/>
              <w:jc w:val="center"/>
              <w:rPr>
                <w:rFonts w:eastAsia="Times New Roman" w:cs="Calibri"/>
                <w:noProof/>
              </w:rPr>
            </w:pPr>
            <w:r>
              <w:rPr>
                <w:noProof/>
              </w:rPr>
              <w:t>2022</w:t>
            </w:r>
          </w:p>
        </w:tc>
        <w:tc>
          <w:tcPr>
            <w:tcW w:w="5456" w:type="dxa"/>
            <w:shd w:val="clear" w:color="auto" w:fill="C4EFCE"/>
            <w:noWrap/>
            <w:vAlign w:val="center"/>
            <w:hideMark/>
          </w:tcPr>
          <w:p w14:paraId="32D08DEA" w14:textId="77777777" w:rsidR="00154AD2" w:rsidRDefault="007F6BF3">
            <w:pPr>
              <w:pStyle w:val="P68B1DB1-Normal8"/>
              <w:spacing w:after="0" w:line="240" w:lineRule="auto"/>
              <w:jc w:val="both"/>
              <w:rPr>
                <w:rFonts w:eastAsia="Times New Roman" w:cs="Calibri"/>
                <w:noProof/>
              </w:rPr>
            </w:pPr>
            <w:r>
              <w:rPr>
                <w:noProof/>
              </w:rPr>
              <w:t>Έναρξη ισχύος της νέας έκθεσης που περιγράφει λεπτομερώς την οικονομική κατάσταση και τις επιδόσεις των κρατικών επιχειρήσεων σε τακτική και έγκαιρη βάση, ενσωματώνοντας τα χρηματοοικονομικά στοιχεία που συλλέγονται μέσω του νέου συστήματος πληροφοριών για τον τομέα των κρατικών επιχειρήσεων.</w:t>
            </w:r>
          </w:p>
        </w:tc>
      </w:tr>
      <w:tr w:rsidR="00154AD2" w14:paraId="67B2B5AF" w14:textId="77777777">
        <w:trPr>
          <w:trHeight w:val="1060"/>
        </w:trPr>
        <w:tc>
          <w:tcPr>
            <w:tcW w:w="1043" w:type="dxa"/>
            <w:gridSpan w:val="2"/>
            <w:shd w:val="clear" w:color="auto" w:fill="C4EFCE"/>
            <w:vAlign w:val="center"/>
            <w:hideMark/>
          </w:tcPr>
          <w:p w14:paraId="2718254D" w14:textId="77777777" w:rsidR="00154AD2" w:rsidRDefault="007F6BF3">
            <w:pPr>
              <w:pStyle w:val="P68B1DB1-Normal7"/>
              <w:spacing w:after="0" w:line="240" w:lineRule="auto"/>
              <w:jc w:val="center"/>
              <w:rPr>
                <w:rFonts w:eastAsia="Times New Roman" w:cs="Calibri"/>
                <w:noProof/>
              </w:rPr>
            </w:pPr>
            <w:r>
              <w:rPr>
                <w:noProof/>
              </w:rPr>
              <w:t>17.8</w:t>
            </w:r>
          </w:p>
        </w:tc>
        <w:tc>
          <w:tcPr>
            <w:tcW w:w="1161" w:type="dxa"/>
            <w:shd w:val="clear" w:color="auto" w:fill="C4EFCE"/>
            <w:noWrap/>
            <w:vAlign w:val="center"/>
            <w:hideMark/>
          </w:tcPr>
          <w:p w14:paraId="645BCB5E" w14:textId="77777777" w:rsidR="00154AD2" w:rsidRDefault="007F6BF3">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3095D188" w14:textId="77777777" w:rsidR="00154AD2" w:rsidRDefault="007F6BF3">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7E9415F6" w14:textId="77777777" w:rsidR="00154AD2" w:rsidRDefault="007F6BF3">
            <w:pPr>
              <w:pStyle w:val="P68B1DB1-Normal8"/>
              <w:spacing w:after="0" w:line="240" w:lineRule="auto"/>
              <w:jc w:val="center"/>
              <w:rPr>
                <w:rFonts w:eastAsia="Times New Roman" w:cs="Calibri"/>
                <w:noProof/>
              </w:rPr>
            </w:pPr>
            <w:r>
              <w:rPr>
                <w:noProof/>
              </w:rPr>
              <w:t>Αριθμός σχεδίων προϋπολογισμού και δραστηριοτήτων κρατικών επιχειρήσεων που εγκρίνονται με συνέπεια από τον υπουργό Οικονομικών και τους αντίστοιχους αρμόδιους υπουργούς</w:t>
            </w:r>
          </w:p>
        </w:tc>
        <w:tc>
          <w:tcPr>
            <w:tcW w:w="1356" w:type="dxa"/>
            <w:shd w:val="clear" w:color="auto" w:fill="C4EFCE"/>
            <w:noWrap/>
            <w:vAlign w:val="center"/>
            <w:hideMark/>
          </w:tcPr>
          <w:p w14:paraId="121B6A1E" w14:textId="77777777" w:rsidR="00154AD2" w:rsidRDefault="007F6BF3">
            <w:pPr>
              <w:pStyle w:val="P68B1DB1-Normal8"/>
              <w:spacing w:after="0" w:line="240" w:lineRule="auto"/>
              <w:jc w:val="center"/>
              <w:rPr>
                <w:rFonts w:eastAsia="Times New Roman" w:cs="Calibri"/>
                <w:noProof/>
              </w:rPr>
            </w:pPr>
            <w:r>
              <w:rPr>
                <w:noProof/>
              </w:rPr>
              <w:t> </w:t>
            </w:r>
          </w:p>
        </w:tc>
        <w:tc>
          <w:tcPr>
            <w:tcW w:w="909" w:type="dxa"/>
            <w:shd w:val="clear" w:color="auto" w:fill="C4EFCE"/>
            <w:noWrap/>
            <w:vAlign w:val="center"/>
            <w:hideMark/>
          </w:tcPr>
          <w:p w14:paraId="40C2BC2B"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08" w:type="dxa"/>
            <w:shd w:val="clear" w:color="auto" w:fill="C4EFCE"/>
            <w:noWrap/>
            <w:vAlign w:val="center"/>
            <w:hideMark/>
          </w:tcPr>
          <w:p w14:paraId="09B98B1A" w14:textId="77777777" w:rsidR="00154AD2" w:rsidRDefault="007F6BF3">
            <w:pPr>
              <w:pStyle w:val="P68B1DB1-Normal8"/>
              <w:spacing w:after="0" w:line="240" w:lineRule="auto"/>
              <w:jc w:val="center"/>
              <w:rPr>
                <w:rFonts w:eastAsia="Times New Roman" w:cs="Calibri"/>
                <w:noProof/>
              </w:rPr>
            </w:pPr>
            <w:r>
              <w:rPr>
                <w:noProof/>
              </w:rPr>
              <w:t>74</w:t>
            </w:r>
          </w:p>
        </w:tc>
        <w:tc>
          <w:tcPr>
            <w:tcW w:w="657" w:type="dxa"/>
            <w:shd w:val="clear" w:color="auto" w:fill="C4EFCE"/>
            <w:noWrap/>
            <w:vAlign w:val="center"/>
            <w:hideMark/>
          </w:tcPr>
          <w:p w14:paraId="2E1A10E1" w14:textId="77777777" w:rsidR="00154AD2" w:rsidRDefault="007F6BF3">
            <w:pPr>
              <w:pStyle w:val="P68B1DB1-Normal8"/>
              <w:spacing w:after="0" w:line="240" w:lineRule="auto"/>
              <w:jc w:val="center"/>
              <w:rPr>
                <w:rFonts w:eastAsia="Times New Roman" w:cs="Calibri"/>
                <w:noProof/>
              </w:rPr>
            </w:pPr>
            <w:r>
              <w:rPr>
                <w:noProof/>
              </w:rPr>
              <w:t>136</w:t>
            </w:r>
          </w:p>
        </w:tc>
        <w:tc>
          <w:tcPr>
            <w:tcW w:w="530" w:type="dxa"/>
            <w:shd w:val="clear" w:color="auto" w:fill="C4EFCE"/>
            <w:noWrap/>
            <w:vAlign w:val="center"/>
            <w:hideMark/>
          </w:tcPr>
          <w:p w14:paraId="39065690"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56" w:type="dxa"/>
            <w:shd w:val="clear" w:color="auto" w:fill="C4EFCE"/>
            <w:noWrap/>
            <w:vAlign w:val="center"/>
            <w:hideMark/>
          </w:tcPr>
          <w:p w14:paraId="4333AF73" w14:textId="77777777" w:rsidR="00154AD2" w:rsidRDefault="007F6BF3">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30DEA027" w14:textId="77777777" w:rsidR="00154AD2" w:rsidRDefault="007F6BF3">
            <w:pPr>
              <w:pStyle w:val="P68B1DB1-Normal8"/>
              <w:spacing w:after="0" w:line="240" w:lineRule="auto"/>
              <w:jc w:val="both"/>
              <w:rPr>
                <w:rFonts w:eastAsia="Times New Roman" w:cs="Calibri"/>
                <w:noProof/>
              </w:rPr>
            </w:pPr>
            <w:r>
              <w:rPr>
                <w:noProof/>
              </w:rPr>
              <w:t>Να αξιολογεί εγκαίρως τον προϋπολογισμό και τα σχέδια δραστηριοτήτων των κρατικών επιχειρήσεων. Πρόκειται για τριετή στρατηγικά σχέδια διαχείρισης, στο πλαίσιο των οποίων οι κρατικές επιχειρήσεις καθορίζουν και διαπραγματεύονται με τον υπουργό Οικονομικών και τους αντίστοιχους αρμόδιους υπουργούς τις κύριες γραμμές δράσης τους, το χαρτοφυλάκιο υπηρεσιών, τους ανθρώπινους πόρους, το επενδυτικό σχέδιο, τα επίπεδα δραστηριότητας βοήθειας και το οικονομικό και οικονομικό δελτίο τους για περίοδο τριών ετών, καθώς και εξηγούν την αποδοτικότητα και τη βελτίωση της παραγωγικότητας που διασφαλίζουν την οικονομική βιωσιμότητά τους μεσοπρόθεσμα και μακροπρόθεσμα.</w:t>
            </w:r>
          </w:p>
        </w:tc>
      </w:tr>
      <w:tr w:rsidR="00154AD2" w14:paraId="17BCAA4C" w14:textId="77777777">
        <w:trPr>
          <w:trHeight w:val="430"/>
        </w:trPr>
        <w:tc>
          <w:tcPr>
            <w:tcW w:w="1043" w:type="dxa"/>
            <w:gridSpan w:val="2"/>
            <w:shd w:val="clear" w:color="auto" w:fill="C4EFCE"/>
            <w:vAlign w:val="center"/>
            <w:hideMark/>
          </w:tcPr>
          <w:p w14:paraId="4DF0D948" w14:textId="41156502" w:rsidR="00154AD2" w:rsidRDefault="007F6BF3">
            <w:pPr>
              <w:pStyle w:val="P68B1DB1-Normal7"/>
              <w:spacing w:after="0" w:line="240" w:lineRule="auto"/>
              <w:jc w:val="center"/>
              <w:rPr>
                <w:rFonts w:eastAsia="Times New Roman" w:cs="Calibri"/>
                <w:noProof/>
              </w:rPr>
            </w:pPr>
            <w:r>
              <w:rPr>
                <w:noProof/>
              </w:rPr>
              <w:t>17.9</w:t>
            </w:r>
          </w:p>
        </w:tc>
        <w:tc>
          <w:tcPr>
            <w:tcW w:w="1161" w:type="dxa"/>
            <w:shd w:val="clear" w:color="auto" w:fill="C4EFCE"/>
            <w:noWrap/>
            <w:vAlign w:val="center"/>
            <w:hideMark/>
          </w:tcPr>
          <w:p w14:paraId="2BCC8FC6" w14:textId="77777777" w:rsidR="00154AD2" w:rsidRDefault="007F6BF3">
            <w:pPr>
              <w:pStyle w:val="P68B1DB1-Normal8"/>
              <w:spacing w:after="0" w:line="240" w:lineRule="auto"/>
              <w:jc w:val="center"/>
              <w:rPr>
                <w:rFonts w:eastAsia="Times New Roman" w:cs="Calibri"/>
                <w:noProof/>
              </w:rPr>
            </w:pPr>
            <w:r>
              <w:rPr>
                <w:noProof/>
              </w:rPr>
              <w:t>TD-C17-i01</w:t>
            </w:r>
          </w:p>
        </w:tc>
        <w:tc>
          <w:tcPr>
            <w:tcW w:w="1034" w:type="dxa"/>
            <w:shd w:val="clear" w:color="auto" w:fill="C4EFCE"/>
            <w:noWrap/>
            <w:vAlign w:val="center"/>
            <w:hideMark/>
          </w:tcPr>
          <w:p w14:paraId="61B478FE" w14:textId="77777777" w:rsidR="00154AD2" w:rsidRDefault="007F6BF3">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63928ED9" w14:textId="77777777" w:rsidR="00154AD2" w:rsidRDefault="007F6BF3">
            <w:pPr>
              <w:pStyle w:val="P68B1DB1-Normal8"/>
              <w:spacing w:after="0" w:line="240" w:lineRule="auto"/>
              <w:jc w:val="center"/>
              <w:rPr>
                <w:rFonts w:eastAsia="Times New Roman" w:cs="Calibri"/>
                <w:noProof/>
              </w:rPr>
            </w:pPr>
            <w:r>
              <w:rPr>
                <w:noProof/>
              </w:rPr>
              <w:t>Ολοκλήρωση της υλοποίησης της Κρατικής Λογιστικής Οντότητας</w:t>
            </w:r>
          </w:p>
        </w:tc>
        <w:tc>
          <w:tcPr>
            <w:tcW w:w="1356" w:type="dxa"/>
            <w:shd w:val="clear" w:color="auto" w:fill="C4EFCE"/>
            <w:noWrap/>
            <w:vAlign w:val="center"/>
            <w:hideMark/>
          </w:tcPr>
          <w:p w14:paraId="087F0E3A" w14:textId="77777777" w:rsidR="00154AD2" w:rsidRDefault="007F6BF3">
            <w:pPr>
              <w:pStyle w:val="P68B1DB1-Normal8"/>
              <w:spacing w:after="0" w:line="240" w:lineRule="auto"/>
              <w:jc w:val="center"/>
              <w:rPr>
                <w:rFonts w:eastAsia="Times New Roman" w:cs="Calibri"/>
                <w:noProof/>
              </w:rPr>
            </w:pPr>
            <w:r>
              <w:rPr>
                <w:noProof/>
              </w:rPr>
              <w:t>Ολοκλήρωση της υλοποίησης της Κρατικής Λογιστικής Οντότητας</w:t>
            </w:r>
          </w:p>
        </w:tc>
        <w:tc>
          <w:tcPr>
            <w:tcW w:w="909" w:type="dxa"/>
            <w:shd w:val="clear" w:color="auto" w:fill="C4EFCE"/>
            <w:noWrap/>
            <w:vAlign w:val="center"/>
            <w:hideMark/>
          </w:tcPr>
          <w:p w14:paraId="0D51700F" w14:textId="77777777" w:rsidR="00154AD2" w:rsidRDefault="007F6BF3">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0844B0A4" w14:textId="77777777" w:rsidR="00154AD2" w:rsidRDefault="007F6BF3">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4E39381A" w14:textId="77777777" w:rsidR="00154AD2" w:rsidRDefault="007F6BF3">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042A23F4" w14:textId="77D292C3" w:rsidR="00154AD2" w:rsidRDefault="007F6BF3">
            <w:pPr>
              <w:pStyle w:val="P68B1DB1-Normal8"/>
              <w:spacing w:after="0" w:line="240" w:lineRule="auto"/>
              <w:jc w:val="center"/>
              <w:rPr>
                <w:rFonts w:eastAsia="Times New Roman" w:cs="Calibri"/>
                <w:noProof/>
              </w:rPr>
            </w:pPr>
            <w:r>
              <w:rPr>
                <w:noProof/>
              </w:rPr>
              <w:t>ΤΡΊΜΗΝΟ 2</w:t>
            </w:r>
          </w:p>
        </w:tc>
        <w:tc>
          <w:tcPr>
            <w:tcW w:w="656" w:type="dxa"/>
            <w:shd w:val="clear" w:color="auto" w:fill="C4EFCE"/>
            <w:noWrap/>
            <w:vAlign w:val="center"/>
            <w:hideMark/>
          </w:tcPr>
          <w:p w14:paraId="5FB1E755" w14:textId="64553DDF" w:rsidR="00154AD2" w:rsidRDefault="007F6BF3">
            <w:pPr>
              <w:pStyle w:val="P68B1DB1-Normal8"/>
              <w:spacing w:after="0" w:line="240" w:lineRule="auto"/>
              <w:jc w:val="center"/>
              <w:rPr>
                <w:rFonts w:eastAsia="Times New Roman" w:cs="Calibri"/>
                <w:noProof/>
              </w:rPr>
            </w:pPr>
            <w:r>
              <w:rPr>
                <w:noProof/>
              </w:rPr>
              <w:t>2024</w:t>
            </w:r>
          </w:p>
        </w:tc>
        <w:tc>
          <w:tcPr>
            <w:tcW w:w="5456" w:type="dxa"/>
            <w:shd w:val="clear" w:color="auto" w:fill="C4EFCE"/>
            <w:noWrap/>
            <w:vAlign w:val="center"/>
            <w:hideMark/>
          </w:tcPr>
          <w:p w14:paraId="4704A1B6" w14:textId="77777777" w:rsidR="00154AD2" w:rsidRDefault="007F6BF3">
            <w:pPr>
              <w:pStyle w:val="P68B1DB1-Normal8"/>
              <w:spacing w:after="0" w:line="240" w:lineRule="auto"/>
              <w:jc w:val="both"/>
              <w:rPr>
                <w:rFonts w:eastAsia="Times New Roman" w:cs="Calibri"/>
                <w:noProof/>
              </w:rPr>
            </w:pPr>
            <w:r>
              <w:rPr>
                <w:noProof/>
              </w:rPr>
              <w:t>Ολοκλήρωση της εφαρμογής της κρατικής λογιστικής οντότητας, σε πλήρη συμμόρφωση με τα άρθρα 49 και 55 του νόμου για το δημοσιονομικό πλαίσιο του 2015.</w:t>
            </w:r>
          </w:p>
        </w:tc>
      </w:tr>
      <w:tr w:rsidR="00154AD2" w14:paraId="162E15E3" w14:textId="77777777">
        <w:trPr>
          <w:trHeight w:val="640"/>
        </w:trPr>
        <w:tc>
          <w:tcPr>
            <w:tcW w:w="1043" w:type="dxa"/>
            <w:gridSpan w:val="2"/>
            <w:shd w:val="clear" w:color="auto" w:fill="C4EFCE"/>
            <w:vAlign w:val="center"/>
            <w:hideMark/>
          </w:tcPr>
          <w:p w14:paraId="3BDDDDA8" w14:textId="77777777" w:rsidR="00154AD2" w:rsidRDefault="007F6BF3">
            <w:pPr>
              <w:pStyle w:val="P68B1DB1-Normal7"/>
              <w:spacing w:after="0" w:line="240" w:lineRule="auto"/>
              <w:jc w:val="center"/>
              <w:rPr>
                <w:rFonts w:eastAsia="Times New Roman" w:cs="Calibri"/>
                <w:noProof/>
              </w:rPr>
            </w:pPr>
            <w:r>
              <w:rPr>
                <w:noProof/>
              </w:rPr>
              <w:t>17.10</w:t>
            </w:r>
          </w:p>
        </w:tc>
        <w:tc>
          <w:tcPr>
            <w:tcW w:w="1161" w:type="dxa"/>
            <w:shd w:val="clear" w:color="auto" w:fill="C4EFCE"/>
            <w:noWrap/>
            <w:vAlign w:val="center"/>
            <w:hideMark/>
          </w:tcPr>
          <w:p w14:paraId="498D4AC6" w14:textId="77777777" w:rsidR="00154AD2" w:rsidRDefault="007F6BF3">
            <w:pPr>
              <w:pStyle w:val="P68B1DB1-Normal8"/>
              <w:spacing w:after="0" w:line="240" w:lineRule="auto"/>
              <w:jc w:val="center"/>
              <w:rPr>
                <w:rFonts w:eastAsia="Times New Roman" w:cs="Calibri"/>
                <w:noProof/>
              </w:rPr>
            </w:pPr>
            <w:r>
              <w:rPr>
                <w:noProof/>
              </w:rPr>
              <w:t>TD-C17-i01</w:t>
            </w:r>
          </w:p>
        </w:tc>
        <w:tc>
          <w:tcPr>
            <w:tcW w:w="1034" w:type="dxa"/>
            <w:shd w:val="clear" w:color="auto" w:fill="C4EFCE"/>
            <w:noWrap/>
            <w:vAlign w:val="center"/>
            <w:hideMark/>
          </w:tcPr>
          <w:p w14:paraId="4C7A787A" w14:textId="77777777" w:rsidR="00154AD2" w:rsidRDefault="007F6BF3">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116CC567" w14:textId="77777777" w:rsidR="00154AD2" w:rsidRDefault="007F6BF3">
            <w:pPr>
              <w:pStyle w:val="P68B1DB1-Normal8"/>
              <w:spacing w:after="0" w:line="240" w:lineRule="auto"/>
              <w:jc w:val="center"/>
              <w:rPr>
                <w:rFonts w:eastAsia="Times New Roman" w:cs="Calibri"/>
                <w:noProof/>
              </w:rPr>
            </w:pPr>
            <w:r>
              <w:rPr>
                <w:noProof/>
              </w:rPr>
              <w:t>Έναρξη λειτουργίας του συστήματος πληροφοριών για τον επανασχεδιασμό και την εφαρμογή της διαδικασίας του προϋπολογισμού, ενσωματώνοντας την κατάρτιση του προϋπολογισμού του προγράμματος</w:t>
            </w:r>
          </w:p>
        </w:tc>
        <w:tc>
          <w:tcPr>
            <w:tcW w:w="1356" w:type="dxa"/>
            <w:shd w:val="clear" w:color="auto" w:fill="C4EFCE"/>
            <w:noWrap/>
            <w:vAlign w:val="center"/>
            <w:hideMark/>
          </w:tcPr>
          <w:p w14:paraId="14DDB52C" w14:textId="77777777" w:rsidR="00154AD2" w:rsidRDefault="007F6BF3">
            <w:pPr>
              <w:pStyle w:val="P68B1DB1-Normal8"/>
              <w:spacing w:after="0" w:line="240" w:lineRule="auto"/>
              <w:jc w:val="center"/>
              <w:rPr>
                <w:rFonts w:eastAsia="Times New Roman" w:cs="Calibri"/>
                <w:noProof/>
              </w:rPr>
            </w:pPr>
            <w:r>
              <w:rPr>
                <w:noProof/>
              </w:rPr>
              <w:t>Έναρξη λειτουργίας του συστήματος πληροφοριών για τον επανασχεδιασμό και την εφαρμογή της διαδικασίας του προϋπολογισμού</w:t>
            </w:r>
          </w:p>
        </w:tc>
        <w:tc>
          <w:tcPr>
            <w:tcW w:w="909" w:type="dxa"/>
            <w:shd w:val="clear" w:color="auto" w:fill="C4EFCE"/>
            <w:noWrap/>
            <w:vAlign w:val="center"/>
            <w:hideMark/>
          </w:tcPr>
          <w:p w14:paraId="187C07AB" w14:textId="77777777" w:rsidR="00154AD2" w:rsidRDefault="007F6BF3">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693EE4D0" w14:textId="77777777" w:rsidR="00154AD2" w:rsidRDefault="007F6BF3">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2CDCFA85" w14:textId="77777777" w:rsidR="00154AD2" w:rsidRDefault="007F6BF3">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34839CEE"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56" w:type="dxa"/>
            <w:shd w:val="clear" w:color="auto" w:fill="C4EFCE"/>
            <w:noWrap/>
            <w:vAlign w:val="center"/>
            <w:hideMark/>
          </w:tcPr>
          <w:p w14:paraId="38281D6B" w14:textId="77777777" w:rsidR="00154AD2" w:rsidRDefault="007F6BF3">
            <w:pPr>
              <w:pStyle w:val="P68B1DB1-Normal8"/>
              <w:spacing w:after="0" w:line="240" w:lineRule="auto"/>
              <w:jc w:val="center"/>
              <w:rPr>
                <w:rFonts w:eastAsia="Times New Roman" w:cs="Calibri"/>
                <w:noProof/>
              </w:rPr>
            </w:pPr>
            <w:r>
              <w:rPr>
                <w:noProof/>
              </w:rPr>
              <w:t>2024</w:t>
            </w:r>
          </w:p>
        </w:tc>
        <w:tc>
          <w:tcPr>
            <w:tcW w:w="5456" w:type="dxa"/>
            <w:shd w:val="clear" w:color="auto" w:fill="C4EFCE"/>
            <w:noWrap/>
            <w:vAlign w:val="center"/>
            <w:hideMark/>
          </w:tcPr>
          <w:p w14:paraId="75FD6C3B" w14:textId="77777777" w:rsidR="00154AD2" w:rsidRDefault="007F6BF3">
            <w:pPr>
              <w:pStyle w:val="P68B1DB1-Normal8"/>
              <w:spacing w:after="0" w:line="240" w:lineRule="auto"/>
              <w:jc w:val="both"/>
              <w:rPr>
                <w:rFonts w:eastAsia="Times New Roman" w:cs="Calibri"/>
                <w:noProof/>
              </w:rPr>
            </w:pPr>
            <w:r>
              <w:rPr>
                <w:noProof/>
              </w:rPr>
              <w:t>Έναρξη λειτουργίας του πληροφοριακού συστήματος για τη διασφάλιση της παρουσίασης δημοσιονομικών/λογιστικών πληροφοριών σύμφωνα με τα νέα μορφότυπα που καθορίζονται στον νόμο-πλαίσιο για τον προϋπολογισμό του 2015 από όλους τους φορείς της γενικής κυβέρνησης, μεταξύ άλλων όσον αφορά τα νέα δημοσιονομικά προγράμματα βάσει επιδόσεων.</w:t>
            </w:r>
          </w:p>
        </w:tc>
      </w:tr>
      <w:tr w:rsidR="00154AD2" w14:paraId="6E9D296B" w14:textId="77777777">
        <w:trPr>
          <w:trHeight w:val="640"/>
        </w:trPr>
        <w:tc>
          <w:tcPr>
            <w:tcW w:w="1043" w:type="dxa"/>
            <w:gridSpan w:val="2"/>
            <w:shd w:val="clear" w:color="auto" w:fill="C4EFCE"/>
            <w:vAlign w:val="center"/>
            <w:hideMark/>
          </w:tcPr>
          <w:p w14:paraId="010A6216" w14:textId="77777777" w:rsidR="00154AD2" w:rsidRDefault="007F6BF3">
            <w:pPr>
              <w:pStyle w:val="P68B1DB1-Normal7"/>
              <w:spacing w:after="0" w:line="240" w:lineRule="auto"/>
              <w:jc w:val="center"/>
              <w:rPr>
                <w:rFonts w:eastAsia="Times New Roman" w:cs="Calibri"/>
                <w:noProof/>
              </w:rPr>
            </w:pPr>
            <w:r>
              <w:rPr>
                <w:noProof/>
              </w:rPr>
              <w:t>17.11</w:t>
            </w:r>
          </w:p>
        </w:tc>
        <w:tc>
          <w:tcPr>
            <w:tcW w:w="1161" w:type="dxa"/>
            <w:shd w:val="clear" w:color="auto" w:fill="C4EFCE"/>
            <w:noWrap/>
            <w:vAlign w:val="center"/>
            <w:hideMark/>
          </w:tcPr>
          <w:p w14:paraId="06619773" w14:textId="77777777" w:rsidR="00154AD2" w:rsidRDefault="007F6BF3">
            <w:pPr>
              <w:pStyle w:val="P68B1DB1-Normal8"/>
              <w:spacing w:after="0" w:line="240" w:lineRule="auto"/>
              <w:jc w:val="center"/>
              <w:rPr>
                <w:rFonts w:eastAsia="Times New Roman" w:cs="Calibri"/>
                <w:noProof/>
              </w:rPr>
            </w:pPr>
            <w:r>
              <w:rPr>
                <w:noProof/>
              </w:rPr>
              <w:t>TD-C17-i01</w:t>
            </w:r>
          </w:p>
        </w:tc>
        <w:tc>
          <w:tcPr>
            <w:tcW w:w="1034" w:type="dxa"/>
            <w:shd w:val="clear" w:color="auto" w:fill="C4EFCE"/>
            <w:noWrap/>
            <w:vAlign w:val="center"/>
            <w:hideMark/>
          </w:tcPr>
          <w:p w14:paraId="68FBC5C2" w14:textId="77777777" w:rsidR="00154AD2" w:rsidRDefault="007F6BF3">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1DDE848B" w14:textId="77777777" w:rsidR="00154AD2" w:rsidRDefault="007F6BF3">
            <w:pPr>
              <w:pStyle w:val="P68B1DB1-Normal8"/>
              <w:spacing w:after="0" w:line="240" w:lineRule="auto"/>
              <w:jc w:val="center"/>
              <w:rPr>
                <w:rFonts w:eastAsia="Times New Roman" w:cs="Calibri"/>
                <w:noProof/>
              </w:rPr>
            </w:pPr>
            <w:r>
              <w:rPr>
                <w:noProof/>
              </w:rPr>
              <w:t>Έναρξη λειτουργίας συστήματος υποστηρικτικών πληροφοριών για το νέο μοντέλο δημοσιονομικού και χρηματοοικονομικού ελέγχου</w:t>
            </w:r>
          </w:p>
        </w:tc>
        <w:tc>
          <w:tcPr>
            <w:tcW w:w="1356" w:type="dxa"/>
            <w:shd w:val="clear" w:color="auto" w:fill="C4EFCE"/>
            <w:noWrap/>
            <w:vAlign w:val="center"/>
            <w:hideMark/>
          </w:tcPr>
          <w:p w14:paraId="7C8F93A5" w14:textId="77777777" w:rsidR="00154AD2" w:rsidRDefault="007F6BF3">
            <w:pPr>
              <w:pStyle w:val="P68B1DB1-Normal8"/>
              <w:spacing w:after="0" w:line="240" w:lineRule="auto"/>
              <w:jc w:val="center"/>
              <w:rPr>
                <w:rFonts w:eastAsia="Times New Roman" w:cs="Calibri"/>
                <w:noProof/>
              </w:rPr>
            </w:pPr>
            <w:r>
              <w:rPr>
                <w:noProof/>
              </w:rPr>
              <w:t>Σύστημα πληροφοριών σε λειτουργία</w:t>
            </w:r>
          </w:p>
        </w:tc>
        <w:tc>
          <w:tcPr>
            <w:tcW w:w="909" w:type="dxa"/>
            <w:shd w:val="clear" w:color="auto" w:fill="C4EFCE"/>
            <w:noWrap/>
            <w:vAlign w:val="center"/>
            <w:hideMark/>
          </w:tcPr>
          <w:p w14:paraId="2B202843" w14:textId="77777777" w:rsidR="00154AD2" w:rsidRDefault="007F6BF3">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0BB56DFB" w14:textId="77777777" w:rsidR="00154AD2" w:rsidRDefault="007F6BF3">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4A48EF47" w14:textId="77777777" w:rsidR="00154AD2" w:rsidRDefault="007F6BF3">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6B10605D"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56" w:type="dxa"/>
            <w:shd w:val="clear" w:color="auto" w:fill="C4EFCE"/>
            <w:noWrap/>
            <w:vAlign w:val="center"/>
            <w:hideMark/>
          </w:tcPr>
          <w:p w14:paraId="6E4DCD5D" w14:textId="77777777" w:rsidR="00154AD2" w:rsidRDefault="007F6BF3">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39CC531C" w14:textId="77777777" w:rsidR="00154AD2" w:rsidRDefault="007F6BF3">
            <w:pPr>
              <w:pStyle w:val="P68B1DB1-Normal8"/>
              <w:spacing w:after="0" w:line="240" w:lineRule="auto"/>
              <w:jc w:val="both"/>
              <w:rPr>
                <w:rFonts w:eastAsia="Times New Roman" w:cs="Calibri"/>
                <w:noProof/>
              </w:rPr>
            </w:pPr>
            <w:r>
              <w:rPr>
                <w:noProof/>
              </w:rPr>
              <w:t>Έναρξη λειτουργίας υποστηρικτικού πληροφοριακού συστήματος για τη διασφάλιση του ελέγχου και της παρακολούθησης των δημοσιονομικών/λογιστικών πληροφοριών σύμφωνα με τα νέα μορφότυπα που καθορίζονται στον περί Δημοσιονομικού Πλαισίου Νόμου του 2015 από όλους τους φορείς της Γενικής Κυβέρνησης.</w:t>
            </w:r>
          </w:p>
        </w:tc>
      </w:tr>
      <w:tr w:rsidR="00154AD2" w14:paraId="0407FA88" w14:textId="77777777">
        <w:trPr>
          <w:trHeight w:val="1060"/>
        </w:trPr>
        <w:tc>
          <w:tcPr>
            <w:tcW w:w="1043" w:type="dxa"/>
            <w:gridSpan w:val="2"/>
            <w:shd w:val="clear" w:color="auto" w:fill="C4EFCE"/>
            <w:vAlign w:val="center"/>
            <w:hideMark/>
          </w:tcPr>
          <w:p w14:paraId="1E4ADC51" w14:textId="77777777" w:rsidR="00154AD2" w:rsidRDefault="007F6BF3">
            <w:pPr>
              <w:pStyle w:val="P68B1DB1-Normal7"/>
              <w:spacing w:after="0" w:line="240" w:lineRule="auto"/>
              <w:jc w:val="center"/>
              <w:rPr>
                <w:rFonts w:eastAsia="Times New Roman" w:cs="Calibri"/>
                <w:noProof/>
              </w:rPr>
            </w:pPr>
            <w:r>
              <w:rPr>
                <w:noProof/>
              </w:rPr>
              <w:t>17.12</w:t>
            </w:r>
          </w:p>
        </w:tc>
        <w:tc>
          <w:tcPr>
            <w:tcW w:w="1161" w:type="dxa"/>
            <w:shd w:val="clear" w:color="auto" w:fill="C4EFCE"/>
            <w:noWrap/>
            <w:vAlign w:val="center"/>
            <w:hideMark/>
          </w:tcPr>
          <w:p w14:paraId="38F2DF60" w14:textId="77777777" w:rsidR="00154AD2" w:rsidRDefault="007F6BF3">
            <w:pPr>
              <w:pStyle w:val="P68B1DB1-Normal8"/>
              <w:spacing w:after="0" w:line="240" w:lineRule="auto"/>
              <w:jc w:val="center"/>
              <w:rPr>
                <w:rFonts w:eastAsia="Times New Roman" w:cs="Calibri"/>
                <w:noProof/>
              </w:rPr>
            </w:pPr>
            <w:r>
              <w:rPr>
                <w:noProof/>
              </w:rPr>
              <w:t>TD-C17-i01</w:t>
            </w:r>
          </w:p>
        </w:tc>
        <w:tc>
          <w:tcPr>
            <w:tcW w:w="1034" w:type="dxa"/>
            <w:shd w:val="clear" w:color="auto" w:fill="C4EFCE"/>
            <w:noWrap/>
            <w:vAlign w:val="center"/>
            <w:hideMark/>
          </w:tcPr>
          <w:p w14:paraId="58703872" w14:textId="77777777" w:rsidR="00154AD2" w:rsidRDefault="007F6BF3">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64324DB2" w14:textId="77777777" w:rsidR="00154AD2" w:rsidRDefault="007F6BF3">
            <w:pPr>
              <w:pStyle w:val="P68B1DB1-Normal8"/>
              <w:spacing w:after="0" w:line="240" w:lineRule="auto"/>
              <w:jc w:val="center"/>
              <w:rPr>
                <w:rFonts w:eastAsia="Times New Roman" w:cs="Calibri"/>
                <w:noProof/>
              </w:rPr>
            </w:pPr>
            <w:r>
              <w:rPr>
                <w:noProof/>
              </w:rPr>
              <w:t>Ολοκλήρωση του εκσυγχρονισμού και της απλούστευσης των συστημάτων πληροφοριών του εθνικού κεντρικού συστήματος δημόσιων συμβάσεων</w:t>
            </w:r>
          </w:p>
        </w:tc>
        <w:tc>
          <w:tcPr>
            <w:tcW w:w="1356" w:type="dxa"/>
            <w:shd w:val="clear" w:color="auto" w:fill="C4EFCE"/>
            <w:noWrap/>
            <w:vAlign w:val="center"/>
            <w:hideMark/>
          </w:tcPr>
          <w:p w14:paraId="78DB8F29" w14:textId="77777777" w:rsidR="00154AD2" w:rsidRDefault="007F6BF3">
            <w:pPr>
              <w:pStyle w:val="P68B1DB1-Normal9"/>
              <w:spacing w:after="0" w:line="240" w:lineRule="auto"/>
              <w:rPr>
                <w:rFonts w:eastAsia="Times New Roman" w:cs="Calibri"/>
                <w:noProof/>
              </w:rPr>
            </w:pPr>
            <w:r>
              <w:rPr>
                <w:noProof/>
              </w:rPr>
              <w:t> </w:t>
            </w:r>
          </w:p>
        </w:tc>
        <w:tc>
          <w:tcPr>
            <w:tcW w:w="909" w:type="dxa"/>
            <w:shd w:val="clear" w:color="auto" w:fill="C4EFCE"/>
            <w:noWrap/>
            <w:vAlign w:val="center"/>
            <w:hideMark/>
          </w:tcPr>
          <w:p w14:paraId="1A100E82"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08" w:type="dxa"/>
            <w:shd w:val="clear" w:color="auto" w:fill="C4EFCE"/>
            <w:noWrap/>
            <w:vAlign w:val="center"/>
            <w:hideMark/>
          </w:tcPr>
          <w:p w14:paraId="75095961" w14:textId="77777777" w:rsidR="00154AD2" w:rsidRDefault="007F6BF3">
            <w:pPr>
              <w:pStyle w:val="P68B1DB1-Normal8"/>
              <w:spacing w:after="0" w:line="240" w:lineRule="auto"/>
              <w:jc w:val="center"/>
              <w:rPr>
                <w:rFonts w:eastAsia="Times New Roman" w:cs="Calibri"/>
                <w:noProof/>
              </w:rPr>
            </w:pPr>
            <w:r>
              <w:rPr>
                <w:noProof/>
              </w:rPr>
              <w:t>0</w:t>
            </w:r>
          </w:p>
        </w:tc>
        <w:tc>
          <w:tcPr>
            <w:tcW w:w="657" w:type="dxa"/>
            <w:shd w:val="clear" w:color="auto" w:fill="C4EFCE"/>
            <w:noWrap/>
            <w:vAlign w:val="center"/>
            <w:hideMark/>
          </w:tcPr>
          <w:p w14:paraId="02B6DB5F" w14:textId="77777777" w:rsidR="00154AD2" w:rsidRDefault="007F6BF3">
            <w:pPr>
              <w:pStyle w:val="P68B1DB1-Normal8"/>
              <w:spacing w:after="0" w:line="240" w:lineRule="auto"/>
              <w:jc w:val="center"/>
              <w:rPr>
                <w:rFonts w:eastAsia="Times New Roman" w:cs="Calibri"/>
                <w:noProof/>
              </w:rPr>
            </w:pPr>
            <w:r>
              <w:rPr>
                <w:noProof/>
              </w:rPr>
              <w:t>11</w:t>
            </w:r>
          </w:p>
        </w:tc>
        <w:tc>
          <w:tcPr>
            <w:tcW w:w="530" w:type="dxa"/>
            <w:shd w:val="clear" w:color="auto" w:fill="C4EFCE"/>
            <w:noWrap/>
            <w:vAlign w:val="center"/>
            <w:hideMark/>
          </w:tcPr>
          <w:p w14:paraId="3C0A8C2D"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56" w:type="dxa"/>
            <w:shd w:val="clear" w:color="auto" w:fill="C4EFCE"/>
            <w:noWrap/>
            <w:vAlign w:val="center"/>
            <w:hideMark/>
          </w:tcPr>
          <w:p w14:paraId="7BB06AD2" w14:textId="77777777" w:rsidR="00154AD2" w:rsidRDefault="007F6BF3">
            <w:pPr>
              <w:pStyle w:val="P68B1DB1-Normal8"/>
              <w:spacing w:after="0" w:line="240" w:lineRule="auto"/>
              <w:jc w:val="center"/>
              <w:rPr>
                <w:rFonts w:eastAsia="Times New Roman" w:cs="Calibri"/>
                <w:noProof/>
              </w:rPr>
            </w:pPr>
            <w:r>
              <w:rPr>
                <w:noProof/>
              </w:rPr>
              <w:t>2024</w:t>
            </w:r>
          </w:p>
        </w:tc>
        <w:tc>
          <w:tcPr>
            <w:tcW w:w="5456" w:type="dxa"/>
            <w:shd w:val="clear" w:color="auto" w:fill="C4EFCE"/>
            <w:noWrap/>
            <w:vAlign w:val="center"/>
            <w:hideMark/>
          </w:tcPr>
          <w:p w14:paraId="39FEEE47" w14:textId="77777777" w:rsidR="00154AD2" w:rsidRDefault="007F6BF3">
            <w:pPr>
              <w:pStyle w:val="P68B1DB1-Normal8"/>
              <w:spacing w:after="0" w:line="240" w:lineRule="auto"/>
              <w:jc w:val="both"/>
              <w:rPr>
                <w:rFonts w:eastAsia="Times New Roman" w:cs="Calibri"/>
                <w:noProof/>
              </w:rPr>
            </w:pPr>
            <w:r>
              <w:rPr>
                <w:noProof/>
              </w:rPr>
              <w:t>Αριθμός εκσυγχρονισμένων και απλουστευμένων συστημάτων πληροφοριών του εθνικού κεντρικού συστήματος δημόσιων συμβάσεων, με σκοπό: I) να προωθήσει τη διοικητική απλούστευση· ενίσχυση των μηχανισμών παρακολούθησης και ελέγχου· την ενίσχυση της οικονομικής αποδοτικότητας και του εξορθολογισμού· IV) να διευρύνει τον κατάλογο των αγαθών και των υπηρεσιών που αποτελούν αντικείμενο κεντρικών συμβάσεων· και v) προώθηση της συνεργασίας μεταξύ εσωτερικών και εξωτερικών ενδιαφερόμενων μερών. Η επίτευξη αυτού του στόχου μετράται με βάση τον αριθμό των νέων συστημάτων πληροφοριών που λειτουργούν.</w:t>
            </w:r>
          </w:p>
        </w:tc>
      </w:tr>
      <w:tr w:rsidR="00154AD2" w14:paraId="305B2486" w14:textId="77777777">
        <w:trPr>
          <w:trHeight w:val="300"/>
        </w:trPr>
        <w:tc>
          <w:tcPr>
            <w:tcW w:w="1043" w:type="dxa"/>
            <w:gridSpan w:val="2"/>
            <w:shd w:val="clear" w:color="auto" w:fill="C4EFCE"/>
            <w:vAlign w:val="center"/>
            <w:hideMark/>
          </w:tcPr>
          <w:p w14:paraId="4122D3A0" w14:textId="77777777" w:rsidR="00154AD2" w:rsidRDefault="007F6BF3">
            <w:pPr>
              <w:pStyle w:val="P68B1DB1-Normal7"/>
              <w:spacing w:after="0" w:line="240" w:lineRule="auto"/>
              <w:jc w:val="center"/>
              <w:rPr>
                <w:rFonts w:eastAsia="Times New Roman" w:cs="Calibri"/>
                <w:noProof/>
              </w:rPr>
            </w:pPr>
            <w:r>
              <w:rPr>
                <w:noProof/>
              </w:rPr>
              <w:t>17.13</w:t>
            </w:r>
          </w:p>
        </w:tc>
        <w:tc>
          <w:tcPr>
            <w:tcW w:w="1161" w:type="dxa"/>
            <w:shd w:val="clear" w:color="auto" w:fill="C4EFCE"/>
            <w:noWrap/>
            <w:vAlign w:val="center"/>
            <w:hideMark/>
          </w:tcPr>
          <w:p w14:paraId="701D7F02" w14:textId="77777777" w:rsidR="00154AD2" w:rsidRDefault="007F6BF3">
            <w:pPr>
              <w:pStyle w:val="P68B1DB1-Normal8"/>
              <w:spacing w:after="0" w:line="240" w:lineRule="auto"/>
              <w:jc w:val="center"/>
              <w:rPr>
                <w:rFonts w:eastAsia="Times New Roman" w:cs="Calibri"/>
                <w:noProof/>
              </w:rPr>
            </w:pPr>
            <w:r>
              <w:rPr>
                <w:noProof/>
              </w:rPr>
              <w:t>TD-C17-i01</w:t>
            </w:r>
          </w:p>
        </w:tc>
        <w:tc>
          <w:tcPr>
            <w:tcW w:w="1034" w:type="dxa"/>
            <w:shd w:val="clear" w:color="auto" w:fill="C4EFCE"/>
            <w:noWrap/>
            <w:vAlign w:val="center"/>
            <w:hideMark/>
          </w:tcPr>
          <w:p w14:paraId="369E606B" w14:textId="353377BE" w:rsidR="00154AD2" w:rsidRDefault="007F6BF3">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74E5C9E6" w14:textId="128584CD" w:rsidR="00154AD2" w:rsidRDefault="007F6BF3">
            <w:pPr>
              <w:pStyle w:val="P68B1DB1-Normal8"/>
              <w:spacing w:after="0" w:line="240" w:lineRule="auto"/>
              <w:jc w:val="center"/>
              <w:rPr>
                <w:rFonts w:eastAsia="Times New Roman" w:cs="Calibri"/>
                <w:noProof/>
              </w:rPr>
            </w:pPr>
            <w:r>
              <w:rPr>
                <w:noProof/>
              </w:rPr>
              <w:t xml:space="preserve">Ολοκλήρωση της εφαρμογής του </w:t>
            </w:r>
            <w:r>
              <w:rPr>
                <w:i/>
                <w:noProof/>
              </w:rPr>
              <w:t>Sistema de Gestão de Património Imobiliário Público</w:t>
            </w:r>
            <w:r>
              <w:rPr>
                <w:noProof/>
              </w:rPr>
              <w:t xml:space="preserve"> (SIGPIP) και του εκσυγχρονισμού των συστημάτων πληροφοριών για τα κρατικά οχήματα</w:t>
            </w:r>
          </w:p>
        </w:tc>
        <w:tc>
          <w:tcPr>
            <w:tcW w:w="1356" w:type="dxa"/>
            <w:shd w:val="clear" w:color="auto" w:fill="C4EFCE"/>
            <w:noWrap/>
            <w:vAlign w:val="center"/>
            <w:hideMark/>
          </w:tcPr>
          <w:p w14:paraId="2E7F8560" w14:textId="2744589B" w:rsidR="00154AD2" w:rsidRDefault="007F6BF3">
            <w:pPr>
              <w:pStyle w:val="P68B1DB1-Normal8"/>
              <w:spacing w:after="0" w:line="240" w:lineRule="auto"/>
              <w:rPr>
                <w:rFonts w:eastAsia="Times New Roman" w:cs="Calibri"/>
                <w:noProof/>
              </w:rPr>
            </w:pPr>
            <w:r>
              <w:rPr>
                <w:noProof/>
              </w:rPr>
              <w:t>Ολοκλήρωση της εφαρμογής του SIGPIP και έναρξη λειτουργίας των πληροφοριακών συστημάτων για τα κρατικά οχήματα</w:t>
            </w:r>
          </w:p>
        </w:tc>
        <w:tc>
          <w:tcPr>
            <w:tcW w:w="909" w:type="dxa"/>
            <w:shd w:val="clear" w:color="auto" w:fill="C4EFCE"/>
            <w:noWrap/>
            <w:vAlign w:val="center"/>
            <w:hideMark/>
          </w:tcPr>
          <w:p w14:paraId="6D2C816C" w14:textId="04080BA1" w:rsidR="00154AD2" w:rsidRDefault="00154AD2">
            <w:pPr>
              <w:spacing w:after="0" w:line="240" w:lineRule="auto"/>
              <w:jc w:val="center"/>
              <w:rPr>
                <w:rFonts w:ascii="Calibri" w:eastAsia="Times New Roman" w:hAnsi="Calibri" w:cs="Calibri"/>
                <w:noProof/>
                <w:sz w:val="16"/>
              </w:rPr>
            </w:pPr>
          </w:p>
        </w:tc>
        <w:tc>
          <w:tcPr>
            <w:tcW w:w="908" w:type="dxa"/>
            <w:shd w:val="clear" w:color="auto" w:fill="C4EFCE"/>
            <w:noWrap/>
            <w:vAlign w:val="center"/>
            <w:hideMark/>
          </w:tcPr>
          <w:p w14:paraId="5F6E0C5C" w14:textId="43B2C062" w:rsidR="00154AD2" w:rsidRDefault="00154AD2">
            <w:pPr>
              <w:spacing w:after="0" w:line="240" w:lineRule="auto"/>
              <w:jc w:val="center"/>
              <w:rPr>
                <w:rFonts w:ascii="Calibri" w:eastAsia="Times New Roman" w:hAnsi="Calibri" w:cs="Calibri"/>
                <w:noProof/>
                <w:sz w:val="16"/>
              </w:rPr>
            </w:pPr>
          </w:p>
        </w:tc>
        <w:tc>
          <w:tcPr>
            <w:tcW w:w="657" w:type="dxa"/>
            <w:shd w:val="clear" w:color="auto" w:fill="C4EFCE"/>
            <w:noWrap/>
            <w:vAlign w:val="center"/>
            <w:hideMark/>
          </w:tcPr>
          <w:p w14:paraId="1BDD16A4" w14:textId="3B8B3F7A" w:rsidR="00154AD2" w:rsidRDefault="00154AD2">
            <w:pPr>
              <w:spacing w:after="0" w:line="240" w:lineRule="auto"/>
              <w:jc w:val="center"/>
              <w:rPr>
                <w:rFonts w:ascii="Calibri" w:eastAsia="Times New Roman" w:hAnsi="Calibri" w:cs="Calibri"/>
                <w:noProof/>
                <w:sz w:val="16"/>
              </w:rPr>
            </w:pPr>
          </w:p>
        </w:tc>
        <w:tc>
          <w:tcPr>
            <w:tcW w:w="530" w:type="dxa"/>
            <w:shd w:val="clear" w:color="auto" w:fill="C4EFCE"/>
            <w:noWrap/>
            <w:vAlign w:val="center"/>
            <w:hideMark/>
          </w:tcPr>
          <w:p w14:paraId="0BBA56AA"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656" w:type="dxa"/>
            <w:shd w:val="clear" w:color="auto" w:fill="C4EFCE"/>
            <w:noWrap/>
            <w:vAlign w:val="center"/>
            <w:hideMark/>
          </w:tcPr>
          <w:p w14:paraId="069B7D5F" w14:textId="77777777" w:rsidR="00154AD2" w:rsidRDefault="007F6BF3">
            <w:pPr>
              <w:pStyle w:val="P68B1DB1-Normal8"/>
              <w:spacing w:after="0" w:line="240" w:lineRule="auto"/>
              <w:jc w:val="center"/>
              <w:rPr>
                <w:rFonts w:eastAsia="Times New Roman" w:cs="Calibri"/>
                <w:noProof/>
              </w:rPr>
            </w:pPr>
            <w:r>
              <w:rPr>
                <w:noProof/>
              </w:rPr>
              <w:t>2026</w:t>
            </w:r>
          </w:p>
        </w:tc>
        <w:tc>
          <w:tcPr>
            <w:tcW w:w="5456" w:type="dxa"/>
            <w:shd w:val="clear" w:color="auto" w:fill="C4EFCE"/>
            <w:noWrap/>
            <w:vAlign w:val="center"/>
            <w:hideMark/>
          </w:tcPr>
          <w:p w14:paraId="29151ECC" w14:textId="22FC8058" w:rsidR="00154AD2" w:rsidRDefault="007F6BF3">
            <w:pPr>
              <w:pStyle w:val="P68B1DB1-Normal8"/>
              <w:spacing w:after="0" w:line="240" w:lineRule="auto"/>
              <w:jc w:val="both"/>
              <w:rPr>
                <w:rFonts w:eastAsia="Times New Roman" w:cs="Calibri"/>
                <w:noProof/>
              </w:rPr>
            </w:pPr>
            <w:r>
              <w:rPr>
                <w:noProof/>
              </w:rPr>
              <w:t>Ολοκλήρωση της εφαρμογής του «</w:t>
            </w:r>
            <w:r>
              <w:rPr>
                <w:i/>
                <w:noProof/>
              </w:rPr>
              <w:t>Sistema de Gestão de Património Imobiliário Público» (SIGPIP</w:t>
            </w:r>
            <w:r>
              <w:rPr>
                <w:noProof/>
              </w:rPr>
              <w:t xml:space="preserve">), το οποίο διαχειρίζεται τις πληροφορίες σχετικά με τα δημόσια ακίνητα. </w:t>
            </w:r>
          </w:p>
          <w:p w14:paraId="16254F2D" w14:textId="680EF6EC" w:rsidR="00154AD2" w:rsidRDefault="007F6BF3">
            <w:pPr>
              <w:pStyle w:val="P68B1DB1-Normal8"/>
              <w:spacing w:after="0" w:line="240" w:lineRule="auto"/>
              <w:jc w:val="both"/>
              <w:rPr>
                <w:rFonts w:eastAsia="Times New Roman" w:cs="Calibri"/>
                <w:noProof/>
              </w:rPr>
            </w:pPr>
            <w:r>
              <w:rPr>
                <w:noProof/>
              </w:rPr>
              <w:t>Δύο νέα συστήματα πληροφοριών που λειτουργούν για την απογραφή και την παρακολούθηση των κρατικών οχημάτων.</w:t>
            </w:r>
          </w:p>
        </w:tc>
      </w:tr>
      <w:tr w:rsidR="00154AD2" w14:paraId="29D028EC" w14:textId="77777777">
        <w:trPr>
          <w:trHeight w:val="430"/>
        </w:trPr>
        <w:tc>
          <w:tcPr>
            <w:tcW w:w="1043" w:type="dxa"/>
            <w:gridSpan w:val="2"/>
            <w:shd w:val="clear" w:color="auto" w:fill="C4EFCE"/>
            <w:vAlign w:val="center"/>
            <w:hideMark/>
          </w:tcPr>
          <w:p w14:paraId="339504D8" w14:textId="62CAECE8" w:rsidR="00154AD2" w:rsidRDefault="007F6BF3">
            <w:pPr>
              <w:pStyle w:val="P68B1DB1-Normal7"/>
              <w:spacing w:after="0" w:line="240" w:lineRule="auto"/>
              <w:jc w:val="center"/>
              <w:rPr>
                <w:rFonts w:eastAsia="Times New Roman" w:cs="Calibri"/>
                <w:noProof/>
              </w:rPr>
            </w:pPr>
            <w:r>
              <w:rPr>
                <w:noProof/>
              </w:rPr>
              <w:t>17.14</w:t>
            </w:r>
          </w:p>
        </w:tc>
        <w:tc>
          <w:tcPr>
            <w:tcW w:w="1161" w:type="dxa"/>
            <w:shd w:val="clear" w:color="auto" w:fill="C4EFCE"/>
            <w:noWrap/>
            <w:vAlign w:val="center"/>
            <w:hideMark/>
          </w:tcPr>
          <w:p w14:paraId="76E795FA" w14:textId="77777777" w:rsidR="00154AD2" w:rsidRDefault="007F6BF3">
            <w:pPr>
              <w:pStyle w:val="P68B1DB1-Normal8"/>
              <w:spacing w:after="0" w:line="240" w:lineRule="auto"/>
              <w:jc w:val="center"/>
              <w:rPr>
                <w:rFonts w:eastAsia="Times New Roman" w:cs="Calibri"/>
                <w:noProof/>
              </w:rPr>
            </w:pPr>
            <w:r>
              <w:rPr>
                <w:noProof/>
              </w:rPr>
              <w:t>TD-C17-i01</w:t>
            </w:r>
          </w:p>
        </w:tc>
        <w:tc>
          <w:tcPr>
            <w:tcW w:w="1034" w:type="dxa"/>
            <w:shd w:val="clear" w:color="auto" w:fill="C4EFCE"/>
            <w:noWrap/>
            <w:vAlign w:val="center"/>
            <w:hideMark/>
          </w:tcPr>
          <w:p w14:paraId="2D718AE9" w14:textId="77777777" w:rsidR="00154AD2" w:rsidRDefault="007F6BF3">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77EAE67B" w14:textId="77777777" w:rsidR="00154AD2" w:rsidRDefault="007F6BF3">
            <w:pPr>
              <w:pStyle w:val="P68B1DB1-Normal8"/>
              <w:spacing w:after="0" w:line="240" w:lineRule="auto"/>
              <w:jc w:val="center"/>
              <w:rPr>
                <w:rFonts w:eastAsia="Times New Roman" w:cs="Calibri"/>
                <w:noProof/>
              </w:rPr>
            </w:pPr>
            <w:r>
              <w:rPr>
                <w:noProof/>
              </w:rPr>
              <w:t>Ολοκλήρωση της υλοποίησης του κέντρου επιχειρήσεων ασφάλειας</w:t>
            </w:r>
          </w:p>
        </w:tc>
        <w:tc>
          <w:tcPr>
            <w:tcW w:w="1356" w:type="dxa"/>
            <w:shd w:val="clear" w:color="auto" w:fill="C4EFCE"/>
            <w:noWrap/>
            <w:vAlign w:val="center"/>
            <w:hideMark/>
          </w:tcPr>
          <w:p w14:paraId="0998F4B9" w14:textId="77777777" w:rsidR="00154AD2" w:rsidRDefault="007F6BF3">
            <w:pPr>
              <w:pStyle w:val="P68B1DB1-Normal8"/>
              <w:spacing w:after="0" w:line="240" w:lineRule="auto"/>
              <w:jc w:val="center"/>
              <w:rPr>
                <w:rFonts w:eastAsia="Times New Roman" w:cs="Calibri"/>
                <w:noProof/>
              </w:rPr>
            </w:pPr>
            <w:r>
              <w:rPr>
                <w:noProof/>
              </w:rPr>
              <w:t>Ολοκλήρωση της υλοποίησης του Επιχειρησιακού Κέντρου Ασφάλειας</w:t>
            </w:r>
          </w:p>
        </w:tc>
        <w:tc>
          <w:tcPr>
            <w:tcW w:w="909" w:type="dxa"/>
            <w:shd w:val="clear" w:color="auto" w:fill="C4EFCE"/>
            <w:noWrap/>
            <w:vAlign w:val="center"/>
            <w:hideMark/>
          </w:tcPr>
          <w:p w14:paraId="4BF11062" w14:textId="77777777" w:rsidR="00154AD2" w:rsidRDefault="007F6BF3">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7A0E5BC3" w14:textId="77777777" w:rsidR="00154AD2" w:rsidRDefault="007F6BF3">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13E331B7" w14:textId="77777777" w:rsidR="00154AD2" w:rsidRDefault="007F6BF3">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0DF70649"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56" w:type="dxa"/>
            <w:shd w:val="clear" w:color="auto" w:fill="C4EFCE"/>
            <w:noWrap/>
            <w:vAlign w:val="center"/>
            <w:hideMark/>
          </w:tcPr>
          <w:p w14:paraId="58B8D8F6" w14:textId="77777777" w:rsidR="00154AD2" w:rsidRDefault="007F6BF3">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46684948" w14:textId="77777777" w:rsidR="00154AD2" w:rsidRDefault="007F6BF3">
            <w:pPr>
              <w:pStyle w:val="P68B1DB1-Normal8"/>
              <w:spacing w:after="0" w:line="240" w:lineRule="auto"/>
              <w:jc w:val="both"/>
              <w:rPr>
                <w:rFonts w:eastAsia="Times New Roman" w:cs="Calibri"/>
                <w:noProof/>
              </w:rPr>
            </w:pPr>
            <w:r>
              <w:rPr>
                <w:noProof/>
              </w:rPr>
              <w:t>Ολοκλήρωση της υλοποίησης του επιχειρησιακού κέντρου ασφάλειας ώστε να καταστεί δυνατή η αυξημένη ασφάλεια των πληροφοριών και η πρόσβαση σε δεδομένα, καθώς και η εφαρμογή πολιτικών ασφάλειας και λύσεων κυβερνοασφάλειας.</w:t>
            </w:r>
          </w:p>
        </w:tc>
      </w:tr>
      <w:tr w:rsidR="00154AD2" w14:paraId="5362F69D" w14:textId="77777777">
        <w:trPr>
          <w:trHeight w:val="640"/>
        </w:trPr>
        <w:tc>
          <w:tcPr>
            <w:tcW w:w="1043" w:type="dxa"/>
            <w:gridSpan w:val="2"/>
            <w:shd w:val="clear" w:color="auto" w:fill="C4EFCE"/>
            <w:vAlign w:val="center"/>
            <w:hideMark/>
          </w:tcPr>
          <w:p w14:paraId="31BEB070" w14:textId="6A625FBD" w:rsidR="00154AD2" w:rsidRDefault="007F6BF3">
            <w:pPr>
              <w:pStyle w:val="P68B1DB1-Normal7"/>
              <w:spacing w:after="0" w:line="240" w:lineRule="auto"/>
              <w:jc w:val="center"/>
              <w:rPr>
                <w:rFonts w:eastAsia="Times New Roman" w:cs="Calibri"/>
                <w:noProof/>
              </w:rPr>
            </w:pPr>
            <w:r>
              <w:rPr>
                <w:noProof/>
              </w:rPr>
              <w:t>17.15</w:t>
            </w:r>
          </w:p>
        </w:tc>
        <w:tc>
          <w:tcPr>
            <w:tcW w:w="1161" w:type="dxa"/>
            <w:shd w:val="clear" w:color="auto" w:fill="C4EFCE"/>
            <w:noWrap/>
            <w:vAlign w:val="center"/>
            <w:hideMark/>
          </w:tcPr>
          <w:p w14:paraId="7B839632" w14:textId="77777777" w:rsidR="00154AD2" w:rsidRDefault="007F6BF3">
            <w:pPr>
              <w:pStyle w:val="P68B1DB1-Normal8"/>
              <w:spacing w:after="0" w:line="240" w:lineRule="auto"/>
              <w:jc w:val="center"/>
              <w:rPr>
                <w:rFonts w:eastAsia="Times New Roman" w:cs="Calibri"/>
                <w:noProof/>
              </w:rPr>
            </w:pPr>
            <w:r>
              <w:rPr>
                <w:noProof/>
              </w:rPr>
              <w:t>TD-C17-i02</w:t>
            </w:r>
          </w:p>
        </w:tc>
        <w:tc>
          <w:tcPr>
            <w:tcW w:w="1034" w:type="dxa"/>
            <w:shd w:val="clear" w:color="auto" w:fill="C4EFCE"/>
            <w:noWrap/>
            <w:vAlign w:val="center"/>
            <w:hideMark/>
          </w:tcPr>
          <w:p w14:paraId="0225F062" w14:textId="77777777" w:rsidR="00154AD2" w:rsidRDefault="007F6BF3">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04838897" w14:textId="77777777" w:rsidR="00154AD2" w:rsidRDefault="007F6BF3">
            <w:pPr>
              <w:pStyle w:val="P68B1DB1-Normal8"/>
              <w:spacing w:after="0" w:line="240" w:lineRule="auto"/>
              <w:jc w:val="center"/>
              <w:rPr>
                <w:rFonts w:eastAsia="Times New Roman" w:cs="Calibri"/>
                <w:noProof/>
              </w:rPr>
            </w:pPr>
            <w:r>
              <w:rPr>
                <w:noProof/>
              </w:rPr>
              <w:t>Ολοκλήρωση της εφαρμογής της προσυμπλήρωσης του υποδείγματος 1 της δήλωσης δημοτικού φόρου ακίνητης περιουσίας (IMI), με βάση τα στοιχεία που διαθέτει η Φορολογική και Τελωνειακή Αρχή</w:t>
            </w:r>
          </w:p>
        </w:tc>
        <w:tc>
          <w:tcPr>
            <w:tcW w:w="1356" w:type="dxa"/>
            <w:shd w:val="clear" w:color="auto" w:fill="C4EFCE"/>
            <w:noWrap/>
            <w:vAlign w:val="center"/>
            <w:hideMark/>
          </w:tcPr>
          <w:p w14:paraId="451BCA0C" w14:textId="77777777" w:rsidR="00154AD2" w:rsidRDefault="007F6BF3">
            <w:pPr>
              <w:pStyle w:val="P68B1DB1-Normal8"/>
              <w:spacing w:after="0" w:line="240" w:lineRule="auto"/>
              <w:jc w:val="center"/>
              <w:rPr>
                <w:rFonts w:eastAsia="Times New Roman" w:cs="Calibri"/>
                <w:noProof/>
              </w:rPr>
            </w:pPr>
            <w:r>
              <w:rPr>
                <w:noProof/>
              </w:rPr>
              <w:t>Ολοκλήρωση της εφαρμογής της προσυμπλήρωσης του υποδείγματος 1 της δήλωσης δημοτικού φόρου ακίνητης περιουσίας (IMI)</w:t>
            </w:r>
          </w:p>
        </w:tc>
        <w:tc>
          <w:tcPr>
            <w:tcW w:w="909" w:type="dxa"/>
            <w:shd w:val="clear" w:color="auto" w:fill="C4EFCE"/>
            <w:noWrap/>
            <w:vAlign w:val="center"/>
            <w:hideMark/>
          </w:tcPr>
          <w:p w14:paraId="5622F9E0" w14:textId="77777777" w:rsidR="00154AD2" w:rsidRDefault="007F6BF3">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16D8FAE4" w14:textId="77777777" w:rsidR="00154AD2" w:rsidRDefault="007F6BF3">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1D1DC19D" w14:textId="77777777" w:rsidR="00154AD2" w:rsidRDefault="007F6BF3">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19997423"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656" w:type="dxa"/>
            <w:shd w:val="clear" w:color="auto" w:fill="C4EFCE"/>
            <w:noWrap/>
            <w:vAlign w:val="center"/>
            <w:hideMark/>
          </w:tcPr>
          <w:p w14:paraId="2F091CDC" w14:textId="77777777" w:rsidR="00154AD2" w:rsidRDefault="007F6BF3">
            <w:pPr>
              <w:pStyle w:val="P68B1DB1-Normal8"/>
              <w:spacing w:after="0" w:line="240" w:lineRule="auto"/>
              <w:jc w:val="center"/>
              <w:rPr>
                <w:rFonts w:eastAsia="Times New Roman" w:cs="Calibri"/>
                <w:noProof/>
              </w:rPr>
            </w:pPr>
            <w:r>
              <w:rPr>
                <w:noProof/>
              </w:rPr>
              <w:t>2022</w:t>
            </w:r>
          </w:p>
        </w:tc>
        <w:tc>
          <w:tcPr>
            <w:tcW w:w="5456" w:type="dxa"/>
            <w:shd w:val="clear" w:color="auto" w:fill="C4EFCE"/>
            <w:noWrap/>
            <w:vAlign w:val="center"/>
            <w:hideMark/>
          </w:tcPr>
          <w:p w14:paraId="0BA4FBF7" w14:textId="77777777" w:rsidR="00154AD2" w:rsidRDefault="007F6BF3">
            <w:pPr>
              <w:pStyle w:val="P68B1DB1-Normal8"/>
              <w:spacing w:after="0" w:line="240" w:lineRule="auto"/>
              <w:jc w:val="both"/>
              <w:rPr>
                <w:rFonts w:eastAsia="Times New Roman" w:cs="Calibri"/>
                <w:noProof/>
              </w:rPr>
            </w:pPr>
            <w:r>
              <w:rPr>
                <w:noProof/>
              </w:rPr>
              <w:t>Ανταλλαγή δεδομένων μεταξύ της φορολογικής και τελωνειακής αρχής και των δήμων για την προσυμπλήρωση του υποδείγματος 1 της δήλωσης του δημοτικού φόρου ακίνητης περιουσίας («</w:t>
            </w:r>
            <w:r>
              <w:rPr>
                <w:i/>
                <w:noProof/>
              </w:rPr>
              <w:t>Imposto Municipal sobre Imóveis</w:t>
            </w:r>
            <w:r>
              <w:rPr>
                <w:noProof/>
              </w:rPr>
              <w:t>», IMI), αξιοποιώντας τις υφιστάμενες πληροφορίες σχετικά με ακίνητα στα αντίστοιχα πληροφοριακά συστήματα.</w:t>
            </w:r>
          </w:p>
        </w:tc>
      </w:tr>
      <w:tr w:rsidR="00154AD2" w14:paraId="0B05BC3F" w14:textId="77777777">
        <w:trPr>
          <w:trHeight w:val="640"/>
        </w:trPr>
        <w:tc>
          <w:tcPr>
            <w:tcW w:w="1043" w:type="dxa"/>
            <w:gridSpan w:val="2"/>
            <w:shd w:val="clear" w:color="auto" w:fill="C4EFCE"/>
            <w:vAlign w:val="center"/>
          </w:tcPr>
          <w:p w14:paraId="62EFB6DD" w14:textId="15BA45D9" w:rsidR="00154AD2" w:rsidRDefault="007F6BF3">
            <w:pPr>
              <w:pStyle w:val="P68B1DB1-Normal11"/>
              <w:spacing w:after="0" w:line="240" w:lineRule="auto"/>
              <w:jc w:val="center"/>
              <w:rPr>
                <w:rFonts w:ascii="Calibri" w:eastAsia="Times New Roman" w:hAnsi="Calibri" w:cs="Calibri"/>
                <w:noProof/>
              </w:rPr>
            </w:pPr>
            <w:r>
              <w:rPr>
                <w:noProof/>
              </w:rPr>
              <w:t>17.21</w:t>
            </w:r>
          </w:p>
        </w:tc>
        <w:tc>
          <w:tcPr>
            <w:tcW w:w="1161" w:type="dxa"/>
            <w:shd w:val="clear" w:color="auto" w:fill="C4EFCE"/>
            <w:noWrap/>
            <w:vAlign w:val="center"/>
          </w:tcPr>
          <w:p w14:paraId="21471993" w14:textId="2900E5A4" w:rsidR="00154AD2" w:rsidRDefault="007F6BF3">
            <w:pPr>
              <w:pStyle w:val="P68B1DB1-Normal8"/>
              <w:spacing w:after="0" w:line="240" w:lineRule="auto"/>
              <w:jc w:val="center"/>
              <w:rPr>
                <w:rFonts w:eastAsia="Times New Roman" w:cs="Calibri"/>
                <w:noProof/>
              </w:rPr>
            </w:pPr>
            <w:r>
              <w:rPr>
                <w:noProof/>
              </w:rPr>
              <w:t>TD-C17-i02</w:t>
            </w:r>
          </w:p>
        </w:tc>
        <w:tc>
          <w:tcPr>
            <w:tcW w:w="1034" w:type="dxa"/>
            <w:shd w:val="clear" w:color="auto" w:fill="C4EFCE"/>
            <w:noWrap/>
            <w:vAlign w:val="center"/>
          </w:tcPr>
          <w:p w14:paraId="3FACD559" w14:textId="22769DF8" w:rsidR="00154AD2" w:rsidRDefault="007F6BF3">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tcPr>
          <w:p w14:paraId="648192F8" w14:textId="3B970152" w:rsidR="00154AD2" w:rsidRDefault="007F6BF3">
            <w:pPr>
              <w:pStyle w:val="P68B1DB1-Normal8"/>
              <w:spacing w:after="0" w:line="240" w:lineRule="auto"/>
              <w:jc w:val="center"/>
              <w:rPr>
                <w:rFonts w:eastAsia="Times New Roman" w:cs="Calibri"/>
                <w:noProof/>
              </w:rPr>
            </w:pPr>
            <w:r>
              <w:rPr>
                <w:noProof/>
              </w:rPr>
              <w:t>Ολοκλήρωση της εφαρμογής της προπλήρωσης συγκεκριμένης πράξης που υπόκειται στο τέλος χαρτοσήμου</w:t>
            </w:r>
          </w:p>
        </w:tc>
        <w:tc>
          <w:tcPr>
            <w:tcW w:w="1356" w:type="dxa"/>
            <w:shd w:val="clear" w:color="auto" w:fill="C4EFCE"/>
            <w:noWrap/>
            <w:vAlign w:val="center"/>
          </w:tcPr>
          <w:p w14:paraId="59F0138D" w14:textId="2B1A728B" w:rsidR="00154AD2" w:rsidRDefault="007F6BF3">
            <w:pPr>
              <w:pStyle w:val="P68B1DB1-Normal8"/>
              <w:spacing w:after="0" w:line="240" w:lineRule="auto"/>
              <w:jc w:val="center"/>
              <w:rPr>
                <w:rFonts w:eastAsia="Times New Roman" w:cs="Calibri"/>
                <w:noProof/>
              </w:rPr>
            </w:pPr>
            <w:r>
              <w:rPr>
                <w:noProof/>
              </w:rPr>
              <w:t>Ολοκλήρωση υλοποίησης της προπλήρωσης συγκεκριμένης πράξης που υπόκειται στο τέλος χαρτοσήμου</w:t>
            </w:r>
          </w:p>
        </w:tc>
        <w:tc>
          <w:tcPr>
            <w:tcW w:w="909" w:type="dxa"/>
            <w:shd w:val="clear" w:color="auto" w:fill="C4EFCE"/>
            <w:noWrap/>
            <w:vAlign w:val="center"/>
          </w:tcPr>
          <w:p w14:paraId="6A2AF1CB" w14:textId="77777777" w:rsidR="00154AD2" w:rsidRDefault="00154AD2">
            <w:pPr>
              <w:spacing w:after="0" w:line="240" w:lineRule="auto"/>
              <w:jc w:val="center"/>
              <w:rPr>
                <w:rFonts w:ascii="Calibri" w:eastAsia="Times New Roman" w:hAnsi="Calibri" w:cs="Calibri"/>
                <w:noProof/>
                <w:sz w:val="16"/>
              </w:rPr>
            </w:pPr>
          </w:p>
        </w:tc>
        <w:tc>
          <w:tcPr>
            <w:tcW w:w="908" w:type="dxa"/>
            <w:shd w:val="clear" w:color="auto" w:fill="C4EFCE"/>
            <w:noWrap/>
            <w:vAlign w:val="center"/>
          </w:tcPr>
          <w:p w14:paraId="0C8AF654" w14:textId="77777777" w:rsidR="00154AD2" w:rsidRDefault="00154AD2">
            <w:pPr>
              <w:spacing w:after="0" w:line="240" w:lineRule="auto"/>
              <w:jc w:val="center"/>
              <w:rPr>
                <w:rFonts w:ascii="Calibri" w:eastAsia="Times New Roman" w:hAnsi="Calibri" w:cs="Calibri"/>
                <w:noProof/>
                <w:sz w:val="16"/>
              </w:rPr>
            </w:pPr>
          </w:p>
        </w:tc>
        <w:tc>
          <w:tcPr>
            <w:tcW w:w="657" w:type="dxa"/>
            <w:shd w:val="clear" w:color="auto" w:fill="C4EFCE"/>
            <w:noWrap/>
            <w:vAlign w:val="center"/>
          </w:tcPr>
          <w:p w14:paraId="4A18B87A" w14:textId="77777777" w:rsidR="00154AD2" w:rsidRDefault="00154AD2">
            <w:pPr>
              <w:spacing w:after="0" w:line="240" w:lineRule="auto"/>
              <w:jc w:val="center"/>
              <w:rPr>
                <w:rFonts w:ascii="Calibri" w:eastAsia="Times New Roman" w:hAnsi="Calibri" w:cs="Calibri"/>
                <w:noProof/>
                <w:sz w:val="16"/>
              </w:rPr>
            </w:pPr>
          </w:p>
        </w:tc>
        <w:tc>
          <w:tcPr>
            <w:tcW w:w="530" w:type="dxa"/>
            <w:shd w:val="clear" w:color="auto" w:fill="C4EFCE"/>
            <w:noWrap/>
            <w:vAlign w:val="center"/>
          </w:tcPr>
          <w:p w14:paraId="3169F07F" w14:textId="30A90A7A" w:rsidR="00154AD2" w:rsidRDefault="007F6BF3">
            <w:pPr>
              <w:pStyle w:val="P68B1DB1-Normal8"/>
              <w:spacing w:after="0" w:line="240" w:lineRule="auto"/>
              <w:jc w:val="center"/>
              <w:rPr>
                <w:rFonts w:eastAsia="Times New Roman" w:cs="Calibri"/>
                <w:noProof/>
              </w:rPr>
            </w:pPr>
            <w:r>
              <w:rPr>
                <w:noProof/>
              </w:rPr>
              <w:t>ΤΡΊΜΗΝΟ 4</w:t>
            </w:r>
          </w:p>
        </w:tc>
        <w:tc>
          <w:tcPr>
            <w:tcW w:w="656" w:type="dxa"/>
            <w:shd w:val="clear" w:color="auto" w:fill="C4EFCE"/>
            <w:noWrap/>
            <w:vAlign w:val="center"/>
          </w:tcPr>
          <w:p w14:paraId="483BF940" w14:textId="6003A4D6" w:rsidR="00154AD2" w:rsidRDefault="007F6BF3">
            <w:pPr>
              <w:pStyle w:val="P68B1DB1-Normal8"/>
              <w:spacing w:after="0" w:line="240" w:lineRule="auto"/>
              <w:jc w:val="center"/>
              <w:rPr>
                <w:rFonts w:eastAsia="Times New Roman" w:cs="Calibri"/>
                <w:noProof/>
              </w:rPr>
            </w:pPr>
            <w:r>
              <w:rPr>
                <w:noProof/>
              </w:rPr>
              <w:t>2023</w:t>
            </w:r>
          </w:p>
        </w:tc>
        <w:tc>
          <w:tcPr>
            <w:tcW w:w="5456" w:type="dxa"/>
            <w:shd w:val="clear" w:color="auto" w:fill="C4EFCE"/>
            <w:noWrap/>
            <w:vAlign w:val="center"/>
          </w:tcPr>
          <w:p w14:paraId="3FD5E02C" w14:textId="06D7A0A1" w:rsidR="00154AD2" w:rsidRDefault="007F6BF3">
            <w:pPr>
              <w:pStyle w:val="P68B1DB1-Normal8"/>
              <w:spacing w:after="0" w:line="240" w:lineRule="auto"/>
              <w:jc w:val="both"/>
              <w:rPr>
                <w:rFonts w:eastAsia="Times New Roman" w:cs="Calibri"/>
                <w:noProof/>
              </w:rPr>
            </w:pPr>
            <w:r>
              <w:rPr>
                <w:noProof/>
              </w:rPr>
              <w:t>Πλήρης εφαρμογή των υπηρεσιών προπλήρωσης για συναλλαγές μεταβίβασης ακινήτων και οχημάτων που υπόκεινται στο τέλος χαρτοσήμου (</w:t>
            </w:r>
            <w:r>
              <w:rPr>
                <w:i/>
                <w:noProof/>
              </w:rPr>
              <w:t>«Imposto de Selo</w:t>
            </w:r>
            <w:r>
              <w:rPr>
                <w:noProof/>
              </w:rPr>
              <w:t>»), αξιοποιώντας τις υφιστάμενες πληροφορίες σχετικά με ακίνητα που είναι διαθέσιμες στις φορολογικές και τελωνειακές αρχές, το Ινστιτούτο Κινητικότητας και Μεταφορών</w:t>
            </w:r>
            <w:r>
              <w:rPr>
                <w:i/>
                <w:noProof/>
              </w:rPr>
              <w:t xml:space="preserve">. </w:t>
            </w:r>
            <w:r>
              <w:rPr>
                <w:noProof/>
              </w:rPr>
              <w:t>(IMT) και το Ινστιτούτο Μητρώων και Συμβολαιογράφων (IRN).</w:t>
            </w:r>
          </w:p>
        </w:tc>
      </w:tr>
      <w:tr w:rsidR="00154AD2" w14:paraId="5A586D67" w14:textId="77777777">
        <w:trPr>
          <w:trHeight w:val="430"/>
        </w:trPr>
        <w:tc>
          <w:tcPr>
            <w:tcW w:w="1043" w:type="dxa"/>
            <w:gridSpan w:val="2"/>
            <w:shd w:val="clear" w:color="auto" w:fill="C4EFCE"/>
            <w:vAlign w:val="center"/>
            <w:hideMark/>
          </w:tcPr>
          <w:p w14:paraId="169BD49B" w14:textId="22DC1B0C" w:rsidR="00154AD2" w:rsidRDefault="007F6BF3">
            <w:pPr>
              <w:pStyle w:val="P68B1DB1-Normal7"/>
              <w:spacing w:after="0" w:line="240" w:lineRule="auto"/>
              <w:jc w:val="center"/>
              <w:rPr>
                <w:rFonts w:eastAsia="Times New Roman" w:cs="Calibri"/>
                <w:noProof/>
              </w:rPr>
            </w:pPr>
            <w:r>
              <w:rPr>
                <w:noProof/>
              </w:rPr>
              <w:t>17.16</w:t>
            </w:r>
          </w:p>
        </w:tc>
        <w:tc>
          <w:tcPr>
            <w:tcW w:w="1161" w:type="dxa"/>
            <w:shd w:val="clear" w:color="auto" w:fill="C4EFCE"/>
            <w:noWrap/>
            <w:vAlign w:val="center"/>
            <w:hideMark/>
          </w:tcPr>
          <w:p w14:paraId="7338038A" w14:textId="77777777" w:rsidR="00154AD2" w:rsidRDefault="007F6BF3">
            <w:pPr>
              <w:pStyle w:val="P68B1DB1-Normal8"/>
              <w:spacing w:after="0" w:line="240" w:lineRule="auto"/>
              <w:jc w:val="center"/>
              <w:rPr>
                <w:rFonts w:eastAsia="Times New Roman" w:cs="Calibri"/>
                <w:noProof/>
              </w:rPr>
            </w:pPr>
            <w:r>
              <w:rPr>
                <w:noProof/>
              </w:rPr>
              <w:t>TD-C17-i02</w:t>
            </w:r>
          </w:p>
        </w:tc>
        <w:tc>
          <w:tcPr>
            <w:tcW w:w="1034" w:type="dxa"/>
            <w:shd w:val="clear" w:color="auto" w:fill="C4EFCE"/>
            <w:noWrap/>
            <w:vAlign w:val="center"/>
            <w:hideMark/>
          </w:tcPr>
          <w:p w14:paraId="46ECBF0B" w14:textId="77777777" w:rsidR="00154AD2" w:rsidRDefault="007F6BF3">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0369D0DB" w14:textId="77777777" w:rsidR="00154AD2" w:rsidRDefault="007F6BF3">
            <w:pPr>
              <w:pStyle w:val="P68B1DB1-Normal8"/>
              <w:spacing w:after="0" w:line="240" w:lineRule="auto"/>
              <w:jc w:val="center"/>
              <w:rPr>
                <w:rFonts w:eastAsia="Times New Roman" w:cs="Calibri"/>
                <w:noProof/>
              </w:rPr>
            </w:pPr>
            <w:r>
              <w:rPr>
                <w:noProof/>
              </w:rPr>
              <w:t>Παροχή και θέση σε λειτουργία της τελικής έκδοσης του πληροφοριακού συστήματος που υποστηρίζει την απλουστευμένη αξιολόγηση των αγροτικών ακινήτων</w:t>
            </w:r>
          </w:p>
        </w:tc>
        <w:tc>
          <w:tcPr>
            <w:tcW w:w="1356" w:type="dxa"/>
            <w:shd w:val="clear" w:color="auto" w:fill="C4EFCE"/>
            <w:noWrap/>
            <w:vAlign w:val="center"/>
            <w:hideMark/>
          </w:tcPr>
          <w:p w14:paraId="0D7E1C75" w14:textId="77777777" w:rsidR="00154AD2" w:rsidRDefault="007F6BF3">
            <w:pPr>
              <w:pStyle w:val="P68B1DB1-Normal8"/>
              <w:spacing w:after="0" w:line="240" w:lineRule="auto"/>
              <w:jc w:val="center"/>
              <w:rPr>
                <w:rFonts w:eastAsia="Times New Roman" w:cs="Calibri"/>
                <w:noProof/>
              </w:rPr>
            </w:pPr>
            <w:r>
              <w:rPr>
                <w:noProof/>
              </w:rPr>
              <w:t>Παροχή και θέση σε λειτουργία της τελικής έκδοσης του πληροφοριακού συστήματος που υποστηρίζει την απλουστευμένη αξιολόγηση των αγροτικών ακινήτων</w:t>
            </w:r>
          </w:p>
        </w:tc>
        <w:tc>
          <w:tcPr>
            <w:tcW w:w="909" w:type="dxa"/>
            <w:shd w:val="clear" w:color="auto" w:fill="C4EFCE"/>
            <w:noWrap/>
            <w:vAlign w:val="center"/>
            <w:hideMark/>
          </w:tcPr>
          <w:p w14:paraId="3A165F24" w14:textId="77777777" w:rsidR="00154AD2" w:rsidRDefault="007F6BF3">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074CA91F" w14:textId="77777777" w:rsidR="00154AD2" w:rsidRDefault="007F6BF3">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2300B0DA" w14:textId="77777777" w:rsidR="00154AD2" w:rsidRDefault="007F6BF3">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6C8D6393"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56" w:type="dxa"/>
            <w:shd w:val="clear" w:color="auto" w:fill="C4EFCE"/>
            <w:noWrap/>
            <w:vAlign w:val="center"/>
            <w:hideMark/>
          </w:tcPr>
          <w:p w14:paraId="0731EA14" w14:textId="77777777" w:rsidR="00154AD2" w:rsidRDefault="007F6BF3">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20EDB57E" w14:textId="77777777" w:rsidR="00154AD2" w:rsidRDefault="007F6BF3">
            <w:pPr>
              <w:pStyle w:val="P68B1DB1-Normal8"/>
              <w:spacing w:after="0" w:line="240" w:lineRule="auto"/>
              <w:jc w:val="both"/>
              <w:rPr>
                <w:rFonts w:eastAsia="Times New Roman" w:cs="Calibri"/>
                <w:noProof/>
              </w:rPr>
            </w:pPr>
            <w:r>
              <w:rPr>
                <w:noProof/>
              </w:rPr>
              <w:t>Παράδοση του πληροφοριακού συστήματος που υποστηρίζει την απλουστευμένη αξιολόγηση των αγροτικών ακινήτων ως παρεπόμενο μέτρο της γενικής αναπροσαρμογής αυτού του είδους των ακινήτων.</w:t>
            </w:r>
          </w:p>
        </w:tc>
      </w:tr>
      <w:tr w:rsidR="00154AD2" w14:paraId="4384BCD2" w14:textId="77777777">
        <w:trPr>
          <w:trHeight w:val="640"/>
        </w:trPr>
        <w:tc>
          <w:tcPr>
            <w:tcW w:w="1043" w:type="dxa"/>
            <w:gridSpan w:val="2"/>
            <w:shd w:val="clear" w:color="auto" w:fill="C4EFCE"/>
            <w:vAlign w:val="center"/>
            <w:hideMark/>
          </w:tcPr>
          <w:p w14:paraId="0D69DEF7" w14:textId="1C27A11A" w:rsidR="00154AD2" w:rsidRDefault="007F6BF3">
            <w:pPr>
              <w:pStyle w:val="P68B1DB1-Normal7"/>
              <w:spacing w:after="0" w:line="240" w:lineRule="auto"/>
              <w:jc w:val="center"/>
              <w:rPr>
                <w:rFonts w:eastAsia="Times New Roman" w:cs="Calibri"/>
                <w:noProof/>
              </w:rPr>
            </w:pPr>
            <w:r>
              <w:rPr>
                <w:noProof/>
              </w:rPr>
              <w:t>17.17</w:t>
            </w:r>
          </w:p>
        </w:tc>
        <w:tc>
          <w:tcPr>
            <w:tcW w:w="1161" w:type="dxa"/>
            <w:shd w:val="clear" w:color="auto" w:fill="C4EFCE"/>
            <w:noWrap/>
            <w:vAlign w:val="center"/>
            <w:hideMark/>
          </w:tcPr>
          <w:p w14:paraId="319B5557" w14:textId="77777777" w:rsidR="00154AD2" w:rsidRDefault="007F6BF3">
            <w:pPr>
              <w:pStyle w:val="P68B1DB1-Normal8"/>
              <w:spacing w:after="0" w:line="240" w:lineRule="auto"/>
              <w:jc w:val="center"/>
              <w:rPr>
                <w:rFonts w:eastAsia="Times New Roman" w:cs="Calibri"/>
                <w:noProof/>
              </w:rPr>
            </w:pPr>
            <w:r>
              <w:rPr>
                <w:noProof/>
              </w:rPr>
              <w:t>TD-C17-i02</w:t>
            </w:r>
          </w:p>
        </w:tc>
        <w:tc>
          <w:tcPr>
            <w:tcW w:w="1034" w:type="dxa"/>
            <w:shd w:val="clear" w:color="auto" w:fill="C4EFCE"/>
            <w:noWrap/>
            <w:vAlign w:val="center"/>
            <w:hideMark/>
          </w:tcPr>
          <w:p w14:paraId="2F25B982" w14:textId="77777777" w:rsidR="00154AD2" w:rsidRDefault="007F6BF3">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554A6DF7" w14:textId="77777777" w:rsidR="00154AD2" w:rsidRDefault="007F6BF3">
            <w:pPr>
              <w:pStyle w:val="P68B1DB1-Normal8"/>
              <w:spacing w:after="0" w:line="240" w:lineRule="auto"/>
              <w:jc w:val="center"/>
              <w:rPr>
                <w:rFonts w:eastAsia="Times New Roman" w:cs="Calibri"/>
                <w:noProof/>
              </w:rPr>
            </w:pPr>
            <w:r>
              <w:rPr>
                <w:noProof/>
              </w:rPr>
              <w:t>Ολοκλήρωση του εδαφικού και κλιματολογικού (εδαφικού και κλιματικού) χαρακτηρισμού και αξιολόγησης του οικονομικού δυναμικού των αγροτικών ιδιοτήτων</w:t>
            </w:r>
          </w:p>
        </w:tc>
        <w:tc>
          <w:tcPr>
            <w:tcW w:w="1356" w:type="dxa"/>
            <w:shd w:val="clear" w:color="auto" w:fill="C4EFCE"/>
            <w:noWrap/>
            <w:vAlign w:val="center"/>
            <w:hideMark/>
          </w:tcPr>
          <w:p w14:paraId="23699059" w14:textId="77777777" w:rsidR="00154AD2" w:rsidRDefault="007F6BF3">
            <w:pPr>
              <w:pStyle w:val="P68B1DB1-Normal9"/>
              <w:spacing w:after="0" w:line="240" w:lineRule="auto"/>
              <w:rPr>
                <w:rFonts w:eastAsia="Times New Roman" w:cs="Calibri"/>
                <w:noProof/>
              </w:rPr>
            </w:pPr>
            <w:r>
              <w:rPr>
                <w:noProof/>
              </w:rPr>
              <w:t> </w:t>
            </w:r>
          </w:p>
        </w:tc>
        <w:tc>
          <w:tcPr>
            <w:tcW w:w="909" w:type="dxa"/>
            <w:shd w:val="clear" w:color="auto" w:fill="C4EFCE"/>
            <w:noWrap/>
            <w:vAlign w:val="center"/>
            <w:hideMark/>
          </w:tcPr>
          <w:p w14:paraId="23D3643A" w14:textId="77777777" w:rsidR="00154AD2" w:rsidRDefault="007F6BF3">
            <w:pPr>
              <w:pStyle w:val="P68B1DB1-Normal8"/>
              <w:spacing w:after="0" w:line="240" w:lineRule="auto"/>
              <w:jc w:val="center"/>
              <w:rPr>
                <w:rFonts w:eastAsia="Times New Roman" w:cs="Calibri"/>
                <w:noProof/>
              </w:rPr>
            </w:pPr>
            <w:r>
              <w:rPr>
                <w:noProof/>
              </w:rPr>
              <w:t>%</w:t>
            </w:r>
          </w:p>
        </w:tc>
        <w:tc>
          <w:tcPr>
            <w:tcW w:w="908" w:type="dxa"/>
            <w:shd w:val="clear" w:color="auto" w:fill="C4EFCE"/>
            <w:noWrap/>
            <w:vAlign w:val="center"/>
            <w:hideMark/>
          </w:tcPr>
          <w:p w14:paraId="7FB8B9E4" w14:textId="77777777" w:rsidR="00154AD2" w:rsidRDefault="007F6BF3">
            <w:pPr>
              <w:pStyle w:val="P68B1DB1-Normal8"/>
              <w:spacing w:after="0" w:line="240" w:lineRule="auto"/>
              <w:jc w:val="center"/>
              <w:rPr>
                <w:rFonts w:eastAsia="Times New Roman" w:cs="Calibri"/>
                <w:noProof/>
              </w:rPr>
            </w:pPr>
            <w:r>
              <w:rPr>
                <w:noProof/>
              </w:rPr>
              <w:t>0</w:t>
            </w:r>
          </w:p>
        </w:tc>
        <w:tc>
          <w:tcPr>
            <w:tcW w:w="657" w:type="dxa"/>
            <w:shd w:val="clear" w:color="auto" w:fill="C4EFCE"/>
            <w:noWrap/>
            <w:vAlign w:val="center"/>
            <w:hideMark/>
          </w:tcPr>
          <w:p w14:paraId="6CC06233" w14:textId="77777777" w:rsidR="00154AD2" w:rsidRDefault="007F6BF3">
            <w:pPr>
              <w:pStyle w:val="P68B1DB1-Normal8"/>
              <w:spacing w:after="0" w:line="240" w:lineRule="auto"/>
              <w:jc w:val="center"/>
              <w:rPr>
                <w:rFonts w:eastAsia="Times New Roman" w:cs="Calibri"/>
                <w:noProof/>
              </w:rPr>
            </w:pPr>
            <w:r>
              <w:rPr>
                <w:noProof/>
              </w:rPr>
              <w:t>90</w:t>
            </w:r>
          </w:p>
        </w:tc>
        <w:tc>
          <w:tcPr>
            <w:tcW w:w="530" w:type="dxa"/>
            <w:shd w:val="clear" w:color="auto" w:fill="C4EFCE"/>
            <w:noWrap/>
            <w:vAlign w:val="center"/>
            <w:hideMark/>
          </w:tcPr>
          <w:p w14:paraId="2B8440D4"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56" w:type="dxa"/>
            <w:shd w:val="clear" w:color="auto" w:fill="C4EFCE"/>
            <w:noWrap/>
            <w:vAlign w:val="center"/>
            <w:hideMark/>
          </w:tcPr>
          <w:p w14:paraId="0BB7DA10" w14:textId="77777777" w:rsidR="00154AD2" w:rsidRDefault="007F6BF3">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27355182" w14:textId="77777777" w:rsidR="00154AD2" w:rsidRDefault="007F6BF3">
            <w:pPr>
              <w:pStyle w:val="P68B1DB1-Normal8"/>
              <w:spacing w:after="0" w:line="240" w:lineRule="auto"/>
              <w:jc w:val="both"/>
              <w:rPr>
                <w:rFonts w:eastAsia="Times New Roman" w:cs="Calibri"/>
                <w:noProof/>
              </w:rPr>
            </w:pPr>
            <w:r>
              <w:rPr>
                <w:noProof/>
              </w:rPr>
              <w:t>Ποσοστό της αγροτικής περιοχής της ηπειρωτικής Πορτογαλίας της οποίας ο εδαφοκλιματολογικός (εδαφοκλιματολογικός και κλιματικός) χαρακτηρισμός και αξιολόγηση του οικονομικού δυναμικού ολοκληρώνεται, υποστηριζόμενο από την ανάπτυξη λύσης διαχείρισης πληροφοριών με γεωαναφορά.</w:t>
            </w:r>
          </w:p>
        </w:tc>
      </w:tr>
      <w:tr w:rsidR="00154AD2" w14:paraId="636011DB" w14:textId="77777777">
        <w:trPr>
          <w:trHeight w:val="1270"/>
        </w:trPr>
        <w:tc>
          <w:tcPr>
            <w:tcW w:w="1043" w:type="dxa"/>
            <w:gridSpan w:val="2"/>
            <w:shd w:val="clear" w:color="auto" w:fill="C4EFCE"/>
            <w:vAlign w:val="center"/>
            <w:hideMark/>
          </w:tcPr>
          <w:p w14:paraId="564CA0E6" w14:textId="3B2D5A91" w:rsidR="00154AD2" w:rsidRDefault="007F6BF3">
            <w:pPr>
              <w:pStyle w:val="P68B1DB1-Normal7"/>
              <w:spacing w:after="0" w:line="240" w:lineRule="auto"/>
              <w:jc w:val="center"/>
              <w:rPr>
                <w:rFonts w:eastAsia="Times New Roman" w:cs="Calibri"/>
                <w:noProof/>
              </w:rPr>
            </w:pPr>
            <w:r>
              <w:rPr>
                <w:noProof/>
              </w:rPr>
              <w:t>17.18</w:t>
            </w:r>
          </w:p>
        </w:tc>
        <w:tc>
          <w:tcPr>
            <w:tcW w:w="1161" w:type="dxa"/>
            <w:shd w:val="clear" w:color="auto" w:fill="C4EFCE"/>
            <w:noWrap/>
            <w:vAlign w:val="center"/>
            <w:hideMark/>
          </w:tcPr>
          <w:p w14:paraId="54C584E0" w14:textId="77777777" w:rsidR="00154AD2" w:rsidRDefault="007F6BF3">
            <w:pPr>
              <w:pStyle w:val="P68B1DB1-Normal8"/>
              <w:spacing w:after="0" w:line="240" w:lineRule="auto"/>
              <w:jc w:val="center"/>
              <w:rPr>
                <w:rFonts w:eastAsia="Times New Roman" w:cs="Calibri"/>
                <w:noProof/>
              </w:rPr>
            </w:pPr>
            <w:r>
              <w:rPr>
                <w:noProof/>
              </w:rPr>
              <w:t>TD-C17-i03</w:t>
            </w:r>
          </w:p>
        </w:tc>
        <w:tc>
          <w:tcPr>
            <w:tcW w:w="1034" w:type="dxa"/>
            <w:shd w:val="clear" w:color="auto" w:fill="C4EFCE"/>
            <w:noWrap/>
            <w:vAlign w:val="center"/>
            <w:hideMark/>
          </w:tcPr>
          <w:p w14:paraId="38875FBD" w14:textId="77777777" w:rsidR="00154AD2" w:rsidRDefault="007F6BF3">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3C70B1BF" w14:textId="77777777" w:rsidR="00154AD2" w:rsidRDefault="007F6BF3">
            <w:pPr>
              <w:pStyle w:val="P68B1DB1-Normal8"/>
              <w:spacing w:after="0" w:line="240" w:lineRule="auto"/>
              <w:jc w:val="center"/>
              <w:rPr>
                <w:rFonts w:eastAsia="Times New Roman" w:cs="Calibri"/>
                <w:noProof/>
              </w:rPr>
            </w:pPr>
            <w:r>
              <w:rPr>
                <w:noProof/>
              </w:rPr>
              <w:t xml:space="preserve">Επέκταση των λειτουργικών δυνατοτήτων του δικτυακού τόπου </w:t>
            </w:r>
            <w:r>
              <w:rPr>
                <w:i/>
                <w:noProof/>
              </w:rPr>
              <w:t>Segurança Social</w:t>
            </w:r>
            <w:r>
              <w:rPr>
                <w:noProof/>
              </w:rPr>
              <w:t xml:space="preserve"> Direta, με την προσθήκη πέντε νέων επιγραμμικών υπηρεσιών</w:t>
            </w:r>
          </w:p>
        </w:tc>
        <w:tc>
          <w:tcPr>
            <w:tcW w:w="1356" w:type="dxa"/>
            <w:shd w:val="clear" w:color="auto" w:fill="C4EFCE"/>
            <w:noWrap/>
            <w:vAlign w:val="center"/>
            <w:hideMark/>
          </w:tcPr>
          <w:p w14:paraId="4A5FCF4B" w14:textId="77777777" w:rsidR="00154AD2" w:rsidRDefault="007F6BF3">
            <w:pPr>
              <w:pStyle w:val="P68B1DB1-Normal8"/>
              <w:spacing w:after="0" w:line="240" w:lineRule="auto"/>
              <w:jc w:val="center"/>
              <w:rPr>
                <w:rFonts w:eastAsia="Times New Roman" w:cs="Calibri"/>
                <w:noProof/>
              </w:rPr>
            </w:pPr>
            <w:r>
              <w:rPr>
                <w:noProof/>
              </w:rPr>
              <w:t> </w:t>
            </w:r>
          </w:p>
        </w:tc>
        <w:tc>
          <w:tcPr>
            <w:tcW w:w="909" w:type="dxa"/>
            <w:shd w:val="clear" w:color="auto" w:fill="C4EFCE"/>
            <w:noWrap/>
            <w:vAlign w:val="center"/>
            <w:hideMark/>
          </w:tcPr>
          <w:p w14:paraId="58A04118"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08" w:type="dxa"/>
            <w:shd w:val="clear" w:color="auto" w:fill="C4EFCE"/>
            <w:noWrap/>
            <w:vAlign w:val="center"/>
            <w:hideMark/>
          </w:tcPr>
          <w:p w14:paraId="16EE0F30" w14:textId="77777777" w:rsidR="00154AD2" w:rsidRDefault="007F6BF3">
            <w:pPr>
              <w:pStyle w:val="P68B1DB1-Normal8"/>
              <w:spacing w:after="0" w:line="240" w:lineRule="auto"/>
              <w:jc w:val="center"/>
              <w:rPr>
                <w:rFonts w:eastAsia="Times New Roman" w:cs="Calibri"/>
                <w:noProof/>
              </w:rPr>
            </w:pPr>
            <w:r>
              <w:rPr>
                <w:noProof/>
              </w:rPr>
              <w:t>3</w:t>
            </w:r>
          </w:p>
        </w:tc>
        <w:tc>
          <w:tcPr>
            <w:tcW w:w="657" w:type="dxa"/>
            <w:shd w:val="clear" w:color="auto" w:fill="C4EFCE"/>
            <w:noWrap/>
            <w:vAlign w:val="center"/>
            <w:hideMark/>
          </w:tcPr>
          <w:p w14:paraId="45C95345" w14:textId="77777777" w:rsidR="00154AD2" w:rsidRDefault="007F6BF3">
            <w:pPr>
              <w:pStyle w:val="P68B1DB1-Normal8"/>
              <w:spacing w:after="0" w:line="240" w:lineRule="auto"/>
              <w:jc w:val="center"/>
              <w:rPr>
                <w:rFonts w:eastAsia="Times New Roman" w:cs="Calibri"/>
                <w:noProof/>
              </w:rPr>
            </w:pPr>
            <w:r>
              <w:rPr>
                <w:noProof/>
              </w:rPr>
              <w:t>8</w:t>
            </w:r>
          </w:p>
        </w:tc>
        <w:tc>
          <w:tcPr>
            <w:tcW w:w="530" w:type="dxa"/>
            <w:shd w:val="clear" w:color="auto" w:fill="C4EFCE"/>
            <w:noWrap/>
            <w:vAlign w:val="center"/>
            <w:hideMark/>
          </w:tcPr>
          <w:p w14:paraId="578C45B2"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56" w:type="dxa"/>
            <w:shd w:val="clear" w:color="auto" w:fill="C4EFCE"/>
            <w:noWrap/>
            <w:vAlign w:val="center"/>
            <w:hideMark/>
          </w:tcPr>
          <w:p w14:paraId="3B5AB061" w14:textId="77777777" w:rsidR="00154AD2" w:rsidRDefault="007F6BF3">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212D569A" w14:textId="0C5219B1" w:rsidR="00154AD2" w:rsidRDefault="007F6BF3">
            <w:pPr>
              <w:pStyle w:val="P68B1DB1-Normal8"/>
              <w:spacing w:after="0" w:line="240" w:lineRule="auto"/>
              <w:jc w:val="both"/>
              <w:rPr>
                <w:rFonts w:eastAsia="Times New Roman" w:cs="Calibri"/>
                <w:noProof/>
              </w:rPr>
            </w:pPr>
            <w:r>
              <w:rPr>
                <w:noProof/>
              </w:rPr>
              <w:t xml:space="preserve">Αριθμός νέων επιγραμμικών υπηρεσιών που προστέθηκαν στον </w:t>
            </w:r>
            <w:r>
              <w:rPr>
                <w:i/>
                <w:noProof/>
              </w:rPr>
              <w:t>ιστότοπο Segurança Social Direta</w:t>
            </w:r>
            <w:r>
              <w:rPr>
                <w:noProof/>
              </w:rPr>
              <w:t xml:space="preserve"> για την επέκταση των λειτουργικών δυνατοτήτων του, και συγκεκριμένα: I) σύστημα πληροφόρησης για την τεχνική συνδρομή στα δικαστήρια — διαδικασία αστικής επιτροπείας και διαδικασία προώθησης και προστασίας· II) συμπληρωματικές παροχές — δήλωση του καθεστώτος ανεργίας· III) </w:t>
            </w:r>
            <w:r>
              <w:rPr>
                <w:i/>
                <w:noProof/>
              </w:rPr>
              <w:t>οικογενειακές παροχές — επαναξιολόγηση</w:t>
            </w:r>
            <w:r>
              <w:rPr>
                <w:noProof/>
              </w:rPr>
              <w:t xml:space="preserve"> · IV) επιδότηση λόγω αναστολής της δραστηριότητας· και v) σύνταξη επιβίωσης. Στόχος είναι να αυξηθεί το σχετικό βάρος της </w:t>
            </w:r>
            <w:r>
              <w:rPr>
                <w:i/>
                <w:noProof/>
              </w:rPr>
              <w:t>Segurança Social</w:t>
            </w:r>
            <w:r>
              <w:rPr>
                <w:noProof/>
              </w:rPr>
              <w:t xml:space="preserve"> Direta σε όλους τους διαύλους επικοινωνίας με την κοινωνική ασφάλιση, στο πλαίσιο της θέσπισης του οράματος 360°.</w:t>
            </w:r>
          </w:p>
        </w:tc>
      </w:tr>
      <w:tr w:rsidR="00154AD2" w14:paraId="67757C18" w14:textId="77777777">
        <w:trPr>
          <w:trHeight w:val="850"/>
        </w:trPr>
        <w:tc>
          <w:tcPr>
            <w:tcW w:w="1043" w:type="dxa"/>
            <w:gridSpan w:val="2"/>
            <w:shd w:val="clear" w:color="auto" w:fill="C4EFCE"/>
            <w:vAlign w:val="center"/>
            <w:hideMark/>
          </w:tcPr>
          <w:p w14:paraId="7799FC6F" w14:textId="77E3C44D" w:rsidR="00154AD2" w:rsidRDefault="007F6BF3">
            <w:pPr>
              <w:pStyle w:val="P68B1DB1-Normal7"/>
              <w:spacing w:after="0" w:line="240" w:lineRule="auto"/>
              <w:jc w:val="center"/>
              <w:rPr>
                <w:rFonts w:eastAsia="Times New Roman" w:cs="Calibri"/>
                <w:noProof/>
              </w:rPr>
            </w:pPr>
            <w:r>
              <w:rPr>
                <w:noProof/>
              </w:rPr>
              <w:t>17.19</w:t>
            </w:r>
          </w:p>
        </w:tc>
        <w:tc>
          <w:tcPr>
            <w:tcW w:w="1161" w:type="dxa"/>
            <w:shd w:val="clear" w:color="auto" w:fill="C4EFCE"/>
            <w:noWrap/>
            <w:vAlign w:val="center"/>
            <w:hideMark/>
          </w:tcPr>
          <w:p w14:paraId="69763485" w14:textId="77777777" w:rsidR="00154AD2" w:rsidRDefault="007F6BF3">
            <w:pPr>
              <w:pStyle w:val="P68B1DB1-Normal8"/>
              <w:spacing w:after="0" w:line="240" w:lineRule="auto"/>
              <w:jc w:val="center"/>
              <w:rPr>
                <w:rFonts w:eastAsia="Times New Roman" w:cs="Calibri"/>
                <w:noProof/>
              </w:rPr>
            </w:pPr>
            <w:r>
              <w:rPr>
                <w:noProof/>
              </w:rPr>
              <w:t>TD-C17-i03</w:t>
            </w:r>
          </w:p>
        </w:tc>
        <w:tc>
          <w:tcPr>
            <w:tcW w:w="1034" w:type="dxa"/>
            <w:shd w:val="clear" w:color="auto" w:fill="C4EFCE"/>
            <w:noWrap/>
            <w:vAlign w:val="center"/>
            <w:hideMark/>
          </w:tcPr>
          <w:p w14:paraId="76C9B871" w14:textId="77777777" w:rsidR="00154AD2" w:rsidRDefault="007F6BF3">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33B5B6FF" w14:textId="77777777" w:rsidR="00154AD2" w:rsidRDefault="007F6BF3">
            <w:pPr>
              <w:pStyle w:val="P68B1DB1-Normal8"/>
              <w:spacing w:after="0" w:line="240" w:lineRule="auto"/>
              <w:jc w:val="center"/>
              <w:rPr>
                <w:rFonts w:eastAsia="Times New Roman" w:cs="Calibri"/>
                <w:noProof/>
              </w:rPr>
            </w:pPr>
            <w:r>
              <w:rPr>
                <w:noProof/>
              </w:rPr>
              <w:t>Μείωση κατά 80 % του μέσου αριθμού ημερών που απαιτούνται για τη χορήγηση κοινωνικών παροχών ανταποδοτικού χαρακτήρα, για όσους έχουν μέσο χρόνο χορήγησης μεγαλύτερο των 10 ημερών</w:t>
            </w:r>
          </w:p>
        </w:tc>
        <w:tc>
          <w:tcPr>
            <w:tcW w:w="1356" w:type="dxa"/>
            <w:shd w:val="clear" w:color="auto" w:fill="C4EFCE"/>
            <w:noWrap/>
            <w:vAlign w:val="center"/>
            <w:hideMark/>
          </w:tcPr>
          <w:p w14:paraId="5D3A167F" w14:textId="77777777" w:rsidR="00154AD2" w:rsidRDefault="007F6BF3">
            <w:pPr>
              <w:pStyle w:val="P68B1DB1-Normal8"/>
              <w:spacing w:after="0" w:line="240" w:lineRule="auto"/>
              <w:jc w:val="center"/>
              <w:rPr>
                <w:rFonts w:eastAsia="Times New Roman" w:cs="Calibri"/>
                <w:noProof/>
              </w:rPr>
            </w:pPr>
            <w:r>
              <w:rPr>
                <w:noProof/>
              </w:rPr>
              <w:t> </w:t>
            </w:r>
          </w:p>
        </w:tc>
        <w:tc>
          <w:tcPr>
            <w:tcW w:w="909" w:type="dxa"/>
            <w:shd w:val="clear" w:color="auto" w:fill="C4EFCE"/>
            <w:noWrap/>
            <w:vAlign w:val="center"/>
            <w:hideMark/>
          </w:tcPr>
          <w:p w14:paraId="187DF961"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08" w:type="dxa"/>
            <w:shd w:val="clear" w:color="auto" w:fill="C4EFCE"/>
            <w:noWrap/>
            <w:vAlign w:val="center"/>
            <w:hideMark/>
          </w:tcPr>
          <w:p w14:paraId="33D4BFA7" w14:textId="77777777" w:rsidR="00154AD2" w:rsidRDefault="007F6BF3">
            <w:pPr>
              <w:pStyle w:val="P68B1DB1-Normal8"/>
              <w:spacing w:after="0" w:line="240" w:lineRule="auto"/>
              <w:jc w:val="center"/>
              <w:rPr>
                <w:rFonts w:eastAsia="Times New Roman" w:cs="Calibri"/>
                <w:noProof/>
              </w:rPr>
            </w:pPr>
            <w:r>
              <w:rPr>
                <w:noProof/>
              </w:rPr>
              <w:t>109</w:t>
            </w:r>
          </w:p>
        </w:tc>
        <w:tc>
          <w:tcPr>
            <w:tcW w:w="657" w:type="dxa"/>
            <w:shd w:val="clear" w:color="auto" w:fill="C4EFCE"/>
            <w:noWrap/>
            <w:vAlign w:val="center"/>
            <w:hideMark/>
          </w:tcPr>
          <w:p w14:paraId="03C9331A" w14:textId="77777777" w:rsidR="00154AD2" w:rsidRDefault="007F6BF3">
            <w:pPr>
              <w:pStyle w:val="P68B1DB1-Normal8"/>
              <w:spacing w:after="0" w:line="240" w:lineRule="auto"/>
              <w:jc w:val="center"/>
              <w:rPr>
                <w:rFonts w:eastAsia="Times New Roman" w:cs="Calibri"/>
                <w:noProof/>
              </w:rPr>
            </w:pPr>
            <w:r>
              <w:rPr>
                <w:noProof/>
              </w:rPr>
              <w:t>22</w:t>
            </w:r>
          </w:p>
        </w:tc>
        <w:tc>
          <w:tcPr>
            <w:tcW w:w="530" w:type="dxa"/>
            <w:shd w:val="clear" w:color="auto" w:fill="C4EFCE"/>
            <w:noWrap/>
            <w:vAlign w:val="center"/>
            <w:hideMark/>
          </w:tcPr>
          <w:p w14:paraId="58BA2038"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56" w:type="dxa"/>
            <w:shd w:val="clear" w:color="auto" w:fill="C4EFCE"/>
            <w:noWrap/>
            <w:vAlign w:val="center"/>
            <w:hideMark/>
          </w:tcPr>
          <w:p w14:paraId="7772F1E3" w14:textId="77777777" w:rsidR="00154AD2" w:rsidRDefault="007F6BF3">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0FB680BD" w14:textId="77777777" w:rsidR="00154AD2" w:rsidRDefault="007F6BF3">
            <w:pPr>
              <w:pStyle w:val="P68B1DB1-Normal8"/>
              <w:spacing w:after="0" w:line="240" w:lineRule="auto"/>
              <w:jc w:val="both"/>
              <w:rPr>
                <w:rFonts w:eastAsia="Times New Roman" w:cs="Calibri"/>
                <w:noProof/>
              </w:rPr>
            </w:pPr>
            <w:r>
              <w:rPr>
                <w:noProof/>
              </w:rPr>
              <w:t xml:space="preserve">Μείωση κατά 80 % του μέσου αριθμού ημερών που απαιτούνται για τη χορήγηση κοινωνικών παροχών ανταποδοτικού χαρακτήρα για όσους έχουν κατά μέσο όρο χρόνο χορήγησης μεγαλύτερο των 10 ημερών, λόγω των βελτιώσεων που εφαρμόστηκαν στον </w:t>
            </w:r>
            <w:r>
              <w:rPr>
                <w:i/>
                <w:noProof/>
              </w:rPr>
              <w:t>ιστότοπο Segurança Social</w:t>
            </w:r>
            <w:r>
              <w:rPr>
                <w:noProof/>
              </w:rPr>
              <w:t xml:space="preserve"> Direta (σχετικά με τις συντάξεις γήρατος για συνταξιούχους με ανταποδοτική σταδιοδρομία μόνο στην Πορτογαλία).</w:t>
            </w:r>
          </w:p>
        </w:tc>
      </w:tr>
      <w:tr w:rsidR="00154AD2" w14:paraId="4C7418F3" w14:textId="77777777">
        <w:trPr>
          <w:gridBefore w:val="1"/>
          <w:wBefore w:w="7" w:type="dxa"/>
          <w:trHeight w:val="1480"/>
        </w:trPr>
        <w:tc>
          <w:tcPr>
            <w:tcW w:w="1036" w:type="dxa"/>
            <w:shd w:val="clear" w:color="auto" w:fill="C4EFCE"/>
            <w:vAlign w:val="center"/>
            <w:hideMark/>
          </w:tcPr>
          <w:p w14:paraId="21268FB8" w14:textId="1D9AEF2B" w:rsidR="00154AD2" w:rsidRDefault="007F6BF3">
            <w:pPr>
              <w:pStyle w:val="P68B1DB1-Normal7"/>
              <w:spacing w:after="0" w:line="240" w:lineRule="auto"/>
              <w:jc w:val="center"/>
              <w:rPr>
                <w:rFonts w:eastAsia="Times New Roman" w:cs="Calibri"/>
                <w:noProof/>
              </w:rPr>
            </w:pPr>
            <w:r>
              <w:rPr>
                <w:noProof/>
              </w:rPr>
              <w:t>17.20</w:t>
            </w:r>
          </w:p>
        </w:tc>
        <w:tc>
          <w:tcPr>
            <w:tcW w:w="1161" w:type="dxa"/>
            <w:shd w:val="clear" w:color="auto" w:fill="C4EFCE"/>
            <w:noWrap/>
            <w:vAlign w:val="center"/>
            <w:hideMark/>
          </w:tcPr>
          <w:p w14:paraId="5F644801" w14:textId="77777777" w:rsidR="00154AD2" w:rsidRDefault="007F6BF3">
            <w:pPr>
              <w:pStyle w:val="P68B1DB1-Normal8"/>
              <w:spacing w:after="0" w:line="240" w:lineRule="auto"/>
              <w:jc w:val="center"/>
              <w:rPr>
                <w:rFonts w:eastAsia="Times New Roman" w:cs="Calibri"/>
                <w:noProof/>
              </w:rPr>
            </w:pPr>
            <w:r>
              <w:rPr>
                <w:noProof/>
              </w:rPr>
              <w:t>TD-C17-i03</w:t>
            </w:r>
          </w:p>
        </w:tc>
        <w:tc>
          <w:tcPr>
            <w:tcW w:w="1034" w:type="dxa"/>
            <w:shd w:val="clear" w:color="auto" w:fill="C4EFCE"/>
            <w:noWrap/>
            <w:vAlign w:val="center"/>
            <w:hideMark/>
          </w:tcPr>
          <w:p w14:paraId="252B371D" w14:textId="77777777" w:rsidR="00154AD2" w:rsidRDefault="007F6BF3">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05EE2AD5" w14:textId="77777777" w:rsidR="00154AD2" w:rsidRDefault="007F6BF3">
            <w:pPr>
              <w:pStyle w:val="P68B1DB1-Normal8"/>
              <w:spacing w:after="0" w:line="240" w:lineRule="auto"/>
              <w:jc w:val="center"/>
              <w:rPr>
                <w:rFonts w:eastAsia="Times New Roman" w:cs="Calibri"/>
                <w:noProof/>
              </w:rPr>
            </w:pPr>
            <w:r>
              <w:rPr>
                <w:noProof/>
              </w:rPr>
              <w:t>Εφαρμογή έξυπνων μοντέλων επιτήρησης για τη στήριξη της πρόληψης της απάτης, με βάση διαδικασίες μηχανικής μάθησης</w:t>
            </w:r>
          </w:p>
        </w:tc>
        <w:tc>
          <w:tcPr>
            <w:tcW w:w="1356" w:type="dxa"/>
            <w:shd w:val="clear" w:color="auto" w:fill="C4EFCE"/>
            <w:noWrap/>
            <w:vAlign w:val="center"/>
            <w:hideMark/>
          </w:tcPr>
          <w:p w14:paraId="1CEDD1F2" w14:textId="77777777" w:rsidR="00154AD2" w:rsidRDefault="007F6BF3">
            <w:pPr>
              <w:pStyle w:val="P68B1DB1-Normal8"/>
              <w:spacing w:after="0" w:line="240" w:lineRule="auto"/>
              <w:jc w:val="center"/>
              <w:rPr>
                <w:rFonts w:eastAsia="Times New Roman" w:cs="Calibri"/>
                <w:noProof/>
              </w:rPr>
            </w:pPr>
            <w:r>
              <w:rPr>
                <w:noProof/>
              </w:rPr>
              <w:t> </w:t>
            </w:r>
          </w:p>
        </w:tc>
        <w:tc>
          <w:tcPr>
            <w:tcW w:w="909" w:type="dxa"/>
            <w:shd w:val="clear" w:color="auto" w:fill="C4EFCE"/>
            <w:noWrap/>
            <w:vAlign w:val="center"/>
            <w:hideMark/>
          </w:tcPr>
          <w:p w14:paraId="6A9BFCF7"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08" w:type="dxa"/>
            <w:shd w:val="clear" w:color="auto" w:fill="C4EFCE"/>
            <w:noWrap/>
            <w:vAlign w:val="center"/>
            <w:hideMark/>
          </w:tcPr>
          <w:p w14:paraId="7D447794" w14:textId="77777777" w:rsidR="00154AD2" w:rsidRDefault="007F6BF3">
            <w:pPr>
              <w:pStyle w:val="P68B1DB1-Normal8"/>
              <w:spacing w:after="0" w:line="240" w:lineRule="auto"/>
              <w:jc w:val="center"/>
              <w:rPr>
                <w:rFonts w:eastAsia="Times New Roman" w:cs="Calibri"/>
                <w:noProof/>
              </w:rPr>
            </w:pPr>
            <w:r>
              <w:rPr>
                <w:noProof/>
              </w:rPr>
              <w:t>0</w:t>
            </w:r>
          </w:p>
        </w:tc>
        <w:tc>
          <w:tcPr>
            <w:tcW w:w="657" w:type="dxa"/>
            <w:shd w:val="clear" w:color="auto" w:fill="C4EFCE"/>
            <w:noWrap/>
            <w:vAlign w:val="center"/>
            <w:hideMark/>
          </w:tcPr>
          <w:p w14:paraId="46AC5F87" w14:textId="77777777" w:rsidR="00154AD2" w:rsidRDefault="007F6BF3">
            <w:pPr>
              <w:pStyle w:val="P68B1DB1-Normal8"/>
              <w:spacing w:after="0" w:line="240" w:lineRule="auto"/>
              <w:jc w:val="center"/>
              <w:rPr>
                <w:rFonts w:eastAsia="Times New Roman" w:cs="Calibri"/>
                <w:noProof/>
              </w:rPr>
            </w:pPr>
            <w:r>
              <w:rPr>
                <w:noProof/>
              </w:rPr>
              <w:t>2</w:t>
            </w:r>
          </w:p>
        </w:tc>
        <w:tc>
          <w:tcPr>
            <w:tcW w:w="530" w:type="dxa"/>
            <w:shd w:val="clear" w:color="auto" w:fill="C4EFCE"/>
            <w:noWrap/>
            <w:vAlign w:val="center"/>
            <w:hideMark/>
          </w:tcPr>
          <w:p w14:paraId="5DD99422"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56" w:type="dxa"/>
            <w:shd w:val="clear" w:color="auto" w:fill="C4EFCE"/>
            <w:noWrap/>
            <w:vAlign w:val="center"/>
            <w:hideMark/>
          </w:tcPr>
          <w:p w14:paraId="7F14D13C" w14:textId="77777777" w:rsidR="00154AD2" w:rsidRDefault="007F6BF3">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5CABF8C9" w14:textId="77777777" w:rsidR="00154AD2" w:rsidRDefault="007F6BF3">
            <w:pPr>
              <w:pStyle w:val="P68B1DB1-Normal8"/>
              <w:spacing w:after="0" w:line="240" w:lineRule="auto"/>
              <w:jc w:val="both"/>
              <w:rPr>
                <w:rFonts w:eastAsia="Times New Roman" w:cs="Calibri"/>
                <w:noProof/>
              </w:rPr>
            </w:pPr>
            <w:r>
              <w:rPr>
                <w:noProof/>
              </w:rPr>
              <w:t>Δύο έξυπνα μοντέλα επιτήρησης, με τη χρήση διαδικασιών μηχανικής μάθησης, θα υλοποιηθούν και θα τεθούν σε λειτουργία. Τα δύο μοντέλα που πρέπει να δημιουργηθούν και να εφαρμοστούν είναι τα εξής: I) ένα προγνωστικό μοντέλο που μπορεί να επισημαίνει τις προς επιθεώρηση οντότητες με βάση τα αποτελέσματα των αλγορίθμων μάθησης, χρησιμοποιώντας ιστορικά δεδομένα από το υποσύστημα πληροφοριών επιτήρησης του συστήματος πληροφοριών κοινωνικής ασφάλισης, προκειμένου να πραγματοποιηθούν πιο στοχευμένες δράσεις επιτήρησης, με μικρότερη επιχειρησιακή προσπάθεια και πιο δυναμικά αποτελέσματα, ενισχύοντας την αποτελεσματικότητα και την αποδοτικότητα του συστήματος επιτήρησης και αξιοποιώντας άλλες πηγές πληροφοριών· μοντέλο δεικτών κινδύνου για τους δικαιούχους κοινωνικών παροχών.</w:t>
            </w:r>
          </w:p>
        </w:tc>
      </w:tr>
      <w:tr w:rsidR="00154AD2" w14:paraId="69E96EC0" w14:textId="77777777">
        <w:trPr>
          <w:gridBefore w:val="1"/>
          <w:wBefore w:w="7" w:type="dxa"/>
          <w:trHeight w:val="1480"/>
        </w:trPr>
        <w:tc>
          <w:tcPr>
            <w:tcW w:w="1036" w:type="dxa"/>
            <w:shd w:val="clear" w:color="auto" w:fill="C4EFCE"/>
            <w:vAlign w:val="center"/>
          </w:tcPr>
          <w:p w14:paraId="01D7CF90" w14:textId="67468CFC" w:rsidR="00154AD2" w:rsidRDefault="007F6BF3">
            <w:pPr>
              <w:pStyle w:val="P68B1DB1-Normal11"/>
              <w:spacing w:after="0" w:line="240" w:lineRule="auto"/>
              <w:jc w:val="center"/>
              <w:rPr>
                <w:rFonts w:eastAsia="Times New Roman"/>
                <w:noProof/>
              </w:rPr>
            </w:pPr>
            <w:r>
              <w:rPr>
                <w:noProof/>
              </w:rPr>
              <w:t>17.22</w:t>
            </w:r>
          </w:p>
        </w:tc>
        <w:tc>
          <w:tcPr>
            <w:tcW w:w="1161" w:type="dxa"/>
            <w:shd w:val="clear" w:color="auto" w:fill="C4EFCE"/>
            <w:noWrap/>
            <w:vAlign w:val="center"/>
          </w:tcPr>
          <w:p w14:paraId="4F426F40" w14:textId="196A5CF9" w:rsidR="00154AD2" w:rsidRDefault="007F6BF3">
            <w:pPr>
              <w:pStyle w:val="P68B1DB1-Normal12"/>
              <w:spacing w:after="0" w:line="240" w:lineRule="auto"/>
              <w:jc w:val="center"/>
              <w:rPr>
                <w:rFonts w:eastAsia="Times New Roman" w:cstheme="minorHAnsi"/>
                <w:noProof/>
              </w:rPr>
            </w:pPr>
            <w:r>
              <w:rPr>
                <w:noProof/>
              </w:rPr>
              <w:t>TD-C17-r40</w:t>
            </w:r>
          </w:p>
        </w:tc>
        <w:tc>
          <w:tcPr>
            <w:tcW w:w="1034" w:type="dxa"/>
            <w:shd w:val="clear" w:color="auto" w:fill="C4EFCE"/>
            <w:noWrap/>
            <w:vAlign w:val="center"/>
          </w:tcPr>
          <w:p w14:paraId="42B2BCF9" w14:textId="55495B11" w:rsidR="00154AD2" w:rsidRDefault="007F6BF3">
            <w:pPr>
              <w:pStyle w:val="P68B1DB1-Normal12"/>
              <w:spacing w:after="0" w:line="240" w:lineRule="auto"/>
              <w:jc w:val="center"/>
              <w:rPr>
                <w:rFonts w:eastAsia="Times New Roman" w:cstheme="minorHAnsi"/>
                <w:noProof/>
              </w:rPr>
            </w:pPr>
            <w:r>
              <w:rPr>
                <w:noProof/>
              </w:rPr>
              <w:t>M</w:t>
            </w:r>
          </w:p>
        </w:tc>
        <w:tc>
          <w:tcPr>
            <w:tcW w:w="1539" w:type="dxa"/>
            <w:shd w:val="clear" w:color="auto" w:fill="C4EFCE"/>
            <w:noWrap/>
            <w:vAlign w:val="center"/>
          </w:tcPr>
          <w:p w14:paraId="5E087B51" w14:textId="7A377310" w:rsidR="00154AD2" w:rsidRDefault="007F6BF3">
            <w:pPr>
              <w:pStyle w:val="P68B1DB1-Normal12"/>
              <w:spacing w:after="0" w:line="240" w:lineRule="auto"/>
              <w:jc w:val="center"/>
              <w:rPr>
                <w:rFonts w:eastAsia="Times New Roman" w:cstheme="minorHAnsi"/>
                <w:noProof/>
              </w:rPr>
            </w:pPr>
            <w:r>
              <w:rPr>
                <w:noProof/>
              </w:rPr>
              <w:t>Έναρξη ισχύος νομικής πράξης για την τροποποίηση του νομικού πλαισίου επιλεγμένων φορολογικών πλεονεκτημάτων</w:t>
            </w:r>
          </w:p>
        </w:tc>
        <w:tc>
          <w:tcPr>
            <w:tcW w:w="1356" w:type="dxa"/>
            <w:shd w:val="clear" w:color="auto" w:fill="C4EFCE"/>
            <w:noWrap/>
            <w:vAlign w:val="center"/>
          </w:tcPr>
          <w:p w14:paraId="066FAA9F" w14:textId="6052F03F" w:rsidR="00154AD2" w:rsidRDefault="007F6BF3">
            <w:pPr>
              <w:pStyle w:val="P68B1DB1-Normal12"/>
              <w:spacing w:after="0" w:line="240" w:lineRule="auto"/>
              <w:jc w:val="center"/>
              <w:rPr>
                <w:rFonts w:eastAsia="Times New Roman" w:cstheme="minorHAnsi"/>
                <w:noProof/>
              </w:rPr>
            </w:pPr>
            <w:r>
              <w:rPr>
                <w:noProof/>
              </w:rPr>
              <w:t xml:space="preserve">Διάταξη της νομικής πράξης που αναφέρει την έναρξη ισχύος της νομικής πράξης </w:t>
            </w:r>
          </w:p>
        </w:tc>
        <w:tc>
          <w:tcPr>
            <w:tcW w:w="909" w:type="dxa"/>
            <w:shd w:val="clear" w:color="auto" w:fill="C4EFCE"/>
            <w:noWrap/>
            <w:vAlign w:val="center"/>
          </w:tcPr>
          <w:p w14:paraId="04F14139" w14:textId="77777777" w:rsidR="00154AD2" w:rsidRDefault="00154AD2">
            <w:pPr>
              <w:spacing w:after="0" w:line="240" w:lineRule="auto"/>
              <w:jc w:val="center"/>
              <w:rPr>
                <w:rFonts w:eastAsia="Times New Roman" w:cstheme="minorHAnsi"/>
                <w:noProof/>
                <w:sz w:val="16"/>
              </w:rPr>
            </w:pPr>
          </w:p>
        </w:tc>
        <w:tc>
          <w:tcPr>
            <w:tcW w:w="908" w:type="dxa"/>
            <w:shd w:val="clear" w:color="auto" w:fill="C4EFCE"/>
            <w:noWrap/>
            <w:vAlign w:val="center"/>
          </w:tcPr>
          <w:p w14:paraId="365FE8AC" w14:textId="77777777" w:rsidR="00154AD2" w:rsidRDefault="00154AD2">
            <w:pPr>
              <w:spacing w:after="0" w:line="240" w:lineRule="auto"/>
              <w:jc w:val="center"/>
              <w:rPr>
                <w:rFonts w:eastAsia="Times New Roman" w:cstheme="minorHAnsi"/>
                <w:noProof/>
                <w:sz w:val="16"/>
              </w:rPr>
            </w:pPr>
          </w:p>
        </w:tc>
        <w:tc>
          <w:tcPr>
            <w:tcW w:w="657" w:type="dxa"/>
            <w:shd w:val="clear" w:color="auto" w:fill="C4EFCE"/>
            <w:noWrap/>
            <w:vAlign w:val="center"/>
          </w:tcPr>
          <w:p w14:paraId="186DD478" w14:textId="77777777" w:rsidR="00154AD2" w:rsidRDefault="00154AD2">
            <w:pPr>
              <w:spacing w:after="0" w:line="240" w:lineRule="auto"/>
              <w:jc w:val="center"/>
              <w:rPr>
                <w:rFonts w:eastAsia="Times New Roman" w:cstheme="minorHAnsi"/>
                <w:noProof/>
                <w:sz w:val="16"/>
              </w:rPr>
            </w:pPr>
          </w:p>
        </w:tc>
        <w:tc>
          <w:tcPr>
            <w:tcW w:w="530" w:type="dxa"/>
            <w:shd w:val="clear" w:color="auto" w:fill="C4EFCE"/>
            <w:noWrap/>
            <w:vAlign w:val="center"/>
          </w:tcPr>
          <w:p w14:paraId="487CCC18" w14:textId="5AA3F23D" w:rsidR="00154AD2" w:rsidRDefault="007F6BF3">
            <w:pPr>
              <w:pStyle w:val="P68B1DB1-Normal12"/>
              <w:spacing w:after="0" w:line="240" w:lineRule="auto"/>
              <w:jc w:val="center"/>
              <w:rPr>
                <w:rFonts w:eastAsia="Times New Roman"/>
                <w:noProof/>
              </w:rPr>
            </w:pPr>
            <w:r>
              <w:rPr>
                <w:noProof/>
              </w:rPr>
              <w:t>ΤΡΊΜΗΝΟ 2</w:t>
            </w:r>
          </w:p>
        </w:tc>
        <w:tc>
          <w:tcPr>
            <w:tcW w:w="656" w:type="dxa"/>
            <w:shd w:val="clear" w:color="auto" w:fill="C4EFCE"/>
            <w:noWrap/>
            <w:vAlign w:val="center"/>
          </w:tcPr>
          <w:p w14:paraId="76AEA003" w14:textId="7985F81C" w:rsidR="00154AD2" w:rsidRDefault="007F6BF3">
            <w:pPr>
              <w:pStyle w:val="P68B1DB1-Normal12"/>
              <w:spacing w:after="0" w:line="240" w:lineRule="auto"/>
              <w:jc w:val="center"/>
              <w:rPr>
                <w:rFonts w:eastAsia="Times New Roman" w:cstheme="minorHAnsi"/>
                <w:noProof/>
              </w:rPr>
            </w:pPr>
            <w:r>
              <w:rPr>
                <w:noProof/>
              </w:rPr>
              <w:t>2023</w:t>
            </w:r>
          </w:p>
        </w:tc>
        <w:tc>
          <w:tcPr>
            <w:tcW w:w="5456" w:type="dxa"/>
            <w:shd w:val="clear" w:color="auto" w:fill="C4EFCE"/>
            <w:noWrap/>
            <w:vAlign w:val="center"/>
          </w:tcPr>
          <w:p w14:paraId="243D977D" w14:textId="31C1F2BF" w:rsidR="00154AD2" w:rsidRDefault="007F6BF3">
            <w:pPr>
              <w:pStyle w:val="P68B1DB1-Normal12"/>
              <w:spacing w:after="0" w:line="240" w:lineRule="auto"/>
              <w:jc w:val="both"/>
              <w:rPr>
                <w:rFonts w:eastAsia="Times New Roman" w:cstheme="minorHAnsi"/>
                <w:noProof/>
              </w:rPr>
            </w:pPr>
            <w:r>
              <w:rPr>
                <w:noProof/>
              </w:rPr>
              <w:t xml:space="preserve">Έναρξη ισχύος νομικής πράξης που καταργεί ή επεκτείνει ένα στοχευμένο σύνολο φορολογικών πλεονεκτημάτων. Η νομική πράξη περιλαμβάνει φορολογικά πλεονεκτήματα που πρόκειται να λήξουν κατά το επόμενο έτος από την έναρξη ισχύος της, τα οποία δεν ευθυγραμμίζονται πλέον με τον αρχικό της στόχο δημόσιας πολιτικής ή έχουν μικρό αριθμό δικαιούχων και τα οποία είναι δυνητικά επιζήμια για το περιβάλλον. </w:t>
            </w:r>
          </w:p>
        </w:tc>
      </w:tr>
      <w:tr w:rsidR="00154AD2" w14:paraId="7D159597" w14:textId="77777777">
        <w:trPr>
          <w:gridBefore w:val="1"/>
          <w:wBefore w:w="7" w:type="dxa"/>
          <w:trHeight w:val="1480"/>
        </w:trPr>
        <w:tc>
          <w:tcPr>
            <w:tcW w:w="1036" w:type="dxa"/>
            <w:shd w:val="clear" w:color="auto" w:fill="C4EFCE"/>
            <w:vAlign w:val="center"/>
          </w:tcPr>
          <w:p w14:paraId="4663EF1C" w14:textId="69D49F94" w:rsidR="00154AD2" w:rsidRDefault="007F6BF3">
            <w:pPr>
              <w:pStyle w:val="P68B1DB1-Normal11"/>
              <w:spacing w:after="0" w:line="240" w:lineRule="auto"/>
              <w:jc w:val="center"/>
              <w:rPr>
                <w:rFonts w:eastAsia="Times New Roman"/>
                <w:noProof/>
              </w:rPr>
            </w:pPr>
            <w:r>
              <w:rPr>
                <w:noProof/>
              </w:rPr>
              <w:t>17.23</w:t>
            </w:r>
          </w:p>
        </w:tc>
        <w:tc>
          <w:tcPr>
            <w:tcW w:w="1161" w:type="dxa"/>
            <w:shd w:val="clear" w:color="auto" w:fill="C4EFCE"/>
            <w:noWrap/>
            <w:vAlign w:val="center"/>
          </w:tcPr>
          <w:p w14:paraId="02D8E2E9" w14:textId="15919057" w:rsidR="00154AD2" w:rsidRDefault="007F6BF3">
            <w:pPr>
              <w:pStyle w:val="P68B1DB1-Normal12"/>
              <w:spacing w:after="0" w:line="240" w:lineRule="auto"/>
              <w:jc w:val="center"/>
              <w:rPr>
                <w:rFonts w:eastAsia="Times New Roman" w:cstheme="minorHAnsi"/>
                <w:noProof/>
              </w:rPr>
            </w:pPr>
            <w:r>
              <w:rPr>
                <w:noProof/>
              </w:rPr>
              <w:t>TD-C17-r40</w:t>
            </w:r>
          </w:p>
        </w:tc>
        <w:tc>
          <w:tcPr>
            <w:tcW w:w="1034" w:type="dxa"/>
            <w:shd w:val="clear" w:color="auto" w:fill="C4EFCE"/>
            <w:noWrap/>
            <w:vAlign w:val="center"/>
          </w:tcPr>
          <w:p w14:paraId="5585C109" w14:textId="6D8FEF48" w:rsidR="00154AD2" w:rsidRDefault="007F6BF3">
            <w:pPr>
              <w:pStyle w:val="P68B1DB1-Normal12"/>
              <w:spacing w:after="0" w:line="240" w:lineRule="auto"/>
              <w:jc w:val="center"/>
              <w:rPr>
                <w:rFonts w:eastAsia="Times New Roman" w:cstheme="minorHAnsi"/>
                <w:noProof/>
              </w:rPr>
            </w:pPr>
            <w:r>
              <w:rPr>
                <w:noProof/>
              </w:rPr>
              <w:t>M</w:t>
            </w:r>
          </w:p>
        </w:tc>
        <w:tc>
          <w:tcPr>
            <w:tcW w:w="1539" w:type="dxa"/>
            <w:shd w:val="clear" w:color="auto" w:fill="C4EFCE"/>
            <w:noWrap/>
            <w:vAlign w:val="center"/>
          </w:tcPr>
          <w:p w14:paraId="074B5F8D" w14:textId="45DB9125" w:rsidR="00154AD2" w:rsidRDefault="007F6BF3">
            <w:pPr>
              <w:pStyle w:val="P68B1DB1-Normal12"/>
              <w:spacing w:after="0" w:line="240" w:lineRule="auto"/>
              <w:jc w:val="center"/>
              <w:rPr>
                <w:rFonts w:eastAsia="Times New Roman" w:cstheme="minorHAnsi"/>
                <w:noProof/>
              </w:rPr>
            </w:pPr>
            <w:r>
              <w:rPr>
                <w:noProof/>
              </w:rPr>
              <w:t xml:space="preserve">Έναρξη ισχύος της νομικής πράξης για τη δημιουργία της μόνιμης μονάδας τεχνικής φορολογικής πολιτικής </w:t>
            </w:r>
            <w:r>
              <w:rPr>
                <w:i/>
                <w:noProof/>
              </w:rPr>
              <w:t>Unidade Técnica de Avaliação Tributária e Aduaneira</w:t>
            </w:r>
            <w:r>
              <w:rPr>
                <w:noProof/>
              </w:rPr>
              <w:t xml:space="preserve"> (U-TAX)</w:t>
            </w:r>
          </w:p>
        </w:tc>
        <w:tc>
          <w:tcPr>
            <w:tcW w:w="1356" w:type="dxa"/>
            <w:shd w:val="clear" w:color="auto" w:fill="C4EFCE"/>
            <w:noWrap/>
            <w:vAlign w:val="center"/>
          </w:tcPr>
          <w:p w14:paraId="719D5034" w14:textId="1C010633" w:rsidR="00154AD2" w:rsidRDefault="007F6BF3">
            <w:pPr>
              <w:pStyle w:val="P68B1DB1-Normal12"/>
              <w:spacing w:after="0" w:line="240" w:lineRule="auto"/>
              <w:jc w:val="center"/>
              <w:rPr>
                <w:rFonts w:eastAsia="Times New Roman" w:cstheme="minorHAnsi"/>
                <w:noProof/>
              </w:rPr>
            </w:pPr>
            <w:r>
              <w:rPr>
                <w:noProof/>
              </w:rPr>
              <w:t>Διάταξη της νομικής πράξης που αναφέρει την έναρξη ισχύος της νομικής πράξης</w:t>
            </w:r>
          </w:p>
        </w:tc>
        <w:tc>
          <w:tcPr>
            <w:tcW w:w="909" w:type="dxa"/>
            <w:shd w:val="clear" w:color="auto" w:fill="C4EFCE"/>
            <w:noWrap/>
            <w:vAlign w:val="center"/>
          </w:tcPr>
          <w:p w14:paraId="3B1ACCA2" w14:textId="77777777" w:rsidR="00154AD2" w:rsidRDefault="00154AD2">
            <w:pPr>
              <w:spacing w:after="0" w:line="240" w:lineRule="auto"/>
              <w:jc w:val="center"/>
              <w:rPr>
                <w:rFonts w:eastAsia="Times New Roman" w:cstheme="minorHAnsi"/>
                <w:noProof/>
                <w:sz w:val="16"/>
              </w:rPr>
            </w:pPr>
          </w:p>
        </w:tc>
        <w:tc>
          <w:tcPr>
            <w:tcW w:w="908" w:type="dxa"/>
            <w:shd w:val="clear" w:color="auto" w:fill="C4EFCE"/>
            <w:noWrap/>
            <w:vAlign w:val="center"/>
          </w:tcPr>
          <w:p w14:paraId="0E293281" w14:textId="77777777" w:rsidR="00154AD2" w:rsidRDefault="00154AD2">
            <w:pPr>
              <w:spacing w:after="0" w:line="240" w:lineRule="auto"/>
              <w:jc w:val="center"/>
              <w:rPr>
                <w:rFonts w:eastAsia="Times New Roman" w:cstheme="minorHAnsi"/>
                <w:noProof/>
                <w:sz w:val="16"/>
              </w:rPr>
            </w:pPr>
          </w:p>
        </w:tc>
        <w:tc>
          <w:tcPr>
            <w:tcW w:w="657" w:type="dxa"/>
            <w:shd w:val="clear" w:color="auto" w:fill="C4EFCE"/>
            <w:noWrap/>
            <w:vAlign w:val="center"/>
          </w:tcPr>
          <w:p w14:paraId="5D83358F" w14:textId="77777777" w:rsidR="00154AD2" w:rsidRDefault="00154AD2">
            <w:pPr>
              <w:spacing w:after="0" w:line="240" w:lineRule="auto"/>
              <w:jc w:val="center"/>
              <w:rPr>
                <w:rFonts w:eastAsia="Times New Roman" w:cstheme="minorHAnsi"/>
                <w:noProof/>
                <w:sz w:val="16"/>
              </w:rPr>
            </w:pPr>
          </w:p>
        </w:tc>
        <w:tc>
          <w:tcPr>
            <w:tcW w:w="530" w:type="dxa"/>
            <w:shd w:val="clear" w:color="auto" w:fill="C4EFCE"/>
            <w:noWrap/>
            <w:vAlign w:val="center"/>
          </w:tcPr>
          <w:p w14:paraId="0DAA9FB8" w14:textId="4F3E99EE" w:rsidR="00154AD2" w:rsidRDefault="007F6BF3">
            <w:pPr>
              <w:pStyle w:val="P68B1DB1-Normal12"/>
              <w:spacing w:after="0" w:line="240" w:lineRule="auto"/>
              <w:jc w:val="center"/>
              <w:rPr>
                <w:rFonts w:eastAsia="Times New Roman" w:cstheme="minorHAnsi"/>
                <w:noProof/>
              </w:rPr>
            </w:pPr>
            <w:r>
              <w:rPr>
                <w:noProof/>
              </w:rPr>
              <w:t>ΤΡΊΜΗΝΟ 4</w:t>
            </w:r>
          </w:p>
        </w:tc>
        <w:tc>
          <w:tcPr>
            <w:tcW w:w="656" w:type="dxa"/>
            <w:shd w:val="clear" w:color="auto" w:fill="C4EFCE"/>
            <w:noWrap/>
            <w:vAlign w:val="center"/>
          </w:tcPr>
          <w:p w14:paraId="65BE177B" w14:textId="2FA41D59" w:rsidR="00154AD2" w:rsidRDefault="007F6BF3">
            <w:pPr>
              <w:pStyle w:val="P68B1DB1-Normal12"/>
              <w:spacing w:after="0" w:line="240" w:lineRule="auto"/>
              <w:jc w:val="center"/>
              <w:rPr>
                <w:rFonts w:eastAsia="Times New Roman" w:cstheme="minorHAnsi"/>
                <w:noProof/>
              </w:rPr>
            </w:pPr>
            <w:r>
              <w:rPr>
                <w:noProof/>
              </w:rPr>
              <w:t>2023</w:t>
            </w:r>
          </w:p>
        </w:tc>
        <w:tc>
          <w:tcPr>
            <w:tcW w:w="5456" w:type="dxa"/>
            <w:shd w:val="clear" w:color="auto" w:fill="C4EFCE"/>
            <w:noWrap/>
            <w:vAlign w:val="center"/>
          </w:tcPr>
          <w:p w14:paraId="4897A805" w14:textId="581A7D2B" w:rsidR="00154AD2" w:rsidRDefault="007F6BF3">
            <w:pPr>
              <w:pStyle w:val="P68B1DB1-Bodytext1013"/>
              <w:rPr>
                <w:rFonts w:cstheme="minorHAnsi"/>
                <w:noProof/>
              </w:rPr>
            </w:pPr>
            <w:r>
              <w:rPr>
                <w:noProof/>
              </w:rPr>
              <w:t>Έναρξη ισχύος της νομικής πράξης με την οποία δημιουργείται η μόνιμη μονάδα τεχνικής φορολογικής πολιτικής U-TAX.</w:t>
            </w:r>
          </w:p>
        </w:tc>
      </w:tr>
      <w:tr w:rsidR="00154AD2" w14:paraId="0837937C" w14:textId="77777777">
        <w:trPr>
          <w:gridBefore w:val="1"/>
          <w:wBefore w:w="7" w:type="dxa"/>
          <w:trHeight w:val="1480"/>
        </w:trPr>
        <w:tc>
          <w:tcPr>
            <w:tcW w:w="1036" w:type="dxa"/>
            <w:shd w:val="clear" w:color="auto" w:fill="C4EFCE"/>
            <w:vAlign w:val="center"/>
          </w:tcPr>
          <w:p w14:paraId="3233421E" w14:textId="76C741D0" w:rsidR="00154AD2" w:rsidRDefault="007F6BF3">
            <w:pPr>
              <w:pStyle w:val="P68B1DB1-Normal11"/>
              <w:spacing w:after="0" w:line="240" w:lineRule="auto"/>
              <w:jc w:val="center"/>
              <w:rPr>
                <w:rFonts w:eastAsia="Times New Roman"/>
                <w:noProof/>
              </w:rPr>
            </w:pPr>
            <w:r>
              <w:rPr>
                <w:noProof/>
              </w:rPr>
              <w:t>17.24</w:t>
            </w:r>
          </w:p>
        </w:tc>
        <w:tc>
          <w:tcPr>
            <w:tcW w:w="1161" w:type="dxa"/>
            <w:shd w:val="clear" w:color="auto" w:fill="C4EFCE"/>
            <w:noWrap/>
            <w:vAlign w:val="center"/>
          </w:tcPr>
          <w:p w14:paraId="737C50B6" w14:textId="0F8480BF" w:rsidR="00154AD2" w:rsidRDefault="007F6BF3">
            <w:pPr>
              <w:pStyle w:val="P68B1DB1-Normal12"/>
              <w:spacing w:after="0" w:line="240" w:lineRule="auto"/>
              <w:jc w:val="center"/>
              <w:rPr>
                <w:rFonts w:eastAsia="Times New Roman" w:cstheme="minorHAnsi"/>
                <w:noProof/>
              </w:rPr>
            </w:pPr>
            <w:r>
              <w:rPr>
                <w:noProof/>
              </w:rPr>
              <w:t>TD-C17-r40</w:t>
            </w:r>
          </w:p>
        </w:tc>
        <w:tc>
          <w:tcPr>
            <w:tcW w:w="1034" w:type="dxa"/>
            <w:shd w:val="clear" w:color="auto" w:fill="C4EFCE"/>
            <w:noWrap/>
            <w:vAlign w:val="center"/>
          </w:tcPr>
          <w:p w14:paraId="033151D4" w14:textId="6185ABFC" w:rsidR="00154AD2" w:rsidRDefault="007F6BF3">
            <w:pPr>
              <w:pStyle w:val="P68B1DB1-Normal12"/>
              <w:spacing w:after="0" w:line="240" w:lineRule="auto"/>
              <w:jc w:val="center"/>
              <w:rPr>
                <w:rFonts w:eastAsia="Times New Roman" w:cstheme="minorHAnsi"/>
                <w:noProof/>
              </w:rPr>
            </w:pPr>
            <w:r>
              <w:rPr>
                <w:noProof/>
              </w:rPr>
              <w:t>M</w:t>
            </w:r>
          </w:p>
        </w:tc>
        <w:tc>
          <w:tcPr>
            <w:tcW w:w="1539" w:type="dxa"/>
            <w:shd w:val="clear" w:color="auto" w:fill="C4EFCE"/>
            <w:noWrap/>
            <w:vAlign w:val="center"/>
          </w:tcPr>
          <w:p w14:paraId="161CE14C" w14:textId="582AD1B7" w:rsidR="00154AD2" w:rsidRDefault="007F6BF3">
            <w:pPr>
              <w:pStyle w:val="P68B1DB1-Bodytext1013"/>
              <w:rPr>
                <w:rFonts w:cstheme="minorHAnsi"/>
                <w:noProof/>
              </w:rPr>
            </w:pPr>
            <w:r>
              <w:rPr>
                <w:noProof/>
              </w:rPr>
              <w:t>Δημοσίευση έκθεσης αξιολόγησης από την U-TAX σχετικά με τα υφιστάμενα φορολογικά πλεονεκτήματα</w:t>
            </w:r>
          </w:p>
        </w:tc>
        <w:tc>
          <w:tcPr>
            <w:tcW w:w="1356" w:type="dxa"/>
            <w:shd w:val="clear" w:color="auto" w:fill="C4EFCE"/>
            <w:noWrap/>
            <w:vAlign w:val="center"/>
          </w:tcPr>
          <w:p w14:paraId="6CFBEBB0" w14:textId="37037DA5" w:rsidR="00154AD2" w:rsidRDefault="007F6BF3">
            <w:pPr>
              <w:pStyle w:val="P68B1DB1-Normal12"/>
              <w:spacing w:after="0" w:line="240" w:lineRule="auto"/>
              <w:jc w:val="center"/>
              <w:rPr>
                <w:rFonts w:eastAsia="Times New Roman" w:cstheme="minorHAnsi"/>
                <w:noProof/>
              </w:rPr>
            </w:pPr>
            <w:r>
              <w:rPr>
                <w:noProof/>
              </w:rPr>
              <w:t>Δημοσίευση της έκθεσης αξιολόγησης από την U-TAX</w:t>
            </w:r>
          </w:p>
        </w:tc>
        <w:tc>
          <w:tcPr>
            <w:tcW w:w="909" w:type="dxa"/>
            <w:shd w:val="clear" w:color="auto" w:fill="C4EFCE"/>
            <w:noWrap/>
            <w:vAlign w:val="center"/>
          </w:tcPr>
          <w:p w14:paraId="178DAFEF" w14:textId="77777777" w:rsidR="00154AD2" w:rsidRDefault="00154AD2">
            <w:pPr>
              <w:spacing w:after="0" w:line="240" w:lineRule="auto"/>
              <w:jc w:val="center"/>
              <w:rPr>
                <w:rFonts w:eastAsia="Times New Roman" w:cstheme="minorHAnsi"/>
                <w:noProof/>
                <w:sz w:val="16"/>
              </w:rPr>
            </w:pPr>
          </w:p>
        </w:tc>
        <w:tc>
          <w:tcPr>
            <w:tcW w:w="908" w:type="dxa"/>
            <w:shd w:val="clear" w:color="auto" w:fill="C4EFCE"/>
            <w:noWrap/>
            <w:vAlign w:val="center"/>
          </w:tcPr>
          <w:p w14:paraId="31A31401" w14:textId="77777777" w:rsidR="00154AD2" w:rsidRDefault="00154AD2">
            <w:pPr>
              <w:spacing w:after="0" w:line="240" w:lineRule="auto"/>
              <w:jc w:val="center"/>
              <w:rPr>
                <w:rFonts w:eastAsia="Times New Roman" w:cstheme="minorHAnsi"/>
                <w:noProof/>
                <w:sz w:val="16"/>
              </w:rPr>
            </w:pPr>
          </w:p>
        </w:tc>
        <w:tc>
          <w:tcPr>
            <w:tcW w:w="657" w:type="dxa"/>
            <w:shd w:val="clear" w:color="auto" w:fill="C4EFCE"/>
            <w:noWrap/>
            <w:vAlign w:val="center"/>
          </w:tcPr>
          <w:p w14:paraId="58433C55" w14:textId="77777777" w:rsidR="00154AD2" w:rsidRDefault="00154AD2">
            <w:pPr>
              <w:spacing w:after="0" w:line="240" w:lineRule="auto"/>
              <w:jc w:val="center"/>
              <w:rPr>
                <w:rFonts w:eastAsia="Times New Roman" w:cstheme="minorHAnsi"/>
                <w:noProof/>
                <w:sz w:val="16"/>
              </w:rPr>
            </w:pPr>
          </w:p>
        </w:tc>
        <w:tc>
          <w:tcPr>
            <w:tcW w:w="530" w:type="dxa"/>
            <w:shd w:val="clear" w:color="auto" w:fill="C4EFCE"/>
            <w:noWrap/>
            <w:vAlign w:val="center"/>
          </w:tcPr>
          <w:p w14:paraId="266E7E25" w14:textId="18AC0BB2" w:rsidR="00154AD2" w:rsidRDefault="007F6BF3">
            <w:pPr>
              <w:pStyle w:val="P68B1DB1-Normal12"/>
              <w:spacing w:after="0" w:line="240" w:lineRule="auto"/>
              <w:jc w:val="center"/>
              <w:rPr>
                <w:rFonts w:eastAsia="Times New Roman" w:cstheme="minorHAnsi"/>
                <w:noProof/>
              </w:rPr>
            </w:pPr>
            <w:r>
              <w:rPr>
                <w:noProof/>
              </w:rPr>
              <w:t>ΤΡΊΜΗΝΟ 2</w:t>
            </w:r>
          </w:p>
        </w:tc>
        <w:tc>
          <w:tcPr>
            <w:tcW w:w="656" w:type="dxa"/>
            <w:shd w:val="clear" w:color="auto" w:fill="C4EFCE"/>
            <w:noWrap/>
            <w:vAlign w:val="center"/>
          </w:tcPr>
          <w:p w14:paraId="77EA0F2E" w14:textId="13F6F2D7" w:rsidR="00154AD2" w:rsidRDefault="007F6BF3">
            <w:pPr>
              <w:pStyle w:val="P68B1DB1-Normal12"/>
              <w:spacing w:after="0" w:line="240" w:lineRule="auto"/>
              <w:jc w:val="center"/>
              <w:rPr>
                <w:rFonts w:eastAsia="Times New Roman" w:cstheme="minorHAnsi"/>
                <w:noProof/>
              </w:rPr>
            </w:pPr>
            <w:r>
              <w:rPr>
                <w:noProof/>
              </w:rPr>
              <w:t>2025</w:t>
            </w:r>
          </w:p>
        </w:tc>
        <w:tc>
          <w:tcPr>
            <w:tcW w:w="5456" w:type="dxa"/>
            <w:shd w:val="clear" w:color="auto" w:fill="C4EFCE"/>
            <w:noWrap/>
            <w:vAlign w:val="center"/>
          </w:tcPr>
          <w:p w14:paraId="03CED8F5" w14:textId="2F4499FE" w:rsidR="00154AD2" w:rsidRDefault="007F6BF3">
            <w:pPr>
              <w:pStyle w:val="P68B1DB1-Bodytext1013"/>
              <w:spacing w:after="0"/>
              <w:rPr>
                <w:rFonts w:cstheme="minorHAnsi"/>
                <w:noProof/>
              </w:rPr>
            </w:pPr>
            <w:r>
              <w:rPr>
                <w:noProof/>
              </w:rPr>
              <w:t xml:space="preserve">Δημοσίευση έκθεσης αξιολόγησης από την U-TAX σχετικά με τα υφιστάμενα φορολογικά πλεονεκτήματα. Η έκθεση περιλαμβάνει ανάλυση κόστους-οφέλους με κριτήρια αποτελεσματικότητας των φορολογικών πλεονεκτημάτων που αφορούν τον αρχικό τους στόχο δημόσιας πολιτικής, την οικονομική αποδοτικότητα των φορολογικών δαπανών που προκύπτουν και περιβαλλοντικά ζητήματα. </w:t>
            </w:r>
          </w:p>
          <w:p w14:paraId="32CA742E" w14:textId="77777777" w:rsidR="00154AD2" w:rsidRDefault="007F6BF3">
            <w:pPr>
              <w:pStyle w:val="P68B1DB1-Bodytext1013"/>
              <w:spacing w:after="0"/>
              <w:rPr>
                <w:rFonts w:cstheme="minorHAnsi"/>
                <w:noProof/>
              </w:rPr>
            </w:pPr>
            <w:r>
              <w:rPr>
                <w:noProof/>
              </w:rPr>
              <w:t xml:space="preserve">Η έκθεση αξιολόγησης καλύπτει τα φορολογικά πλεονεκτήματα που πρόκειται να λήξουν εντός του έτους που έπεται της δημοσίευσής της, καθώς και σημαντικό σύνολο φορολογικών πλεονεκτημάτων, και εκτός του </w:t>
            </w:r>
            <w:r>
              <w:rPr>
                <w:i/>
                <w:noProof/>
              </w:rPr>
              <w:t>Estatuto dos Benefícios Fiscais</w:t>
            </w:r>
            <w:r>
              <w:rPr>
                <w:noProof/>
              </w:rPr>
              <w:t xml:space="preserve">. </w:t>
            </w:r>
          </w:p>
          <w:p w14:paraId="3165E0FB" w14:textId="74F6954C" w:rsidR="00154AD2" w:rsidRDefault="007F6BF3">
            <w:pPr>
              <w:pStyle w:val="P68B1DB1-Bodytext1013"/>
              <w:spacing w:after="0"/>
              <w:rPr>
                <w:rFonts w:cstheme="minorHAnsi"/>
                <w:noProof/>
              </w:rPr>
            </w:pPr>
            <w:r>
              <w:rPr>
                <w:noProof/>
              </w:rPr>
              <w:t>Το σημαντικό σύνολο φορολογικών πλεονεκτημάτων ορίζεται σύμφωνα με την αντιπροσωπευτικότητα των σχετικών φορολογικών δαπανών, με έμφαση σε εκείνες που σχετίζονται με τον φόρο προστιθέμενης αξίας, τον φόρο εισοδήματος φυσικών προσώπων και τον φόρο εισοδήματος εταιρειών.</w:t>
            </w:r>
          </w:p>
          <w:p w14:paraId="27114AA9" w14:textId="1D86CB07" w:rsidR="00154AD2" w:rsidRDefault="007F6BF3">
            <w:pPr>
              <w:pStyle w:val="P68B1DB1-Normal12"/>
              <w:rPr>
                <w:noProof/>
              </w:rPr>
            </w:pPr>
            <w:r>
              <w:rPr>
                <w:noProof/>
              </w:rPr>
              <w:t xml:space="preserve">Η U-TAX μπορεί να αποκλείσει από την ανάλυσή της τα πορτογαλικά φορολογικά πλεονεκτήματα που έχουν ήδη αξιολογηθεί από ειδικές ομάδες εργασίας πριν από τη δημιουργία της, καθώς και τα πορτογαλικά φορολογικά πλεονεκτήματα που αξιολογούνται από ανεξάρτητους δημόσιους οργανισμούς, υπό την προϋπόθεση ότι η εν λόγω δημοσιευμένη ανάλυση είναι επικαιροποιημένη και σύμφωνη με τα κριτήρια που ορίζονται ανωτέρω για την ανάλυση κόστους-οφέλους. </w:t>
            </w:r>
          </w:p>
          <w:p w14:paraId="69554B53" w14:textId="6AC9827B" w:rsidR="00154AD2" w:rsidRDefault="007F6BF3">
            <w:pPr>
              <w:pStyle w:val="P68B1DB1-Normal12"/>
              <w:spacing w:after="0" w:line="240" w:lineRule="auto"/>
              <w:jc w:val="both"/>
              <w:rPr>
                <w:rFonts w:eastAsia="Times New Roman" w:cstheme="minorHAnsi"/>
                <w:noProof/>
              </w:rPr>
            </w:pPr>
            <w:r>
              <w:rPr>
                <w:noProof/>
              </w:rPr>
              <w:t>Η έκθεση αξιολόγησης περιλαμβάνει συστάσεις σχετικά με το ποια από τα φορολογικά πλεονεκτήματα που καλύπτονται από αυτήν θα καταργηθούν, θα επεκταθούν ή θα τροποποιηθούν.</w:t>
            </w:r>
          </w:p>
        </w:tc>
      </w:tr>
      <w:tr w:rsidR="00154AD2" w14:paraId="014DEF92" w14:textId="77777777">
        <w:trPr>
          <w:gridBefore w:val="1"/>
          <w:wBefore w:w="7" w:type="dxa"/>
          <w:trHeight w:val="1480"/>
        </w:trPr>
        <w:tc>
          <w:tcPr>
            <w:tcW w:w="1036" w:type="dxa"/>
            <w:shd w:val="clear" w:color="auto" w:fill="C4EFCE"/>
            <w:vAlign w:val="center"/>
          </w:tcPr>
          <w:p w14:paraId="5B5FBA47" w14:textId="374B26BF" w:rsidR="00154AD2" w:rsidRDefault="007F6BF3">
            <w:pPr>
              <w:pStyle w:val="P68B1DB1-Normal11"/>
              <w:spacing w:after="0" w:line="240" w:lineRule="auto"/>
              <w:jc w:val="center"/>
              <w:rPr>
                <w:rFonts w:eastAsia="Times New Roman"/>
                <w:noProof/>
              </w:rPr>
            </w:pPr>
            <w:r>
              <w:rPr>
                <w:noProof/>
              </w:rPr>
              <w:t>17.25</w:t>
            </w:r>
          </w:p>
        </w:tc>
        <w:tc>
          <w:tcPr>
            <w:tcW w:w="1161" w:type="dxa"/>
            <w:shd w:val="clear" w:color="auto" w:fill="C4EFCE"/>
            <w:noWrap/>
            <w:vAlign w:val="center"/>
          </w:tcPr>
          <w:p w14:paraId="027A26B7" w14:textId="7BDDCBF5" w:rsidR="00154AD2" w:rsidRDefault="007F6BF3">
            <w:pPr>
              <w:pStyle w:val="P68B1DB1-Normal12"/>
              <w:spacing w:after="0" w:line="240" w:lineRule="auto"/>
              <w:jc w:val="center"/>
              <w:rPr>
                <w:rFonts w:eastAsia="Times New Roman" w:cstheme="minorHAnsi"/>
                <w:noProof/>
              </w:rPr>
            </w:pPr>
            <w:r>
              <w:rPr>
                <w:noProof/>
              </w:rPr>
              <w:t>TD-C17-r40</w:t>
            </w:r>
          </w:p>
        </w:tc>
        <w:tc>
          <w:tcPr>
            <w:tcW w:w="1034" w:type="dxa"/>
            <w:shd w:val="clear" w:color="auto" w:fill="C4EFCE"/>
            <w:noWrap/>
            <w:vAlign w:val="center"/>
          </w:tcPr>
          <w:p w14:paraId="232BE3B1" w14:textId="451A1F82" w:rsidR="00154AD2" w:rsidRDefault="007F6BF3">
            <w:pPr>
              <w:pStyle w:val="P68B1DB1-Normal12"/>
              <w:spacing w:after="0" w:line="240" w:lineRule="auto"/>
              <w:jc w:val="center"/>
              <w:rPr>
                <w:rFonts w:eastAsia="Times New Roman" w:cstheme="minorHAnsi"/>
                <w:noProof/>
              </w:rPr>
            </w:pPr>
            <w:r>
              <w:rPr>
                <w:noProof/>
              </w:rPr>
              <w:t>M</w:t>
            </w:r>
          </w:p>
        </w:tc>
        <w:tc>
          <w:tcPr>
            <w:tcW w:w="1539" w:type="dxa"/>
            <w:shd w:val="clear" w:color="auto" w:fill="C4EFCE"/>
            <w:noWrap/>
            <w:vAlign w:val="center"/>
          </w:tcPr>
          <w:p w14:paraId="65CAD365" w14:textId="31C85319" w:rsidR="00154AD2" w:rsidRDefault="007F6BF3">
            <w:pPr>
              <w:pStyle w:val="P68B1DB1-Normal12"/>
              <w:spacing w:after="0" w:line="240" w:lineRule="auto"/>
              <w:jc w:val="center"/>
              <w:rPr>
                <w:rFonts w:eastAsia="Times New Roman" w:cstheme="minorHAnsi"/>
                <w:noProof/>
              </w:rPr>
            </w:pPr>
            <w:r>
              <w:rPr>
                <w:noProof/>
              </w:rPr>
              <w:t xml:space="preserve">Έναρξη ισχύος νομικής πράξης για τις φορολογικές παροχές </w:t>
            </w:r>
          </w:p>
        </w:tc>
        <w:tc>
          <w:tcPr>
            <w:tcW w:w="1356" w:type="dxa"/>
            <w:shd w:val="clear" w:color="auto" w:fill="C4EFCE"/>
            <w:noWrap/>
            <w:vAlign w:val="center"/>
          </w:tcPr>
          <w:p w14:paraId="311CAF38" w14:textId="6D28ACD0" w:rsidR="00154AD2" w:rsidRDefault="007F6BF3">
            <w:pPr>
              <w:pStyle w:val="P68B1DB1-Normal12"/>
              <w:spacing w:after="0" w:line="240" w:lineRule="auto"/>
              <w:jc w:val="center"/>
              <w:rPr>
                <w:rFonts w:eastAsia="Times New Roman" w:cstheme="minorHAnsi"/>
                <w:noProof/>
              </w:rPr>
            </w:pPr>
            <w:r>
              <w:rPr>
                <w:noProof/>
              </w:rPr>
              <w:t xml:space="preserve">Διάταξη της νομικής πράξης που αναφέρει την έναρξη ισχύος της νομικής πράξης </w:t>
            </w:r>
          </w:p>
        </w:tc>
        <w:tc>
          <w:tcPr>
            <w:tcW w:w="909" w:type="dxa"/>
            <w:shd w:val="clear" w:color="auto" w:fill="C4EFCE"/>
            <w:noWrap/>
            <w:vAlign w:val="center"/>
          </w:tcPr>
          <w:p w14:paraId="347AD5E7" w14:textId="77777777" w:rsidR="00154AD2" w:rsidRDefault="00154AD2">
            <w:pPr>
              <w:spacing w:after="0" w:line="240" w:lineRule="auto"/>
              <w:jc w:val="center"/>
              <w:rPr>
                <w:rFonts w:eastAsia="Times New Roman" w:cstheme="minorHAnsi"/>
                <w:noProof/>
                <w:sz w:val="16"/>
              </w:rPr>
            </w:pPr>
          </w:p>
        </w:tc>
        <w:tc>
          <w:tcPr>
            <w:tcW w:w="908" w:type="dxa"/>
            <w:shd w:val="clear" w:color="auto" w:fill="C4EFCE"/>
            <w:noWrap/>
            <w:vAlign w:val="center"/>
          </w:tcPr>
          <w:p w14:paraId="676CE199" w14:textId="77777777" w:rsidR="00154AD2" w:rsidRDefault="00154AD2">
            <w:pPr>
              <w:spacing w:after="0" w:line="240" w:lineRule="auto"/>
              <w:jc w:val="center"/>
              <w:rPr>
                <w:rFonts w:eastAsia="Times New Roman" w:cstheme="minorHAnsi"/>
                <w:noProof/>
                <w:sz w:val="16"/>
              </w:rPr>
            </w:pPr>
          </w:p>
        </w:tc>
        <w:tc>
          <w:tcPr>
            <w:tcW w:w="657" w:type="dxa"/>
            <w:shd w:val="clear" w:color="auto" w:fill="C4EFCE"/>
            <w:noWrap/>
            <w:vAlign w:val="center"/>
          </w:tcPr>
          <w:p w14:paraId="57178CE3" w14:textId="77777777" w:rsidR="00154AD2" w:rsidRDefault="00154AD2">
            <w:pPr>
              <w:spacing w:after="0" w:line="240" w:lineRule="auto"/>
              <w:jc w:val="center"/>
              <w:rPr>
                <w:rFonts w:eastAsia="Times New Roman" w:cstheme="minorHAnsi"/>
                <w:noProof/>
                <w:sz w:val="16"/>
              </w:rPr>
            </w:pPr>
          </w:p>
        </w:tc>
        <w:tc>
          <w:tcPr>
            <w:tcW w:w="530" w:type="dxa"/>
            <w:shd w:val="clear" w:color="auto" w:fill="C4EFCE"/>
            <w:noWrap/>
            <w:vAlign w:val="center"/>
          </w:tcPr>
          <w:p w14:paraId="3D84C64B" w14:textId="4029FEA2" w:rsidR="00154AD2" w:rsidRDefault="007F6BF3">
            <w:pPr>
              <w:pStyle w:val="P68B1DB1-Normal12"/>
              <w:spacing w:after="0" w:line="240" w:lineRule="auto"/>
              <w:jc w:val="center"/>
              <w:rPr>
                <w:rFonts w:eastAsia="Times New Roman" w:cstheme="minorHAnsi"/>
                <w:noProof/>
              </w:rPr>
            </w:pPr>
            <w:r>
              <w:rPr>
                <w:noProof/>
              </w:rPr>
              <w:t>ΤΡΊΜΗΝΟ 1</w:t>
            </w:r>
          </w:p>
        </w:tc>
        <w:tc>
          <w:tcPr>
            <w:tcW w:w="656" w:type="dxa"/>
            <w:shd w:val="clear" w:color="auto" w:fill="C4EFCE"/>
            <w:noWrap/>
            <w:vAlign w:val="center"/>
          </w:tcPr>
          <w:p w14:paraId="29B7FF51" w14:textId="261A5E14" w:rsidR="00154AD2" w:rsidRDefault="007F6BF3">
            <w:pPr>
              <w:pStyle w:val="P68B1DB1-Normal12"/>
              <w:spacing w:after="0" w:line="240" w:lineRule="auto"/>
              <w:jc w:val="center"/>
              <w:rPr>
                <w:rFonts w:eastAsia="Times New Roman" w:cstheme="minorHAnsi"/>
                <w:noProof/>
              </w:rPr>
            </w:pPr>
            <w:r>
              <w:rPr>
                <w:noProof/>
              </w:rPr>
              <w:t>2026</w:t>
            </w:r>
          </w:p>
        </w:tc>
        <w:tc>
          <w:tcPr>
            <w:tcW w:w="5456" w:type="dxa"/>
            <w:shd w:val="clear" w:color="auto" w:fill="C4EFCE"/>
            <w:noWrap/>
            <w:vAlign w:val="center"/>
          </w:tcPr>
          <w:p w14:paraId="12CA98A0" w14:textId="0DCA3F2C" w:rsidR="00154AD2" w:rsidRDefault="007F6BF3">
            <w:pPr>
              <w:pStyle w:val="P68B1DB1-Bodytext1013"/>
              <w:spacing w:after="0"/>
              <w:rPr>
                <w:rFonts w:eastAsiaTheme="minorHAnsi" w:cstheme="minorBidi"/>
                <w:noProof/>
              </w:rPr>
            </w:pPr>
            <w:r>
              <w:rPr>
                <w:noProof/>
              </w:rPr>
              <w:t>Έναρξη ισχύος νομικής πράξης για την απλούστευση του συστήματος φορολογικών πλεονεκτημάτων με τη μείωση του αριθμού των υφιστάμενων φορολογικών πλεονεκτημάτων, λαμβανομένων υπόψη των συστάσεων της έκθεσης αξιολόγησης της U-TAX και άλλων αναλύσεων, όπως ορίζεται στο ορόσημο 17.24.</w:t>
            </w:r>
          </w:p>
        </w:tc>
      </w:tr>
    </w:tbl>
    <w:p w14:paraId="7340E1CC" w14:textId="77777777" w:rsidR="00154AD2" w:rsidRDefault="00154AD2">
      <w:pPr>
        <w:keepNext/>
        <w:spacing w:before="40" w:after="0" w:line="259" w:lineRule="auto"/>
        <w:jc w:val="both"/>
        <w:rPr>
          <w:rFonts w:ascii="Times New Roman" w:eastAsiaTheme="minorEastAsia" w:hAnsi="Times New Roman" w:cs="Times New Roman"/>
          <w:noProof/>
          <w:sz w:val="24"/>
          <w:u w:val="single"/>
        </w:rPr>
      </w:pPr>
    </w:p>
    <w:p w14:paraId="1B2345CC" w14:textId="77777777" w:rsidR="00154AD2" w:rsidRDefault="00154AD2">
      <w:pPr>
        <w:keepNext/>
        <w:spacing w:before="40" w:after="0" w:line="259" w:lineRule="auto"/>
        <w:jc w:val="both"/>
        <w:rPr>
          <w:rFonts w:ascii="Times New Roman" w:eastAsiaTheme="minorEastAsia" w:hAnsi="Times New Roman" w:cs="Times New Roman"/>
          <w:noProof/>
          <w:sz w:val="24"/>
          <w:u w:val="single"/>
        </w:rPr>
      </w:pPr>
    </w:p>
    <w:p w14:paraId="6123A23C" w14:textId="77777777" w:rsidR="00154AD2" w:rsidRDefault="00154AD2">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154AD2" w:rsidSect="00E00EDD">
          <w:headerReference w:type="even" r:id="rId324"/>
          <w:headerReference w:type="default" r:id="rId325"/>
          <w:footerReference w:type="even" r:id="rId326"/>
          <w:footerReference w:type="default" r:id="rId327"/>
          <w:headerReference w:type="first" r:id="rId328"/>
          <w:footerReference w:type="first" r:id="rId329"/>
          <w:pgSz w:w="16839" w:h="11907" w:orient="landscape"/>
          <w:pgMar w:top="1134" w:right="1134" w:bottom="1134" w:left="1134" w:header="567" w:footer="567" w:gutter="0"/>
          <w:cols w:space="720"/>
          <w:docGrid w:linePitch="360"/>
        </w:sectPr>
      </w:pPr>
    </w:p>
    <w:p w14:paraId="2F13BED3" w14:textId="77777777" w:rsidR="00154AD2" w:rsidRDefault="007F6BF3">
      <w:pPr>
        <w:pStyle w:val="P68B1DB1-Normal3"/>
        <w:keepNext/>
        <w:spacing w:before="40" w:after="0" w:line="259" w:lineRule="auto"/>
        <w:ind w:left="130" w:firstLine="720"/>
        <w:jc w:val="both"/>
        <w:outlineLvl w:val="1"/>
        <w:rPr>
          <w:rFonts w:eastAsiaTheme="minorEastAsia" w:cs="Times New Roman"/>
          <w:noProof/>
        </w:rPr>
      </w:pPr>
      <w:r>
        <w:rPr>
          <w:noProof/>
        </w:rPr>
        <w:t>ΣΥΝΙΣΤΏΣΑ 18 ΤΟΥ R.: Οικονομική δικαιοσύνη και επιχειρηματικό περιβάλλον</w:t>
      </w:r>
    </w:p>
    <w:p w14:paraId="238C7521"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συνιστώσα αντιμετωπίζει την πρόκληση των ανεπαρκειών του πορτογαλικού δικαστικού συστήματος, καθώς και των εναπομεινάντων σημείων συμφόρησης στην αδειοδότηση επιχειρήσεων. Η διάρκεια των διοικητικών και φορολογικών διαδικασιών βελτιώνεται τα τελευταία χρόνια, αλλά παραμένει μία από τις υψηλότερες στην ΕΕ, και ο αριθμός των εκκρεμών υποθέσεων (συσσώρευση εκκρεμών υποθέσεων) παραμένει συγκριτικά υψηλός. Το επιχειρηματικό περιβάλλον παρεμποδίζεται επίσης από τη χαμηλή αποτελεσματικότητα της νομοθεσίας περί εξασφαλίσεων και χρεοκοπίας και τις επαχθείς διαδικασίες αδειοδότησης σε ορισμένους τομείς. </w:t>
      </w:r>
    </w:p>
    <w:p w14:paraId="5E76299C"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Στόχος της συνιστώσας είναι η ενίσχυση και η αποτελεσματικότητα των σχέσεων μεταξύ πολιτών και επιχειρήσεων με το κράτος, καθώς και η μείωση του φόρτου και της πολυπλοκότητας που εμποδίζουν την επιχειρηματική δραστηριότητα και επηρεάζουν την παραγωγικότητα. Εξετάζει δύο μακροχρόνια ζητήματα: εμπόδια στην απόκτηση επιχειρηματικών αδειών και ανεπάρκειες στο σύστημα απονομής δικαιοσύνης, καθώς και η υιοθέτηση του προτύπου «εξ ορισμού ψηφιακό» στο δικαστικό σύστημα και η προώθησή του στις διαδικασίες αδειοδότησης τόσο όσον αφορά τη λειτουργία των δικαστηρίων όσο και την αλληλεπίδραση με τα ενδιαφερόμενα μέρη. </w:t>
      </w:r>
    </w:p>
    <w:p w14:paraId="76272F78" w14:textId="77777777" w:rsidR="00154AD2" w:rsidRDefault="007F6BF3">
      <w:pPr>
        <w:pStyle w:val="P68B1DB1-Normal4"/>
        <w:keepNext/>
        <w:spacing w:before="40" w:after="0" w:line="259" w:lineRule="auto"/>
        <w:jc w:val="both"/>
        <w:rPr>
          <w:rFonts w:eastAsiaTheme="minorEastAsia" w:cs="Times New Roman"/>
          <w:noProof/>
        </w:rPr>
      </w:pPr>
      <w:r>
        <w:rPr>
          <w:noProof/>
        </w:rPr>
        <w:t>Η συνιστώσα αυτή αποσκοπεί στην αντιμετώπιση των διαφόρων προκλήσεων που προσδιορίζονται στις ειδικές ανά χώρα συστάσεις (ειδικές ανά χώρα συστάσεις 4 2019 και 2020), και συγκεκριμένα των εναπομενουσών ανεπαρκειών στους τομείς των διαδικασιών αφερεγγυότητας και των διοικητικών και φορολογικών δικαστηρίων, και στην αντιμετώπιση του ζητήματος των απαιτήσεων αδειοδότησης για τις επιχειρήσεις, με παράλληλη εξέταση του πλαισίου για τα νομοθετικά κατοχυρωμένα επαγγέλματα (που περιλαμβάνεται επίσης στις ίδιες ειδικές ανά χώρα συστάσεις), αν και περιορίζεται στο επάγγελμα των διαχειριστών διαδικασιών αφερεγγυότητας (η πρόκληση για τα νομοθετικά κατοχυρωμένα επαγγέλματα εξετάζεται στη συνιστώσα 6). Η συνιστώσα συμβάλλει επίσης στην εφαρμογή της ειδικής ανά χώρα σύστασης για την εστίαση των επενδύσεων στην ψηφιακή μετάβαση (ειδική ανά χώρα σύσταση 3 2020).</w:t>
      </w:r>
    </w:p>
    <w:p w14:paraId="5854FAB7" w14:textId="77777777" w:rsidR="00154AD2" w:rsidRDefault="007F6BF3">
      <w:pPr>
        <w:pStyle w:val="P68B1DB1-Normal4"/>
        <w:keepNext/>
        <w:spacing w:before="40" w:after="0" w:line="259" w:lineRule="auto"/>
        <w:jc w:val="both"/>
        <w:rPr>
          <w:rFonts w:eastAsiaTheme="minorEastAsia" w:cs="Times New Roman"/>
          <w:noProof/>
        </w:rPr>
      </w:pPr>
      <w:r>
        <w:rPr>
          <w:noProof/>
        </w:rPr>
        <w:t>Αναμένεται ότι κανένα μέτρο στη συνιστώσα αυτή δεν βλάπτει σημαντικά τους περιβαλλοντικούς στόχους κατά την έννοια του άρθρου 17 του κανονισμού (ΕΕ) 2020/852, λαμβανομένης υπόψη της περιγραφής των μέτρων και των μέτρων μετριασμού που ορίζονται στο σχέδιο σύμφωνα με την τεχνική καθοδήγηση σχετικά με την αρχή της μη πρόκλησης σημαντικής βλάβης (2021/C58/01).</w:t>
      </w:r>
    </w:p>
    <w:p w14:paraId="1109CC39"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3FEC5922" w14:textId="77777777" w:rsidR="00154AD2" w:rsidRDefault="007F6BF3">
      <w:pPr>
        <w:pStyle w:val="P68B1DB1-Normal3"/>
        <w:keepNext/>
        <w:spacing w:before="40" w:after="0" w:line="259" w:lineRule="auto"/>
        <w:ind w:left="130" w:firstLine="720"/>
        <w:jc w:val="both"/>
        <w:outlineLvl w:val="1"/>
        <w:rPr>
          <w:rFonts w:eastAsiaTheme="minorEastAsia" w:cs="Times New Roman"/>
          <w:noProof/>
        </w:rPr>
      </w:pPr>
      <w:r>
        <w:rPr>
          <w:noProof/>
        </w:rPr>
        <w:t xml:space="preserve">R.1. </w:t>
      </w:r>
      <w:r>
        <w:rPr>
          <w:noProof/>
        </w:rPr>
        <w:tab/>
        <w:t>Περιγραφή των μεταρρυθμίσεων και των επενδύσεων που είναι επιλέξιμες για λήψη μη επιστρεπτέας χρηματοδοτικής στήριξης</w:t>
      </w:r>
    </w:p>
    <w:p w14:paraId="6924508E" w14:textId="7198A548"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Μεταρρύθμιση TD-C18-r33: Οικονομική δικαιοσύνη και επιχειρηματικό περιβάλλον</w:t>
      </w:r>
    </w:p>
    <w:p w14:paraId="3133444F" w14:textId="77777777" w:rsidR="00154AD2" w:rsidRDefault="007F6BF3">
      <w:pPr>
        <w:pStyle w:val="P68B1DB1-Normal4"/>
        <w:keepNext/>
        <w:spacing w:before="40" w:after="0" w:line="259" w:lineRule="auto"/>
        <w:jc w:val="both"/>
        <w:rPr>
          <w:rFonts w:eastAsiaTheme="minorEastAsia" w:cs="Times New Roman"/>
          <w:noProof/>
        </w:rPr>
      </w:pPr>
      <w:r>
        <w:rPr>
          <w:noProof/>
        </w:rPr>
        <w:t>Η μεταρρύθμιση περιλαμβάνει τον εντοπισμό των εμποδίων στις επενδύσεις στον τομέα της αδειοδότησης, με σκοπό τη μείωση των διαδικαστικών ανεπαρκειών και την αξιοποίηση των οφελών της ψηφιοποίησης και της διαλειτουργικότητας μεταξύ των υπηρεσιών, εφαρμόζοντας την αρχή «μόνον άπαξ», ως βασικό σημείο εστίασης της μεταρρύθμισης όσον αφορά το επιχειρηματικό περιβάλλον. Οι αλλαγές στο νομικό πλαίσιο, με τις οποίες αίρονται αυτοί οι φραγμοί, προβλέπεται να τεθούν σε ισχύ έως το τρίτο τρίμηνο του 2025.</w:t>
      </w:r>
    </w:p>
    <w:p w14:paraId="16D053AF" w14:textId="6A0BEF7A" w:rsidR="00154AD2" w:rsidRDefault="007F6BF3">
      <w:pPr>
        <w:pStyle w:val="P68B1DB1-Normal4"/>
        <w:keepNext/>
        <w:spacing w:before="40" w:after="0" w:line="259" w:lineRule="auto"/>
        <w:jc w:val="both"/>
        <w:rPr>
          <w:rFonts w:eastAsiaTheme="minorEastAsia" w:cs="Times New Roman"/>
          <w:noProof/>
        </w:rPr>
      </w:pPr>
      <w:r>
        <w:rPr>
          <w:noProof/>
        </w:rPr>
        <w:t xml:space="preserve">Στον τομέα της δικαιοσύνης, η μεταρρύθμιση αποσκοπεί στην αύξηση της αποτελεσματικότητας των διοικητικών και φορολογικών δικαστηρίων με τη θέσπιση νομικού πλαισίου για την προώθηση των εξωδικαστικών και εξωδικαστικών συμβιβασμών και τη δημιουργία εξειδικευμένων τμημάτων στα ανώτερα δικαστήρια, ενώ η επανεξέταση του πλαισίου αφερεγγυότητας περιλαμβάνει την ενίσχυση του ρόλου των διαχειριστών διαδικασιών αφερεγγυότητας, την επανεξέταση του νομικού πλαισίου για την ενίσχυση των δικαιωμάτων του δανειστή και την καθιέρωση υποχρεωτικού μερικού επιμερισμού σε συγκεκριμένες περιπτώσεις. </w:t>
      </w:r>
    </w:p>
    <w:p w14:paraId="512710E7"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Επιπλέον, η προβλεπόμενη μεταρρύθμιση παρέχει τη νομική βάση για την ψηφιοποίηση των διεργασιών και διαδικασιών σε ολόκληρο το δικαστικό σύστημα, μεταξύ άλλων στον τομέα των εγκληματολογικών και ποινικών ερευνών. </w:t>
      </w:r>
    </w:p>
    <w:p w14:paraId="62C04DD3" w14:textId="233D5065" w:rsidR="00154AD2" w:rsidRDefault="007F6BF3">
      <w:pPr>
        <w:pStyle w:val="P68B1DB1-Normal4"/>
        <w:keepNext/>
        <w:spacing w:before="40" w:after="0" w:line="259" w:lineRule="auto"/>
        <w:jc w:val="both"/>
        <w:rPr>
          <w:rFonts w:eastAsiaTheme="minorEastAsia" w:cs="Times New Roman"/>
          <w:noProof/>
        </w:rPr>
      </w:pPr>
      <w:r>
        <w:rPr>
          <w:noProof/>
        </w:rPr>
        <w:t>Η εφαρμογή της μεταρρύθμισης ολοκληρώνεται έως τις 30 Σεπτεμβρίου 2025.</w:t>
      </w:r>
    </w:p>
    <w:p w14:paraId="0242038B"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067684AD" w14:textId="66EF0FAF"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Επένδυση TD-C18-i01: Οικονομική δικαιοσύνη και επιχειρηματικό περιβάλλον</w:t>
      </w:r>
    </w:p>
    <w:p w14:paraId="0BCC9F57" w14:textId="77777777" w:rsidR="00154AD2" w:rsidRDefault="007F6BF3">
      <w:pPr>
        <w:pStyle w:val="P68B1DB1-Normal4"/>
        <w:keepNext/>
        <w:spacing w:before="40" w:after="0" w:line="259" w:lineRule="auto"/>
        <w:jc w:val="both"/>
        <w:rPr>
          <w:rFonts w:eastAsiaTheme="minorEastAsia" w:cs="Times New Roman"/>
          <w:noProof/>
        </w:rPr>
      </w:pPr>
      <w:r>
        <w:rPr>
          <w:noProof/>
        </w:rPr>
        <w:t>Στόχος της επένδυσης είναι να διασφαλιστεί η ψηφιακή μετάβαση και η ανθεκτικότητα των πορτογαλικών συστημάτων ΤΠ στον τομέα της δικαιοσύνης. Αποσκοπεί στην ενσωμάτωση του προτύπου «εξ ορισμού ψηφιακό» στο δικαστικό σώμα και τους γραμματείς, μεταξύ άλλων όσον αφορά τις αλληλεπιδράσεις με τους πολίτες και τις επιχειρήσεις.</w:t>
      </w:r>
    </w:p>
    <w:p w14:paraId="440992D0" w14:textId="77777777" w:rsidR="00154AD2" w:rsidRDefault="007F6BF3">
      <w:pPr>
        <w:pStyle w:val="P68B1DB1-Normal4"/>
        <w:keepNext/>
        <w:spacing w:before="40" w:after="0" w:line="259" w:lineRule="auto"/>
        <w:jc w:val="both"/>
        <w:rPr>
          <w:rFonts w:eastAsiaTheme="minorEastAsia" w:cs="Times New Roman"/>
          <w:noProof/>
        </w:rPr>
      </w:pPr>
      <w:r>
        <w:rPr>
          <w:noProof/>
        </w:rPr>
        <w:t>Η ψηφιακή μετάβαση αποτελεί το εφαλτήριο για αυτή την επένδυση, εστιάζοντας στο σύστημα απονομής δικαιοσύνης, το οποίο χωρίζεται σε πέντε ομάδες:</w:t>
      </w:r>
    </w:p>
    <w:p w14:paraId="3E5216F8" w14:textId="77777777" w:rsidR="00154AD2" w:rsidRDefault="007F6BF3">
      <w:pPr>
        <w:pStyle w:val="P68B1DB1-Normal4"/>
        <w:keepNext/>
        <w:numPr>
          <w:ilvl w:val="0"/>
          <w:numId w:val="35"/>
        </w:numPr>
        <w:spacing w:before="40" w:after="160" w:line="259" w:lineRule="auto"/>
        <w:contextualSpacing/>
        <w:jc w:val="both"/>
        <w:rPr>
          <w:rFonts w:eastAsiaTheme="minorEastAsia" w:cs="Times New Roman"/>
          <w:noProof/>
        </w:rPr>
      </w:pPr>
      <w:r>
        <w:rPr>
          <w:noProof/>
        </w:rPr>
        <w:t>Ανάπτυξη και εφαρμογή ψηφιακών πλατφορμών για το σύστημα απονομής δικαιοσύνης (που θα περιλαμβάνει όλα τα δικαστήρια), στόχος των οποίων είναι η προώθηση της ψηφιοποίησης όλων των δικαστικών διεργασιών και διαδικασιών και η αξιοποίηση των οφελών της εγγενούς αύξησης της αποδοτικότητας για την αντιμετώπιση των υφιστάμενων καθυστερήσεων. Επιπλέον, αναπτύσσονται νέες διεπαφές για την αλληλεπίδραση με τα σχετικά ενδιαφερόμενα μέρη·</w:t>
      </w:r>
    </w:p>
    <w:p w14:paraId="6E480707" w14:textId="77777777" w:rsidR="00154AD2" w:rsidRDefault="007F6BF3">
      <w:pPr>
        <w:pStyle w:val="P68B1DB1-Normal4"/>
        <w:keepNext/>
        <w:numPr>
          <w:ilvl w:val="0"/>
          <w:numId w:val="35"/>
        </w:numPr>
        <w:spacing w:before="40" w:after="160" w:line="259" w:lineRule="auto"/>
        <w:contextualSpacing/>
        <w:jc w:val="both"/>
        <w:rPr>
          <w:rFonts w:eastAsiaTheme="minorEastAsia" w:cs="Times New Roman"/>
          <w:noProof/>
        </w:rPr>
      </w:pPr>
      <w:r>
        <w:rPr>
          <w:noProof/>
        </w:rPr>
        <w:t>Ανάπτυξη ψηφιακών πλατφορμών για τους πολίτες και τις επιχειρήσεις (συμπεριλαμβανομένης της μετανάστευσης δεδομένων), διάθεση νέων υπηρεσιών στο διαδίκτυο και διασφάλιση της πλήρους αποϋλοποίησης ορισμένων υπηρεσιών. Η επένδυση αυτή αποσκοπεί στην παροχή ολοκληρωμένων πλατφορμών υπηρεσιών για τις επιχειρήσεις και τους πολίτες, καθ’ όλη τη διάρκεια του «κύκλου ζωής» τους, συμπεριλαμβανομένων όλων των διαφορετικών καταχωρητών (ακίνητη περιουσία, οχήματα, εθνικότητα, εμπορικά και ποινικά μητρώα, καταχώριση και επαλήθευση διπλωμάτων ευρεσιτεχνίας)·</w:t>
      </w:r>
    </w:p>
    <w:p w14:paraId="5C4276B3" w14:textId="77777777" w:rsidR="00154AD2" w:rsidRDefault="007F6BF3">
      <w:pPr>
        <w:pStyle w:val="P68B1DB1-Normal4"/>
        <w:keepNext/>
        <w:numPr>
          <w:ilvl w:val="0"/>
          <w:numId w:val="35"/>
        </w:numPr>
        <w:spacing w:before="40" w:after="160" w:line="259" w:lineRule="auto"/>
        <w:contextualSpacing/>
        <w:jc w:val="both"/>
        <w:rPr>
          <w:rFonts w:eastAsiaTheme="minorEastAsia" w:cs="Times New Roman"/>
          <w:noProof/>
        </w:rPr>
      </w:pPr>
      <w:r>
        <w:rPr>
          <w:noProof/>
        </w:rPr>
        <w:t xml:space="preserve">Ψηφιακές πλατφόρμες για ποινικές έρευνες και εγκληματολογικές έρευνες, ανάπτυξη και εκσυγχρονισμός συστημάτων πληροφοριών και διασφάλιση της σύνδεσης με τα ευρωπαϊκά δίκτυα, </w:t>
      </w:r>
    </w:p>
    <w:p w14:paraId="7CD0A53D" w14:textId="77777777" w:rsidR="00154AD2" w:rsidRDefault="007F6BF3">
      <w:pPr>
        <w:pStyle w:val="P68B1DB1-Normal4"/>
        <w:keepNext/>
        <w:numPr>
          <w:ilvl w:val="0"/>
          <w:numId w:val="35"/>
        </w:numPr>
        <w:spacing w:before="40" w:after="160" w:line="259" w:lineRule="auto"/>
        <w:contextualSpacing/>
        <w:jc w:val="both"/>
        <w:rPr>
          <w:rFonts w:eastAsiaTheme="minorEastAsia" w:cs="Times New Roman"/>
          <w:noProof/>
        </w:rPr>
      </w:pPr>
      <w:r>
        <w:rPr>
          <w:noProof/>
        </w:rPr>
        <w:t>Ανάπτυξη και εφαρμογή πλατφορμών διαχείρισης γνώσεων στον τομέα της δικαιοσύνης, συμπεριλαμβανομένης μιας κοινής πλατφόρμας κοινών υπηρεσιών, της διαχείρισης εγγράφων, της ανάπτυξης πλατφόρμας για την κατάρτιση στατιστικών και δεικτών, και της απλούστευσης της γλώσσας που χρησιμοποιείται στις επικοινωνίες και τις ψηφιακές υπηρεσίες στις αλληλεπιδράσεις με τους πολίτες και τις επιχειρήσεις (συμπεριλαμβανομένων των ηλεκτρονικών κοινοποιήσεων)·</w:t>
      </w:r>
    </w:p>
    <w:p w14:paraId="6B600ACC" w14:textId="77777777" w:rsidR="00154AD2" w:rsidRDefault="007F6BF3">
      <w:pPr>
        <w:pStyle w:val="P68B1DB1-Normal4"/>
        <w:keepNext/>
        <w:numPr>
          <w:ilvl w:val="0"/>
          <w:numId w:val="35"/>
        </w:numPr>
        <w:spacing w:before="40" w:after="160" w:line="259" w:lineRule="auto"/>
        <w:contextualSpacing/>
        <w:jc w:val="both"/>
        <w:rPr>
          <w:rFonts w:eastAsiaTheme="minorEastAsia" w:cs="Times New Roman"/>
          <w:noProof/>
        </w:rPr>
      </w:pPr>
      <w:r>
        <w:rPr>
          <w:noProof/>
        </w:rPr>
        <w:t>Ενίσχυση της τεχνολογικής υποδομής και του εξοπλισμού, συμπεριλαμβανομένων του κέντρου δεδομένων, της εγκατάστασης καταστροφής/αποκατάστασης, των ψηφιακών αρχείων, της πλατφόρμας ανοικτών δεδομένων, της διαχείρισης ψηφιακής ταυτότητας και της δημιουργίας ενός ψηφιακού κέντρου επαφής και γραφείου εξυπηρέτησης στον τομέα της δικαιοσύνης.</w:t>
      </w:r>
    </w:p>
    <w:p w14:paraId="5E8B14D7"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επένδυση αυτή επωφελείται από ισχυρές συνέργειες με τη συνιστώσα 19 — ψηφιακή δημόσια διοίκηση, την εφαρμογή του προτύπου «εξ ορισμού ψηφιακή» και τη διασφάλιση της ευθυγράμμισης με την εθνική στρατηγική κυβερνοασφάλειας και τη στρατηγική για το υπολογιστικό νέφος. </w:t>
      </w:r>
    </w:p>
    <w:p w14:paraId="4A4D4017" w14:textId="77777777" w:rsidR="00154AD2" w:rsidRDefault="007F6BF3">
      <w:pPr>
        <w:pStyle w:val="P68B1DB1-Normal4"/>
        <w:spacing w:before="40" w:after="0" w:line="259" w:lineRule="auto"/>
        <w:jc w:val="both"/>
        <w:rPr>
          <w:rFonts w:eastAsiaTheme="minorEastAsia" w:cs="Times New Roman"/>
          <w:noProof/>
        </w:rPr>
        <w:sectPr w:rsidR="00154AD2" w:rsidSect="00E00EDD">
          <w:headerReference w:type="even" r:id="rId330"/>
          <w:headerReference w:type="default" r:id="rId331"/>
          <w:footerReference w:type="even" r:id="rId332"/>
          <w:footerReference w:type="default" r:id="rId333"/>
          <w:headerReference w:type="first" r:id="rId334"/>
          <w:footerReference w:type="first" r:id="rId335"/>
          <w:pgSz w:w="11907" w:h="16839"/>
          <w:pgMar w:top="1134" w:right="1134" w:bottom="1134" w:left="1134" w:header="567" w:footer="567" w:gutter="0"/>
          <w:cols w:space="720"/>
          <w:docGrid w:linePitch="360"/>
        </w:sectPr>
      </w:pPr>
      <w:r>
        <w:rPr>
          <w:noProof/>
        </w:rPr>
        <w:t>Η υλοποίηση της επένδυσης θα ολοκληρωθεί έως τις 31 Δεκεμβρίου 2025.</w:t>
      </w:r>
    </w:p>
    <w:p w14:paraId="10A08022" w14:textId="77777777" w:rsidR="00154AD2" w:rsidRDefault="007F6BF3">
      <w:pPr>
        <w:pStyle w:val="P68B1DB1-Normal3"/>
        <w:spacing w:before="40" w:after="0" w:line="259" w:lineRule="auto"/>
        <w:ind w:left="130" w:firstLine="720"/>
        <w:jc w:val="both"/>
        <w:outlineLvl w:val="1"/>
        <w:rPr>
          <w:rFonts w:eastAsiaTheme="minorEastAsia" w:cs="Times New Roman"/>
          <w:noProof/>
        </w:rPr>
      </w:pPr>
      <w:r>
        <w:rPr>
          <w:noProof/>
        </w:rPr>
        <w:t xml:space="preserve">R.2. </w:t>
      </w:r>
      <w:r>
        <w:rPr>
          <w:noProof/>
        </w:rPr>
        <w:tab/>
        <w:t>Ορόσημα, στόχοι, δείκτες και χρονοδιάγραμμα για την παρακολούθηση και την υλοποίηση της μη επιστρεπτέας χρηματοδοτικής στήριξης</w:t>
      </w:r>
    </w:p>
    <w:p w14:paraId="786060A7" w14:textId="77777777" w:rsidR="00154AD2" w:rsidRDefault="00154AD2">
      <w:pPr>
        <w:keepNext/>
        <w:spacing w:before="40" w:after="0" w:line="259" w:lineRule="auto"/>
        <w:jc w:val="both"/>
        <w:rPr>
          <w:rFonts w:ascii="Times New Roman" w:eastAsiaTheme="minorEastAsia" w:hAnsi="Times New Roman" w:cs="Times New Roman"/>
          <w:noProof/>
          <w:sz w:val="24"/>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275"/>
        <w:gridCol w:w="993"/>
        <w:gridCol w:w="1521"/>
        <w:gridCol w:w="6"/>
        <w:gridCol w:w="1633"/>
        <w:gridCol w:w="1659"/>
        <w:gridCol w:w="992"/>
        <w:gridCol w:w="777"/>
        <w:gridCol w:w="533"/>
        <w:gridCol w:w="614"/>
        <w:gridCol w:w="4880"/>
      </w:tblGrid>
      <w:tr w:rsidR="00154AD2" w14:paraId="10258B68" w14:textId="77777777">
        <w:trPr>
          <w:trHeight w:val="910"/>
          <w:tblHeader/>
        </w:trPr>
        <w:tc>
          <w:tcPr>
            <w:tcW w:w="1277" w:type="dxa"/>
            <w:vMerge w:val="restart"/>
            <w:shd w:val="clear" w:color="auto" w:fill="BDD6EE"/>
            <w:vAlign w:val="center"/>
          </w:tcPr>
          <w:p w14:paraId="690E97EE" w14:textId="77777777" w:rsidR="00154AD2" w:rsidRDefault="007F6BF3">
            <w:pPr>
              <w:pStyle w:val="P68B1DB1-Normal6"/>
              <w:spacing w:after="0" w:line="240" w:lineRule="auto"/>
              <w:jc w:val="center"/>
              <w:rPr>
                <w:rFonts w:eastAsia="Times New Roman" w:cs="Times New Roman"/>
                <w:noProof/>
              </w:rPr>
            </w:pPr>
            <w:r>
              <w:rPr>
                <w:noProof/>
              </w:rPr>
              <w:t>Αύξων αριθμός</w:t>
            </w:r>
          </w:p>
        </w:tc>
        <w:tc>
          <w:tcPr>
            <w:tcW w:w="1275" w:type="dxa"/>
            <w:vMerge w:val="restart"/>
            <w:shd w:val="clear" w:color="auto" w:fill="BDD6EE"/>
            <w:vAlign w:val="center"/>
            <w:hideMark/>
          </w:tcPr>
          <w:p w14:paraId="6FE76F1B" w14:textId="77777777" w:rsidR="00154AD2" w:rsidRDefault="007F6BF3">
            <w:pPr>
              <w:pStyle w:val="P68B1DB1-Normal6"/>
              <w:spacing w:after="0" w:line="240" w:lineRule="auto"/>
              <w:jc w:val="center"/>
              <w:rPr>
                <w:rFonts w:eastAsia="Times New Roman" w:cs="Times New Roman"/>
                <w:noProof/>
              </w:rPr>
            </w:pPr>
            <w:r>
              <w:rPr>
                <w:noProof/>
              </w:rPr>
              <w:t>Μέτρο (Μεταρρύθμιση ή Επενδύσεις)</w:t>
            </w:r>
          </w:p>
        </w:tc>
        <w:tc>
          <w:tcPr>
            <w:tcW w:w="993" w:type="dxa"/>
            <w:vMerge w:val="restart"/>
            <w:shd w:val="clear" w:color="auto" w:fill="BDD6EE"/>
            <w:vAlign w:val="center"/>
            <w:hideMark/>
          </w:tcPr>
          <w:p w14:paraId="1C9E635C" w14:textId="1CAE8360" w:rsidR="00154AD2" w:rsidRDefault="007F6BF3">
            <w:pPr>
              <w:pStyle w:val="P68B1DB1-Normal6"/>
              <w:spacing w:after="0" w:line="240" w:lineRule="auto"/>
              <w:jc w:val="center"/>
              <w:rPr>
                <w:rFonts w:eastAsia="Times New Roman" w:cs="Times New Roman"/>
                <w:noProof/>
              </w:rPr>
            </w:pPr>
            <w:r>
              <w:rPr>
                <w:noProof/>
              </w:rPr>
              <w:t>Ορόσημο/Στόχος</w:t>
            </w:r>
          </w:p>
        </w:tc>
        <w:tc>
          <w:tcPr>
            <w:tcW w:w="1521" w:type="dxa"/>
            <w:vMerge w:val="restart"/>
            <w:shd w:val="clear" w:color="auto" w:fill="BDD6EE"/>
            <w:vAlign w:val="center"/>
            <w:hideMark/>
          </w:tcPr>
          <w:p w14:paraId="03568057" w14:textId="77777777" w:rsidR="00154AD2" w:rsidRDefault="007F6BF3">
            <w:pPr>
              <w:pStyle w:val="P68B1DB1-Normal6"/>
              <w:spacing w:after="0" w:line="240" w:lineRule="auto"/>
              <w:jc w:val="center"/>
              <w:rPr>
                <w:rFonts w:eastAsia="Times New Roman" w:cs="Times New Roman"/>
                <w:noProof/>
              </w:rPr>
            </w:pPr>
            <w:r>
              <w:rPr>
                <w:noProof/>
              </w:rPr>
              <w:t>Όνομα</w:t>
            </w:r>
          </w:p>
        </w:tc>
        <w:tc>
          <w:tcPr>
            <w:tcW w:w="1639" w:type="dxa"/>
            <w:gridSpan w:val="2"/>
            <w:vMerge w:val="restart"/>
            <w:shd w:val="clear" w:color="auto" w:fill="BDD6EE"/>
            <w:vAlign w:val="center"/>
            <w:hideMark/>
          </w:tcPr>
          <w:p w14:paraId="28863AC3" w14:textId="77777777" w:rsidR="00154AD2" w:rsidRDefault="007F6BF3">
            <w:pPr>
              <w:pStyle w:val="P68B1DB1-Normal6"/>
              <w:spacing w:after="0" w:line="240" w:lineRule="auto"/>
              <w:jc w:val="center"/>
              <w:rPr>
                <w:rFonts w:eastAsia="Times New Roman" w:cs="Times New Roman"/>
                <w:noProof/>
              </w:rPr>
            </w:pPr>
            <w:r>
              <w:rPr>
                <w:noProof/>
              </w:rPr>
              <w:t>Ποιοτικοί δείκτες (για τα ορόσημα)</w:t>
            </w:r>
          </w:p>
        </w:tc>
        <w:tc>
          <w:tcPr>
            <w:tcW w:w="3428" w:type="dxa"/>
            <w:gridSpan w:val="3"/>
            <w:shd w:val="clear" w:color="auto" w:fill="BDD6EE"/>
            <w:vAlign w:val="center"/>
            <w:hideMark/>
          </w:tcPr>
          <w:p w14:paraId="4089044F" w14:textId="77777777" w:rsidR="00154AD2" w:rsidRDefault="007F6BF3">
            <w:pPr>
              <w:pStyle w:val="P68B1DB1-Normal6"/>
              <w:spacing w:after="0" w:line="240" w:lineRule="auto"/>
              <w:jc w:val="center"/>
              <w:rPr>
                <w:rFonts w:eastAsia="Times New Roman" w:cs="Times New Roman"/>
                <w:noProof/>
              </w:rPr>
            </w:pPr>
            <w:r>
              <w:rPr>
                <w:noProof/>
              </w:rPr>
              <w:t>Ποσοτικοί δείκτες (για τους στόχους)</w:t>
            </w:r>
          </w:p>
        </w:tc>
        <w:tc>
          <w:tcPr>
            <w:tcW w:w="1147" w:type="dxa"/>
            <w:gridSpan w:val="2"/>
            <w:shd w:val="clear" w:color="auto" w:fill="BDD6EE"/>
            <w:vAlign w:val="center"/>
            <w:hideMark/>
          </w:tcPr>
          <w:p w14:paraId="637730C0" w14:textId="77777777" w:rsidR="00154AD2" w:rsidRDefault="007F6BF3">
            <w:pPr>
              <w:pStyle w:val="P68B1DB1-Normal6"/>
              <w:spacing w:after="0" w:line="240" w:lineRule="auto"/>
              <w:jc w:val="center"/>
              <w:rPr>
                <w:rFonts w:eastAsia="Times New Roman" w:cs="Times New Roman"/>
                <w:noProof/>
              </w:rPr>
            </w:pPr>
            <w:r>
              <w:rPr>
                <w:noProof/>
              </w:rPr>
              <w:t>Ενδεικτικό χρονοδιάγραμμα ολοκλήρωσης</w:t>
            </w:r>
          </w:p>
        </w:tc>
        <w:tc>
          <w:tcPr>
            <w:tcW w:w="4880" w:type="dxa"/>
            <w:vMerge w:val="restart"/>
            <w:shd w:val="clear" w:color="auto" w:fill="BDD6EE"/>
            <w:noWrap/>
            <w:vAlign w:val="center"/>
            <w:hideMark/>
          </w:tcPr>
          <w:p w14:paraId="6E961EB9" w14:textId="77777777" w:rsidR="00154AD2" w:rsidRDefault="007F6BF3">
            <w:pPr>
              <w:pStyle w:val="P68B1DB1-Normal6"/>
              <w:spacing w:after="0" w:line="240" w:lineRule="auto"/>
              <w:jc w:val="center"/>
              <w:rPr>
                <w:rFonts w:eastAsia="Times New Roman" w:cs="Times New Roman"/>
                <w:noProof/>
              </w:rPr>
            </w:pPr>
            <w:r>
              <w:rPr>
                <w:noProof/>
              </w:rPr>
              <w:t>Περιγραφή και σαφής ορισμός κάθε ορόσημου και στόχου</w:t>
            </w:r>
          </w:p>
        </w:tc>
      </w:tr>
      <w:tr w:rsidR="00154AD2" w14:paraId="259DC459" w14:textId="77777777">
        <w:trPr>
          <w:trHeight w:val="470"/>
          <w:tblHeader/>
        </w:trPr>
        <w:tc>
          <w:tcPr>
            <w:tcW w:w="1277" w:type="dxa"/>
            <w:vMerge/>
          </w:tcPr>
          <w:p w14:paraId="0B61D35A" w14:textId="77777777" w:rsidR="00154AD2" w:rsidRDefault="00154AD2">
            <w:pPr>
              <w:spacing w:after="0" w:line="240" w:lineRule="auto"/>
              <w:rPr>
                <w:rFonts w:ascii="Times New Roman" w:eastAsia="Times New Roman" w:hAnsi="Times New Roman" w:cs="Times New Roman"/>
                <w:b/>
                <w:noProof/>
                <w:sz w:val="18"/>
              </w:rPr>
            </w:pPr>
          </w:p>
        </w:tc>
        <w:tc>
          <w:tcPr>
            <w:tcW w:w="1275" w:type="dxa"/>
            <w:vMerge/>
            <w:vAlign w:val="center"/>
            <w:hideMark/>
          </w:tcPr>
          <w:p w14:paraId="42F5CA82" w14:textId="77777777" w:rsidR="00154AD2" w:rsidRDefault="00154AD2">
            <w:pPr>
              <w:spacing w:after="0" w:line="240" w:lineRule="auto"/>
              <w:rPr>
                <w:rFonts w:ascii="Times New Roman" w:eastAsia="Times New Roman" w:hAnsi="Times New Roman" w:cs="Times New Roman"/>
                <w:b/>
                <w:noProof/>
                <w:sz w:val="18"/>
              </w:rPr>
            </w:pPr>
          </w:p>
        </w:tc>
        <w:tc>
          <w:tcPr>
            <w:tcW w:w="993" w:type="dxa"/>
            <w:vMerge/>
            <w:vAlign w:val="center"/>
            <w:hideMark/>
          </w:tcPr>
          <w:p w14:paraId="6A66BA83" w14:textId="5098E0F5" w:rsidR="00154AD2" w:rsidRDefault="00154AD2">
            <w:pPr>
              <w:spacing w:after="0" w:line="240" w:lineRule="auto"/>
              <w:jc w:val="center"/>
              <w:rPr>
                <w:rFonts w:ascii="Times New Roman" w:eastAsia="Times New Roman" w:hAnsi="Times New Roman" w:cs="Times New Roman"/>
                <w:b/>
                <w:noProof/>
                <w:sz w:val="18"/>
              </w:rPr>
            </w:pPr>
          </w:p>
        </w:tc>
        <w:tc>
          <w:tcPr>
            <w:tcW w:w="1521" w:type="dxa"/>
            <w:vMerge/>
            <w:vAlign w:val="center"/>
            <w:hideMark/>
          </w:tcPr>
          <w:p w14:paraId="020E12E7" w14:textId="77777777" w:rsidR="00154AD2" w:rsidRDefault="00154AD2">
            <w:pPr>
              <w:spacing w:after="0" w:line="240" w:lineRule="auto"/>
              <w:rPr>
                <w:rFonts w:ascii="Times New Roman" w:eastAsia="Times New Roman" w:hAnsi="Times New Roman" w:cs="Times New Roman"/>
                <w:b/>
                <w:noProof/>
                <w:sz w:val="18"/>
              </w:rPr>
            </w:pPr>
          </w:p>
        </w:tc>
        <w:tc>
          <w:tcPr>
            <w:tcW w:w="1639" w:type="dxa"/>
            <w:gridSpan w:val="2"/>
            <w:vMerge/>
            <w:vAlign w:val="center"/>
            <w:hideMark/>
          </w:tcPr>
          <w:p w14:paraId="70F7DD30" w14:textId="77777777" w:rsidR="00154AD2" w:rsidRDefault="00154AD2">
            <w:pPr>
              <w:spacing w:after="0" w:line="240" w:lineRule="auto"/>
              <w:rPr>
                <w:rFonts w:ascii="Times New Roman" w:eastAsia="Times New Roman" w:hAnsi="Times New Roman" w:cs="Times New Roman"/>
                <w:b/>
                <w:noProof/>
                <w:sz w:val="18"/>
              </w:rPr>
            </w:pPr>
          </w:p>
        </w:tc>
        <w:tc>
          <w:tcPr>
            <w:tcW w:w="1659" w:type="dxa"/>
            <w:shd w:val="clear" w:color="auto" w:fill="BDD6EE"/>
            <w:vAlign w:val="center"/>
            <w:hideMark/>
          </w:tcPr>
          <w:p w14:paraId="6FED8042" w14:textId="77777777" w:rsidR="00154AD2" w:rsidRDefault="007F6BF3">
            <w:pPr>
              <w:pStyle w:val="P68B1DB1-Normal6"/>
              <w:spacing w:after="0" w:line="240" w:lineRule="auto"/>
              <w:jc w:val="center"/>
              <w:rPr>
                <w:rFonts w:eastAsia="Times New Roman" w:cs="Times New Roman"/>
                <w:noProof/>
              </w:rPr>
            </w:pPr>
            <w:r>
              <w:rPr>
                <w:noProof/>
              </w:rPr>
              <w:t>Μονάδα μέτρησης</w:t>
            </w:r>
          </w:p>
        </w:tc>
        <w:tc>
          <w:tcPr>
            <w:tcW w:w="992" w:type="dxa"/>
            <w:shd w:val="clear" w:color="auto" w:fill="BDD6EE"/>
            <w:vAlign w:val="center"/>
            <w:hideMark/>
          </w:tcPr>
          <w:p w14:paraId="055E64A2" w14:textId="77777777" w:rsidR="00154AD2" w:rsidRDefault="007F6BF3">
            <w:pPr>
              <w:pStyle w:val="P68B1DB1-Normal6"/>
              <w:spacing w:after="0" w:line="240" w:lineRule="auto"/>
              <w:jc w:val="center"/>
              <w:rPr>
                <w:rFonts w:eastAsia="Times New Roman" w:cs="Times New Roman"/>
                <w:noProof/>
              </w:rPr>
            </w:pPr>
            <w:r>
              <w:rPr>
                <w:noProof/>
              </w:rPr>
              <w:t>Γραμμή βάσης</w:t>
            </w:r>
          </w:p>
        </w:tc>
        <w:tc>
          <w:tcPr>
            <w:tcW w:w="777" w:type="dxa"/>
            <w:shd w:val="clear" w:color="auto" w:fill="BDD6EE"/>
            <w:vAlign w:val="center"/>
            <w:hideMark/>
          </w:tcPr>
          <w:p w14:paraId="114749AF" w14:textId="77777777" w:rsidR="00154AD2" w:rsidRDefault="007F6BF3">
            <w:pPr>
              <w:pStyle w:val="P68B1DB1-Normal6"/>
              <w:spacing w:after="0" w:line="240" w:lineRule="auto"/>
              <w:jc w:val="center"/>
              <w:rPr>
                <w:rFonts w:eastAsia="Times New Roman" w:cs="Times New Roman"/>
                <w:noProof/>
              </w:rPr>
            </w:pPr>
            <w:r>
              <w:rPr>
                <w:noProof/>
              </w:rPr>
              <w:t>Στόχοι</w:t>
            </w:r>
          </w:p>
        </w:tc>
        <w:tc>
          <w:tcPr>
            <w:tcW w:w="533" w:type="dxa"/>
            <w:shd w:val="clear" w:color="auto" w:fill="BDD6EE"/>
            <w:vAlign w:val="center"/>
            <w:hideMark/>
          </w:tcPr>
          <w:p w14:paraId="76E28634" w14:textId="77777777" w:rsidR="00154AD2" w:rsidRDefault="007F6BF3">
            <w:pPr>
              <w:pStyle w:val="P68B1DB1-Normal6"/>
              <w:spacing w:after="0" w:line="240" w:lineRule="auto"/>
              <w:jc w:val="center"/>
              <w:rPr>
                <w:rFonts w:eastAsia="Times New Roman" w:cs="Times New Roman"/>
                <w:noProof/>
              </w:rPr>
            </w:pPr>
            <w:r>
              <w:rPr>
                <w:noProof/>
              </w:rPr>
              <w:t>Ε</w:t>
            </w:r>
          </w:p>
        </w:tc>
        <w:tc>
          <w:tcPr>
            <w:tcW w:w="614" w:type="dxa"/>
            <w:shd w:val="clear" w:color="auto" w:fill="BDD6EE"/>
            <w:vAlign w:val="center"/>
            <w:hideMark/>
          </w:tcPr>
          <w:p w14:paraId="6B436B9B" w14:textId="77777777" w:rsidR="00154AD2" w:rsidRDefault="007F6BF3">
            <w:pPr>
              <w:pStyle w:val="P68B1DB1-Normal6"/>
              <w:spacing w:after="0" w:line="240" w:lineRule="auto"/>
              <w:jc w:val="center"/>
              <w:rPr>
                <w:rFonts w:eastAsia="Times New Roman" w:cs="Times New Roman"/>
                <w:noProof/>
              </w:rPr>
            </w:pPr>
            <w:r>
              <w:rPr>
                <w:noProof/>
              </w:rPr>
              <w:t>Έτος</w:t>
            </w:r>
          </w:p>
        </w:tc>
        <w:tc>
          <w:tcPr>
            <w:tcW w:w="4880" w:type="dxa"/>
            <w:vMerge/>
            <w:vAlign w:val="center"/>
            <w:hideMark/>
          </w:tcPr>
          <w:p w14:paraId="1483F6BF" w14:textId="77777777" w:rsidR="00154AD2" w:rsidRDefault="00154AD2">
            <w:pPr>
              <w:spacing w:after="0" w:line="240" w:lineRule="auto"/>
              <w:rPr>
                <w:rFonts w:ascii="Times New Roman" w:eastAsia="Times New Roman" w:hAnsi="Times New Roman" w:cs="Times New Roman"/>
                <w:b/>
                <w:noProof/>
                <w:sz w:val="18"/>
              </w:rPr>
            </w:pPr>
          </w:p>
        </w:tc>
      </w:tr>
      <w:tr w:rsidR="00154AD2" w14:paraId="0704287E" w14:textId="77777777">
        <w:trPr>
          <w:trHeight w:val="1038"/>
        </w:trPr>
        <w:tc>
          <w:tcPr>
            <w:tcW w:w="1277" w:type="dxa"/>
            <w:shd w:val="clear" w:color="auto" w:fill="C4EFCE"/>
            <w:vAlign w:val="center"/>
          </w:tcPr>
          <w:p w14:paraId="30823E55" w14:textId="77777777" w:rsidR="00154AD2" w:rsidRDefault="007F6BF3">
            <w:pPr>
              <w:pStyle w:val="P68B1DB1-Normal7"/>
              <w:spacing w:after="0" w:line="240" w:lineRule="auto"/>
              <w:jc w:val="center"/>
              <w:rPr>
                <w:rFonts w:eastAsia="Times New Roman" w:cs="Calibri"/>
                <w:noProof/>
              </w:rPr>
            </w:pPr>
            <w:r>
              <w:rPr>
                <w:noProof/>
              </w:rPr>
              <w:t>18.1</w:t>
            </w:r>
          </w:p>
        </w:tc>
        <w:tc>
          <w:tcPr>
            <w:tcW w:w="1275" w:type="dxa"/>
            <w:shd w:val="clear" w:color="auto" w:fill="C4EFCE"/>
            <w:noWrap/>
            <w:vAlign w:val="center"/>
            <w:hideMark/>
          </w:tcPr>
          <w:p w14:paraId="0F9E1EF8" w14:textId="77777777" w:rsidR="00154AD2" w:rsidRDefault="007F6BF3">
            <w:pPr>
              <w:pStyle w:val="P68B1DB1-Normal8"/>
              <w:spacing w:after="0" w:line="240" w:lineRule="auto"/>
              <w:jc w:val="center"/>
              <w:rPr>
                <w:rFonts w:eastAsia="Times New Roman" w:cs="Calibri"/>
                <w:noProof/>
              </w:rPr>
            </w:pPr>
            <w:r>
              <w:rPr>
                <w:noProof/>
              </w:rPr>
              <w:t>TD-C18-r33</w:t>
            </w:r>
          </w:p>
        </w:tc>
        <w:tc>
          <w:tcPr>
            <w:tcW w:w="993" w:type="dxa"/>
            <w:shd w:val="clear" w:color="auto" w:fill="C4EFCE"/>
            <w:noWrap/>
            <w:vAlign w:val="center"/>
            <w:hideMark/>
          </w:tcPr>
          <w:p w14:paraId="4016CCA3" w14:textId="77777777" w:rsidR="00154AD2" w:rsidRDefault="007F6BF3">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45B55A10" w14:textId="77777777" w:rsidR="00154AD2" w:rsidRDefault="007F6BF3">
            <w:pPr>
              <w:pStyle w:val="P68B1DB1-Normal8"/>
              <w:spacing w:after="0" w:line="240" w:lineRule="auto"/>
              <w:jc w:val="center"/>
              <w:rPr>
                <w:rFonts w:eastAsia="Times New Roman" w:cs="Calibri"/>
                <w:noProof/>
              </w:rPr>
            </w:pPr>
            <w:r>
              <w:rPr>
                <w:noProof/>
              </w:rPr>
              <w:t>Δημιουργία ειδικευμένων τμημάτων στα ανώτερα διοικητικά και φορολογικά δικαστήρια</w:t>
            </w:r>
          </w:p>
        </w:tc>
        <w:tc>
          <w:tcPr>
            <w:tcW w:w="1633" w:type="dxa"/>
            <w:shd w:val="clear" w:color="auto" w:fill="C4EFCE"/>
            <w:noWrap/>
            <w:vAlign w:val="center"/>
            <w:hideMark/>
          </w:tcPr>
          <w:p w14:paraId="594CF147" w14:textId="77777777" w:rsidR="00154AD2" w:rsidRDefault="007F6BF3">
            <w:pPr>
              <w:pStyle w:val="P68B1DB1-Normal8"/>
              <w:spacing w:after="0" w:line="240" w:lineRule="auto"/>
              <w:jc w:val="center"/>
              <w:rPr>
                <w:rFonts w:eastAsia="Times New Roman" w:cs="Calibri"/>
                <w:noProof/>
              </w:rPr>
            </w:pPr>
            <w:r>
              <w:rPr>
                <w:noProof/>
              </w:rPr>
              <w:t>Δημιουργία ειδικευμένων τμημάτων στα ανώτερα διοικητικά και φορολογικά δικαστήρια</w:t>
            </w:r>
          </w:p>
        </w:tc>
        <w:tc>
          <w:tcPr>
            <w:tcW w:w="1659" w:type="dxa"/>
            <w:shd w:val="clear" w:color="auto" w:fill="C4EFCE"/>
            <w:noWrap/>
            <w:vAlign w:val="center"/>
            <w:hideMark/>
          </w:tcPr>
          <w:p w14:paraId="77D105FC" w14:textId="77777777" w:rsidR="00154AD2" w:rsidRDefault="007F6BF3">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28DF828B" w14:textId="77777777" w:rsidR="00154AD2" w:rsidRDefault="007F6BF3">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219FDADA" w14:textId="77777777" w:rsidR="00154AD2" w:rsidRDefault="007F6BF3">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0C9B9432"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614" w:type="dxa"/>
            <w:shd w:val="clear" w:color="auto" w:fill="C4EFCE"/>
            <w:noWrap/>
            <w:vAlign w:val="center"/>
            <w:hideMark/>
          </w:tcPr>
          <w:p w14:paraId="47910214" w14:textId="77777777" w:rsidR="00154AD2" w:rsidRDefault="007F6BF3">
            <w:pPr>
              <w:pStyle w:val="P68B1DB1-Normal8"/>
              <w:spacing w:after="0" w:line="240" w:lineRule="auto"/>
              <w:jc w:val="center"/>
              <w:rPr>
                <w:rFonts w:eastAsia="Times New Roman" w:cs="Calibri"/>
                <w:noProof/>
              </w:rPr>
            </w:pPr>
            <w:r>
              <w:rPr>
                <w:noProof/>
              </w:rPr>
              <w:t>2023</w:t>
            </w:r>
          </w:p>
        </w:tc>
        <w:tc>
          <w:tcPr>
            <w:tcW w:w="4880" w:type="dxa"/>
            <w:shd w:val="clear" w:color="auto" w:fill="C4EFCE"/>
            <w:vAlign w:val="center"/>
            <w:hideMark/>
          </w:tcPr>
          <w:p w14:paraId="210990C9" w14:textId="77777777" w:rsidR="00154AD2" w:rsidRDefault="007F6BF3">
            <w:pPr>
              <w:pStyle w:val="P68B1DB1-Normal8"/>
              <w:spacing w:after="0" w:line="240" w:lineRule="auto"/>
              <w:jc w:val="both"/>
              <w:rPr>
                <w:rFonts w:eastAsia="Times New Roman" w:cs="Calibri"/>
                <w:noProof/>
              </w:rPr>
            </w:pPr>
            <w:r>
              <w:rPr>
                <w:noProof/>
              </w:rPr>
              <w:t>Δημιουργία ειδικευμένων τμημάτων στα ανώτερα διοικητικά και φορολογικά δικαστήρια: τακτικές διοικητικές αποφάσεις, διοικητικές αποφάσεις κοινωνικού χαρακτήρα, αποφάσεις για δημόσιες συμβάσεις, τακτικές φορολογικές αποφάσεις, φορολογικές αποφάσεις και αποφάσεις διοικητικών παραβάσεων</w:t>
            </w:r>
          </w:p>
        </w:tc>
      </w:tr>
      <w:tr w:rsidR="00154AD2" w14:paraId="5EA37799" w14:textId="77777777">
        <w:trPr>
          <w:trHeight w:val="2570"/>
        </w:trPr>
        <w:tc>
          <w:tcPr>
            <w:tcW w:w="1277" w:type="dxa"/>
            <w:shd w:val="clear" w:color="auto" w:fill="C4EFCE"/>
            <w:vAlign w:val="center"/>
          </w:tcPr>
          <w:p w14:paraId="45922976" w14:textId="77777777" w:rsidR="00154AD2" w:rsidRDefault="007F6BF3">
            <w:pPr>
              <w:pStyle w:val="P68B1DB1-Normal7"/>
              <w:spacing w:after="0" w:line="240" w:lineRule="auto"/>
              <w:jc w:val="center"/>
              <w:rPr>
                <w:rFonts w:eastAsia="Times New Roman" w:cs="Calibri"/>
                <w:noProof/>
              </w:rPr>
            </w:pPr>
            <w:r>
              <w:rPr>
                <w:noProof/>
              </w:rPr>
              <w:t>18.2</w:t>
            </w:r>
          </w:p>
        </w:tc>
        <w:tc>
          <w:tcPr>
            <w:tcW w:w="1275" w:type="dxa"/>
            <w:shd w:val="clear" w:color="auto" w:fill="C4EFCE"/>
            <w:noWrap/>
            <w:vAlign w:val="center"/>
          </w:tcPr>
          <w:p w14:paraId="134D7CD8" w14:textId="77777777" w:rsidR="00154AD2" w:rsidRDefault="007F6BF3">
            <w:pPr>
              <w:pStyle w:val="P68B1DB1-Normal8"/>
              <w:spacing w:after="0" w:line="240" w:lineRule="auto"/>
              <w:jc w:val="center"/>
              <w:rPr>
                <w:rFonts w:eastAsia="Times New Roman" w:cs="Calibri"/>
                <w:noProof/>
              </w:rPr>
            </w:pPr>
            <w:r>
              <w:rPr>
                <w:noProof/>
              </w:rPr>
              <w:t>TD-C18-r33</w:t>
            </w:r>
          </w:p>
        </w:tc>
        <w:tc>
          <w:tcPr>
            <w:tcW w:w="993" w:type="dxa"/>
            <w:shd w:val="clear" w:color="auto" w:fill="C4EFCE"/>
            <w:noWrap/>
            <w:vAlign w:val="center"/>
          </w:tcPr>
          <w:p w14:paraId="1EBB304E" w14:textId="77777777" w:rsidR="00154AD2" w:rsidRDefault="007F6BF3">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tcPr>
          <w:p w14:paraId="0E38DEE8" w14:textId="77777777" w:rsidR="00154AD2" w:rsidRDefault="007F6BF3">
            <w:pPr>
              <w:pStyle w:val="P68B1DB1-Normal8"/>
              <w:spacing w:after="0" w:line="240" w:lineRule="auto"/>
              <w:jc w:val="center"/>
              <w:rPr>
                <w:rFonts w:eastAsia="Times New Roman" w:cs="Calibri"/>
                <w:noProof/>
              </w:rPr>
            </w:pPr>
            <w:r>
              <w:rPr>
                <w:noProof/>
              </w:rPr>
              <w:t>Έναρξη ισχύος νομικού καθεστώτος για την ενθάρρυνση της δικαστικής και εξωδικαστικής επίλυσης διαφορών</w:t>
            </w:r>
          </w:p>
          <w:p w14:paraId="36CC1118" w14:textId="77777777" w:rsidR="00154AD2" w:rsidRDefault="00154AD2">
            <w:pPr>
              <w:spacing w:after="0" w:line="240" w:lineRule="auto"/>
              <w:jc w:val="center"/>
              <w:rPr>
                <w:rFonts w:ascii="Calibri" w:eastAsia="Times New Roman" w:hAnsi="Calibri" w:cs="Calibri"/>
                <w:noProof/>
                <w:sz w:val="16"/>
              </w:rPr>
            </w:pPr>
          </w:p>
        </w:tc>
        <w:tc>
          <w:tcPr>
            <w:tcW w:w="1633" w:type="dxa"/>
            <w:shd w:val="clear" w:color="auto" w:fill="C4EFCE"/>
            <w:noWrap/>
            <w:vAlign w:val="center"/>
          </w:tcPr>
          <w:p w14:paraId="4DB8A301" w14:textId="77777777" w:rsidR="00154AD2" w:rsidRDefault="007F6BF3">
            <w:pPr>
              <w:pStyle w:val="P68B1DB1-Normal8"/>
              <w:spacing w:after="0" w:line="240" w:lineRule="auto"/>
              <w:jc w:val="center"/>
              <w:rPr>
                <w:rFonts w:eastAsia="Times New Roman" w:cs="Calibri"/>
                <w:noProof/>
              </w:rPr>
            </w:pPr>
            <w:r>
              <w:rPr>
                <w:noProof/>
              </w:rPr>
              <w:t>Έναρξη ισχύος νομικού καθεστώτος για την ενθάρρυνση της δικαστικής και εξωδικαστικής επίλυσης διαφορών</w:t>
            </w:r>
          </w:p>
        </w:tc>
        <w:tc>
          <w:tcPr>
            <w:tcW w:w="1659" w:type="dxa"/>
            <w:shd w:val="clear" w:color="auto" w:fill="C4EFCE"/>
            <w:noWrap/>
            <w:vAlign w:val="center"/>
          </w:tcPr>
          <w:p w14:paraId="3F523CAC" w14:textId="77777777" w:rsidR="00154AD2" w:rsidRDefault="00154AD2">
            <w:pPr>
              <w:spacing w:after="0" w:line="240" w:lineRule="auto"/>
              <w:rPr>
                <w:rFonts w:ascii="Calibri" w:eastAsia="Times New Roman" w:hAnsi="Calibri" w:cs="Calibri"/>
                <w:noProof/>
                <w:sz w:val="16"/>
              </w:rPr>
            </w:pPr>
          </w:p>
        </w:tc>
        <w:tc>
          <w:tcPr>
            <w:tcW w:w="992" w:type="dxa"/>
            <w:shd w:val="clear" w:color="auto" w:fill="C4EFCE"/>
            <w:noWrap/>
            <w:vAlign w:val="center"/>
          </w:tcPr>
          <w:p w14:paraId="50EE6E1F" w14:textId="77777777" w:rsidR="00154AD2" w:rsidRDefault="00154AD2">
            <w:pPr>
              <w:spacing w:after="0" w:line="240" w:lineRule="auto"/>
              <w:jc w:val="center"/>
              <w:rPr>
                <w:rFonts w:ascii="Calibri" w:eastAsia="Times New Roman" w:hAnsi="Calibri" w:cs="Calibri"/>
                <w:noProof/>
                <w:sz w:val="16"/>
              </w:rPr>
            </w:pPr>
          </w:p>
        </w:tc>
        <w:tc>
          <w:tcPr>
            <w:tcW w:w="777" w:type="dxa"/>
            <w:shd w:val="clear" w:color="auto" w:fill="C4EFCE"/>
            <w:noWrap/>
            <w:vAlign w:val="center"/>
          </w:tcPr>
          <w:p w14:paraId="66037AB8" w14:textId="77777777" w:rsidR="00154AD2" w:rsidRDefault="00154AD2">
            <w:pPr>
              <w:spacing w:after="0" w:line="240" w:lineRule="auto"/>
              <w:jc w:val="center"/>
              <w:rPr>
                <w:rFonts w:ascii="Calibri" w:eastAsia="Times New Roman" w:hAnsi="Calibri" w:cs="Calibri"/>
                <w:noProof/>
                <w:sz w:val="16"/>
              </w:rPr>
            </w:pPr>
          </w:p>
        </w:tc>
        <w:tc>
          <w:tcPr>
            <w:tcW w:w="533" w:type="dxa"/>
            <w:shd w:val="clear" w:color="auto" w:fill="C4EFCE"/>
            <w:noWrap/>
            <w:vAlign w:val="center"/>
          </w:tcPr>
          <w:p w14:paraId="2E87CE6B"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614" w:type="dxa"/>
            <w:shd w:val="clear" w:color="auto" w:fill="C4EFCE"/>
            <w:noWrap/>
            <w:vAlign w:val="center"/>
          </w:tcPr>
          <w:p w14:paraId="2B06B617" w14:textId="77777777" w:rsidR="00154AD2" w:rsidRDefault="007F6BF3">
            <w:pPr>
              <w:pStyle w:val="P68B1DB1-Normal8"/>
              <w:spacing w:after="0" w:line="240" w:lineRule="auto"/>
              <w:jc w:val="center"/>
              <w:rPr>
                <w:rFonts w:eastAsia="Times New Roman" w:cs="Calibri"/>
                <w:noProof/>
              </w:rPr>
            </w:pPr>
            <w:r>
              <w:rPr>
                <w:noProof/>
              </w:rPr>
              <w:t>2023</w:t>
            </w:r>
          </w:p>
        </w:tc>
        <w:tc>
          <w:tcPr>
            <w:tcW w:w="4880" w:type="dxa"/>
            <w:shd w:val="clear" w:color="auto" w:fill="C4EFCE"/>
            <w:vAlign w:val="center"/>
          </w:tcPr>
          <w:p w14:paraId="3B845451" w14:textId="77777777" w:rsidR="00154AD2" w:rsidRDefault="007F6BF3">
            <w:pPr>
              <w:pStyle w:val="P68B1DB1-Normal8"/>
              <w:spacing w:after="0" w:line="240" w:lineRule="auto"/>
              <w:jc w:val="both"/>
              <w:rPr>
                <w:rFonts w:eastAsia="Times New Roman" w:cs="Calibri"/>
                <w:noProof/>
              </w:rPr>
            </w:pPr>
            <w:r>
              <w:rPr>
                <w:noProof/>
              </w:rPr>
              <w:t>Έναρξη ισχύος του νομικού καθεστώτος για τη δημιουργία νόμιμου συστήματος κινήτρων για την περάτωση της διαδικασίας με δικαστικό και εξωδικαστικό συμβιβασμό</w:t>
            </w:r>
          </w:p>
        </w:tc>
      </w:tr>
      <w:tr w:rsidR="00154AD2" w14:paraId="63E4A25B" w14:textId="77777777">
        <w:trPr>
          <w:cantSplit/>
          <w:trHeight w:val="5929"/>
        </w:trPr>
        <w:tc>
          <w:tcPr>
            <w:tcW w:w="1277" w:type="dxa"/>
            <w:shd w:val="clear" w:color="auto" w:fill="C4EFCE"/>
            <w:vAlign w:val="center"/>
          </w:tcPr>
          <w:p w14:paraId="4030100F" w14:textId="77777777" w:rsidR="00154AD2" w:rsidRDefault="007F6BF3">
            <w:pPr>
              <w:pStyle w:val="P68B1DB1-Normal7"/>
              <w:spacing w:after="0" w:line="240" w:lineRule="auto"/>
              <w:jc w:val="center"/>
              <w:rPr>
                <w:rFonts w:eastAsia="Times New Roman" w:cs="Calibri"/>
                <w:noProof/>
              </w:rPr>
            </w:pPr>
            <w:r>
              <w:rPr>
                <w:noProof/>
              </w:rPr>
              <w:t>18.3</w:t>
            </w:r>
          </w:p>
        </w:tc>
        <w:tc>
          <w:tcPr>
            <w:tcW w:w="1275" w:type="dxa"/>
            <w:shd w:val="clear" w:color="auto" w:fill="C4EFCE"/>
            <w:noWrap/>
            <w:vAlign w:val="center"/>
            <w:hideMark/>
          </w:tcPr>
          <w:p w14:paraId="0EE4E35F" w14:textId="77777777" w:rsidR="00154AD2" w:rsidRDefault="007F6BF3">
            <w:pPr>
              <w:pStyle w:val="P68B1DB1-Normal8"/>
              <w:spacing w:after="0" w:line="240" w:lineRule="auto"/>
              <w:jc w:val="center"/>
              <w:rPr>
                <w:rFonts w:eastAsia="Times New Roman" w:cs="Calibri"/>
                <w:noProof/>
              </w:rPr>
            </w:pPr>
            <w:r>
              <w:rPr>
                <w:noProof/>
              </w:rPr>
              <w:t>TD-C18-r33</w:t>
            </w:r>
          </w:p>
        </w:tc>
        <w:tc>
          <w:tcPr>
            <w:tcW w:w="993" w:type="dxa"/>
            <w:shd w:val="clear" w:color="auto" w:fill="C4EFCE"/>
            <w:noWrap/>
            <w:vAlign w:val="center"/>
            <w:hideMark/>
          </w:tcPr>
          <w:p w14:paraId="7DF377C5" w14:textId="77777777" w:rsidR="00154AD2" w:rsidRDefault="007F6BF3">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0046AC9E" w14:textId="77777777" w:rsidR="00154AD2" w:rsidRDefault="007F6BF3">
            <w:pPr>
              <w:pStyle w:val="P68B1DB1-Normal8"/>
              <w:spacing w:after="0" w:line="240" w:lineRule="auto"/>
              <w:jc w:val="center"/>
              <w:rPr>
                <w:rFonts w:eastAsia="Times New Roman" w:cs="Calibri"/>
                <w:noProof/>
              </w:rPr>
            </w:pPr>
            <w:r>
              <w:rPr>
                <w:noProof/>
              </w:rPr>
              <w:t>Έναρξη ισχύος του αναθεωρημένου νομικού πλαισίου για την αφερεγγυότητα και την ανάκτηση</w:t>
            </w:r>
          </w:p>
        </w:tc>
        <w:tc>
          <w:tcPr>
            <w:tcW w:w="1633" w:type="dxa"/>
            <w:shd w:val="clear" w:color="auto" w:fill="C4EFCE"/>
            <w:vAlign w:val="center"/>
          </w:tcPr>
          <w:p w14:paraId="3258DA2E" w14:textId="77777777" w:rsidR="00154AD2" w:rsidRDefault="007F6BF3">
            <w:pPr>
              <w:pStyle w:val="P68B1DB1-Normal8"/>
              <w:spacing w:after="0" w:line="240" w:lineRule="auto"/>
              <w:jc w:val="center"/>
              <w:rPr>
                <w:rFonts w:eastAsia="Times New Roman" w:cs="Calibri"/>
                <w:noProof/>
              </w:rPr>
            </w:pPr>
            <w:r>
              <w:rPr>
                <w:noProof/>
              </w:rPr>
              <w:t>Έναρξη ισχύος του αναθεωρημένου νομικού πλαισίου για την αφερεγγυότητα και την ανάκτηση</w:t>
            </w:r>
          </w:p>
        </w:tc>
        <w:tc>
          <w:tcPr>
            <w:tcW w:w="1659" w:type="dxa"/>
            <w:shd w:val="clear" w:color="auto" w:fill="C4EFCE"/>
            <w:noWrap/>
            <w:vAlign w:val="center"/>
            <w:hideMark/>
          </w:tcPr>
          <w:p w14:paraId="15B6D3B5" w14:textId="77777777" w:rsidR="00154AD2" w:rsidRDefault="007F6BF3">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21E48313" w14:textId="77777777" w:rsidR="00154AD2" w:rsidRDefault="007F6BF3">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56852BD8" w14:textId="77777777" w:rsidR="00154AD2" w:rsidRDefault="007F6BF3">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4DEFE34C"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614" w:type="dxa"/>
            <w:shd w:val="clear" w:color="auto" w:fill="C4EFCE"/>
            <w:noWrap/>
            <w:vAlign w:val="center"/>
            <w:hideMark/>
          </w:tcPr>
          <w:p w14:paraId="06EFAEAF" w14:textId="77777777" w:rsidR="00154AD2" w:rsidRDefault="007F6BF3">
            <w:pPr>
              <w:pStyle w:val="P68B1DB1-Normal8"/>
              <w:rPr>
                <w:rFonts w:eastAsia="Times New Roman" w:cs="Calibri"/>
                <w:noProof/>
              </w:rPr>
            </w:pPr>
            <w:r>
              <w:rPr>
                <w:noProof/>
              </w:rPr>
              <w:t>2024</w:t>
            </w:r>
          </w:p>
        </w:tc>
        <w:tc>
          <w:tcPr>
            <w:tcW w:w="4880" w:type="dxa"/>
            <w:shd w:val="clear" w:color="auto" w:fill="C4EFCE"/>
            <w:vAlign w:val="center"/>
            <w:hideMark/>
          </w:tcPr>
          <w:p w14:paraId="340D1B69" w14:textId="77777777" w:rsidR="00154AD2" w:rsidRDefault="007F6BF3">
            <w:pPr>
              <w:spacing w:after="0" w:line="240" w:lineRule="auto"/>
              <w:jc w:val="both"/>
              <w:rPr>
                <w:rFonts w:ascii="Calibri" w:eastAsia="Times New Roman" w:hAnsi="Calibri" w:cs="Calibri"/>
                <w:noProof/>
                <w:sz w:val="16"/>
              </w:rPr>
            </w:pPr>
            <w:r>
              <w:rPr>
                <w:rFonts w:ascii="Calibri" w:hAnsi="Calibri"/>
                <w:noProof/>
                <w:sz w:val="16"/>
              </w:rPr>
              <w:t>Έναρξη ισχύος του αναθεωρημένου νομικού πλαισίου για την αφερεγγυότητα και τη διάσωση εταιρειών με σκοπό την επιτάχυνση των εν λόγω διαδικασιών και την προσαρμογή τους στην «εξ ορισμού ψηφιακή τεχνολογία», μεταξύ άλλων</w:t>
            </w:r>
            <w:r>
              <w:rPr>
                <w:noProof/>
              </w:rPr>
              <w:br/>
            </w:r>
          </w:p>
          <w:p w14:paraId="75E14895" w14:textId="77777777" w:rsidR="00154AD2" w:rsidRDefault="007F6BF3">
            <w:pPr>
              <w:pStyle w:val="P68B1DB1-Normal8"/>
              <w:spacing w:after="0" w:line="240" w:lineRule="auto"/>
              <w:jc w:val="both"/>
              <w:rPr>
                <w:rFonts w:eastAsia="Times New Roman" w:cs="Calibri"/>
                <w:noProof/>
              </w:rPr>
            </w:pPr>
            <w:r>
              <w:rPr>
                <w:noProof/>
              </w:rPr>
              <w:t>α) αναθεώρηση του Πτωχευτικού Κώδικα για τη βελτιστοποίηση των διαδικασιών αφερεγγυότητας, λαμβάνοντας επίσης υπόψη τη μεταφορά της οδηγίας 2019/1023 και την καθιέρωση αμιγώς ηλεκτρονικών διαδικασιών·</w:t>
            </w:r>
          </w:p>
          <w:p w14:paraId="5EAA7A3B" w14:textId="77777777" w:rsidR="00154AD2" w:rsidRDefault="007F6BF3">
            <w:pPr>
              <w:pStyle w:val="P68B1DB1-Normal8"/>
              <w:spacing w:after="0" w:line="240" w:lineRule="auto"/>
              <w:jc w:val="both"/>
              <w:rPr>
                <w:rFonts w:eastAsia="Times New Roman" w:cs="Calibri"/>
                <w:noProof/>
              </w:rPr>
            </w:pPr>
            <w:r>
              <w:rPr>
                <w:noProof/>
              </w:rPr>
              <w:t>β) να αναθέσει στον διαχειριστή αφερεγγυότητας την κατάρτιση σχεδίου εκκαθάρισης, με χρονικά προσδιορισμένους στόχους, για την αποδέσμευση των περιουσιακών στοιχείων που απαρτίζουν την πτωχευτική περιουσία·</w:t>
            </w:r>
          </w:p>
          <w:p w14:paraId="4D201E3F" w14:textId="77777777" w:rsidR="00154AD2" w:rsidRDefault="007F6BF3">
            <w:pPr>
              <w:pStyle w:val="P68B1DB1-Normal8"/>
              <w:spacing w:after="0" w:line="240" w:lineRule="auto"/>
              <w:jc w:val="both"/>
              <w:rPr>
                <w:rFonts w:eastAsia="Times New Roman" w:cs="Calibri"/>
                <w:noProof/>
              </w:rPr>
            </w:pPr>
            <w:r>
              <w:rPr>
                <w:noProof/>
              </w:rPr>
              <w:t>γ) απλούστευση της διαδικασίας εξέτασης των υποχρεώσεων και κατάταξης των απαιτήσεων στη διαδικασία αφερεγγυότητας, αναθέτοντας στον διαχειριστή αφερεγγυότητας την ευθύνη να υποβάλει από κοινού με τον κατάλογο των αναγνωρισμένων απαιτήσεων πρόταση για την κατάταξή τους, επιτρέποντας στον δικαστή, σε περίπτωση συμφωνίας και ελλείψει αμφισβήτησης, να εγκρίνει και τα δύο έγγραφα, επιτρέποντας έτσι μια πιο ευέλικτη διαδικασία·</w:t>
            </w:r>
          </w:p>
          <w:p w14:paraId="6435378B" w14:textId="77777777" w:rsidR="00154AD2" w:rsidRDefault="007F6BF3">
            <w:pPr>
              <w:pStyle w:val="P68B1DB1-Normal8"/>
              <w:spacing w:after="0" w:line="240" w:lineRule="auto"/>
              <w:jc w:val="both"/>
              <w:rPr>
                <w:rFonts w:eastAsia="Times New Roman" w:cs="Calibri"/>
                <w:noProof/>
              </w:rPr>
            </w:pPr>
            <w:r>
              <w:rPr>
                <w:noProof/>
              </w:rPr>
              <w:t>τον θεσμό της υποχρεωτικής μερικής κατανομής, όταν η πτωχευτική περιουσία αποτελεί μέρος του προϊόντος της εκκαθάρισης περιουσιακών στοιχείων αξίας ίσης ή μεγαλύτερης των 10 000 EUR, η κυριότητα των οποίων δεν αμφισβητείται και η διαδικασία δεν είναι σε θέση να προβεί σε τελική κατανομή·</w:t>
            </w:r>
          </w:p>
          <w:p w14:paraId="68A0B579" w14:textId="77777777" w:rsidR="00154AD2" w:rsidRDefault="007F6BF3">
            <w:pPr>
              <w:pStyle w:val="P68B1DB1-Normal8"/>
              <w:spacing w:after="0" w:line="240" w:lineRule="auto"/>
              <w:jc w:val="both"/>
              <w:rPr>
                <w:rFonts w:eastAsia="Times New Roman" w:cs="Calibri"/>
                <w:noProof/>
              </w:rPr>
            </w:pPr>
            <w:r>
              <w:rPr>
                <w:noProof/>
              </w:rPr>
              <w:t xml:space="preserve">Ε) επανεξέταση του καθεστώτος προτίμησης του δικαιώματος παρακράτησης σε περίπτωση υποθήκης (Código Civil)· </w:t>
            </w:r>
          </w:p>
          <w:p w14:paraId="785EC4F6" w14:textId="77777777" w:rsidR="00154AD2" w:rsidRDefault="007F6BF3">
            <w:pPr>
              <w:pStyle w:val="P68B1DB1-Normal8"/>
              <w:spacing w:after="0" w:line="240" w:lineRule="auto"/>
              <w:jc w:val="both"/>
              <w:rPr>
                <w:rFonts w:eastAsia="Times New Roman" w:cs="Calibri"/>
                <w:noProof/>
              </w:rPr>
            </w:pPr>
            <w:r>
              <w:rPr>
                <w:noProof/>
              </w:rPr>
              <w:t>στ) μείωση των περιορισμών στην άσκηση των διαχειριστών διαδικασιών αφερεγγυότητας.</w:t>
            </w:r>
          </w:p>
          <w:p w14:paraId="66B701AF" w14:textId="77777777" w:rsidR="00154AD2" w:rsidRDefault="007F6BF3">
            <w:pPr>
              <w:pStyle w:val="P68B1DB1-Normal8"/>
              <w:spacing w:after="0" w:line="240" w:lineRule="auto"/>
              <w:jc w:val="both"/>
              <w:rPr>
                <w:rFonts w:eastAsia="Times New Roman" w:cs="Calibri"/>
                <w:noProof/>
              </w:rPr>
            </w:pPr>
            <w:r>
              <w:rPr>
                <w:noProof/>
              </w:rPr>
              <w:t>ζ) την άρση των περιορισμών κατά το στάδιο της κλήτευσης, καθιερώνεται κατά κανόνα η ηλεκτρονική επίδοση ή κοινοποίηση νομικών προσώπων, ιδίως σε διαδικασίες αφερεγγυότητας (CPC)·</w:t>
            </w:r>
          </w:p>
          <w:p w14:paraId="15C87B35" w14:textId="77777777" w:rsidR="00154AD2" w:rsidRDefault="007F6BF3">
            <w:pPr>
              <w:pStyle w:val="P68B1DB1-Normal8"/>
              <w:spacing w:after="0" w:line="240" w:lineRule="auto"/>
              <w:jc w:val="both"/>
              <w:rPr>
                <w:rFonts w:eastAsia="Times New Roman" w:cs="Calibri"/>
                <w:noProof/>
              </w:rPr>
            </w:pPr>
            <w:r>
              <w:rPr>
                <w:noProof/>
              </w:rPr>
              <w:t>η δημιουργία και λειτουργία ειδικευμένων τμημάτων στα ανώτερα δικαστήρια εμπορικών υποθέσεων.</w:t>
            </w:r>
          </w:p>
          <w:p w14:paraId="472B518E" w14:textId="77777777" w:rsidR="00154AD2" w:rsidRDefault="007F6BF3">
            <w:pPr>
              <w:pStyle w:val="P68B1DB1-Normal8"/>
              <w:spacing w:after="0" w:line="240" w:lineRule="auto"/>
              <w:jc w:val="both"/>
              <w:rPr>
                <w:rFonts w:eastAsia="Times New Roman" w:cs="Calibri"/>
                <w:noProof/>
              </w:rPr>
            </w:pPr>
            <w:r>
              <w:rPr>
                <w:noProof/>
              </w:rPr>
              <w:t xml:space="preserve">διαδικασίες ESE και προσαρμογή τους στην «εξ ορισμού ψηφιακή τεχνολογία», μεταξύ άλλων </w:t>
            </w:r>
          </w:p>
        </w:tc>
      </w:tr>
      <w:tr w:rsidR="00154AD2" w14:paraId="6AB9F600" w14:textId="77777777">
        <w:trPr>
          <w:trHeight w:val="430"/>
        </w:trPr>
        <w:tc>
          <w:tcPr>
            <w:tcW w:w="1277" w:type="dxa"/>
            <w:shd w:val="clear" w:color="auto" w:fill="C4EFCE"/>
            <w:vAlign w:val="center"/>
          </w:tcPr>
          <w:p w14:paraId="55355ADE" w14:textId="3ECAA7F9" w:rsidR="00154AD2" w:rsidRDefault="007F6BF3">
            <w:pPr>
              <w:pStyle w:val="P68B1DB1-Normal7"/>
              <w:spacing w:after="0" w:line="240" w:lineRule="auto"/>
              <w:jc w:val="center"/>
              <w:rPr>
                <w:rFonts w:eastAsia="Times New Roman" w:cs="Calibri"/>
                <w:noProof/>
              </w:rPr>
            </w:pPr>
            <w:r>
              <w:rPr>
                <w:noProof/>
              </w:rPr>
              <w:t>18.4</w:t>
            </w:r>
          </w:p>
        </w:tc>
        <w:tc>
          <w:tcPr>
            <w:tcW w:w="1275" w:type="dxa"/>
            <w:shd w:val="clear" w:color="auto" w:fill="C4EFCE"/>
            <w:noWrap/>
            <w:vAlign w:val="center"/>
            <w:hideMark/>
          </w:tcPr>
          <w:p w14:paraId="7AEBE05E" w14:textId="77777777" w:rsidR="00154AD2" w:rsidRDefault="007F6BF3">
            <w:pPr>
              <w:pStyle w:val="P68B1DB1-Normal8"/>
              <w:spacing w:after="0" w:line="240" w:lineRule="auto"/>
              <w:jc w:val="center"/>
              <w:rPr>
                <w:rFonts w:eastAsia="Times New Roman" w:cs="Calibri"/>
                <w:noProof/>
              </w:rPr>
            </w:pPr>
            <w:r>
              <w:rPr>
                <w:noProof/>
              </w:rPr>
              <w:t>TD-C18-r33</w:t>
            </w:r>
          </w:p>
        </w:tc>
        <w:tc>
          <w:tcPr>
            <w:tcW w:w="993" w:type="dxa"/>
            <w:shd w:val="clear" w:color="auto" w:fill="C4EFCE"/>
            <w:noWrap/>
            <w:vAlign w:val="center"/>
            <w:hideMark/>
          </w:tcPr>
          <w:p w14:paraId="460B81AA" w14:textId="77777777" w:rsidR="00154AD2" w:rsidRDefault="007F6BF3">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427A38FD" w14:textId="433D97C7" w:rsidR="00154AD2" w:rsidRDefault="007F6BF3">
            <w:pPr>
              <w:pStyle w:val="P68B1DB1-Normal8"/>
              <w:spacing w:after="0" w:line="240" w:lineRule="auto"/>
              <w:jc w:val="center"/>
              <w:rPr>
                <w:rFonts w:eastAsia="Times New Roman" w:cs="Calibri"/>
                <w:noProof/>
              </w:rPr>
            </w:pPr>
            <w:r>
              <w:rPr>
                <w:noProof/>
              </w:rPr>
              <w:t>Έναρξη ισχύος της νομοθετικής δέσμης για την άρση των φραγμών στην αδειοδότηση</w:t>
            </w:r>
          </w:p>
        </w:tc>
        <w:tc>
          <w:tcPr>
            <w:tcW w:w="1633" w:type="dxa"/>
            <w:shd w:val="clear" w:color="auto" w:fill="C4EFCE"/>
            <w:noWrap/>
            <w:vAlign w:val="center"/>
            <w:hideMark/>
          </w:tcPr>
          <w:p w14:paraId="65E920C4" w14:textId="39F70BC9" w:rsidR="00154AD2" w:rsidRDefault="007F6BF3">
            <w:pPr>
              <w:pStyle w:val="P68B1DB1-Normal8"/>
              <w:spacing w:after="0" w:line="240" w:lineRule="auto"/>
              <w:jc w:val="center"/>
              <w:rPr>
                <w:rFonts w:eastAsia="Times New Roman" w:cs="Calibri"/>
                <w:noProof/>
              </w:rPr>
            </w:pPr>
            <w:r>
              <w:rPr>
                <w:noProof/>
              </w:rPr>
              <w:t xml:space="preserve"> Έναρξη ισχύος της νομοθετικής δέσμης για την άρση των φραγμών στην αδειοδότηση</w:t>
            </w:r>
          </w:p>
        </w:tc>
        <w:tc>
          <w:tcPr>
            <w:tcW w:w="1659" w:type="dxa"/>
            <w:shd w:val="clear" w:color="auto" w:fill="C4EFCE"/>
            <w:noWrap/>
            <w:vAlign w:val="center"/>
            <w:hideMark/>
          </w:tcPr>
          <w:p w14:paraId="3B9AFDC2" w14:textId="77777777" w:rsidR="00154AD2" w:rsidRDefault="007F6BF3">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4405CD4C" w14:textId="77777777" w:rsidR="00154AD2" w:rsidRDefault="007F6BF3">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2DA1C3F0" w14:textId="77777777" w:rsidR="00154AD2" w:rsidRDefault="007F6BF3">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31E6942C"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614" w:type="dxa"/>
            <w:shd w:val="clear" w:color="auto" w:fill="C4EFCE"/>
            <w:noWrap/>
            <w:vAlign w:val="center"/>
            <w:hideMark/>
          </w:tcPr>
          <w:p w14:paraId="75CF287C" w14:textId="77777777" w:rsidR="00154AD2" w:rsidRDefault="007F6BF3">
            <w:pPr>
              <w:pStyle w:val="P68B1DB1-Normal8"/>
              <w:spacing w:after="0" w:line="240" w:lineRule="auto"/>
              <w:jc w:val="center"/>
              <w:rPr>
                <w:rFonts w:eastAsia="Times New Roman" w:cs="Calibri"/>
                <w:noProof/>
              </w:rPr>
            </w:pPr>
            <w:r>
              <w:rPr>
                <w:noProof/>
              </w:rPr>
              <w:t>2025</w:t>
            </w:r>
          </w:p>
        </w:tc>
        <w:tc>
          <w:tcPr>
            <w:tcW w:w="4880" w:type="dxa"/>
            <w:shd w:val="clear" w:color="auto" w:fill="C4EFCE"/>
            <w:vAlign w:val="center"/>
            <w:hideMark/>
          </w:tcPr>
          <w:p w14:paraId="27510859" w14:textId="37E2259C" w:rsidR="00154AD2" w:rsidRDefault="007F6BF3">
            <w:pPr>
              <w:pStyle w:val="P68B1DB1-Normal8"/>
              <w:spacing w:after="0" w:line="240" w:lineRule="auto"/>
              <w:jc w:val="both"/>
              <w:rPr>
                <w:rFonts w:eastAsia="Times New Roman" w:cs="Calibri"/>
                <w:noProof/>
              </w:rPr>
            </w:pPr>
            <w:r>
              <w:rPr>
                <w:noProof/>
              </w:rPr>
              <w:t>Έναρξη ισχύος της νομοθεσίας για την άρση των εμποδίων στη χορήγηση αδειών, η οποία προσδιορίζεται στην έκθεση της ομάδας εργασίας που συστάθηκε με κοινή εντολή των μελών της αρμόδιας κυβέρνησης</w:t>
            </w:r>
          </w:p>
        </w:tc>
      </w:tr>
      <w:tr w:rsidR="00154AD2" w14:paraId="50FA20CE" w14:textId="77777777">
        <w:trPr>
          <w:trHeight w:val="640"/>
        </w:trPr>
        <w:tc>
          <w:tcPr>
            <w:tcW w:w="1277" w:type="dxa"/>
            <w:shd w:val="clear" w:color="auto" w:fill="C4EFCE"/>
            <w:vAlign w:val="center"/>
          </w:tcPr>
          <w:p w14:paraId="7B1F5CA0" w14:textId="77777777" w:rsidR="00154AD2" w:rsidRDefault="007F6BF3">
            <w:pPr>
              <w:pStyle w:val="P68B1DB1-Normal7"/>
              <w:spacing w:after="0" w:line="240" w:lineRule="auto"/>
              <w:jc w:val="center"/>
              <w:rPr>
                <w:rFonts w:eastAsia="Times New Roman" w:cs="Calibri"/>
                <w:noProof/>
              </w:rPr>
            </w:pPr>
            <w:r>
              <w:rPr>
                <w:noProof/>
              </w:rPr>
              <w:t>18.5</w:t>
            </w:r>
          </w:p>
        </w:tc>
        <w:tc>
          <w:tcPr>
            <w:tcW w:w="1275" w:type="dxa"/>
            <w:shd w:val="clear" w:color="auto" w:fill="C4EFCE"/>
            <w:noWrap/>
            <w:vAlign w:val="center"/>
            <w:hideMark/>
          </w:tcPr>
          <w:p w14:paraId="7D316546" w14:textId="77777777" w:rsidR="00154AD2" w:rsidRDefault="007F6BF3">
            <w:pPr>
              <w:pStyle w:val="P68B1DB1-Normal8"/>
              <w:spacing w:after="0" w:line="240" w:lineRule="auto"/>
              <w:jc w:val="center"/>
              <w:rPr>
                <w:rFonts w:eastAsia="Times New Roman" w:cs="Calibri"/>
                <w:noProof/>
              </w:rPr>
            </w:pPr>
            <w:r>
              <w:rPr>
                <w:noProof/>
              </w:rPr>
              <w:t>TD-C18-i01</w:t>
            </w:r>
          </w:p>
        </w:tc>
        <w:tc>
          <w:tcPr>
            <w:tcW w:w="993" w:type="dxa"/>
            <w:shd w:val="clear" w:color="auto" w:fill="C4EFCE"/>
            <w:noWrap/>
            <w:vAlign w:val="center"/>
            <w:hideMark/>
          </w:tcPr>
          <w:p w14:paraId="6B073812" w14:textId="77777777" w:rsidR="00154AD2" w:rsidRDefault="007F6BF3">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0EFEFE4E" w14:textId="77777777" w:rsidR="00154AD2" w:rsidRDefault="007F6BF3">
            <w:pPr>
              <w:pStyle w:val="P68B1DB1-Normal8"/>
              <w:spacing w:after="0" w:line="240" w:lineRule="auto"/>
              <w:jc w:val="center"/>
              <w:rPr>
                <w:rFonts w:eastAsia="Times New Roman" w:cs="Calibri"/>
                <w:noProof/>
              </w:rPr>
            </w:pPr>
            <w:r>
              <w:rPr>
                <w:noProof/>
              </w:rPr>
              <w:t>Εκσυγχρονισμένο σύστημα ΤΠ για την ποινική έρευνα</w:t>
            </w:r>
          </w:p>
        </w:tc>
        <w:tc>
          <w:tcPr>
            <w:tcW w:w="1633" w:type="dxa"/>
            <w:shd w:val="clear" w:color="auto" w:fill="C4EFCE"/>
            <w:noWrap/>
            <w:vAlign w:val="center"/>
            <w:hideMark/>
          </w:tcPr>
          <w:p w14:paraId="676EC23C" w14:textId="77777777" w:rsidR="00154AD2" w:rsidRDefault="007F6BF3">
            <w:pPr>
              <w:pStyle w:val="P68B1DB1-Normal8"/>
              <w:spacing w:after="0" w:line="240" w:lineRule="auto"/>
              <w:jc w:val="center"/>
              <w:rPr>
                <w:rFonts w:eastAsia="Times New Roman" w:cs="Calibri"/>
                <w:noProof/>
              </w:rPr>
            </w:pPr>
            <w:r>
              <w:rPr>
                <w:noProof/>
              </w:rPr>
              <w:t>Εκσυγχρονισμένο σύστημα ΤΠ για ποινικές έρευνες σε λειτουργία</w:t>
            </w:r>
          </w:p>
        </w:tc>
        <w:tc>
          <w:tcPr>
            <w:tcW w:w="1659" w:type="dxa"/>
            <w:shd w:val="clear" w:color="auto" w:fill="C4EFCE"/>
            <w:noWrap/>
            <w:vAlign w:val="center"/>
            <w:hideMark/>
          </w:tcPr>
          <w:p w14:paraId="1F1E7814" w14:textId="77777777" w:rsidR="00154AD2" w:rsidRDefault="007F6BF3">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6EF1498A" w14:textId="77777777" w:rsidR="00154AD2" w:rsidRDefault="007F6BF3">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399F2EC4" w14:textId="77777777" w:rsidR="00154AD2" w:rsidRDefault="007F6BF3">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2AD1E3F4"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14" w:type="dxa"/>
            <w:shd w:val="clear" w:color="auto" w:fill="C4EFCE"/>
            <w:noWrap/>
            <w:vAlign w:val="center"/>
            <w:hideMark/>
          </w:tcPr>
          <w:p w14:paraId="5122DDCF" w14:textId="77777777" w:rsidR="00154AD2" w:rsidRDefault="007F6BF3">
            <w:pPr>
              <w:pStyle w:val="P68B1DB1-Normal8"/>
              <w:spacing w:after="0" w:line="240" w:lineRule="auto"/>
              <w:jc w:val="center"/>
              <w:rPr>
                <w:rFonts w:eastAsia="Times New Roman" w:cs="Calibri"/>
                <w:noProof/>
              </w:rPr>
            </w:pPr>
            <w:r>
              <w:rPr>
                <w:noProof/>
              </w:rPr>
              <w:t>2023</w:t>
            </w:r>
          </w:p>
        </w:tc>
        <w:tc>
          <w:tcPr>
            <w:tcW w:w="4880" w:type="dxa"/>
            <w:shd w:val="clear" w:color="auto" w:fill="C4EFCE"/>
            <w:vAlign w:val="center"/>
            <w:hideMark/>
          </w:tcPr>
          <w:p w14:paraId="41A423B1" w14:textId="78BE8103" w:rsidR="00154AD2" w:rsidRDefault="007F6BF3">
            <w:pPr>
              <w:pStyle w:val="P68B1DB1-Normal8"/>
              <w:spacing w:after="0" w:line="240" w:lineRule="auto"/>
              <w:jc w:val="both"/>
              <w:rPr>
                <w:rFonts w:eastAsia="Times New Roman" w:cs="Calibri"/>
                <w:noProof/>
              </w:rPr>
            </w:pPr>
            <w:r>
              <w:rPr>
                <w:noProof/>
              </w:rPr>
              <w:t>Έναρξη λειτουργίας εκσυγχρονισμένου συστήματος ΤΠ για ποινικές έρευνες. Ο εκσυγχρονισμός περιλαμβάνει την εφαρμογή διεπαφών και την αναβάθμιση των συστημάτων παρακολούθησης και τη διασφάλιση της διαλειτουργικότητας με ευρωπαϊκούς και διεθνείς ομολόγους.</w:t>
            </w:r>
          </w:p>
        </w:tc>
      </w:tr>
      <w:tr w:rsidR="00154AD2" w14:paraId="225C6D24" w14:textId="77777777">
        <w:trPr>
          <w:trHeight w:val="430"/>
        </w:trPr>
        <w:tc>
          <w:tcPr>
            <w:tcW w:w="1277" w:type="dxa"/>
            <w:shd w:val="clear" w:color="auto" w:fill="C4EFCE"/>
            <w:vAlign w:val="center"/>
          </w:tcPr>
          <w:p w14:paraId="26C96112" w14:textId="77777777" w:rsidR="00154AD2" w:rsidRDefault="007F6BF3">
            <w:pPr>
              <w:pStyle w:val="P68B1DB1-Normal7"/>
              <w:spacing w:after="0" w:line="240" w:lineRule="auto"/>
              <w:jc w:val="center"/>
              <w:rPr>
                <w:rFonts w:eastAsia="Times New Roman" w:cs="Calibri"/>
                <w:noProof/>
              </w:rPr>
            </w:pPr>
            <w:r>
              <w:rPr>
                <w:noProof/>
              </w:rPr>
              <w:t>18.6</w:t>
            </w:r>
          </w:p>
        </w:tc>
        <w:tc>
          <w:tcPr>
            <w:tcW w:w="1275" w:type="dxa"/>
            <w:shd w:val="clear" w:color="auto" w:fill="C4EFCE"/>
            <w:noWrap/>
            <w:vAlign w:val="center"/>
            <w:hideMark/>
          </w:tcPr>
          <w:p w14:paraId="169DA80A" w14:textId="77777777" w:rsidR="00154AD2" w:rsidRDefault="007F6BF3">
            <w:pPr>
              <w:pStyle w:val="P68B1DB1-Normal8"/>
              <w:spacing w:after="0" w:line="240" w:lineRule="auto"/>
              <w:jc w:val="center"/>
              <w:rPr>
                <w:rFonts w:eastAsia="Times New Roman" w:cs="Calibri"/>
                <w:noProof/>
              </w:rPr>
            </w:pPr>
            <w:r>
              <w:rPr>
                <w:noProof/>
              </w:rPr>
              <w:t>TD-C18-i01</w:t>
            </w:r>
          </w:p>
        </w:tc>
        <w:tc>
          <w:tcPr>
            <w:tcW w:w="993" w:type="dxa"/>
            <w:shd w:val="clear" w:color="auto" w:fill="C4EFCE"/>
            <w:noWrap/>
            <w:vAlign w:val="center"/>
            <w:hideMark/>
          </w:tcPr>
          <w:p w14:paraId="39443976" w14:textId="77777777" w:rsidR="00154AD2" w:rsidRDefault="007F6BF3">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095D35B1" w14:textId="77777777" w:rsidR="00154AD2" w:rsidRDefault="007F6BF3">
            <w:pPr>
              <w:pStyle w:val="P68B1DB1-Normal8"/>
              <w:spacing w:after="0" w:line="240" w:lineRule="auto"/>
              <w:jc w:val="center"/>
              <w:rPr>
                <w:rFonts w:eastAsia="Times New Roman" w:cs="Calibri"/>
                <w:noProof/>
              </w:rPr>
            </w:pPr>
            <w:r>
              <w:rPr>
                <w:noProof/>
              </w:rPr>
              <w:t>Πληροφοριακό σύστημα «Επιχείρηση 2.0»</w:t>
            </w:r>
          </w:p>
        </w:tc>
        <w:tc>
          <w:tcPr>
            <w:tcW w:w="1633" w:type="dxa"/>
            <w:shd w:val="clear" w:color="auto" w:fill="C4EFCE"/>
            <w:noWrap/>
            <w:vAlign w:val="center"/>
            <w:hideMark/>
          </w:tcPr>
          <w:p w14:paraId="57E18843" w14:textId="77777777" w:rsidR="00154AD2" w:rsidRDefault="007F6BF3">
            <w:pPr>
              <w:pStyle w:val="P68B1DB1-Normal8"/>
              <w:spacing w:after="0" w:line="240" w:lineRule="auto"/>
              <w:jc w:val="center"/>
              <w:rPr>
                <w:rFonts w:eastAsia="Times New Roman" w:cs="Calibri"/>
                <w:noProof/>
              </w:rPr>
            </w:pPr>
            <w:r>
              <w:rPr>
                <w:noProof/>
              </w:rPr>
              <w:t>Σύστημα πληροφοριών «Επιχείρηση 2.0» σε λειτουργία</w:t>
            </w:r>
          </w:p>
        </w:tc>
        <w:tc>
          <w:tcPr>
            <w:tcW w:w="1659" w:type="dxa"/>
            <w:shd w:val="clear" w:color="auto" w:fill="C4EFCE"/>
            <w:noWrap/>
            <w:vAlign w:val="center"/>
            <w:hideMark/>
          </w:tcPr>
          <w:p w14:paraId="02355EB1" w14:textId="77777777" w:rsidR="00154AD2" w:rsidRDefault="007F6BF3">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547E5270" w14:textId="77777777" w:rsidR="00154AD2" w:rsidRDefault="007F6BF3">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0D2D7DFE" w14:textId="77777777" w:rsidR="00154AD2" w:rsidRDefault="007F6BF3">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25472196"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614" w:type="dxa"/>
            <w:shd w:val="clear" w:color="auto" w:fill="C4EFCE"/>
            <w:noWrap/>
            <w:vAlign w:val="center"/>
            <w:hideMark/>
          </w:tcPr>
          <w:p w14:paraId="34E046B1" w14:textId="77777777" w:rsidR="00154AD2" w:rsidRDefault="007F6BF3">
            <w:pPr>
              <w:pStyle w:val="P68B1DB1-Normal8"/>
              <w:spacing w:after="0" w:line="240" w:lineRule="auto"/>
              <w:jc w:val="center"/>
              <w:rPr>
                <w:rFonts w:eastAsia="Times New Roman" w:cs="Calibri"/>
                <w:noProof/>
              </w:rPr>
            </w:pPr>
            <w:r>
              <w:rPr>
                <w:noProof/>
              </w:rPr>
              <w:t>2024</w:t>
            </w:r>
          </w:p>
        </w:tc>
        <w:tc>
          <w:tcPr>
            <w:tcW w:w="4880" w:type="dxa"/>
            <w:shd w:val="clear" w:color="auto" w:fill="C4EFCE"/>
            <w:vAlign w:val="center"/>
            <w:hideMark/>
          </w:tcPr>
          <w:p w14:paraId="1B04CDEB" w14:textId="77777777" w:rsidR="00154AD2" w:rsidRDefault="007F6BF3">
            <w:pPr>
              <w:pStyle w:val="P68B1DB1-Normal8"/>
              <w:spacing w:after="0" w:line="240" w:lineRule="auto"/>
              <w:jc w:val="both"/>
              <w:rPr>
                <w:rFonts w:eastAsia="Times New Roman" w:cs="Calibri"/>
                <w:noProof/>
              </w:rPr>
            </w:pPr>
            <w:r>
              <w:rPr>
                <w:noProof/>
              </w:rPr>
              <w:t>Έναρξη λειτουργίας του πληροφοριακού συστήματος «Enterprise 2.0», το οποίο είναι μια νέα πλατφόρμα που περιλαμβάνει εταιρικές πληροφορίες σχετικά με τον κύκλο ζωής των επιχειρήσεων (δημιουργία, διαχείριση και τερματισμός).</w:t>
            </w:r>
          </w:p>
        </w:tc>
      </w:tr>
      <w:tr w:rsidR="00154AD2" w14:paraId="0A059693" w14:textId="77777777">
        <w:trPr>
          <w:trHeight w:val="1549"/>
        </w:trPr>
        <w:tc>
          <w:tcPr>
            <w:tcW w:w="1277" w:type="dxa"/>
            <w:shd w:val="clear" w:color="auto" w:fill="C4EFCE"/>
            <w:vAlign w:val="center"/>
          </w:tcPr>
          <w:p w14:paraId="4ED3BD78" w14:textId="77777777" w:rsidR="00154AD2" w:rsidRDefault="007F6BF3">
            <w:pPr>
              <w:pStyle w:val="P68B1DB1-Normal7"/>
              <w:spacing w:after="0" w:line="240" w:lineRule="auto"/>
              <w:jc w:val="center"/>
              <w:rPr>
                <w:rFonts w:eastAsia="Times New Roman" w:cs="Calibri"/>
                <w:noProof/>
              </w:rPr>
            </w:pPr>
            <w:r>
              <w:rPr>
                <w:noProof/>
              </w:rPr>
              <w:t>18.7</w:t>
            </w:r>
          </w:p>
        </w:tc>
        <w:tc>
          <w:tcPr>
            <w:tcW w:w="1275" w:type="dxa"/>
            <w:shd w:val="clear" w:color="auto" w:fill="C4EFCE"/>
            <w:noWrap/>
            <w:vAlign w:val="center"/>
            <w:hideMark/>
          </w:tcPr>
          <w:p w14:paraId="2C1871B2" w14:textId="77777777" w:rsidR="00154AD2" w:rsidRDefault="007F6BF3">
            <w:pPr>
              <w:pStyle w:val="P68B1DB1-Normal8"/>
              <w:spacing w:after="0" w:line="240" w:lineRule="auto"/>
              <w:jc w:val="center"/>
              <w:rPr>
                <w:rFonts w:eastAsia="Times New Roman" w:cs="Calibri"/>
                <w:noProof/>
              </w:rPr>
            </w:pPr>
            <w:r>
              <w:rPr>
                <w:noProof/>
              </w:rPr>
              <w:t>TD-C18-i01</w:t>
            </w:r>
          </w:p>
        </w:tc>
        <w:tc>
          <w:tcPr>
            <w:tcW w:w="993" w:type="dxa"/>
            <w:shd w:val="clear" w:color="auto" w:fill="C4EFCE"/>
            <w:noWrap/>
            <w:vAlign w:val="center"/>
            <w:hideMark/>
          </w:tcPr>
          <w:p w14:paraId="40CE8FFB" w14:textId="77777777" w:rsidR="00154AD2" w:rsidRDefault="007F6BF3">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4F76739D" w14:textId="77777777" w:rsidR="00154AD2" w:rsidRDefault="007F6BF3">
            <w:pPr>
              <w:pStyle w:val="P68B1DB1-Normal8"/>
              <w:spacing w:after="0" w:line="240" w:lineRule="auto"/>
              <w:jc w:val="center"/>
              <w:rPr>
                <w:rFonts w:eastAsia="Times New Roman" w:cs="Calibri"/>
                <w:noProof/>
              </w:rPr>
            </w:pPr>
            <w:r>
              <w:rPr>
                <w:noProof/>
              </w:rPr>
              <w:t>Νέο σύστημα πληροφοριών για τον ψηφιακό μετασχηματισμό των δικαστηρίων και της εισαγγελίας</w:t>
            </w:r>
          </w:p>
        </w:tc>
        <w:tc>
          <w:tcPr>
            <w:tcW w:w="1633" w:type="dxa"/>
            <w:shd w:val="clear" w:color="auto" w:fill="C4EFCE"/>
            <w:noWrap/>
            <w:vAlign w:val="center"/>
            <w:hideMark/>
          </w:tcPr>
          <w:p w14:paraId="0E3E294D" w14:textId="77777777" w:rsidR="00154AD2" w:rsidRDefault="007F6BF3">
            <w:pPr>
              <w:pStyle w:val="P68B1DB1-Normal8"/>
              <w:spacing w:after="0" w:line="240" w:lineRule="auto"/>
              <w:jc w:val="center"/>
              <w:rPr>
                <w:rFonts w:eastAsia="Times New Roman" w:cs="Calibri"/>
                <w:noProof/>
              </w:rPr>
            </w:pPr>
            <w:r>
              <w:rPr>
                <w:noProof/>
              </w:rPr>
              <w:t>Νέο σύστημα πληροφοριών για τον ψηφιακό μετασχηματισμό των δικαστηρίων και της εισαγγελίας σε λειτουργία</w:t>
            </w:r>
          </w:p>
        </w:tc>
        <w:tc>
          <w:tcPr>
            <w:tcW w:w="1659" w:type="dxa"/>
            <w:shd w:val="clear" w:color="auto" w:fill="C4EFCE"/>
            <w:noWrap/>
            <w:vAlign w:val="center"/>
            <w:hideMark/>
          </w:tcPr>
          <w:p w14:paraId="01C32B98" w14:textId="77777777" w:rsidR="00154AD2" w:rsidRDefault="007F6BF3">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376C17AC" w14:textId="77777777" w:rsidR="00154AD2" w:rsidRDefault="007F6BF3">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48D4F6D4" w14:textId="77777777" w:rsidR="00154AD2" w:rsidRDefault="007F6BF3">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2D0E0F97"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14" w:type="dxa"/>
            <w:shd w:val="clear" w:color="auto" w:fill="C4EFCE"/>
            <w:noWrap/>
            <w:vAlign w:val="center"/>
            <w:hideMark/>
          </w:tcPr>
          <w:p w14:paraId="0F78CEE7" w14:textId="77777777" w:rsidR="00154AD2" w:rsidRDefault="007F6BF3">
            <w:pPr>
              <w:pStyle w:val="P68B1DB1-Normal8"/>
              <w:spacing w:after="0" w:line="240" w:lineRule="auto"/>
              <w:jc w:val="center"/>
              <w:rPr>
                <w:rFonts w:eastAsia="Times New Roman" w:cs="Calibri"/>
                <w:noProof/>
              </w:rPr>
            </w:pPr>
            <w:r>
              <w:rPr>
                <w:noProof/>
              </w:rPr>
              <w:t>2025</w:t>
            </w:r>
          </w:p>
        </w:tc>
        <w:tc>
          <w:tcPr>
            <w:tcW w:w="4880" w:type="dxa"/>
            <w:shd w:val="clear" w:color="auto" w:fill="C4EFCE"/>
            <w:vAlign w:val="center"/>
            <w:hideMark/>
          </w:tcPr>
          <w:p w14:paraId="28A62C7E" w14:textId="2D8A6040" w:rsidR="00154AD2" w:rsidRDefault="007F6BF3">
            <w:pPr>
              <w:pStyle w:val="P68B1DB1-Normal8"/>
              <w:spacing w:after="0" w:line="240" w:lineRule="auto"/>
              <w:jc w:val="both"/>
              <w:rPr>
                <w:rFonts w:eastAsia="Times New Roman" w:cs="Calibri"/>
                <w:noProof/>
              </w:rPr>
            </w:pPr>
            <w:r>
              <w:rPr>
                <w:noProof/>
              </w:rPr>
              <w:t>Έναρξη λειτουργίας νέου πληροφοριακού συστήματος για τον χειρισμό ηλεκτρονικών δικαστικών διαδικασιών. Το νέο σύστημα πληροφοριών είναι διαθέσιμο σε περίπου 400 δικαστήρια και εισαγγελικές μονάδες, για τον χειρισμό ηλεκτρονικών δικαστικών διαδικασιών που καλύπτουν όλες τις δικαιοδοσίες, τα διαδικαστικά στάδια (συμπεριλαμβανομένης της έρευνας) και τα δικαστικά όργανα και χρησιμοποιείται από δικαστές, εισαγγελείς, δικαστικούς υπαλλήλους και εκπροσώπους. Όλες οι επικοινωνίες του Δικαστηρίου με τα ενδιαφερόμενα μέρη ψηφιοποιούνται.</w:t>
            </w:r>
          </w:p>
        </w:tc>
      </w:tr>
      <w:tr w:rsidR="00154AD2" w14:paraId="7596235C" w14:textId="77777777">
        <w:trPr>
          <w:trHeight w:val="420"/>
        </w:trPr>
        <w:tc>
          <w:tcPr>
            <w:tcW w:w="1277" w:type="dxa"/>
            <w:shd w:val="clear" w:color="auto" w:fill="C4EFCE"/>
            <w:vAlign w:val="center"/>
          </w:tcPr>
          <w:p w14:paraId="136E2CBE" w14:textId="77777777" w:rsidR="00154AD2" w:rsidRDefault="007F6BF3">
            <w:pPr>
              <w:pStyle w:val="P68B1DB1-Normal7"/>
              <w:spacing w:after="0" w:line="240" w:lineRule="auto"/>
              <w:jc w:val="center"/>
              <w:rPr>
                <w:rFonts w:eastAsia="Times New Roman" w:cs="Calibri"/>
                <w:noProof/>
              </w:rPr>
            </w:pPr>
            <w:r>
              <w:rPr>
                <w:noProof/>
              </w:rPr>
              <w:t>18.8</w:t>
            </w:r>
          </w:p>
        </w:tc>
        <w:tc>
          <w:tcPr>
            <w:tcW w:w="1275" w:type="dxa"/>
            <w:shd w:val="clear" w:color="auto" w:fill="C4EFCE"/>
            <w:noWrap/>
            <w:vAlign w:val="center"/>
            <w:hideMark/>
          </w:tcPr>
          <w:p w14:paraId="04B7365D" w14:textId="77777777" w:rsidR="00154AD2" w:rsidRDefault="007F6BF3">
            <w:pPr>
              <w:pStyle w:val="P68B1DB1-Normal8"/>
              <w:spacing w:after="0" w:line="240" w:lineRule="auto"/>
              <w:jc w:val="center"/>
              <w:rPr>
                <w:rFonts w:eastAsia="Times New Roman" w:cs="Calibri"/>
                <w:noProof/>
              </w:rPr>
            </w:pPr>
            <w:r>
              <w:rPr>
                <w:noProof/>
              </w:rPr>
              <w:t>TD-C18-i01</w:t>
            </w:r>
          </w:p>
        </w:tc>
        <w:tc>
          <w:tcPr>
            <w:tcW w:w="993" w:type="dxa"/>
            <w:shd w:val="clear" w:color="auto" w:fill="C4EFCE"/>
            <w:noWrap/>
            <w:vAlign w:val="center"/>
            <w:hideMark/>
          </w:tcPr>
          <w:p w14:paraId="03AD5040" w14:textId="77777777" w:rsidR="00154AD2" w:rsidRDefault="007F6BF3">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2AEC5F26" w14:textId="77777777" w:rsidR="00154AD2" w:rsidRDefault="007F6BF3">
            <w:pPr>
              <w:pStyle w:val="P68B1DB1-Normal8"/>
              <w:spacing w:after="0" w:line="240" w:lineRule="auto"/>
              <w:jc w:val="center"/>
              <w:rPr>
                <w:rFonts w:eastAsia="Times New Roman" w:cs="Calibri"/>
                <w:noProof/>
              </w:rPr>
            </w:pPr>
            <w:r>
              <w:rPr>
                <w:noProof/>
              </w:rPr>
              <w:t xml:space="preserve">Εφαρμογή του νέου τεχνολογικού σχεδίου  </w:t>
            </w:r>
          </w:p>
        </w:tc>
        <w:tc>
          <w:tcPr>
            <w:tcW w:w="1633" w:type="dxa"/>
            <w:shd w:val="clear" w:color="auto" w:fill="C4EFCE"/>
            <w:noWrap/>
            <w:vAlign w:val="center"/>
            <w:hideMark/>
          </w:tcPr>
          <w:p w14:paraId="490AFB9D" w14:textId="77777777" w:rsidR="00154AD2" w:rsidRDefault="007F6BF3">
            <w:pPr>
              <w:pStyle w:val="P68B1DB1-Normal8"/>
              <w:spacing w:after="0" w:line="240" w:lineRule="auto"/>
              <w:jc w:val="center"/>
              <w:rPr>
                <w:rFonts w:eastAsia="Times New Roman" w:cs="Calibri"/>
                <w:noProof/>
              </w:rPr>
            </w:pPr>
            <w:r>
              <w:rPr>
                <w:noProof/>
              </w:rPr>
              <w:t>Εφαρμογή του νέου τεχνολογικού σχεδίου</w:t>
            </w:r>
          </w:p>
        </w:tc>
        <w:tc>
          <w:tcPr>
            <w:tcW w:w="1659" w:type="dxa"/>
            <w:shd w:val="clear" w:color="auto" w:fill="C4EFCE"/>
            <w:noWrap/>
            <w:vAlign w:val="center"/>
            <w:hideMark/>
          </w:tcPr>
          <w:p w14:paraId="45638276" w14:textId="77777777" w:rsidR="00154AD2" w:rsidRDefault="007F6BF3">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1590CD33" w14:textId="77777777" w:rsidR="00154AD2" w:rsidRDefault="007F6BF3">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6F1CD951" w14:textId="77777777" w:rsidR="00154AD2" w:rsidRDefault="007F6BF3">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40C9F6AE"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14" w:type="dxa"/>
            <w:shd w:val="clear" w:color="auto" w:fill="C4EFCE"/>
            <w:noWrap/>
            <w:vAlign w:val="center"/>
            <w:hideMark/>
          </w:tcPr>
          <w:p w14:paraId="1F094D9A" w14:textId="77777777" w:rsidR="00154AD2" w:rsidRDefault="007F6BF3">
            <w:pPr>
              <w:pStyle w:val="P68B1DB1-Normal8"/>
              <w:spacing w:after="0" w:line="240" w:lineRule="auto"/>
              <w:jc w:val="center"/>
              <w:rPr>
                <w:rFonts w:eastAsia="Times New Roman" w:cs="Calibri"/>
                <w:noProof/>
              </w:rPr>
            </w:pPr>
            <w:r>
              <w:rPr>
                <w:noProof/>
              </w:rPr>
              <w:t>2025</w:t>
            </w:r>
          </w:p>
        </w:tc>
        <w:tc>
          <w:tcPr>
            <w:tcW w:w="4880" w:type="dxa"/>
            <w:shd w:val="clear" w:color="auto" w:fill="C4EFCE"/>
            <w:vAlign w:val="center"/>
            <w:hideMark/>
          </w:tcPr>
          <w:p w14:paraId="16BB7A9B" w14:textId="77777777" w:rsidR="00154AD2" w:rsidRDefault="007F6BF3">
            <w:pPr>
              <w:pStyle w:val="P68B1DB1-Normal8"/>
              <w:spacing w:after="0" w:line="240" w:lineRule="auto"/>
              <w:jc w:val="both"/>
              <w:rPr>
                <w:rFonts w:eastAsia="Times New Roman" w:cs="Calibri"/>
                <w:noProof/>
              </w:rPr>
            </w:pPr>
            <w:r>
              <w:rPr>
                <w:noProof/>
              </w:rPr>
              <w:t xml:space="preserve">Εφαρμογή του νέου τεχνολογικού προγράμματος για τον εξοπλισμό και τις υποδομές στον τομέα της δικαιοσύνης με την έναρξη λειτουργίας των ακόλουθων συνιστωσών: </w:t>
            </w:r>
          </w:p>
          <w:p w14:paraId="2DCE4A09" w14:textId="77777777" w:rsidR="00154AD2" w:rsidRDefault="007F6BF3">
            <w:pPr>
              <w:pStyle w:val="P68B1DB1-Normal8"/>
              <w:spacing w:after="0" w:line="240" w:lineRule="auto"/>
              <w:jc w:val="both"/>
              <w:rPr>
                <w:rFonts w:eastAsia="Times New Roman" w:cs="Calibri"/>
                <w:noProof/>
              </w:rPr>
            </w:pPr>
            <w:r>
              <w:rPr>
                <w:noProof/>
              </w:rPr>
              <w:t xml:space="preserve">α) Νέο κέντρο δεδομένων· </w:t>
            </w:r>
          </w:p>
          <w:p w14:paraId="5AABD6C8" w14:textId="77777777" w:rsidR="00154AD2" w:rsidRDefault="007F6BF3">
            <w:pPr>
              <w:pStyle w:val="P68B1DB1-Normal8"/>
              <w:spacing w:after="0" w:line="240" w:lineRule="auto"/>
              <w:jc w:val="both"/>
              <w:rPr>
                <w:rFonts w:eastAsia="Times New Roman" w:cs="Calibri"/>
                <w:noProof/>
              </w:rPr>
            </w:pPr>
            <w:r>
              <w:rPr>
                <w:noProof/>
              </w:rPr>
              <w:t xml:space="preserve">β) Πλατφόρμα ανοικτών δεδομένων για τη δικαιοσύνη· </w:t>
            </w:r>
          </w:p>
          <w:p w14:paraId="598F4A88" w14:textId="77777777" w:rsidR="00154AD2" w:rsidRDefault="007F6BF3">
            <w:pPr>
              <w:pStyle w:val="P68B1DB1-Normal8"/>
              <w:spacing w:after="0" w:line="240" w:lineRule="auto"/>
              <w:jc w:val="both"/>
              <w:rPr>
                <w:rFonts w:eastAsia="Times New Roman" w:cs="Calibri"/>
                <w:noProof/>
              </w:rPr>
            </w:pPr>
            <w:r>
              <w:rPr>
                <w:noProof/>
              </w:rPr>
              <w:t xml:space="preserve">γ) Σύστημα διαχείρισης πληροφοριών για όλους τους φορείς στον τομέα της δικαιοσύνης· </w:t>
            </w:r>
          </w:p>
          <w:p w14:paraId="458BE826" w14:textId="1D3A1DA0" w:rsidR="00154AD2" w:rsidRDefault="007F6BF3">
            <w:pPr>
              <w:pStyle w:val="P68B1DB1-Normal8"/>
              <w:spacing w:after="0" w:line="240" w:lineRule="auto"/>
              <w:jc w:val="both"/>
              <w:rPr>
                <w:rFonts w:eastAsia="Times New Roman" w:cs="Calibri"/>
                <w:noProof/>
              </w:rPr>
            </w:pPr>
            <w:r>
              <w:rPr>
                <w:noProof/>
              </w:rPr>
              <w:t>δ) Διαχείριση ψηφιακής ταυτότητας και</w:t>
            </w:r>
          </w:p>
          <w:p w14:paraId="42F2BEFF" w14:textId="12D6CA51" w:rsidR="00154AD2" w:rsidRDefault="007F6BF3">
            <w:pPr>
              <w:pStyle w:val="P68B1DB1-Normal8"/>
              <w:spacing w:after="0" w:line="240" w:lineRule="auto"/>
              <w:jc w:val="both"/>
              <w:rPr>
                <w:rFonts w:eastAsia="Times New Roman" w:cs="Calibri"/>
                <w:noProof/>
              </w:rPr>
            </w:pPr>
            <w:r>
              <w:rPr>
                <w:noProof/>
              </w:rPr>
              <w:t>Ε) Σύστημα ανάκτησης και διαχείρισης κατασχεθέντων περιουσιακών στοιχείων σε δικαστικές διαδικασίες</w:t>
            </w:r>
          </w:p>
        </w:tc>
      </w:tr>
      <w:tr w:rsidR="00154AD2" w14:paraId="652E8888" w14:textId="77777777">
        <w:trPr>
          <w:trHeight w:val="290"/>
        </w:trPr>
        <w:tc>
          <w:tcPr>
            <w:tcW w:w="1277" w:type="dxa"/>
            <w:shd w:val="clear" w:color="auto" w:fill="C4EFCE"/>
            <w:vAlign w:val="center"/>
          </w:tcPr>
          <w:p w14:paraId="7B60AA28" w14:textId="77777777" w:rsidR="00154AD2" w:rsidRDefault="007F6BF3">
            <w:pPr>
              <w:pStyle w:val="P68B1DB1-Normal7"/>
              <w:spacing w:after="0" w:line="240" w:lineRule="auto"/>
              <w:jc w:val="center"/>
              <w:rPr>
                <w:rFonts w:eastAsia="Times New Roman" w:cs="Calibri"/>
                <w:noProof/>
              </w:rPr>
            </w:pPr>
            <w:r>
              <w:rPr>
                <w:noProof/>
              </w:rPr>
              <w:t>18.9</w:t>
            </w:r>
          </w:p>
        </w:tc>
        <w:tc>
          <w:tcPr>
            <w:tcW w:w="1275" w:type="dxa"/>
            <w:shd w:val="clear" w:color="auto" w:fill="C4EFCE"/>
            <w:noWrap/>
            <w:vAlign w:val="center"/>
            <w:hideMark/>
          </w:tcPr>
          <w:p w14:paraId="466CB9EA" w14:textId="77777777" w:rsidR="00154AD2" w:rsidRDefault="007F6BF3">
            <w:pPr>
              <w:pStyle w:val="P68B1DB1-Normal8"/>
              <w:spacing w:after="0" w:line="240" w:lineRule="auto"/>
              <w:jc w:val="center"/>
              <w:rPr>
                <w:rFonts w:eastAsia="Times New Roman" w:cs="Calibri"/>
                <w:noProof/>
              </w:rPr>
            </w:pPr>
            <w:r>
              <w:rPr>
                <w:noProof/>
              </w:rPr>
              <w:t>TD-C18-i01</w:t>
            </w:r>
          </w:p>
        </w:tc>
        <w:tc>
          <w:tcPr>
            <w:tcW w:w="993" w:type="dxa"/>
            <w:shd w:val="clear" w:color="auto" w:fill="C4EFCE"/>
            <w:noWrap/>
            <w:vAlign w:val="center"/>
            <w:hideMark/>
          </w:tcPr>
          <w:p w14:paraId="542529BD" w14:textId="77777777" w:rsidR="00154AD2" w:rsidRDefault="007F6BF3">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30BF086F" w14:textId="77777777" w:rsidR="00154AD2" w:rsidRDefault="007F6BF3">
            <w:pPr>
              <w:pStyle w:val="P68B1DB1-Normal8"/>
              <w:spacing w:after="0" w:line="240" w:lineRule="auto"/>
              <w:jc w:val="center"/>
              <w:rPr>
                <w:rFonts w:eastAsia="Times New Roman" w:cs="Calibri"/>
                <w:noProof/>
              </w:rPr>
            </w:pPr>
            <w:r>
              <w:rPr>
                <w:noProof/>
              </w:rPr>
              <w:t xml:space="preserve">Πλατφόρμες διαχείρισης γνώσεων στον τομέα της δικαιοσύνης </w:t>
            </w:r>
          </w:p>
        </w:tc>
        <w:tc>
          <w:tcPr>
            <w:tcW w:w="1633" w:type="dxa"/>
            <w:shd w:val="clear" w:color="auto" w:fill="C4EFCE"/>
            <w:noWrap/>
            <w:vAlign w:val="center"/>
            <w:hideMark/>
          </w:tcPr>
          <w:p w14:paraId="2BB35CD2" w14:textId="77777777" w:rsidR="00154AD2" w:rsidRDefault="007F6BF3">
            <w:pPr>
              <w:pStyle w:val="P68B1DB1-Normal8"/>
              <w:spacing w:after="0" w:line="240" w:lineRule="auto"/>
              <w:jc w:val="center"/>
              <w:rPr>
                <w:rFonts w:eastAsia="Times New Roman" w:cs="Calibri"/>
                <w:noProof/>
              </w:rPr>
            </w:pPr>
            <w:r>
              <w:rPr>
                <w:noProof/>
              </w:rPr>
              <w:t>Πλατφόρμες διαχείρισης γνώσεων στη δικαιοσύνη σε λειτουργία</w:t>
            </w:r>
          </w:p>
        </w:tc>
        <w:tc>
          <w:tcPr>
            <w:tcW w:w="1659" w:type="dxa"/>
            <w:shd w:val="clear" w:color="auto" w:fill="C4EFCE"/>
            <w:noWrap/>
            <w:vAlign w:val="center"/>
            <w:hideMark/>
          </w:tcPr>
          <w:p w14:paraId="1AFCBD9B" w14:textId="77777777" w:rsidR="00154AD2" w:rsidRDefault="007F6BF3">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6D02AA90" w14:textId="77777777" w:rsidR="00154AD2" w:rsidRDefault="007F6BF3">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1A564C8D" w14:textId="77777777" w:rsidR="00154AD2" w:rsidRDefault="007F6BF3">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7BC388F9"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14" w:type="dxa"/>
            <w:shd w:val="clear" w:color="auto" w:fill="C4EFCE"/>
            <w:noWrap/>
            <w:vAlign w:val="center"/>
            <w:hideMark/>
          </w:tcPr>
          <w:p w14:paraId="176AAACD" w14:textId="77777777" w:rsidR="00154AD2" w:rsidRDefault="007F6BF3">
            <w:pPr>
              <w:pStyle w:val="P68B1DB1-Normal8"/>
              <w:spacing w:after="0" w:line="240" w:lineRule="auto"/>
              <w:jc w:val="center"/>
              <w:rPr>
                <w:rFonts w:eastAsia="Times New Roman" w:cs="Calibri"/>
                <w:noProof/>
              </w:rPr>
            </w:pPr>
            <w:r>
              <w:rPr>
                <w:noProof/>
              </w:rPr>
              <w:t>2025</w:t>
            </w:r>
          </w:p>
        </w:tc>
        <w:tc>
          <w:tcPr>
            <w:tcW w:w="4880" w:type="dxa"/>
            <w:shd w:val="clear" w:color="auto" w:fill="C4EFCE"/>
            <w:vAlign w:val="center"/>
            <w:hideMark/>
          </w:tcPr>
          <w:p w14:paraId="0610679A" w14:textId="77777777" w:rsidR="00154AD2" w:rsidRDefault="007F6BF3">
            <w:pPr>
              <w:pStyle w:val="P68B1DB1-Normal8"/>
              <w:spacing w:after="0" w:line="240" w:lineRule="auto"/>
              <w:jc w:val="both"/>
              <w:rPr>
                <w:rFonts w:eastAsia="Times New Roman" w:cs="Calibri"/>
                <w:noProof/>
              </w:rPr>
            </w:pPr>
            <w:r>
              <w:rPr>
                <w:noProof/>
              </w:rPr>
              <w:t xml:space="preserve">Έναρξη λειτουργίας των ακόλουθων πλατφορμών διαχείρισης γνώσεων: </w:t>
            </w:r>
          </w:p>
          <w:p w14:paraId="496127DF" w14:textId="77777777" w:rsidR="00154AD2" w:rsidRDefault="007F6BF3">
            <w:pPr>
              <w:pStyle w:val="P68B1DB1-Normal8"/>
              <w:spacing w:after="0" w:line="240" w:lineRule="auto"/>
              <w:jc w:val="both"/>
              <w:rPr>
                <w:rFonts w:eastAsia="Times New Roman" w:cs="Calibri"/>
                <w:noProof/>
              </w:rPr>
            </w:pPr>
            <w:r>
              <w:rPr>
                <w:noProof/>
              </w:rPr>
              <w:t>α) Κοινές υπηρεσίες υποστήριξης</w:t>
            </w:r>
          </w:p>
          <w:p w14:paraId="7691DD03" w14:textId="77777777" w:rsidR="00154AD2" w:rsidRDefault="007F6BF3">
            <w:pPr>
              <w:pStyle w:val="P68B1DB1-Normal8"/>
              <w:spacing w:after="0" w:line="240" w:lineRule="auto"/>
              <w:jc w:val="both"/>
              <w:rPr>
                <w:rFonts w:eastAsia="Times New Roman" w:cs="Calibri"/>
                <w:noProof/>
              </w:rPr>
            </w:pPr>
            <w:r>
              <w:rPr>
                <w:noProof/>
              </w:rPr>
              <w:t>β) Στατιστικές και δείκτες</w:t>
            </w:r>
          </w:p>
          <w:p w14:paraId="72273524" w14:textId="66EFA231" w:rsidR="00154AD2" w:rsidRDefault="007F6BF3">
            <w:pPr>
              <w:pStyle w:val="P68B1DB1-Normal8"/>
              <w:spacing w:after="0" w:line="240" w:lineRule="auto"/>
              <w:jc w:val="both"/>
              <w:rPr>
                <w:rFonts w:eastAsia="Times New Roman" w:cs="Calibri"/>
                <w:noProof/>
              </w:rPr>
            </w:pPr>
            <w:r>
              <w:rPr>
                <w:noProof/>
              </w:rPr>
              <w:t>γ) Πλατφόρμα διαχείρισης πληροφοριών (σύστημα διαχείρισης εγγράφων)</w:t>
            </w:r>
          </w:p>
        </w:tc>
      </w:tr>
    </w:tbl>
    <w:p w14:paraId="1FA4212A"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04578922" w14:textId="77777777" w:rsidR="00154AD2" w:rsidRDefault="00154AD2">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154AD2" w:rsidSect="00E00EDD">
          <w:headerReference w:type="even" r:id="rId336"/>
          <w:headerReference w:type="default" r:id="rId337"/>
          <w:footerReference w:type="even" r:id="rId338"/>
          <w:footerReference w:type="default" r:id="rId339"/>
          <w:headerReference w:type="first" r:id="rId340"/>
          <w:footerReference w:type="first" r:id="rId341"/>
          <w:pgSz w:w="16839" w:h="11907" w:orient="landscape"/>
          <w:pgMar w:top="1134" w:right="1134" w:bottom="1134" w:left="1134" w:header="567" w:footer="567" w:gutter="0"/>
          <w:cols w:space="720"/>
          <w:docGrid w:linePitch="360"/>
        </w:sectPr>
      </w:pPr>
    </w:p>
    <w:p w14:paraId="2D348F08" w14:textId="77777777" w:rsidR="00154AD2" w:rsidRDefault="007F6BF3">
      <w:pPr>
        <w:pStyle w:val="P68B1DB1-Normal3"/>
        <w:keepNext/>
        <w:spacing w:before="40" w:after="0" w:line="259" w:lineRule="auto"/>
        <w:ind w:left="130" w:firstLine="720"/>
        <w:jc w:val="both"/>
        <w:outlineLvl w:val="1"/>
        <w:rPr>
          <w:rFonts w:eastAsiaTheme="minorEastAsia" w:cs="Times New Roman"/>
          <w:noProof/>
        </w:rPr>
      </w:pPr>
      <w:r>
        <w:rPr>
          <w:noProof/>
        </w:rPr>
        <w:t>S. ΣΥΝΙΣΤΏΣΑ 19: Ψηφιακή δημόσια διοίκηση</w:t>
      </w:r>
    </w:p>
    <w:p w14:paraId="545FE9CA" w14:textId="77777777" w:rsidR="00154AD2" w:rsidRDefault="007F6BF3">
      <w:pPr>
        <w:pStyle w:val="P68B1DB1-Normal4"/>
        <w:keepNext/>
        <w:spacing w:before="40" w:after="0" w:line="259" w:lineRule="auto"/>
        <w:jc w:val="both"/>
        <w:rPr>
          <w:rFonts w:eastAsiaTheme="minorEastAsia" w:cs="Times New Roman"/>
          <w:noProof/>
        </w:rPr>
      </w:pPr>
      <w:r>
        <w:rPr>
          <w:noProof/>
        </w:rPr>
        <w:t>Αυτή η συνιστώσα του πορτογαλικού σχεδίου ανάκαμψης και ανθεκτικότητας αντιμετωπίζει την πρόκληση της ανάγκης παροχής καλύτερων, απλούστερων και περισσότερων ψηφιακών δημόσιων υπηρεσιών. Ενώ η Πορτογαλία βρίσκεται σε πλεονεκτική θέση όσον αφορά την παροχή ψηφιακών υπηρεσιών, ο κατακερματισμός και η αλληλεπικάλυψη των απαιτήσεων εξακολουθούν να αποτελούν βασικά εμπόδια για μια αποτελεσματική και προσανατολισμένη στους πελάτες δημόσια διοίκηση. Η συνιστώσα αυτή αποσκοπεί στην αντιμετώπιση αυτών των προκλήσεων.</w:t>
      </w:r>
    </w:p>
    <w:p w14:paraId="7E98D9F3"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συνιστώσα αποσκοπεί σε καλύτερη δημόσια υπηρεσία, μέσω της προώθησης της χρήσης τεχνολογικών λύσεων και της ενίσχυσης της εγγύτητας για απλούστερη, ασφαλή, αποτελεσματική και αποδοτική πρόσβαση των πολιτών και των επιχειρήσεων, μειώνοντας το κόστος πλαισίου. Επιπλέον, αποσκοπεί στην προώθηση της αποδοτικότητας, του εκσυγχρονισμού, της καινοτομίας και της ενδυνάμωσης της δημόσιας διοίκησης, στην ενίσχυση της ανθεκτικότητάς της, στη βελτίωση των δεξιοτήτων των δημοσίων υπαλλήλων και στην ενίσχυση της συμβολής του κράτους και της δημόσιας διοίκησης στην οικονομική και κοινωνική μεγέθυνση και ανάπτυξη. </w:t>
      </w:r>
    </w:p>
    <w:p w14:paraId="48EE2AE0"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 Η συνιστώσα αυτή επικεντρώνεται στην εφαρμογή του προτύπου «εξ ορισμού ψηφιακό» και της αρχής «μόνον άπαξ» στη δημόσια διοίκηση της Πορτογαλίας, επενδύοντας παράλληλα στην αναβάθμιση των δεξιοτήτων του εργατικού δυναμικού. </w:t>
      </w:r>
    </w:p>
    <w:p w14:paraId="73EFA6EB"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συνιστώσα αυτή συμβάλλει στην υλοποίηση των ειδικών ανά χώρα συστάσεων σχετικά με: </w:t>
      </w:r>
    </w:p>
    <w:p w14:paraId="4BE37384" w14:textId="77777777" w:rsidR="00154AD2" w:rsidRDefault="007F6BF3">
      <w:pPr>
        <w:pStyle w:val="P68B1DB1-Normal4"/>
        <w:keepNext/>
        <w:numPr>
          <w:ilvl w:val="0"/>
          <w:numId w:val="35"/>
        </w:numPr>
        <w:spacing w:before="40" w:after="0" w:line="259" w:lineRule="auto"/>
        <w:jc w:val="both"/>
        <w:rPr>
          <w:rFonts w:eastAsiaTheme="minorEastAsia" w:cs="Times New Roman"/>
          <w:noProof/>
        </w:rPr>
      </w:pPr>
      <w:r>
        <w:rPr>
          <w:noProof/>
        </w:rPr>
        <w:t xml:space="preserve">προτεραιότητα στις φιλικές προς την ανάπτυξη δαπάνες (ειδικές ανά χώρα συστάσεις 1 2019 και 2020), αξιοποιώντας τα οφέλη αποδοτικότητας που προκύπτουν από την ψηφιοποίηση· </w:t>
      </w:r>
    </w:p>
    <w:p w14:paraId="6FD36964" w14:textId="77777777" w:rsidR="00154AD2" w:rsidRDefault="007F6BF3">
      <w:pPr>
        <w:pStyle w:val="P68B1DB1-Normal4"/>
        <w:keepNext/>
        <w:numPr>
          <w:ilvl w:val="0"/>
          <w:numId w:val="35"/>
        </w:numPr>
        <w:spacing w:before="40" w:after="0" w:line="259" w:lineRule="auto"/>
        <w:jc w:val="both"/>
        <w:rPr>
          <w:rFonts w:eastAsiaTheme="minorEastAsia" w:cs="Times New Roman"/>
          <w:noProof/>
        </w:rPr>
      </w:pPr>
      <w:r>
        <w:rPr>
          <w:noProof/>
        </w:rPr>
        <w:t>βελτίωση του επιπέδου δεξιοτήτων του πληθυσμού (ειδική ανά χώρα σύσταση 2 2019) όσον αφορά τη δημόσια διοίκηση·</w:t>
      </w:r>
    </w:p>
    <w:p w14:paraId="1C7F0463" w14:textId="77777777" w:rsidR="00154AD2" w:rsidRDefault="007F6BF3">
      <w:pPr>
        <w:pStyle w:val="P68B1DB1-Normal4"/>
        <w:keepNext/>
        <w:numPr>
          <w:ilvl w:val="0"/>
          <w:numId w:val="35"/>
        </w:numPr>
        <w:spacing w:before="40" w:after="0" w:line="259" w:lineRule="auto"/>
        <w:jc w:val="both"/>
        <w:rPr>
          <w:rFonts w:eastAsiaTheme="minorEastAsia" w:cs="Times New Roman"/>
          <w:noProof/>
        </w:rPr>
      </w:pPr>
      <w:r>
        <w:rPr>
          <w:noProof/>
        </w:rPr>
        <w:t xml:space="preserve">εστίαση των επενδύσεων στην ψηφιακή μετάβαση (ειδική ανά χώρα σύσταση 3 2020), με επενδύσεις σε οριζόντια και τομεακά συστήματα δημόσιας διοίκησης· και </w:t>
      </w:r>
    </w:p>
    <w:p w14:paraId="4FD80289" w14:textId="77777777" w:rsidR="00154AD2" w:rsidRDefault="007F6BF3">
      <w:pPr>
        <w:pStyle w:val="P68B1DB1-Normal4"/>
        <w:keepNext/>
        <w:numPr>
          <w:ilvl w:val="0"/>
          <w:numId w:val="35"/>
        </w:numPr>
        <w:spacing w:before="40" w:after="0" w:line="259" w:lineRule="auto"/>
        <w:jc w:val="both"/>
        <w:rPr>
          <w:rFonts w:eastAsiaTheme="minorEastAsia" w:cs="Times New Roman"/>
          <w:noProof/>
        </w:rPr>
      </w:pPr>
      <w:r>
        <w:rPr>
          <w:noProof/>
        </w:rPr>
        <w:t xml:space="preserve">μείωση του κανονιστικού και διοικητικού φόρτου για τις επιχειρήσεις (ειδική ανά χώρα σύσταση 4 2019) μέσω της απλούστευσης και της αποτελεσματικότητας των σχέσεων μεταξύ επιχειρήσεων και δημόσιων αρχών, ιδίως μέσω της εφαρμογής της αρχής «μόνον άπαξ». </w:t>
      </w:r>
    </w:p>
    <w:p w14:paraId="2CE620EE" w14:textId="77777777" w:rsidR="00154AD2" w:rsidRDefault="007F6BF3">
      <w:pPr>
        <w:pStyle w:val="P68B1DB1-Normal4"/>
        <w:keepNext/>
        <w:spacing w:before="40" w:after="120" w:line="259" w:lineRule="auto"/>
        <w:ind w:left="720"/>
        <w:jc w:val="both"/>
        <w:rPr>
          <w:rFonts w:eastAsiaTheme="minorEastAsia" w:cs="Times New Roman"/>
          <w:noProof/>
        </w:rPr>
      </w:pPr>
      <w:r>
        <w:rPr>
          <w:noProof/>
        </w:rPr>
        <w:t xml:space="preserve">Αναμένεται ότι κανένα μέτρο στη συνιστώσα αυτή δεν βλάπτει σημαντικά τους περιβαλλοντικούς στόχους κατά την έννοια του άρθρου 17 του κανονισμού (ΕΕ) 2020/852, λαμβανομένης υπόψη της περιγραφής των μέτρων και των μέτρων μετριασμού που ορίζονται στο σχέδιο σύμφωνα με την τεχνική καθοδήγηση σχετικά με την αρχή της μη πρόκλησης σημαντικής βλάβης (2021/C58/01). </w:t>
      </w:r>
    </w:p>
    <w:p w14:paraId="138A182A" w14:textId="77777777" w:rsidR="00154AD2" w:rsidRDefault="007F6BF3">
      <w:pPr>
        <w:pStyle w:val="P68B1DB1-Normal3"/>
        <w:keepNext/>
        <w:spacing w:before="40" w:after="120" w:line="259" w:lineRule="auto"/>
        <w:ind w:left="130" w:firstLine="720"/>
        <w:jc w:val="both"/>
        <w:outlineLvl w:val="1"/>
        <w:rPr>
          <w:rFonts w:eastAsiaTheme="minorEastAsia" w:cs="Times New Roman"/>
          <w:noProof/>
        </w:rPr>
      </w:pPr>
      <w:r>
        <w:rPr>
          <w:noProof/>
        </w:rPr>
        <w:t xml:space="preserve">S.1. </w:t>
      </w:r>
      <w:r>
        <w:rPr>
          <w:noProof/>
        </w:rPr>
        <w:tab/>
        <w:t>Περιγραφή των μεταρρυθμίσεων και των επενδύσεων που είναι επιλέξιμες για λήψη μη επιστρεπτέας χρηματοδοτικής στήριξης</w:t>
      </w:r>
    </w:p>
    <w:p w14:paraId="33CDC499" w14:textId="77777777"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 xml:space="preserve">Μεταρρύθμιση TD-r34: Ψηφιακές, απλές, ασφαλείς και χωρίς αποκλεισμούς δημόσιες υπηρεσίες για τους πολίτες και τις επιχειρήσεις </w:t>
      </w:r>
    </w:p>
    <w:p w14:paraId="77FBE40A"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Στόχος της μεταρρύθμισης είναι να εφαρμοστεί το πρότυπο «εξ ορισμού ψηφιακό» στις δημόσιες υπηρεσίες, να καταστεί περισσότερο προσανατολισμένο στους χρήστες, να αυξηθεί η προσβασιμότητα και να μειωθεί ο διοικητικός φόρτος για τους πολίτες και τις επιχειρήσεις, μεταξύ άλλων με τη χρήση υπηρεσιών υπολογιστικού νέφους. </w:t>
      </w:r>
    </w:p>
    <w:p w14:paraId="15685842"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μεταρρύθμιση συνίσταται στην εφαρμογή μέτρων για να διασφαλιστεί ότι υπάρχει το αναγκαίο νομικό πλαίσιο για την ψηφιακή μετάβαση, ιδίως για την εφαρμογή της ενιαίας ψηφιακής πύλης και της αρχής «μόνον άπαξ», μέσω συντονισμένης διαδικασίας μεταξύ δημόσιων φορέων που εδράζεται σε στρατηγική και σχέδιο δράσης για τον ψηφιακό μετασχηματισμό στη δημόσια διοίκηση για την περίοδο 2021-2024 και 2026-2023, με παράλληλη εφαρμογή των απαιτούμενων διασφαλίσεων ασφάλειας των πληροφοριών, συμπεριλαμβανομένων εκείνων που αφορούν ειδικά την κυβερνοασφάλεια. </w:t>
      </w:r>
    </w:p>
    <w:p w14:paraId="5F0EA2EF" w14:textId="12627A67" w:rsidR="00154AD2" w:rsidRDefault="007F6BF3">
      <w:pPr>
        <w:pStyle w:val="P68B1DB1-Normal4"/>
        <w:keepNext/>
        <w:spacing w:before="40" w:after="0" w:line="259" w:lineRule="auto"/>
        <w:jc w:val="both"/>
        <w:rPr>
          <w:rFonts w:eastAsiaTheme="minorEastAsia" w:cs="Times New Roman"/>
          <w:noProof/>
        </w:rPr>
      </w:pPr>
      <w:r>
        <w:rPr>
          <w:noProof/>
        </w:rPr>
        <w:t>Η εφαρμογή της μεταρρύθμισης ολοκληρώνεται έως τις 30 Σεπτεμβρίου 2021.</w:t>
      </w:r>
    </w:p>
    <w:p w14:paraId="66FE78DD"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4F8D8530" w14:textId="77777777"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Μεταρρύθμιση TD-r35: Λειτουργική και οργανωτική μεταρρύθμιση της δημόσιας διοίκησης</w:t>
      </w:r>
    </w:p>
    <w:p w14:paraId="033B5E87"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Στόχος της μεταρρύθμισης αυτής είναι η αναδιάρθρωση και ο εξορθολογισμός των δημόσιων υπηρεσιών για την προώθηση μιας σύγχρονης και αποτελεσματικότερης δημόσιας διοίκησης, αξιοποιώντας επίσης τις συνέργειες που προκύπτουν από την εφαρμογή της μεταρρύθμισης TD-r34. Επί του παρόντος παρατηρείται διασπορά και πλεονασμοί εντός των υπηρεσιών της κεντρικής κυβέρνησης, γεγονός που οδηγεί στην επανάληψη των υπηρεσιών εντός των υπουργείων, και υψηλό επίπεδο ακαμψίας των μοντέλων παροχής εργασίας στον δημόσιο τομέα, ο οποίος βασίζεται σε αυστηρές ιεραρχικές δομές και οδηγεί σε αδικαιολόγητες γραφειοκρατικές προσεγγίσεις. </w:t>
      </w:r>
    </w:p>
    <w:p w14:paraId="17A61D96"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μεταρρύθμιση αυτή αναθεωρεί το μοντέλο λειτουργίας του κράτους και της δημόσιας διοίκησης εν γένει, ώστε να ενισχυθούν οι συνέργειες και να αξιοποιηθούν οι ευκαιρίες που δημιουργούνται από την τεχνολογία. Αυτό περιλαμβάνει τη συγκέντρωση κοινών και κοινών υπηρεσιών, την αντιμετώπιση της διασποράς και των πλεονασμών εντός των υπηρεσιών της κεντρικής κυβέρνησης, την επαρκή εξειδίκευση των τομεακών άμεσων και έμμεσων φορέων δημόσιας διοίκησης ανά τομείς εμπειρογνωμοσύνης, την εξειδίκευση των κρίσιμων λειτουργιών στήριξης της κυβερνητικής δραστηριότητας και τη συγκέντρωση των κυβερνητικών υπηρεσιών σε έναν ενιαίο φυσικό χώρο και την προώθηση του εσωτερικού ελέγχου και της συγκριτικής αξιολόγησης, τη στόχευση της αποτελεσματικότητας των διαδικασιών, τη συνεχή βελτίωση και τη διάδοση πρακτικών ανώτατης διοίκησης μεταξύ των φορέων δημόσιας διοίκησης. Η μεταρρύθμιση αυτή θα πραγματοποιηθεί μέσω της δημιουργίας μιας δομής αποστολής (Task Force) για τη διάγνωση και τον καθορισμό σχεδίου αναδιοργάνωσης των υπηρεσιών του κεντρικού κράτους, το οποίο θα χρηματοδοτηθεί στο πλαίσιο της TD-C19-i07. </w:t>
      </w:r>
    </w:p>
    <w:p w14:paraId="5AC9D457"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εφαρμογή της μεταρρύθμισης ολοκληρώνεται έως τις 31 Δεκεμβρίου 2023. </w:t>
      </w:r>
    </w:p>
    <w:p w14:paraId="0BE3FE14" w14:textId="77777777"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Μεταρρύθμιση TD-r36: Δημόσια διοίκηση εξουσιοδοτημένη να δημιουργεί δημόσια αξία</w:t>
      </w:r>
    </w:p>
    <w:p w14:paraId="4496EB08" w14:textId="77777777" w:rsidR="00154AD2" w:rsidRDefault="007F6BF3">
      <w:pPr>
        <w:pStyle w:val="P68B1DB1-Normal4"/>
        <w:keepNext/>
        <w:spacing w:before="40" w:after="0" w:line="259" w:lineRule="auto"/>
        <w:jc w:val="both"/>
        <w:rPr>
          <w:rFonts w:eastAsiaTheme="minorEastAsia" w:cs="Times New Roman"/>
          <w:noProof/>
        </w:rPr>
      </w:pPr>
      <w:r>
        <w:rPr>
          <w:noProof/>
        </w:rPr>
        <w:t>Η μεταρρύθμιση αυτή στοχεύει στην αναβάθμιση των δεξιοτήτων των δημόσιων υπαλλήλων, μεταξύ άλλων όσον αφορά τις ψηφιακές τους δεξιότητες, και εφαρμόζει νέα μοντέλα εργασίας (συγκεκριμένα την τηλεργασία). Η μεταρρύθμιση αυτή συνάδει με τα μέτρα που προβλέπονται στη συνιστώσα 6.</w:t>
      </w:r>
    </w:p>
    <w:p w14:paraId="6CC35A5C"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μεταρρύθμιση αυτή, η οποία αποτυπώνεται στη στρατηγική για την καινοτομία και τον εκσυγχρονισμό του κράτους και της δημόσιας διοίκησης του Ιουλίου 2020, θα ενισχύσει τη δομή διαχείρισης και κατάρτισης των δημοσίων υπαλλήλων και της διοίκησης, με τη δημιουργία της δομής για τον συντονισμό των δραστηριοτήτων κατάρτισης ( </w:t>
      </w:r>
      <w:r>
        <w:rPr>
          <w:i/>
          <w:noProof/>
        </w:rPr>
        <w:t>Instituto Nacional de Administração</w:t>
      </w:r>
      <w:r>
        <w:rPr>
          <w:noProof/>
        </w:rPr>
        <w:t xml:space="preserve">), η οποία θα διαχειρίζεται την προώθηση τόσο της προηγμένης κατάρτισης, όπως διευθυντικές δεξιότητες, επιστήμη δεδομένων, μαθήματα εξειδίκευσης, όσο και μέσω της εμβάθυνσης του </w:t>
      </w:r>
      <w:r>
        <w:rPr>
          <w:i/>
          <w:noProof/>
        </w:rPr>
        <w:t>προγράμματος</w:t>
      </w:r>
      <w:r>
        <w:rPr>
          <w:noProof/>
        </w:rPr>
        <w:t xml:space="preserve"> επαγγελματικής κατάρτισης για την αναβάθμιση του επιπέδου των προσόντων των δημοσίων υπαλλήλων, βραχυπρόθεσμα/μεσοπρόθεσμα. Παράλληλα, η μεταρρύθμιση αυτή αποσκοπεί στην αξιοποίηση του δυναμικού της τηλεργασίας στη δημόσια διοίκηση.</w:t>
      </w:r>
    </w:p>
    <w:p w14:paraId="1D6E6E11" w14:textId="77777777" w:rsidR="00154AD2" w:rsidRDefault="007F6BF3">
      <w:pPr>
        <w:pStyle w:val="P68B1DB1-Normal4"/>
        <w:keepNext/>
        <w:spacing w:before="40" w:after="0" w:line="259" w:lineRule="auto"/>
        <w:jc w:val="both"/>
        <w:rPr>
          <w:rFonts w:eastAsiaTheme="minorEastAsia" w:cs="Times New Roman"/>
          <w:noProof/>
        </w:rPr>
      </w:pPr>
      <w:r>
        <w:rPr>
          <w:noProof/>
        </w:rPr>
        <w:t>Συνδέεται άρρηκτα με την επένδυση TD-C19-i07 — Ενδυνάμωση της δημόσιας διοίκησης, η οποία προβλέπει προγράμματα ψηφιακής ικανότητας, προγράμματα επαγγελματικής πρακτικής άσκησης, ανώτερη και προηγμένη κατάρτιση σε θέματα διαχείρισης και την ενίσχυση των δεξιοτήτων των δημοσίων υπαλλήλων εν γένει.</w:t>
      </w:r>
    </w:p>
    <w:p w14:paraId="3081325B"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εφαρμογή της μεταρρύθμισης ολοκληρώνεται έως τις 30 Ιουνίου 2021. </w:t>
      </w:r>
    </w:p>
    <w:p w14:paraId="67759F07" w14:textId="77777777"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 xml:space="preserve">Επένδυση TD-C19-i01: Επανασχεδιασμός των δημόσιων και προξενικών υπηρεσιών </w:t>
      </w:r>
    </w:p>
    <w:p w14:paraId="2662C4CF" w14:textId="77777777" w:rsidR="00154AD2" w:rsidRDefault="007F6BF3">
      <w:pPr>
        <w:pStyle w:val="P68B1DB1-Normal4"/>
        <w:keepNext/>
        <w:spacing w:before="40" w:after="0" w:line="259" w:lineRule="auto"/>
        <w:jc w:val="both"/>
        <w:rPr>
          <w:rFonts w:eastAsiaTheme="minorEastAsia" w:cs="Times New Roman"/>
          <w:noProof/>
        </w:rPr>
      </w:pPr>
      <w:r>
        <w:rPr>
          <w:noProof/>
        </w:rPr>
        <w:t>Στόχος αυτής της επένδυσης είναι η εφαρμογή του ψηφιακού προτύπου εξ ορισμού στην αλληλεπίδραση μεταξύ των ενδιαφερόμενων μερών και της πορτογαλικής δημόσιας διοίκησης, με στόχο τη βελτίωση της αποδοτικότητας και τη μείωση της γραφειοκρατίας. Αποσκοπεί επίσης στην αύξηση της αποτελεσματικότητας των προξενικών υπηρεσιών και στη διασφάλιση της ψηφιακής μετάβασης των οντοτήτων που τελούν υπό τον έλεγχο του Υπουργείου Εξωτερικών.</w:t>
      </w:r>
    </w:p>
    <w:p w14:paraId="522C313A"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Το μέτρο αυτό θα αναμορφώσει το γραφείο εξυπηρέτησης των δημόσιων και προξενικών υπηρεσιών με τη δημιουργία μιας συνολικής ικανότητας απόκρισης (ενιαία ψηφιακή πύλη, κέντρο κλήσεων και υπηρεσίες με φυσική παρουσία), σε συνδυασμό με ένα σύστημα οριζόντιας διακυβέρνησης, αξιοποιώντας το υπολογιστικό νέφος και τη χρήση δικτύων 5G, για την καινοτομία, τη βελτίωση της ποιότητας και τη μείωση των ασυμμετριών στην παροχή δημόσιων υπηρεσιών. </w:t>
      </w:r>
    </w:p>
    <w:p w14:paraId="3624F6F1" w14:textId="47138042" w:rsidR="00154AD2" w:rsidRDefault="007F6BF3">
      <w:pPr>
        <w:pStyle w:val="P68B1DB1-Normal4"/>
        <w:keepNext/>
        <w:spacing w:before="40" w:after="0" w:line="259" w:lineRule="auto"/>
        <w:jc w:val="both"/>
        <w:rPr>
          <w:rFonts w:eastAsiaTheme="minorEastAsia" w:cs="Times New Roman"/>
          <w:noProof/>
        </w:rPr>
      </w:pPr>
      <w:r>
        <w:rPr>
          <w:noProof/>
        </w:rPr>
        <w:t xml:space="preserve">Η επένδυση αυτή θα περιλαμβάνει επίσης τη δημιουργία νέων χώρων </w:t>
      </w:r>
      <w:r>
        <w:rPr>
          <w:i/>
          <w:noProof/>
        </w:rPr>
        <w:t>Espaços cidadão</w:t>
      </w:r>
      <w:r>
        <w:rPr>
          <w:noProof/>
        </w:rPr>
        <w:t xml:space="preserve"> και </w:t>
      </w:r>
      <w:r>
        <w:rPr>
          <w:i/>
          <w:noProof/>
        </w:rPr>
        <w:t>Lojas do Cidadão</w:t>
      </w:r>
      <w:r>
        <w:rPr>
          <w:noProof/>
        </w:rPr>
        <w:t xml:space="preserve"> σε νέους ενεργειακά αποδοτικούς χώρους. </w:t>
      </w:r>
    </w:p>
    <w:p w14:paraId="432248CD" w14:textId="4667BC5C" w:rsidR="00154AD2" w:rsidRDefault="007F6BF3">
      <w:pPr>
        <w:pStyle w:val="P68B1DB1-Normal4"/>
        <w:keepNext/>
        <w:spacing w:before="40" w:after="0" w:line="259" w:lineRule="auto"/>
        <w:jc w:val="both"/>
        <w:rPr>
          <w:rFonts w:eastAsiaTheme="minorEastAsia" w:cs="Times New Roman"/>
          <w:noProof/>
        </w:rPr>
      </w:pPr>
      <w:r>
        <w:rPr>
          <w:noProof/>
        </w:rPr>
        <w:t>Η υλοποίηση της επένδυσης θα ολοκληρωθεί έως τις 30 Ιουνίου 2026.</w:t>
      </w:r>
    </w:p>
    <w:p w14:paraId="154FC4BB" w14:textId="77777777"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Επένδυση TD-C19-i02: Βιώσιμες ηλεκτρονικές υπηρεσίες</w:t>
      </w:r>
      <w:r>
        <w:rPr>
          <w:i/>
          <w:noProof/>
        </w:rPr>
        <w:t xml:space="preserve"> </w:t>
      </w:r>
    </w:p>
    <w:p w14:paraId="303AEEC2"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Στόχος της επένδυσης αυτής είναι η παροχή της απαιτούμενης υποστήριξης στις προηγούμενες επενδύσεις και στοχεύει στην ενίσχυση της αξιοποίησης και της εκμετάλλευσης των δεδομένων από τις δημόσιες υπηρεσίες, στην ενίσχυση της διαλειτουργικότητας και της κοινοχρησίας δεδομένων, καθώς και στη διαλειτουργικότητα με εξωτερικές οντότητες και σε διασυνοριακό επίπεδο (σύνδεση με την ευρωπαϊκή ενιαία πύλη δεδομένων). </w:t>
      </w:r>
    </w:p>
    <w:p w14:paraId="5FE6647D" w14:textId="4C63475B" w:rsidR="00154AD2" w:rsidRDefault="007F6BF3">
      <w:pPr>
        <w:pStyle w:val="P68B1DB1-Normal4"/>
        <w:keepNext/>
        <w:spacing w:before="40" w:after="0" w:line="259" w:lineRule="auto"/>
        <w:jc w:val="both"/>
        <w:rPr>
          <w:rFonts w:eastAsiaTheme="minorEastAsia" w:cs="Times New Roman"/>
          <w:noProof/>
        </w:rPr>
      </w:pPr>
      <w:r>
        <w:rPr>
          <w:noProof/>
        </w:rPr>
        <w:t>Η επένδυση αυτή βασίζεται στη μεταρρύθμιση TD-r34 για τη δημιουργία συντονισμένης διαχείρισης του οικοσυστήματος δεδομένων της δημόσιας διοίκησης, ενσωματώνοντας ασφαλείς λύσεις ταυτοποίησης, μηχανισμούς ελέγχου της πρόσβασης σε δεδομένα και στατιστικές πληροφορίες. Προωθεί την περαιτέρω χρήση των δεδομένων που συλλέγονται από δημόσιες αρχές, εφαρμόζοντας την αρχή «μόνον άπαξ», με βάση τη διαλειτουργικότητα και την ενοποίηση των συστημάτων ΤΠ, και διευρύνοντας τη χρήση λύσεων ηλεκτρονικής ταυτοποίησης. Επιπλέον, προωθεί τα ανοικτά δεδομένα και τη διαθεσιμότητα δεδομένων για ερευνητικούς σκοπούς, προωθώντας παράλληλα τις δεξιότητες στην επιστήμη των δεδομένων.</w:t>
      </w:r>
    </w:p>
    <w:p w14:paraId="24A9EB59" w14:textId="77777777" w:rsidR="00154AD2" w:rsidRDefault="007F6BF3">
      <w:pPr>
        <w:pStyle w:val="P68B1DB1-Normal4"/>
        <w:keepNext/>
        <w:spacing w:before="40" w:after="0" w:line="259" w:lineRule="auto"/>
        <w:jc w:val="both"/>
        <w:rPr>
          <w:rFonts w:eastAsiaTheme="minorEastAsia" w:cs="Times New Roman"/>
          <w:noProof/>
        </w:rPr>
      </w:pPr>
      <w:r>
        <w:rPr>
          <w:noProof/>
        </w:rPr>
        <w:t>Η υλοποίηση της επένδυσης θα ολοκληρωθεί έως τις 31 Μαρτίου 2026.</w:t>
      </w:r>
    </w:p>
    <w:p w14:paraId="25B68A4D" w14:textId="77777777"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 xml:space="preserve">TD-C19-i03: Ενίσχυση του συνολικού πλαισίου κυβερνοασφάλειας </w:t>
      </w:r>
    </w:p>
    <w:p w14:paraId="66E4850F" w14:textId="77777777" w:rsidR="00154AD2" w:rsidRDefault="007F6BF3">
      <w:pPr>
        <w:pStyle w:val="P68B1DB1-Normal4"/>
        <w:keepNext/>
        <w:spacing w:before="40" w:after="0" w:line="259" w:lineRule="auto"/>
        <w:jc w:val="both"/>
        <w:rPr>
          <w:rFonts w:eastAsiaTheme="minorEastAsia" w:cs="Times New Roman"/>
          <w:noProof/>
        </w:rPr>
      </w:pPr>
      <w:r>
        <w:rPr>
          <w:noProof/>
        </w:rPr>
        <w:t>Στόχος αυτής της επένδυσης είναι η βελτίωση των προτύπων και των διαδικασιών ασφάλειας των πληροφοριών για τα επιγραμμικά δεδομένα. Η επένδυση συνδέεται με τις επενδύσεις TD-C19-i01 και TD-C19-i02.</w:t>
      </w:r>
    </w:p>
    <w:p w14:paraId="67D18F87" w14:textId="77777777" w:rsidR="00154AD2" w:rsidRDefault="007F6BF3">
      <w:pPr>
        <w:pStyle w:val="P68B1DB1-Normal4"/>
        <w:keepNext/>
        <w:spacing w:before="40" w:after="0" w:line="259" w:lineRule="auto"/>
        <w:jc w:val="both"/>
        <w:rPr>
          <w:rFonts w:eastAsiaTheme="minorEastAsia" w:cs="Times New Roman"/>
          <w:noProof/>
        </w:rPr>
      </w:pPr>
      <w:r>
        <w:rPr>
          <w:noProof/>
        </w:rPr>
        <w:t>Το μέτρο αυτό αποσκοπεί στην ενίσχυση της εθνικής ενδυνάμωσης στον τομέα της κυβερνοασφάλειας και της ασφάλειας των πληροφοριών και στη δημιουργία των φυσικών και τεχνολογικών συνθηκών για την εφαρμογή και τη θέση σε λειτουργία ενός νέου μοντέλου συντονισμού για την κυβερνοασφάλεια και την ασφάλεια των πληροφοριών. Περιλαμβάνει τέσσερα μέτρα:</w:t>
      </w:r>
    </w:p>
    <w:p w14:paraId="6D7C0A47" w14:textId="77777777" w:rsidR="00154AD2" w:rsidRDefault="007F6BF3">
      <w:pPr>
        <w:pStyle w:val="P68B1DB1-Normal4"/>
        <w:keepNext/>
        <w:numPr>
          <w:ilvl w:val="0"/>
          <w:numId w:val="35"/>
        </w:numPr>
        <w:spacing w:before="40" w:after="160" w:line="259" w:lineRule="auto"/>
        <w:contextualSpacing/>
        <w:jc w:val="both"/>
        <w:rPr>
          <w:rFonts w:eastAsiaTheme="minorEastAsia" w:cs="Times New Roman"/>
          <w:noProof/>
        </w:rPr>
      </w:pPr>
      <w:r>
        <w:rPr>
          <w:noProof/>
        </w:rPr>
        <w:t xml:space="preserve">Αύξηση της ανάπτυξης ικανοτήτων στον τομέα της κυβερνοασφάλειας και της ασφάλειας των πληροφοριών, μέσω της δημιουργίας κέντρων ικανοτήτων για την ανάπτυξη λύσεων κυβερνοασφάλειας για τις ΜΜΕ και τη δημόσια διοίκηση· </w:t>
      </w:r>
    </w:p>
    <w:p w14:paraId="4AA336A2" w14:textId="77777777" w:rsidR="00154AD2" w:rsidRDefault="007F6BF3">
      <w:pPr>
        <w:pStyle w:val="P68B1DB1-Normal4"/>
        <w:keepNext/>
        <w:numPr>
          <w:ilvl w:val="0"/>
          <w:numId w:val="35"/>
        </w:numPr>
        <w:spacing w:before="40" w:after="160" w:line="259" w:lineRule="auto"/>
        <w:contextualSpacing/>
        <w:jc w:val="both"/>
        <w:rPr>
          <w:rFonts w:eastAsiaTheme="minorEastAsia" w:cs="Times New Roman"/>
          <w:noProof/>
        </w:rPr>
      </w:pPr>
      <w:r>
        <w:rPr>
          <w:noProof/>
        </w:rPr>
        <w:t>Ενίσχυση της ασφάλειας κατά τη διαχείριση του κύκλου ζωής των πληροφοριών με την ανάπτυξη της εθνικής ικανότητας κρυπτογράφησης και του ελέγχου των διαβαθμισμένων πληροφοριών·</w:t>
      </w:r>
    </w:p>
    <w:p w14:paraId="7273D3F8" w14:textId="0A1AA4AB" w:rsidR="00154AD2" w:rsidRDefault="007F6BF3">
      <w:pPr>
        <w:pStyle w:val="P68B1DB1-Normal4"/>
        <w:keepNext/>
        <w:numPr>
          <w:ilvl w:val="0"/>
          <w:numId w:val="35"/>
        </w:numPr>
        <w:spacing w:before="40" w:after="160" w:line="259" w:lineRule="auto"/>
        <w:contextualSpacing/>
        <w:jc w:val="both"/>
        <w:rPr>
          <w:rFonts w:eastAsiaTheme="minorEastAsia" w:cs="Times New Roman"/>
          <w:noProof/>
        </w:rPr>
      </w:pPr>
      <w:r>
        <w:rPr>
          <w:noProof/>
        </w:rPr>
        <w:t>Εφαρμογή του εθνικού πλαισίου αναφοράς για την κυβερνοασφάλεια (σύμφωνα με τη μεταρρύθμιση TD-r34), συμπεριλαμβανομένης της διαπίστευσης των φορέων (σε ευθυγράμμιση και αξιοποίηση των μέτρων που περιλαμβάνονται στη συνιστώσα 16)· και</w:t>
      </w:r>
    </w:p>
    <w:p w14:paraId="6097B93E" w14:textId="77777777" w:rsidR="00154AD2" w:rsidRDefault="007F6BF3">
      <w:pPr>
        <w:pStyle w:val="P68B1DB1-Normal4"/>
        <w:keepNext/>
        <w:numPr>
          <w:ilvl w:val="0"/>
          <w:numId w:val="35"/>
        </w:numPr>
        <w:spacing w:before="40" w:after="160" w:line="259" w:lineRule="auto"/>
        <w:contextualSpacing/>
        <w:jc w:val="both"/>
        <w:rPr>
          <w:rFonts w:eastAsiaTheme="minorEastAsia" w:cs="Times New Roman"/>
          <w:noProof/>
        </w:rPr>
      </w:pPr>
      <w:r>
        <w:rPr>
          <w:noProof/>
        </w:rPr>
        <w:t>Δημιουργία των φυσικών και τεχνολογικών συνθηκών για τη θέση σε λειτουργία του νέου μοντέλου συντονισμού της κυβερνοασφάλειας και της ασφάλειας των πληροφοριών (με πλήρη εξουσιοδότηση των σχετικών νέων αρχών).</w:t>
      </w:r>
    </w:p>
    <w:p w14:paraId="37AA6BF2" w14:textId="77777777" w:rsidR="00154AD2" w:rsidRDefault="007F6BF3">
      <w:pPr>
        <w:pStyle w:val="P68B1DB1-Normal4"/>
        <w:keepNext/>
        <w:spacing w:before="40" w:after="0" w:line="259" w:lineRule="auto"/>
        <w:jc w:val="both"/>
        <w:rPr>
          <w:rFonts w:eastAsiaTheme="minorEastAsia" w:cs="Times New Roman"/>
          <w:noProof/>
        </w:rPr>
      </w:pPr>
      <w:r>
        <w:rPr>
          <w:noProof/>
        </w:rPr>
        <w:t>Η υλοποίηση της επένδυσης θα ολοκληρωθεί έως τις 31 Μαρτίου 2026.</w:t>
      </w:r>
    </w:p>
    <w:p w14:paraId="1FFBF663" w14:textId="77777777"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 xml:space="preserve">TD-C19-i04: Αποδοτικές, ασφαλείς και κοινές ψηφιακές υποδομές ζωτικής σημασίας </w:t>
      </w:r>
    </w:p>
    <w:p w14:paraId="2027F4C8" w14:textId="77777777" w:rsidR="00154AD2" w:rsidRDefault="007F6BF3">
      <w:pPr>
        <w:pStyle w:val="P68B1DB1-Normal4"/>
        <w:keepNext/>
        <w:spacing w:before="40" w:after="0" w:line="259" w:lineRule="auto"/>
        <w:jc w:val="both"/>
        <w:rPr>
          <w:rFonts w:eastAsiaTheme="minorEastAsia" w:cs="Times New Roman"/>
          <w:noProof/>
        </w:rPr>
      </w:pPr>
      <w:r>
        <w:rPr>
          <w:noProof/>
        </w:rPr>
        <w:t>Στόχος της επένδυσης αυτής είναι η αύξηση της ανθεκτικότητας των ψηφιακών υποδομών ζωτικής σημασίας, δηλαδή των δικτύων επικοινωνιών έκτακτης ανάγκης και ασφάλειας, καθώς και του κυβερνητικού δικτύου υπολογιστών (RING).</w:t>
      </w:r>
    </w:p>
    <w:p w14:paraId="37E654B4" w14:textId="77777777" w:rsidR="00154AD2" w:rsidRDefault="007F6BF3">
      <w:pPr>
        <w:pStyle w:val="P68B1DB1-Normal4"/>
        <w:keepNext/>
        <w:spacing w:before="40" w:after="0" w:line="259" w:lineRule="auto"/>
        <w:jc w:val="both"/>
        <w:rPr>
          <w:rFonts w:eastAsiaTheme="minorEastAsia" w:cs="Times New Roman"/>
          <w:noProof/>
        </w:rPr>
      </w:pPr>
      <w:r>
        <w:rPr>
          <w:noProof/>
        </w:rPr>
        <w:t>Η επένδυση αυτή θα στοχεύει στο δίκτυο ΤΠ της κυβέρνησης, θα βελτιώσει την κάλυψη και τη χωρητικότητα του κρατικού δικτύου επικοινωνιών έκτακτης ανάγκης και του εθνικού δικτύου εσωτερικής ασφάλειας και θα επανεξετάσει την αρχιτεκτονική των συστημάτων πληροφοριών και των διαδικασιών των δυνάμεων ασφαλείας. Αυτό περιλαμβάνει:</w:t>
      </w:r>
    </w:p>
    <w:p w14:paraId="1A4C5223" w14:textId="77777777" w:rsidR="00154AD2" w:rsidRDefault="007F6BF3">
      <w:pPr>
        <w:pStyle w:val="P68B1DB1-Normal4"/>
        <w:keepNext/>
        <w:numPr>
          <w:ilvl w:val="0"/>
          <w:numId w:val="53"/>
        </w:numPr>
        <w:spacing w:before="40" w:after="160" w:line="259" w:lineRule="auto"/>
        <w:contextualSpacing/>
        <w:jc w:val="both"/>
        <w:rPr>
          <w:rFonts w:eastAsiaTheme="minorEastAsia" w:cs="Times New Roman"/>
          <w:noProof/>
        </w:rPr>
      </w:pPr>
      <w:r>
        <w:rPr>
          <w:noProof/>
        </w:rPr>
        <w:t xml:space="preserve">Ανανέωση των τεχνολογικών συστημάτων για τη διαχείριση και τον έλεγχο των συνόρων, την αστυνομική και δικαστική συνεργασία· </w:t>
      </w:r>
    </w:p>
    <w:p w14:paraId="7CF7CCE5" w14:textId="77777777" w:rsidR="00154AD2" w:rsidRDefault="007F6BF3">
      <w:pPr>
        <w:pStyle w:val="P68B1DB1-Normal4"/>
        <w:keepNext/>
        <w:numPr>
          <w:ilvl w:val="0"/>
          <w:numId w:val="53"/>
        </w:numPr>
        <w:spacing w:before="40" w:after="160" w:line="259" w:lineRule="auto"/>
        <w:contextualSpacing/>
        <w:jc w:val="both"/>
        <w:rPr>
          <w:rFonts w:eastAsiaTheme="minorEastAsia" w:cs="Times New Roman"/>
          <w:noProof/>
        </w:rPr>
      </w:pPr>
      <w:r>
        <w:rPr>
          <w:noProof/>
        </w:rPr>
        <w:t>Σχέδιο 112 των επιχειρησιακών κέντρων — επικαιροποίηση για την κάλυψη νέων προτύπων (νέα γενιά 112)·</w:t>
      </w:r>
    </w:p>
    <w:p w14:paraId="497C78A2" w14:textId="77777777" w:rsidR="00154AD2" w:rsidRDefault="007F6BF3">
      <w:pPr>
        <w:pStyle w:val="P68B1DB1-Normal4"/>
        <w:keepNext/>
        <w:numPr>
          <w:ilvl w:val="0"/>
          <w:numId w:val="53"/>
        </w:numPr>
        <w:spacing w:before="40" w:after="160" w:line="259" w:lineRule="auto"/>
        <w:contextualSpacing/>
        <w:jc w:val="both"/>
        <w:rPr>
          <w:rFonts w:eastAsiaTheme="minorEastAsia" w:cs="Times New Roman"/>
          <w:noProof/>
        </w:rPr>
      </w:pPr>
      <w:r>
        <w:rPr>
          <w:noProof/>
        </w:rPr>
        <w:t>Έργο εθνικού δικτύου εσωτερικής ασφάλειας — επάρκεια των συστημάτων αρχιτεκτονικής ΤΠ και των τεχνολογικών εργαλείων, και κατασκευή και θέση σε λειτουργία ενός νέου κέντρου δεδομένων·</w:t>
      </w:r>
    </w:p>
    <w:p w14:paraId="472CBA0A" w14:textId="77777777" w:rsidR="00154AD2" w:rsidRDefault="007F6BF3">
      <w:pPr>
        <w:pStyle w:val="P68B1DB1-Normal4"/>
        <w:keepNext/>
        <w:numPr>
          <w:ilvl w:val="0"/>
          <w:numId w:val="53"/>
        </w:numPr>
        <w:spacing w:before="40" w:after="160" w:line="259" w:lineRule="auto"/>
        <w:contextualSpacing/>
        <w:jc w:val="both"/>
        <w:rPr>
          <w:rFonts w:eastAsiaTheme="minorEastAsia" w:cs="Times New Roman"/>
          <w:noProof/>
        </w:rPr>
      </w:pPr>
      <w:r>
        <w:rPr>
          <w:noProof/>
        </w:rPr>
        <w:t>Σχέδιο Κρατικού Δικτύου Επικοινωνιών Έκτακτης Ανάγκης (SIRESP) — η επένδυση θα περιλαμβάνει την προώθηση της αλλαγής της τεχνολογίας της επίγειας υποδομής SIRESP (ραχοκοκαλιά), από το E1 έως το IP (πρωτόκολλο διαδικτύου), τη δημιουργία κέντρου αποκατάστασης καταστροφών για συστήματα πληροφοριών που συνδέονται με το SIRESP, καθώς και την υλοποίηση ερτζιανών δοκών σε ορισμένες τοποθεσίες δικτύου, αντικαθιστώντας τις συνδέσεις χαλκού και οπτικών ινών, προκειμένου να εξασφαλιστεί ένα εφεδρικό σύστημα·</w:t>
      </w:r>
    </w:p>
    <w:p w14:paraId="19E9EDA6" w14:textId="77777777" w:rsidR="00154AD2" w:rsidRDefault="007F6BF3">
      <w:pPr>
        <w:pStyle w:val="P68B1DB1-Normal4"/>
        <w:keepNext/>
        <w:numPr>
          <w:ilvl w:val="0"/>
          <w:numId w:val="53"/>
        </w:numPr>
        <w:spacing w:before="40" w:after="160" w:line="259" w:lineRule="auto"/>
        <w:contextualSpacing/>
        <w:jc w:val="both"/>
        <w:rPr>
          <w:rFonts w:eastAsiaTheme="minorEastAsia" w:cs="Times New Roman"/>
          <w:noProof/>
        </w:rPr>
      </w:pPr>
      <w:r>
        <w:rPr>
          <w:noProof/>
        </w:rPr>
        <w:t>Εφαρμογή κοινών υπηρεσιών στις δυνάμεις και υπηρεσίες ασφαλείας, εξάλειψη των πλεονασμάτων σε τεχνικές διαδικασίες, δημιουργία κοινών συστημάτων και μείωση των λειτουργικών δαπανών· και</w:t>
      </w:r>
    </w:p>
    <w:p w14:paraId="3E4EAEE1" w14:textId="77777777" w:rsidR="00154AD2" w:rsidRDefault="007F6BF3">
      <w:pPr>
        <w:pStyle w:val="P68B1DB1-Normal4"/>
        <w:keepNext/>
        <w:numPr>
          <w:ilvl w:val="0"/>
          <w:numId w:val="53"/>
        </w:numPr>
        <w:spacing w:before="40" w:after="160" w:line="259" w:lineRule="auto"/>
        <w:contextualSpacing/>
        <w:jc w:val="both"/>
        <w:rPr>
          <w:rFonts w:eastAsiaTheme="minorEastAsia" w:cs="Times New Roman"/>
          <w:noProof/>
        </w:rPr>
      </w:pPr>
      <w:r>
        <w:rPr>
          <w:noProof/>
        </w:rPr>
        <w:t>Ring — Αναζωογόνηση και εξέλιξη της τεχνολογικής υποδομής και των συστημάτων πληροφοριών του κυβερνητικού κέντρου διαχείρισης δικτύων ΤΠ, κατάρτιση των εργαζομένων, παροχή ολοκληρωμένου συστήματος πολυμέσων και ασφαλών συστημάτων επικοινωνίας και διακυβέρνησης.</w:t>
      </w:r>
    </w:p>
    <w:p w14:paraId="6B97C2B4" w14:textId="77777777" w:rsidR="00154AD2" w:rsidRDefault="007F6BF3">
      <w:pPr>
        <w:pStyle w:val="P68B1DB1-Normal4"/>
        <w:keepNext/>
        <w:spacing w:before="40" w:after="0" w:line="259" w:lineRule="auto"/>
        <w:jc w:val="both"/>
        <w:rPr>
          <w:rFonts w:eastAsiaTheme="minorEastAsia" w:cs="Times New Roman"/>
          <w:noProof/>
        </w:rPr>
      </w:pPr>
      <w:r>
        <w:rPr>
          <w:noProof/>
        </w:rPr>
        <w:t>Η υλοποίηση της επένδυσης θα ολοκληρωθεί έως τις 31 Μαρτίου 2026.</w:t>
      </w:r>
    </w:p>
    <w:p w14:paraId="381572D8" w14:textId="1EFC180A"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 xml:space="preserve">TD-C19-i05-RAM: Ψηφιακή μετάβαση της δημόσιας διοίκησης της Μαδέρας </w:t>
      </w:r>
    </w:p>
    <w:p w14:paraId="29E3A143" w14:textId="77777777" w:rsidR="00154AD2" w:rsidRDefault="007F6BF3">
      <w:pPr>
        <w:pStyle w:val="P68B1DB1-Normal4"/>
        <w:keepNext/>
        <w:spacing w:before="40" w:after="0" w:line="22" w:lineRule="atLeast"/>
        <w:jc w:val="both"/>
        <w:rPr>
          <w:rFonts w:eastAsiaTheme="minorEastAsia" w:cs="Times New Roman"/>
          <w:noProof/>
        </w:rPr>
      </w:pPr>
      <w:r>
        <w:rPr>
          <w:noProof/>
        </w:rPr>
        <w:t xml:space="preserve">Στόχος της επένδυσης αυτής είναι η ενίσχυση της ανθεκτικότητας της δημόσιας διοίκησης, η οποία θα καθιστά διαθέσιμες τις ψηφιακές τεχνολογίες για την παροχή δημόσιων υπηρεσιών. </w:t>
      </w:r>
    </w:p>
    <w:p w14:paraId="62BFA60F" w14:textId="00FFE6EC" w:rsidR="00154AD2" w:rsidRDefault="007F6BF3">
      <w:pPr>
        <w:pStyle w:val="P68B1DB1-Normal4"/>
        <w:keepNext/>
        <w:spacing w:after="160" w:line="22" w:lineRule="atLeast"/>
        <w:jc w:val="both"/>
        <w:rPr>
          <w:rFonts w:eastAsia="Times New Roman" w:cs="Times New Roman"/>
          <w:noProof/>
        </w:rPr>
      </w:pPr>
      <w:r>
        <w:rPr>
          <w:noProof/>
        </w:rPr>
        <w:t>Η επένδυση αυτή ακολουθεί την προσέγγιση που υιοθετήθηκε στις επενδύσεις TD-C19-i01 έως i03, με στόχο τον εκσυγχρονισμό των υποδομών ζωτικής σημασίας και της αρχιτεκτονικής ΤΠ, τη διάθεση ψηφιακών εργαλείων σύμφωνα με τις ανάγκες της δημόσιας διοίκησης και των πολιτών, την αναβάθμιση των δεξιοτήτων των ανθρώπινων πόρων (ιδίως στον τομέα των ψηφιακών δεξιοτήτων), τη διαθεσιμότητα γενικών δημόσιων υπηρεσιών και τη διαλειτουργικότητα και συνδεσιμότητα. Το μέτρο αυτό παρέχει στη δημόσια διοίκηση της Περιφέρειας την υποδομή, τα εργαλεία, τη διαλειτουργικότητα των υπηρεσιών και την τεχνογνωσία για τη διασφάλιση της παροχής ψηφιακών δημόσιων υπηρεσιών. Το μέτρο αναπτύσσει επίσης μια λύση κεντρικής διαχείρισης δεδομένων.</w:t>
      </w:r>
    </w:p>
    <w:p w14:paraId="647A856E" w14:textId="77777777" w:rsidR="00154AD2" w:rsidRDefault="007F6BF3">
      <w:pPr>
        <w:pStyle w:val="P68B1DB1-Normal4"/>
        <w:keepNext/>
        <w:spacing w:before="40" w:after="0" w:line="259" w:lineRule="auto"/>
        <w:jc w:val="both"/>
        <w:rPr>
          <w:rFonts w:eastAsiaTheme="minorEastAsia" w:cs="Times New Roman"/>
          <w:noProof/>
        </w:rPr>
      </w:pPr>
      <w:r>
        <w:rPr>
          <w:noProof/>
        </w:rPr>
        <w:t>Η υλοποίηση της επένδυσης θα ολοκληρωθεί έως τις 30 Ιουνίου 2025.</w:t>
      </w:r>
    </w:p>
    <w:p w14:paraId="4B5DBC4E" w14:textId="722653DB"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 xml:space="preserve">TD-C19-i06-RAA: Ψηφιακή μετάβαση της δημόσιας διοίκησης στις Αζόρες </w:t>
      </w:r>
    </w:p>
    <w:p w14:paraId="660DD307" w14:textId="77777777" w:rsidR="00154AD2" w:rsidRDefault="007F6BF3">
      <w:pPr>
        <w:pStyle w:val="P68B1DB1-Normal4"/>
        <w:keepNext/>
        <w:spacing w:before="40" w:after="0" w:line="259" w:lineRule="auto"/>
        <w:jc w:val="both"/>
        <w:rPr>
          <w:rFonts w:eastAsiaTheme="minorEastAsia" w:cs="Times New Roman"/>
          <w:noProof/>
        </w:rPr>
      </w:pPr>
      <w:r>
        <w:rPr>
          <w:noProof/>
        </w:rPr>
        <w:t>Στόχος αυτής της επένδυσης είναι η στήριξη της ψηφιακής μετάβασης του δημόσιου τομέα και η μείωση του διοικητικού φόρτου για την παροχή καλύτερων δημόσιων υπηρεσιών στους πολίτες και τις επιχειρήσεις.</w:t>
      </w:r>
    </w:p>
    <w:p w14:paraId="3B659374" w14:textId="744A928B" w:rsidR="00154AD2" w:rsidRDefault="007F6BF3">
      <w:pPr>
        <w:pStyle w:val="P68B1DB1-Normal4"/>
        <w:keepNext/>
        <w:spacing w:before="40" w:after="0" w:line="259" w:lineRule="auto"/>
        <w:jc w:val="both"/>
        <w:rPr>
          <w:rFonts w:eastAsiaTheme="minorEastAsia" w:cs="Times New Roman"/>
          <w:noProof/>
        </w:rPr>
      </w:pPr>
      <w:r>
        <w:rPr>
          <w:noProof/>
        </w:rPr>
        <w:t>Το μέτρο αυτό θα στηρίξει την ψηφιακή μετάβαση της δημόσιας υπηρεσίας, επίσης στο πλαίσιο της προσέγγισης «omnichannel», με βάση διαλειτουργικές ψηφιακές υπηρεσίες όπου οι συναλλακτικές υπηρεσίες είναι διαθέσιμες στο διαδίκτυο. Θα επανασχεδιάσει τη δημόσια υπηρεσία ώστε να καταστήσει δυνατές απλούστερες και πιο ευέλικτες υπηρεσίες και θα αυξήσει τις τεχνολογικές συνθήκες για την αποϋλοποίηση των θέσεων εργασίας στη δημόσια διοίκηση, παρέχοντας εικονικό εργασιακό περιβάλλον και κατάρτιση του προσωπικού (όπως ψηφιακές δεξιότητες, διαχείριση και συνεργατική εργασία). Για τη διασφάλιση της ασφάλειας των δεδομένων, συστήνεται κέντρο επιχειρήσεων κυβερνοασφάλειας.</w:t>
      </w:r>
    </w:p>
    <w:p w14:paraId="42D68FCC" w14:textId="77777777" w:rsidR="00154AD2" w:rsidRDefault="007F6BF3">
      <w:pPr>
        <w:pStyle w:val="P68B1DB1-Normal4"/>
        <w:keepNext/>
        <w:spacing w:before="40" w:after="0" w:line="259" w:lineRule="auto"/>
        <w:jc w:val="both"/>
        <w:rPr>
          <w:rFonts w:eastAsiaTheme="minorEastAsia" w:cs="Times New Roman"/>
          <w:noProof/>
        </w:rPr>
      </w:pPr>
      <w:r>
        <w:rPr>
          <w:noProof/>
        </w:rPr>
        <w:t>Η υλοποίηση της επένδυσης θα ολοκληρωθεί έως τις 31 Δεκεμβρίου 2025.</w:t>
      </w:r>
    </w:p>
    <w:p w14:paraId="3C5769F7" w14:textId="77777777"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TD-C19-i07: Δημόσια διοίκηση εξουσιοδοτημένη να δημιουργεί δημόσια αξία</w:t>
      </w:r>
    </w:p>
    <w:p w14:paraId="0088EEF1" w14:textId="77777777" w:rsidR="00154AD2" w:rsidRDefault="007F6BF3">
      <w:pPr>
        <w:pStyle w:val="P68B1DB1-Normal4"/>
        <w:keepNext/>
        <w:spacing w:before="40" w:after="0" w:line="259" w:lineRule="auto"/>
        <w:jc w:val="both"/>
        <w:rPr>
          <w:rFonts w:eastAsiaTheme="minorEastAsia" w:cs="Times New Roman"/>
          <w:noProof/>
        </w:rPr>
      </w:pPr>
      <w:r>
        <w:rPr>
          <w:noProof/>
        </w:rPr>
        <w:t>Στόχος αυτής της επένδυσης είναι να εξασφαλιστεί ότι η δημόσια διοίκηση διαθέτει την απαραίτητη τεχνογνωσία, ιδίως όσον αφορά τις διευθυντικές δεξιότητες και την τεχνολογία, για την παροχή υπηρεσιών υψηλής ποιότητας στο κοινό.</w:t>
      </w:r>
    </w:p>
    <w:p w14:paraId="20434E99" w14:textId="6144F8EC" w:rsidR="00154AD2" w:rsidRDefault="007F6BF3">
      <w:pPr>
        <w:pStyle w:val="P68B1DB1-Normal4"/>
        <w:keepNext/>
        <w:spacing w:before="40" w:after="0" w:line="259" w:lineRule="auto"/>
        <w:jc w:val="both"/>
        <w:rPr>
          <w:rFonts w:eastAsiaTheme="minorEastAsia" w:cs="Times New Roman"/>
          <w:noProof/>
        </w:rPr>
      </w:pPr>
      <w:r>
        <w:rPr>
          <w:noProof/>
        </w:rPr>
        <w:t>Η επένδυση αυτή αποσκοπεί στην ανάπτυξη της προσφοράς κατάρτισης στους εργαζομένους και τα διευθυντικά στελέχη της δημόσιας διοίκησης, στην προώθηση της προσέλκυσης ταλέντων μέσω της προσφοράς προγραμμάτων πρακτικής άσκησης και στην προώθηση της τηλεργασίας. Ειδικότερα, περιλαμβάνει ψηφιακά προγράμματα διευκόλυνσης, ανώτερη και προηγμένη κατάρτιση σε θέματα διοίκησης, καθώς και γενική κατάρτιση και αναβάθμιση των δεξιοτήτων των δημοσίων υπαλλήλων.</w:t>
      </w:r>
    </w:p>
    <w:p w14:paraId="512AFC27" w14:textId="77777777" w:rsidR="00154AD2" w:rsidRDefault="007F6BF3">
      <w:pPr>
        <w:pStyle w:val="P68B1DB1-Normal4"/>
        <w:keepNext/>
        <w:spacing w:before="40" w:after="0" w:line="259" w:lineRule="auto"/>
        <w:jc w:val="both"/>
        <w:rPr>
          <w:rFonts w:eastAsiaTheme="minorEastAsia" w:cs="Times New Roman"/>
          <w:noProof/>
        </w:rPr>
      </w:pPr>
      <w:r>
        <w:rPr>
          <w:noProof/>
        </w:rPr>
        <w:t>Το μέτρο αυτό περιλαμβάνει επίσης τη δημιουργία του κέντρου ικανοτήτων για τον σχεδιασμό, την πολιτική και τη διερεύνηση προοπτικών στη δημόσια διοίκηση, το οποίο είναι σημαντικό για την ενίσχυση των ικανοτήτων στήριξης του καθορισμού και της εφαρμογής δημόσιων πολιτικών, της αξιολόγησης πολιτικής και της ανάλυσης προοπτικών.</w:t>
      </w:r>
    </w:p>
    <w:p w14:paraId="79184ED3" w14:textId="77777777" w:rsidR="00154AD2" w:rsidRDefault="007F6BF3">
      <w:pPr>
        <w:pStyle w:val="P68B1DB1-Normal4"/>
        <w:keepNext/>
        <w:spacing w:before="40" w:after="0" w:line="259" w:lineRule="auto"/>
        <w:jc w:val="both"/>
        <w:rPr>
          <w:rFonts w:eastAsiaTheme="minorEastAsia" w:cs="Times New Roman"/>
          <w:noProof/>
        </w:rPr>
      </w:pPr>
      <w:r>
        <w:rPr>
          <w:noProof/>
        </w:rPr>
        <w:t>Επιπλέον, όπως αναφέρεται στη μεταρρύθμιση TD-r35, στο πλαίσιο αυτής της επένδυσης δημιουργείται δομή αποστολής για τη στήριξη της αναδιοργάνωσης των δημόσιων υπηρεσιών.</w:t>
      </w:r>
    </w:p>
    <w:p w14:paraId="3494F754" w14:textId="77777777" w:rsidR="00154AD2" w:rsidRDefault="007F6BF3">
      <w:pPr>
        <w:pStyle w:val="P68B1DB1-Normal4"/>
        <w:keepNext/>
        <w:spacing w:before="40" w:after="0" w:line="259" w:lineRule="auto"/>
        <w:jc w:val="both"/>
        <w:rPr>
          <w:rFonts w:eastAsiaTheme="minorEastAsia" w:cs="Times New Roman"/>
          <w:noProof/>
        </w:rPr>
      </w:pPr>
      <w:r>
        <w:rPr>
          <w:noProof/>
        </w:rPr>
        <w:t>Η υλοποίηση της επένδυσης θα ολοκληρωθεί έως τις 31 Μαρτίου 2026.</w:t>
      </w:r>
    </w:p>
    <w:p w14:paraId="33A26B41" w14:textId="0518C380"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 xml:space="preserve">Μεταρρύθμιση TD-C19-r41: Πρόσβαση στις δημόσιες υπηρεσίες: εναρμόνιση και ενοποίηση της διά ζώσης και της επιγραμμικής πρόσβασης </w:t>
      </w:r>
    </w:p>
    <w:p w14:paraId="78F96C8F" w14:textId="085A25C0" w:rsidR="00154AD2" w:rsidRDefault="007F6BF3">
      <w:pPr>
        <w:pStyle w:val="P68B1DB1-Normal4"/>
        <w:spacing w:before="40" w:after="0" w:line="259" w:lineRule="auto"/>
        <w:jc w:val="both"/>
        <w:rPr>
          <w:rFonts w:cs="Times New Roman"/>
          <w:noProof/>
        </w:rPr>
      </w:pPr>
      <w:r>
        <w:rPr>
          <w:noProof/>
        </w:rPr>
        <w:t xml:space="preserve">Στόχος αυτής της μεταρρύθμισης είναι η εμβάθυνση της ψηφιακής μετάβασης της δημόσιας διοίκησης και η αξιοποίηση των νέων τεχνολογιών για τον μετασχηματισμό του υφιστάμενου μοντέλου δημόσιας υπηρεσίας. </w:t>
      </w:r>
    </w:p>
    <w:p w14:paraId="13C6A2E3" w14:textId="0566F40C" w:rsidR="00154AD2" w:rsidRDefault="007F6BF3">
      <w:pPr>
        <w:pStyle w:val="P68B1DB1-Normal4"/>
        <w:spacing w:before="40" w:after="0" w:line="259" w:lineRule="auto"/>
        <w:jc w:val="both"/>
        <w:rPr>
          <w:rFonts w:eastAsia="@MS Mincho" w:cs="Times New Roman"/>
          <w:noProof/>
        </w:rPr>
      </w:pPr>
      <w:r>
        <w:rPr>
          <w:noProof/>
        </w:rPr>
        <w:t>Η μεταρρύθμιση συνίσταται στην έναρξη ισχύος μιας νομοθετικής πράξης που εναρμονίζει και ενοποιεί τους κανόνες σχετικά με την πρόσβαση σε δημόσιες υπηρεσίες με φυσική παρουσία και εξ αποστάσεως (διαδικτυακά, μέσω εφαρμογής, τηλεφωνικά). Η εν λόγω νομοθετική πράξη θα διευρύνει επίσης τον αριθμό των δημόσιων υπηρεσιών που διατίθενται στην ενιαία πύλη των δημόσιων υπηρεσιών.</w:t>
      </w:r>
    </w:p>
    <w:p w14:paraId="46639889" w14:textId="77777777" w:rsidR="00154AD2" w:rsidRDefault="007F6BF3">
      <w:pPr>
        <w:pStyle w:val="P68B1DB1-Normal4"/>
        <w:spacing w:before="40" w:after="0" w:line="259" w:lineRule="auto"/>
        <w:jc w:val="both"/>
        <w:rPr>
          <w:rFonts w:cs="Times New Roman"/>
          <w:noProof/>
        </w:rPr>
      </w:pPr>
      <w:r>
        <w:rPr>
          <w:noProof/>
        </w:rPr>
        <w:t>Η εφαρμογή της μεταρρύθμισης ολοκληρώνεται έως τις 30 Σεπτεμβρίου 2025.</w:t>
      </w:r>
    </w:p>
    <w:p w14:paraId="7DE1A9CA" w14:textId="2210B9E1" w:rsidR="00154AD2" w:rsidRDefault="007F6BF3">
      <w:pPr>
        <w:pStyle w:val="P68B1DB1-Heading214"/>
        <w:spacing w:before="240"/>
        <w:rPr>
          <w:noProof/>
        </w:rPr>
      </w:pPr>
      <w:r>
        <w:rPr>
          <w:noProof/>
        </w:rPr>
        <w:t>Μεταρρύθμιση TD-C19-r42: Νέο σύστημα αξιολόγησης για την ενδυνάμωση και την ανανέωση του εργατικού δυναμικού της δημόσιας διοίκησης</w:t>
      </w:r>
    </w:p>
    <w:p w14:paraId="553B9ED2" w14:textId="1CFBDB39" w:rsidR="00154AD2" w:rsidRDefault="007F6BF3">
      <w:pPr>
        <w:pStyle w:val="P68B1DB1-Normal4"/>
        <w:spacing w:beforeLines="40" w:before="96" w:after="0" w:line="22" w:lineRule="atLeast"/>
        <w:jc w:val="both"/>
        <w:rPr>
          <w:rFonts w:cs="Times New Roman"/>
          <w:noProof/>
        </w:rPr>
      </w:pPr>
      <w:r>
        <w:rPr>
          <w:noProof/>
        </w:rPr>
        <w:t xml:space="preserve">Κύριος στόχος αυτής της μεταρρύθμισης είναι η αντιμετώπιση μιας από τις κύριες προκλήσεις που αντιμετωπίζει η πορτογαλική δημόσια διοίκηση: την ικανότητά της να αναζωογονεί το εργατικό δυναμικό της και να προσελκύει και να διατηρεί ταλέντα. </w:t>
      </w:r>
    </w:p>
    <w:p w14:paraId="6B48C29E" w14:textId="77777777" w:rsidR="00154AD2" w:rsidRDefault="007F6BF3">
      <w:pPr>
        <w:pStyle w:val="P68B1DB1-Normal4"/>
        <w:spacing w:beforeLines="40" w:before="96" w:after="0" w:line="22" w:lineRule="atLeast"/>
        <w:jc w:val="both"/>
        <w:rPr>
          <w:rFonts w:cs="Times New Roman"/>
          <w:noProof/>
        </w:rPr>
      </w:pPr>
      <w:r>
        <w:rPr>
          <w:noProof/>
        </w:rPr>
        <w:t>Η μεταρρύθμιση αυτή συνίσταται στην αναθεώρηση του συστήματος αξιολόγησης των επιδόσεων στη δημόσια διοίκηση (ολοκληρωμένο σύστημα διαχείρισης και αξιολόγησης των επιδόσεων στη δημόσια διοίκηση — SIADAP) με την τροποποίηση του νομικού πλαισίου. Η αναθεωρημένη SIADAP:</w:t>
      </w:r>
    </w:p>
    <w:p w14:paraId="615F098E" w14:textId="77777777" w:rsidR="00154AD2" w:rsidRDefault="007F6BF3">
      <w:pPr>
        <w:pStyle w:val="ListParagraph"/>
        <w:keepNext w:val="0"/>
        <w:numPr>
          <w:ilvl w:val="0"/>
          <w:numId w:val="82"/>
        </w:numPr>
        <w:spacing w:beforeLines="40" w:before="96" w:after="0" w:line="22" w:lineRule="atLeast"/>
        <w:rPr>
          <w:noProof/>
        </w:rPr>
      </w:pPr>
      <w:r>
        <w:rPr>
          <w:noProof/>
        </w:rPr>
        <w:t xml:space="preserve">Αλλαγή της συχνότητας της αξιολόγησης (από δύο έτη σε ετήσια βάση)· </w:t>
      </w:r>
    </w:p>
    <w:p w14:paraId="15FE64A1" w14:textId="77777777" w:rsidR="00154AD2" w:rsidRDefault="007F6BF3">
      <w:pPr>
        <w:pStyle w:val="ListParagraph"/>
        <w:keepNext w:val="0"/>
        <w:numPr>
          <w:ilvl w:val="0"/>
          <w:numId w:val="82"/>
        </w:numPr>
        <w:spacing w:beforeLines="40" w:before="96" w:after="0" w:line="22" w:lineRule="atLeast"/>
        <w:rPr>
          <w:noProof/>
        </w:rPr>
      </w:pPr>
      <w:r>
        <w:rPr>
          <w:noProof/>
        </w:rPr>
        <w:t xml:space="preserve">Να αυξήσουν το ποσοστό των εργαζομένων που μπορούν να λάβουν τις δύο κορυφαίες βαθμολογίες επιδόσεων και τα αντίστοιχα μόρια τους ανά κύκλο αξιολόγησης· </w:t>
      </w:r>
    </w:p>
    <w:p w14:paraId="5B67385F" w14:textId="77777777" w:rsidR="00154AD2" w:rsidRDefault="007F6BF3">
      <w:pPr>
        <w:pStyle w:val="ListParagraph"/>
        <w:keepNext w:val="0"/>
        <w:numPr>
          <w:ilvl w:val="0"/>
          <w:numId w:val="82"/>
        </w:numPr>
        <w:spacing w:beforeLines="40" w:before="96" w:after="0" w:line="22" w:lineRule="atLeast"/>
        <w:rPr>
          <w:noProof/>
        </w:rPr>
      </w:pPr>
      <w:r>
        <w:rPr>
          <w:noProof/>
        </w:rPr>
        <w:t xml:space="preserve">Να εισαχθεί πρόσθετος βαθμός απόδοσης· </w:t>
      </w:r>
    </w:p>
    <w:p w14:paraId="3CD9DEDD" w14:textId="2385DC1D" w:rsidR="00154AD2" w:rsidRDefault="007F6BF3">
      <w:pPr>
        <w:pStyle w:val="ListParagraph"/>
        <w:keepNext w:val="0"/>
        <w:numPr>
          <w:ilvl w:val="0"/>
          <w:numId w:val="82"/>
        </w:numPr>
        <w:spacing w:beforeLines="40" w:before="96" w:after="0" w:line="22" w:lineRule="atLeast"/>
        <w:rPr>
          <w:noProof/>
        </w:rPr>
      </w:pPr>
      <w:r>
        <w:rPr>
          <w:noProof/>
        </w:rPr>
        <w:t xml:space="preserve">Να καταρτίσει τον κατάλογο των προς αξιολόγηση αρμοδιοτήτων στο πλαίσιο του προφίλ αρμοδιοτήτων της δημόσιας διοίκησης·  </w:t>
      </w:r>
    </w:p>
    <w:p w14:paraId="0D4797D5" w14:textId="615A1814" w:rsidR="00154AD2" w:rsidRDefault="007F6BF3">
      <w:pPr>
        <w:pStyle w:val="ListParagraph"/>
        <w:keepNext w:val="0"/>
        <w:numPr>
          <w:ilvl w:val="0"/>
          <w:numId w:val="82"/>
        </w:numPr>
        <w:spacing w:beforeLines="40" w:before="96" w:after="0" w:line="22" w:lineRule="atLeast"/>
        <w:rPr>
          <w:noProof/>
        </w:rPr>
      </w:pPr>
      <w:r>
        <w:rPr>
          <w:noProof/>
        </w:rPr>
        <w:t>Προσδιορισμός των αναγκών για περαιτέρω ανάπτυξη των ικανοτήτων και της αντίστοιχης κατάρτισης.</w:t>
      </w:r>
    </w:p>
    <w:p w14:paraId="0E988E2A" w14:textId="585AA569" w:rsidR="00154AD2" w:rsidRDefault="007F6BF3">
      <w:pPr>
        <w:pStyle w:val="P68B1DB1-Normal4"/>
        <w:spacing w:beforeLines="40" w:before="96" w:after="0" w:line="22" w:lineRule="atLeast"/>
        <w:jc w:val="both"/>
        <w:rPr>
          <w:rFonts w:cs="Times New Roman"/>
          <w:noProof/>
        </w:rPr>
      </w:pPr>
      <w:r>
        <w:rPr>
          <w:noProof/>
        </w:rPr>
        <w:t xml:space="preserve">Επιπλέον, μαζί με την αναθεώρηση του μοντέλου SIADAP, η μεταρρύθμιση περιλαμβάνει επίσης την αναθεώρηση του προφίλ ικανοτήτων της δημόσιας διοίκησης που περιλαμβάνει τις ικανότητες που πρέπει να αξιολογούνται στη διαδικασία πρόσληψης και επιλογής, στο σύστημα αξιολόγησης των επιδόσεων και να περιλαμβάνονται στην επαγγελματική κατάρτιση. </w:t>
      </w:r>
    </w:p>
    <w:p w14:paraId="0D929530" w14:textId="5F2DFF63" w:rsidR="00154AD2" w:rsidRDefault="007F6BF3">
      <w:pPr>
        <w:pStyle w:val="P68B1DB1-Normal4"/>
        <w:spacing w:beforeLines="40" w:before="96" w:after="0" w:line="22" w:lineRule="atLeast"/>
        <w:jc w:val="both"/>
        <w:rPr>
          <w:rFonts w:cs="Times New Roman"/>
          <w:noProof/>
        </w:rPr>
      </w:pPr>
      <w:r>
        <w:rPr>
          <w:noProof/>
        </w:rPr>
        <w:t xml:space="preserve">Η μεταρρύθμιση περιλαμβάνει επίσης την ανάπτυξη πλατφόρμας ΤΠ στην οποία θα λειτουργεί το SIADAP. Παρέχεται ειδική κατάρτιση για τη μάθηση του τρόπου χρήσης της πλατφόρμας. </w:t>
      </w:r>
    </w:p>
    <w:p w14:paraId="6FA49BD3" w14:textId="291EABB7" w:rsidR="00154AD2" w:rsidRDefault="007F6BF3">
      <w:pPr>
        <w:pStyle w:val="P68B1DB1-Normal4"/>
        <w:spacing w:beforeLines="40" w:before="96" w:after="0" w:line="22" w:lineRule="atLeast"/>
        <w:jc w:val="both"/>
        <w:rPr>
          <w:rFonts w:cs="Times New Roman"/>
          <w:noProof/>
        </w:rPr>
      </w:pPr>
      <w:r>
        <w:rPr>
          <w:noProof/>
        </w:rPr>
        <w:t>Η εφαρμογή της μεταρρύθμισης ολοκληρώνεται έως τις 31 Μαρτίου 2025.</w:t>
      </w:r>
    </w:p>
    <w:p w14:paraId="61D9A60B" w14:textId="76B79EF0" w:rsidR="00154AD2" w:rsidRDefault="007F6BF3">
      <w:pPr>
        <w:pStyle w:val="P68B1DB1-Heading214"/>
        <w:spacing w:before="240"/>
        <w:rPr>
          <w:noProof/>
        </w:rPr>
      </w:pPr>
      <w:r>
        <w:rPr>
          <w:noProof/>
        </w:rPr>
        <w:t>Επένδυση TD-C19-i08 Ευφυή εδάφη</w:t>
      </w:r>
    </w:p>
    <w:p w14:paraId="75C3ED74" w14:textId="77777777" w:rsidR="00154AD2" w:rsidRDefault="007F6BF3">
      <w:pPr>
        <w:pStyle w:val="P68B1DB1-Normal4"/>
        <w:spacing w:beforeLines="40" w:before="96" w:after="0" w:line="22" w:lineRule="atLeast"/>
        <w:jc w:val="both"/>
        <w:rPr>
          <w:rFonts w:cs="Times New Roman"/>
          <w:noProof/>
        </w:rPr>
      </w:pPr>
      <w:r>
        <w:rPr>
          <w:noProof/>
        </w:rPr>
        <w:t xml:space="preserve">Η επένδυση αυτή αποσκοπεί στη δημιουργία ενός νέου προτύπου για τον σχεδιασμό και τη διαχείριση πόλεων και εδαφών με βάση δημόσιες πολιτικές που βασίζονται σε δεδομένα. </w:t>
      </w:r>
    </w:p>
    <w:p w14:paraId="787965D6" w14:textId="77777777" w:rsidR="00154AD2" w:rsidRDefault="007F6BF3">
      <w:pPr>
        <w:pStyle w:val="P68B1DB1-Normal4"/>
        <w:spacing w:beforeLines="40" w:before="96" w:after="0" w:line="22" w:lineRule="atLeast"/>
        <w:jc w:val="both"/>
        <w:rPr>
          <w:rFonts w:cs="Times New Roman"/>
          <w:noProof/>
        </w:rPr>
      </w:pPr>
      <w:r>
        <w:rPr>
          <w:noProof/>
        </w:rPr>
        <w:t>Η επένδυση περιλαμβάνει:</w:t>
      </w:r>
    </w:p>
    <w:p w14:paraId="22DF1388" w14:textId="148F8DD1" w:rsidR="00154AD2" w:rsidRDefault="007F6BF3">
      <w:pPr>
        <w:pStyle w:val="ListParagraph"/>
        <w:keepNext w:val="0"/>
        <w:numPr>
          <w:ilvl w:val="0"/>
          <w:numId w:val="84"/>
        </w:numPr>
        <w:spacing w:beforeLines="40" w:before="96" w:after="0" w:line="22" w:lineRule="atLeast"/>
        <w:rPr>
          <w:noProof/>
        </w:rPr>
      </w:pPr>
      <w:r>
        <w:rPr>
          <w:noProof/>
        </w:rPr>
        <w:t>Ανάπτυξη και έναρξη λειτουργίας της δικτυακής πύλης για τα έξυπνα εδάφη. Η πύλη αυτή διαθέτει επιγραμμικό αποθετήριο σχετικών πληροφοριών σε τοπικό, περιφερειακό και εθνικό επίπεδο, όπως ορθές πρακτικές, καθοδήγηση, πληροφορίες σχετικά με τα πρότυπα, τις νομοθετικές και κανονιστικές διατάξεις και πληροφορίες σχετικά με τις πηγές χρηματοδότησης των έργων.</w:t>
      </w:r>
    </w:p>
    <w:p w14:paraId="12D7477F" w14:textId="6BE4E225" w:rsidR="00154AD2" w:rsidRDefault="007F6BF3">
      <w:pPr>
        <w:pStyle w:val="ListParagraph"/>
        <w:keepNext w:val="0"/>
        <w:numPr>
          <w:ilvl w:val="0"/>
          <w:numId w:val="84"/>
        </w:numPr>
        <w:spacing w:beforeLines="40" w:before="96" w:after="0" w:line="22" w:lineRule="atLeast"/>
        <w:rPr>
          <w:noProof/>
        </w:rPr>
      </w:pPr>
      <w:r>
        <w:rPr>
          <w:noProof/>
        </w:rPr>
        <w:t xml:space="preserve">Ανάπτυξη, δρομολόγηση ή αναβάθμιση πλατφορμών αστικής διαχείρισης (UMP) σε 75 δήμους και κοινότητες/κοινότητες μητροπολιτικών περιοχών, συμπεριλαμβανομένης της ψηφιοποίησης των διαδικασιών στέγασης και χωροταξικού σχεδιασμού. </w:t>
      </w:r>
    </w:p>
    <w:p w14:paraId="61C1C578" w14:textId="29C677AC" w:rsidR="00154AD2" w:rsidRDefault="007F6BF3">
      <w:pPr>
        <w:pStyle w:val="ListParagraph"/>
        <w:keepNext w:val="0"/>
        <w:numPr>
          <w:ilvl w:val="0"/>
          <w:numId w:val="84"/>
        </w:numPr>
        <w:spacing w:beforeLines="40" w:before="96" w:after="0" w:line="22" w:lineRule="atLeast"/>
        <w:rPr>
          <w:noProof/>
        </w:rPr>
      </w:pPr>
      <w:r>
        <w:rPr>
          <w:noProof/>
        </w:rPr>
        <w:t xml:space="preserve">Την ανάπτυξη ψηφιακών διδύμων (ψηφιακή αναπαράσταση ενός επιδιωκόμενου ή πραγματικού φυσικού προϊόντος, συστήματος ή διαδικασίας σε πραγματικές συνθήκες για πρακτικούς σκοπούς) σε εθνικούς τομείς προτεραιότητας, όπως το νερό και η γεωργία, η ανθεκτικότητα στην κλιματική αλλαγή, η κινητικότητα και η απαλλαγή από τις ανθρακούχες εκπομπές, η υγεία, η ενέργεια, ο τουρισμός, η πολιτική προστασία. </w:t>
      </w:r>
    </w:p>
    <w:p w14:paraId="61C1750B" w14:textId="479FE5E9" w:rsidR="00154AD2" w:rsidRDefault="007F6BF3">
      <w:pPr>
        <w:pStyle w:val="ListParagraph"/>
        <w:keepNext w:val="0"/>
        <w:numPr>
          <w:ilvl w:val="0"/>
          <w:numId w:val="84"/>
        </w:numPr>
        <w:spacing w:beforeLines="40" w:before="96" w:after="0" w:line="22" w:lineRule="atLeast"/>
        <w:rPr>
          <w:noProof/>
        </w:rPr>
      </w:pPr>
      <w:r>
        <w:rPr>
          <w:noProof/>
        </w:rPr>
        <w:t xml:space="preserve">Ανάπτυξη και δρομολόγηση ενός πίνακα δεικτών δημόσιας πολιτικής για την υποστήριξη της λήψης πολιτικών αποφάσεων από δημόσιους φορείς σε διάφορα ιεραρχικά επίπεδα, με συστηματικές και επικαιροποιημένες πληροφορίες. </w:t>
      </w:r>
    </w:p>
    <w:p w14:paraId="55B408C7" w14:textId="24E1FBE6" w:rsidR="00154AD2" w:rsidRDefault="007F6BF3">
      <w:pPr>
        <w:pStyle w:val="ListParagraph"/>
        <w:keepNext w:val="0"/>
        <w:numPr>
          <w:ilvl w:val="0"/>
          <w:numId w:val="84"/>
        </w:numPr>
        <w:spacing w:beforeLines="40" w:before="96" w:after="0" w:line="22" w:lineRule="atLeast"/>
        <w:rPr>
          <w:noProof/>
        </w:rPr>
      </w:pPr>
      <w:r>
        <w:rPr>
          <w:noProof/>
        </w:rPr>
        <w:t>Την ανάπτυξη περιεχομένου και την παροχή κατάρτισης σχετικά με τη συλλογή και τη διαχείριση δεδομένων, τα πρότυπα, τα ανοικτά πρότυπα, τις διεπαφές προγραμματισμού εφαρμογών και άλλο περιεχόμενο που συνδέεται με έξυπνες πόλεις και κτίρια, καθώς και τη βιωσιμότητα.</w:t>
      </w:r>
    </w:p>
    <w:p w14:paraId="7B990B4E" w14:textId="66208460" w:rsidR="00154AD2" w:rsidRDefault="007F6BF3">
      <w:pPr>
        <w:pStyle w:val="P68B1DB1-Normal4"/>
        <w:spacing w:beforeLines="40" w:before="96" w:after="0" w:line="22" w:lineRule="atLeast"/>
        <w:jc w:val="both"/>
        <w:rPr>
          <w:rFonts w:cs="Times New Roman"/>
          <w:noProof/>
        </w:rPr>
      </w:pPr>
      <w:r>
        <w:rPr>
          <w:noProof/>
        </w:rPr>
        <w:t>Η υλοποίηση της επένδυσης θα ολοκληρωθεί έως τις 30 Ιουνίου 2026.</w:t>
      </w:r>
    </w:p>
    <w:p w14:paraId="681015AA"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77CC8938" w14:textId="77777777" w:rsidR="00154AD2" w:rsidRDefault="00154AD2">
      <w:pPr>
        <w:keepNext/>
        <w:spacing w:before="40" w:after="0" w:line="259" w:lineRule="auto"/>
        <w:rPr>
          <w:rFonts w:ascii="Times New Roman" w:eastAsiaTheme="minorEastAsia" w:hAnsi="Times New Roman" w:cs="Times New Roman"/>
          <w:noProof/>
          <w:sz w:val="24"/>
        </w:rPr>
        <w:sectPr w:rsidR="00154AD2" w:rsidSect="00E00EDD">
          <w:headerReference w:type="even" r:id="rId342"/>
          <w:headerReference w:type="default" r:id="rId343"/>
          <w:footerReference w:type="even" r:id="rId344"/>
          <w:footerReference w:type="default" r:id="rId345"/>
          <w:headerReference w:type="first" r:id="rId346"/>
          <w:footerReference w:type="first" r:id="rId347"/>
          <w:pgSz w:w="11907" w:h="16839"/>
          <w:pgMar w:top="1134" w:right="1134" w:bottom="1134" w:left="1134" w:header="567" w:footer="567" w:gutter="0"/>
          <w:cols w:space="720"/>
          <w:docGrid w:linePitch="360"/>
        </w:sectPr>
      </w:pPr>
    </w:p>
    <w:p w14:paraId="7CB91F94" w14:textId="77777777" w:rsidR="00154AD2" w:rsidRDefault="007F6BF3">
      <w:pPr>
        <w:pStyle w:val="P68B1DB1-Normal3"/>
        <w:keepNext/>
        <w:spacing w:before="40" w:after="0" w:line="259" w:lineRule="auto"/>
        <w:ind w:left="130" w:firstLine="720"/>
        <w:jc w:val="both"/>
        <w:outlineLvl w:val="1"/>
        <w:rPr>
          <w:rFonts w:eastAsiaTheme="minorEastAsia" w:cs="Times New Roman"/>
          <w:noProof/>
        </w:rPr>
      </w:pPr>
      <w:r>
        <w:rPr>
          <w:noProof/>
        </w:rPr>
        <w:t xml:space="preserve">S.2. </w:t>
      </w:r>
      <w:r>
        <w:rPr>
          <w:noProof/>
        </w:rPr>
        <w:tab/>
        <w:t>Ορόσημα, στόχοι, δείκτες και χρονοδιάγραμμα για την παρακολούθηση και την υλοποίηση της μη επιστρεπτέας χρηματοδοτικής στήριξης</w:t>
      </w:r>
    </w:p>
    <w:p w14:paraId="64FD62E1" w14:textId="77777777" w:rsidR="00154AD2" w:rsidRDefault="00154AD2">
      <w:pPr>
        <w:keepNext/>
        <w:spacing w:before="40" w:after="0" w:line="259" w:lineRule="auto"/>
        <w:jc w:val="both"/>
        <w:rPr>
          <w:rFonts w:ascii="Times New Roman" w:eastAsiaTheme="minorEastAsia" w:hAnsi="Times New Roman" w:cs="Times New Roman"/>
          <w:noProof/>
          <w:sz w:val="24"/>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1186"/>
        <w:gridCol w:w="1058"/>
        <w:gridCol w:w="1573"/>
        <w:gridCol w:w="1314"/>
        <w:gridCol w:w="1110"/>
        <w:gridCol w:w="928"/>
        <w:gridCol w:w="670"/>
        <w:gridCol w:w="542"/>
        <w:gridCol w:w="670"/>
        <w:gridCol w:w="4347"/>
      </w:tblGrid>
      <w:tr w:rsidR="00154AD2" w14:paraId="088C7A32" w14:textId="77777777">
        <w:trPr>
          <w:trHeight w:val="910"/>
          <w:tblHeader/>
        </w:trPr>
        <w:tc>
          <w:tcPr>
            <w:tcW w:w="1082" w:type="dxa"/>
            <w:vMerge w:val="restart"/>
            <w:shd w:val="clear" w:color="auto" w:fill="BDD6EE"/>
            <w:vAlign w:val="center"/>
            <w:hideMark/>
          </w:tcPr>
          <w:p w14:paraId="67C74427" w14:textId="77777777" w:rsidR="00154AD2" w:rsidRDefault="007F6BF3">
            <w:pPr>
              <w:pStyle w:val="P68B1DB1-Normal6"/>
              <w:spacing w:after="0" w:line="240" w:lineRule="auto"/>
              <w:jc w:val="center"/>
              <w:rPr>
                <w:rFonts w:eastAsia="Times New Roman" w:cs="Times New Roman"/>
                <w:noProof/>
              </w:rPr>
            </w:pPr>
            <w:r>
              <w:rPr>
                <w:noProof/>
              </w:rPr>
              <w:t>Αύξων αριθμός</w:t>
            </w:r>
          </w:p>
        </w:tc>
        <w:tc>
          <w:tcPr>
            <w:tcW w:w="1211" w:type="dxa"/>
            <w:vMerge w:val="restart"/>
            <w:shd w:val="clear" w:color="auto" w:fill="BDD6EE"/>
            <w:vAlign w:val="center"/>
            <w:hideMark/>
          </w:tcPr>
          <w:p w14:paraId="628E7404" w14:textId="77777777" w:rsidR="00154AD2" w:rsidRDefault="007F6BF3">
            <w:pPr>
              <w:pStyle w:val="P68B1DB1-Normal6"/>
              <w:spacing w:after="0" w:line="240" w:lineRule="auto"/>
              <w:jc w:val="center"/>
              <w:rPr>
                <w:rFonts w:eastAsia="Times New Roman" w:cs="Times New Roman"/>
                <w:noProof/>
              </w:rPr>
            </w:pPr>
            <w:r>
              <w:rPr>
                <w:noProof/>
              </w:rPr>
              <w:t>Μέτρο (Μεταρρύθμιση ή Επενδύσεις)</w:t>
            </w:r>
          </w:p>
        </w:tc>
        <w:tc>
          <w:tcPr>
            <w:tcW w:w="1080" w:type="dxa"/>
            <w:vMerge w:val="restart"/>
            <w:shd w:val="clear" w:color="auto" w:fill="BDD6EE"/>
            <w:vAlign w:val="center"/>
            <w:hideMark/>
          </w:tcPr>
          <w:p w14:paraId="0E05B438" w14:textId="53E6D5D2" w:rsidR="00154AD2" w:rsidRDefault="007F6BF3">
            <w:pPr>
              <w:pStyle w:val="P68B1DB1-Normal6"/>
              <w:spacing w:after="0" w:line="240" w:lineRule="auto"/>
              <w:jc w:val="center"/>
              <w:rPr>
                <w:rFonts w:eastAsia="Times New Roman" w:cs="Times New Roman"/>
                <w:noProof/>
              </w:rPr>
            </w:pPr>
            <w:r>
              <w:rPr>
                <w:noProof/>
              </w:rPr>
              <w:t>Ορόσημο/Στόχος</w:t>
            </w:r>
          </w:p>
        </w:tc>
        <w:tc>
          <w:tcPr>
            <w:tcW w:w="1609" w:type="dxa"/>
            <w:vMerge w:val="restart"/>
            <w:shd w:val="clear" w:color="auto" w:fill="BDD6EE"/>
            <w:vAlign w:val="center"/>
            <w:hideMark/>
          </w:tcPr>
          <w:p w14:paraId="0BDF7800" w14:textId="77777777" w:rsidR="00154AD2" w:rsidRDefault="007F6BF3">
            <w:pPr>
              <w:pStyle w:val="P68B1DB1-Normal6"/>
              <w:spacing w:after="0" w:line="240" w:lineRule="auto"/>
              <w:jc w:val="center"/>
              <w:rPr>
                <w:rFonts w:eastAsia="Times New Roman" w:cs="Times New Roman"/>
                <w:noProof/>
              </w:rPr>
            </w:pPr>
            <w:r>
              <w:rPr>
                <w:noProof/>
              </w:rPr>
              <w:t>Όνομα</w:t>
            </w:r>
          </w:p>
        </w:tc>
        <w:tc>
          <w:tcPr>
            <w:tcW w:w="1343" w:type="dxa"/>
            <w:vMerge w:val="restart"/>
            <w:shd w:val="clear" w:color="auto" w:fill="BDD6EE"/>
            <w:vAlign w:val="center"/>
            <w:hideMark/>
          </w:tcPr>
          <w:p w14:paraId="170B5F8F" w14:textId="77777777" w:rsidR="00154AD2" w:rsidRDefault="007F6BF3">
            <w:pPr>
              <w:pStyle w:val="P68B1DB1-Normal6"/>
              <w:spacing w:after="0" w:line="240" w:lineRule="auto"/>
              <w:jc w:val="center"/>
              <w:rPr>
                <w:rFonts w:eastAsia="Times New Roman" w:cs="Times New Roman"/>
                <w:noProof/>
              </w:rPr>
            </w:pPr>
            <w:r>
              <w:rPr>
                <w:noProof/>
              </w:rPr>
              <w:t>Ποιοτικοί δείκτες (για τα ορόσημα)</w:t>
            </w:r>
          </w:p>
        </w:tc>
        <w:tc>
          <w:tcPr>
            <w:tcW w:w="2444" w:type="dxa"/>
            <w:gridSpan w:val="3"/>
            <w:shd w:val="clear" w:color="auto" w:fill="BDD6EE"/>
            <w:vAlign w:val="center"/>
            <w:hideMark/>
          </w:tcPr>
          <w:p w14:paraId="2A5DB656" w14:textId="77777777" w:rsidR="00154AD2" w:rsidRDefault="007F6BF3">
            <w:pPr>
              <w:pStyle w:val="P68B1DB1-Normal6"/>
              <w:spacing w:after="0" w:line="240" w:lineRule="auto"/>
              <w:jc w:val="center"/>
              <w:rPr>
                <w:rFonts w:eastAsia="Times New Roman" w:cs="Times New Roman"/>
                <w:noProof/>
              </w:rPr>
            </w:pPr>
            <w:r>
              <w:rPr>
                <w:noProof/>
              </w:rPr>
              <w:t>Ποσοτικοί δείκτες (για τους στόχους)</w:t>
            </w:r>
          </w:p>
        </w:tc>
        <w:tc>
          <w:tcPr>
            <w:tcW w:w="1232" w:type="dxa"/>
            <w:gridSpan w:val="2"/>
            <w:shd w:val="clear" w:color="auto" w:fill="BDD6EE"/>
            <w:vAlign w:val="center"/>
            <w:hideMark/>
          </w:tcPr>
          <w:p w14:paraId="6828BC5C" w14:textId="77777777" w:rsidR="00154AD2" w:rsidRDefault="007F6BF3">
            <w:pPr>
              <w:pStyle w:val="P68B1DB1-Normal6"/>
              <w:spacing w:after="0" w:line="240" w:lineRule="auto"/>
              <w:jc w:val="center"/>
              <w:rPr>
                <w:rFonts w:eastAsia="Times New Roman" w:cs="Times New Roman"/>
                <w:noProof/>
              </w:rPr>
            </w:pPr>
            <w:r>
              <w:rPr>
                <w:noProof/>
              </w:rPr>
              <w:t>Ενδεικτικό χρονοδιάγραμμα ολοκλήρωσης</w:t>
            </w:r>
          </w:p>
        </w:tc>
        <w:tc>
          <w:tcPr>
            <w:tcW w:w="4458" w:type="dxa"/>
            <w:vMerge w:val="restart"/>
            <w:shd w:val="clear" w:color="auto" w:fill="BDD6EE"/>
            <w:vAlign w:val="center"/>
            <w:hideMark/>
          </w:tcPr>
          <w:p w14:paraId="7DCEFB52" w14:textId="77777777" w:rsidR="00154AD2" w:rsidRDefault="007F6BF3">
            <w:pPr>
              <w:pStyle w:val="P68B1DB1-Normal6"/>
              <w:spacing w:after="0" w:line="240" w:lineRule="auto"/>
              <w:jc w:val="center"/>
              <w:rPr>
                <w:rFonts w:eastAsia="Times New Roman" w:cs="Times New Roman"/>
                <w:noProof/>
              </w:rPr>
            </w:pPr>
            <w:r>
              <w:rPr>
                <w:noProof/>
              </w:rPr>
              <w:t>Περιγραφή και σαφής ορισμός κάθε ορόσημου και στόχου</w:t>
            </w:r>
          </w:p>
        </w:tc>
      </w:tr>
      <w:tr w:rsidR="00154AD2" w14:paraId="4548F8B7" w14:textId="77777777">
        <w:trPr>
          <w:trHeight w:val="470"/>
          <w:tblHeader/>
        </w:trPr>
        <w:tc>
          <w:tcPr>
            <w:tcW w:w="1082" w:type="dxa"/>
            <w:vMerge/>
            <w:vAlign w:val="center"/>
            <w:hideMark/>
          </w:tcPr>
          <w:p w14:paraId="103877F4" w14:textId="77777777" w:rsidR="00154AD2" w:rsidRDefault="00154AD2">
            <w:pPr>
              <w:spacing w:after="0" w:line="240" w:lineRule="auto"/>
              <w:rPr>
                <w:rFonts w:ascii="Times New Roman" w:eastAsia="Times New Roman" w:hAnsi="Times New Roman" w:cs="Times New Roman"/>
                <w:b/>
                <w:noProof/>
                <w:sz w:val="18"/>
              </w:rPr>
            </w:pPr>
          </w:p>
        </w:tc>
        <w:tc>
          <w:tcPr>
            <w:tcW w:w="1211" w:type="dxa"/>
            <w:vMerge/>
            <w:vAlign w:val="center"/>
            <w:hideMark/>
          </w:tcPr>
          <w:p w14:paraId="615E906C" w14:textId="77777777" w:rsidR="00154AD2" w:rsidRDefault="00154AD2">
            <w:pPr>
              <w:spacing w:after="0" w:line="240" w:lineRule="auto"/>
              <w:rPr>
                <w:rFonts w:ascii="Times New Roman" w:eastAsia="Times New Roman" w:hAnsi="Times New Roman" w:cs="Times New Roman"/>
                <w:b/>
                <w:noProof/>
                <w:sz w:val="18"/>
              </w:rPr>
            </w:pPr>
          </w:p>
        </w:tc>
        <w:tc>
          <w:tcPr>
            <w:tcW w:w="1080" w:type="dxa"/>
            <w:vMerge/>
            <w:vAlign w:val="center"/>
            <w:hideMark/>
          </w:tcPr>
          <w:p w14:paraId="03D775B3" w14:textId="2BE8587E" w:rsidR="00154AD2" w:rsidRDefault="00154AD2">
            <w:pPr>
              <w:spacing w:after="0" w:line="240" w:lineRule="auto"/>
              <w:jc w:val="center"/>
              <w:rPr>
                <w:rFonts w:ascii="Times New Roman" w:eastAsia="Times New Roman" w:hAnsi="Times New Roman" w:cs="Times New Roman"/>
                <w:b/>
                <w:noProof/>
                <w:sz w:val="18"/>
              </w:rPr>
            </w:pPr>
          </w:p>
        </w:tc>
        <w:tc>
          <w:tcPr>
            <w:tcW w:w="1609" w:type="dxa"/>
            <w:vMerge/>
            <w:vAlign w:val="center"/>
            <w:hideMark/>
          </w:tcPr>
          <w:p w14:paraId="7BCB0E2B" w14:textId="77777777" w:rsidR="00154AD2" w:rsidRDefault="00154AD2">
            <w:pPr>
              <w:spacing w:after="0" w:line="240" w:lineRule="auto"/>
              <w:rPr>
                <w:rFonts w:ascii="Times New Roman" w:eastAsia="Times New Roman" w:hAnsi="Times New Roman" w:cs="Times New Roman"/>
                <w:b/>
                <w:noProof/>
                <w:sz w:val="18"/>
              </w:rPr>
            </w:pPr>
          </w:p>
        </w:tc>
        <w:tc>
          <w:tcPr>
            <w:tcW w:w="1343" w:type="dxa"/>
            <w:vMerge/>
            <w:vAlign w:val="center"/>
            <w:hideMark/>
          </w:tcPr>
          <w:p w14:paraId="37EB8607" w14:textId="77777777" w:rsidR="00154AD2" w:rsidRDefault="00154AD2">
            <w:pPr>
              <w:spacing w:after="0" w:line="240" w:lineRule="auto"/>
              <w:rPr>
                <w:rFonts w:ascii="Times New Roman" w:eastAsia="Times New Roman" w:hAnsi="Times New Roman" w:cs="Times New Roman"/>
                <w:b/>
                <w:noProof/>
                <w:sz w:val="18"/>
              </w:rPr>
            </w:pPr>
          </w:p>
        </w:tc>
        <w:tc>
          <w:tcPr>
            <w:tcW w:w="1134" w:type="dxa"/>
            <w:shd w:val="clear" w:color="auto" w:fill="BDD6EE"/>
            <w:vAlign w:val="center"/>
            <w:hideMark/>
          </w:tcPr>
          <w:p w14:paraId="61817E80" w14:textId="77777777" w:rsidR="00154AD2" w:rsidRDefault="007F6BF3">
            <w:pPr>
              <w:pStyle w:val="P68B1DB1-Normal6"/>
              <w:spacing w:after="0" w:line="240" w:lineRule="auto"/>
              <w:jc w:val="center"/>
              <w:rPr>
                <w:rFonts w:eastAsia="Times New Roman" w:cs="Times New Roman"/>
                <w:noProof/>
              </w:rPr>
            </w:pPr>
            <w:r>
              <w:rPr>
                <w:noProof/>
              </w:rPr>
              <w:t>Μονάδα μέτρησης</w:t>
            </w:r>
          </w:p>
        </w:tc>
        <w:tc>
          <w:tcPr>
            <w:tcW w:w="947" w:type="dxa"/>
            <w:shd w:val="clear" w:color="auto" w:fill="BDD6EE"/>
            <w:vAlign w:val="center"/>
            <w:hideMark/>
          </w:tcPr>
          <w:p w14:paraId="3FDEEB09" w14:textId="77777777" w:rsidR="00154AD2" w:rsidRDefault="007F6BF3">
            <w:pPr>
              <w:pStyle w:val="P68B1DB1-Normal6"/>
              <w:spacing w:after="0" w:line="240" w:lineRule="auto"/>
              <w:jc w:val="center"/>
              <w:rPr>
                <w:rFonts w:eastAsia="Times New Roman" w:cs="Times New Roman"/>
                <w:noProof/>
              </w:rPr>
            </w:pPr>
            <w:r>
              <w:rPr>
                <w:noProof/>
              </w:rPr>
              <w:t>Γραμμή βάσης</w:t>
            </w:r>
          </w:p>
        </w:tc>
        <w:tc>
          <w:tcPr>
            <w:tcW w:w="682" w:type="dxa"/>
            <w:shd w:val="clear" w:color="auto" w:fill="BDD6EE"/>
            <w:vAlign w:val="center"/>
            <w:hideMark/>
          </w:tcPr>
          <w:p w14:paraId="65EB9FBE" w14:textId="77777777" w:rsidR="00154AD2" w:rsidRDefault="007F6BF3">
            <w:pPr>
              <w:pStyle w:val="P68B1DB1-Normal6"/>
              <w:spacing w:after="0" w:line="240" w:lineRule="auto"/>
              <w:jc w:val="center"/>
              <w:rPr>
                <w:rFonts w:eastAsia="Times New Roman" w:cs="Times New Roman"/>
                <w:noProof/>
              </w:rPr>
            </w:pPr>
            <w:r>
              <w:rPr>
                <w:noProof/>
              </w:rPr>
              <w:t>Στόχοι</w:t>
            </w:r>
          </w:p>
        </w:tc>
        <w:tc>
          <w:tcPr>
            <w:tcW w:w="550" w:type="dxa"/>
            <w:shd w:val="clear" w:color="auto" w:fill="BDD6EE"/>
            <w:vAlign w:val="center"/>
            <w:hideMark/>
          </w:tcPr>
          <w:p w14:paraId="1B5C364F" w14:textId="77777777" w:rsidR="00154AD2" w:rsidRDefault="007F6BF3">
            <w:pPr>
              <w:pStyle w:val="P68B1DB1-Normal6"/>
              <w:spacing w:after="0" w:line="240" w:lineRule="auto"/>
              <w:jc w:val="center"/>
              <w:rPr>
                <w:rFonts w:eastAsia="Times New Roman" w:cs="Times New Roman"/>
                <w:noProof/>
              </w:rPr>
            </w:pPr>
            <w:r>
              <w:rPr>
                <w:noProof/>
              </w:rPr>
              <w:t>Ε</w:t>
            </w:r>
          </w:p>
        </w:tc>
        <w:tc>
          <w:tcPr>
            <w:tcW w:w="682" w:type="dxa"/>
            <w:shd w:val="clear" w:color="auto" w:fill="BDD6EE"/>
            <w:vAlign w:val="center"/>
            <w:hideMark/>
          </w:tcPr>
          <w:p w14:paraId="3B9C38F6" w14:textId="77777777" w:rsidR="00154AD2" w:rsidRDefault="007F6BF3">
            <w:pPr>
              <w:pStyle w:val="P68B1DB1-Normal6"/>
              <w:spacing w:after="0" w:line="240" w:lineRule="auto"/>
              <w:jc w:val="center"/>
              <w:rPr>
                <w:rFonts w:eastAsia="Times New Roman" w:cs="Times New Roman"/>
                <w:noProof/>
              </w:rPr>
            </w:pPr>
            <w:r>
              <w:rPr>
                <w:noProof/>
              </w:rPr>
              <w:t>Έτος</w:t>
            </w:r>
          </w:p>
        </w:tc>
        <w:tc>
          <w:tcPr>
            <w:tcW w:w="4458" w:type="dxa"/>
            <w:vMerge/>
            <w:vAlign w:val="center"/>
            <w:hideMark/>
          </w:tcPr>
          <w:p w14:paraId="7341FB0C" w14:textId="77777777" w:rsidR="00154AD2" w:rsidRDefault="00154AD2">
            <w:pPr>
              <w:spacing w:after="0" w:line="240" w:lineRule="auto"/>
              <w:rPr>
                <w:rFonts w:ascii="Times New Roman" w:eastAsia="Times New Roman" w:hAnsi="Times New Roman" w:cs="Times New Roman"/>
                <w:b/>
                <w:noProof/>
                <w:sz w:val="18"/>
              </w:rPr>
            </w:pPr>
          </w:p>
        </w:tc>
      </w:tr>
      <w:tr w:rsidR="00154AD2" w14:paraId="1E167ECE" w14:textId="77777777">
        <w:trPr>
          <w:trHeight w:val="420"/>
        </w:trPr>
        <w:tc>
          <w:tcPr>
            <w:tcW w:w="1082" w:type="dxa"/>
            <w:shd w:val="clear" w:color="auto" w:fill="C4EFCE"/>
            <w:vAlign w:val="center"/>
            <w:hideMark/>
          </w:tcPr>
          <w:p w14:paraId="1B7A59FA" w14:textId="77777777" w:rsidR="00154AD2" w:rsidRDefault="007F6BF3">
            <w:pPr>
              <w:pStyle w:val="P68B1DB1-Normal7"/>
              <w:spacing w:after="0" w:line="240" w:lineRule="auto"/>
              <w:jc w:val="center"/>
              <w:rPr>
                <w:rFonts w:eastAsia="Times New Roman" w:cs="Calibri"/>
                <w:noProof/>
              </w:rPr>
            </w:pPr>
            <w:r>
              <w:rPr>
                <w:noProof/>
              </w:rPr>
              <w:t>19.1</w:t>
            </w:r>
          </w:p>
        </w:tc>
        <w:tc>
          <w:tcPr>
            <w:tcW w:w="1211" w:type="dxa"/>
            <w:shd w:val="clear" w:color="auto" w:fill="C4EFCE"/>
            <w:noWrap/>
            <w:vAlign w:val="center"/>
            <w:hideMark/>
          </w:tcPr>
          <w:p w14:paraId="3FDA88F6" w14:textId="77777777" w:rsidR="00154AD2" w:rsidRDefault="007F6BF3">
            <w:pPr>
              <w:pStyle w:val="P68B1DB1-Normal8"/>
              <w:spacing w:after="0" w:line="240" w:lineRule="auto"/>
              <w:jc w:val="center"/>
              <w:rPr>
                <w:rFonts w:eastAsia="Times New Roman" w:cs="Calibri"/>
                <w:noProof/>
              </w:rPr>
            </w:pPr>
            <w:r>
              <w:rPr>
                <w:noProof/>
              </w:rPr>
              <w:t>TD-C19-i01</w:t>
            </w:r>
          </w:p>
        </w:tc>
        <w:tc>
          <w:tcPr>
            <w:tcW w:w="1080" w:type="dxa"/>
            <w:shd w:val="clear" w:color="auto" w:fill="C4EFCE"/>
            <w:noWrap/>
            <w:vAlign w:val="center"/>
            <w:hideMark/>
          </w:tcPr>
          <w:p w14:paraId="3DC52799" w14:textId="77777777" w:rsidR="00154AD2" w:rsidRDefault="007F6BF3">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4F8CF771" w14:textId="77777777" w:rsidR="00154AD2" w:rsidRDefault="007F6BF3">
            <w:pPr>
              <w:pStyle w:val="P68B1DB1-Normal8"/>
              <w:spacing w:after="0" w:line="240" w:lineRule="auto"/>
              <w:jc w:val="center"/>
              <w:rPr>
                <w:rFonts w:eastAsia="Times New Roman" w:cs="Calibri"/>
                <w:noProof/>
              </w:rPr>
            </w:pPr>
            <w:r>
              <w:rPr>
                <w:noProof/>
              </w:rPr>
              <w:t>Δημόσιες υπηρεσίες διαθέσιμες με απλουστευμένο και συνεκτικό τρόπο μέσω διαφόρων διαύλων</w:t>
            </w:r>
          </w:p>
        </w:tc>
        <w:tc>
          <w:tcPr>
            <w:tcW w:w="1343" w:type="dxa"/>
            <w:shd w:val="clear" w:color="auto" w:fill="C4EFCE"/>
            <w:noWrap/>
            <w:vAlign w:val="center"/>
            <w:hideMark/>
          </w:tcPr>
          <w:p w14:paraId="6DFD823D" w14:textId="77777777" w:rsidR="00154AD2" w:rsidRDefault="007F6BF3">
            <w:pPr>
              <w:pStyle w:val="P68B1DB1-Normal8"/>
              <w:spacing w:after="0" w:line="240" w:lineRule="auto"/>
              <w:jc w:val="center"/>
              <w:rPr>
                <w:rFonts w:eastAsia="Times New Roman" w:cs="Calibri"/>
                <w:noProof/>
              </w:rPr>
            </w:pPr>
            <w:r>
              <w:rPr>
                <w:noProof/>
              </w:rPr>
              <w:t> </w:t>
            </w:r>
          </w:p>
        </w:tc>
        <w:tc>
          <w:tcPr>
            <w:tcW w:w="1134" w:type="dxa"/>
            <w:shd w:val="clear" w:color="auto" w:fill="C4EFCE"/>
            <w:noWrap/>
            <w:vAlign w:val="center"/>
            <w:hideMark/>
          </w:tcPr>
          <w:p w14:paraId="317A5659"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47" w:type="dxa"/>
            <w:shd w:val="clear" w:color="auto" w:fill="C4EFCE"/>
            <w:noWrap/>
            <w:vAlign w:val="center"/>
            <w:hideMark/>
          </w:tcPr>
          <w:p w14:paraId="3D4F554C" w14:textId="77777777" w:rsidR="00154AD2" w:rsidRDefault="007F6BF3">
            <w:pPr>
              <w:pStyle w:val="P68B1DB1-Normal8"/>
              <w:spacing w:after="0" w:line="240" w:lineRule="auto"/>
              <w:jc w:val="center"/>
              <w:rPr>
                <w:rFonts w:eastAsia="Times New Roman" w:cs="Calibri"/>
                <w:noProof/>
              </w:rPr>
            </w:pPr>
            <w:r>
              <w:rPr>
                <w:noProof/>
              </w:rPr>
              <w:t>0</w:t>
            </w:r>
          </w:p>
        </w:tc>
        <w:tc>
          <w:tcPr>
            <w:tcW w:w="682" w:type="dxa"/>
            <w:shd w:val="clear" w:color="auto" w:fill="C4EFCE"/>
            <w:noWrap/>
            <w:vAlign w:val="center"/>
            <w:hideMark/>
          </w:tcPr>
          <w:p w14:paraId="27880A98" w14:textId="77777777" w:rsidR="00154AD2" w:rsidRDefault="007F6BF3">
            <w:pPr>
              <w:pStyle w:val="P68B1DB1-Normal8"/>
              <w:spacing w:after="0" w:line="240" w:lineRule="auto"/>
              <w:jc w:val="center"/>
              <w:rPr>
                <w:rFonts w:eastAsia="Times New Roman" w:cs="Calibri"/>
                <w:noProof/>
              </w:rPr>
            </w:pPr>
            <w:r>
              <w:rPr>
                <w:noProof/>
              </w:rPr>
              <w:t>5</w:t>
            </w:r>
          </w:p>
        </w:tc>
        <w:tc>
          <w:tcPr>
            <w:tcW w:w="550" w:type="dxa"/>
            <w:shd w:val="clear" w:color="auto" w:fill="C4EFCE"/>
            <w:noWrap/>
            <w:vAlign w:val="center"/>
            <w:hideMark/>
          </w:tcPr>
          <w:p w14:paraId="290B35B9"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82" w:type="dxa"/>
            <w:shd w:val="clear" w:color="auto" w:fill="C4EFCE"/>
            <w:noWrap/>
            <w:vAlign w:val="center"/>
            <w:hideMark/>
          </w:tcPr>
          <w:p w14:paraId="2E18BF24" w14:textId="77777777" w:rsidR="00154AD2" w:rsidRDefault="007F6BF3">
            <w:pPr>
              <w:pStyle w:val="P68B1DB1-Normal8"/>
              <w:spacing w:after="0" w:line="240" w:lineRule="auto"/>
              <w:jc w:val="center"/>
              <w:rPr>
                <w:rFonts w:eastAsia="Times New Roman" w:cs="Calibri"/>
                <w:noProof/>
              </w:rPr>
            </w:pPr>
            <w:r>
              <w:rPr>
                <w:noProof/>
              </w:rPr>
              <w:t>2022</w:t>
            </w:r>
          </w:p>
        </w:tc>
        <w:tc>
          <w:tcPr>
            <w:tcW w:w="4458" w:type="dxa"/>
            <w:shd w:val="clear" w:color="auto" w:fill="C4EFCE"/>
            <w:vAlign w:val="center"/>
            <w:hideMark/>
          </w:tcPr>
          <w:p w14:paraId="2F2A0419" w14:textId="77777777" w:rsidR="00154AD2" w:rsidRDefault="007F6BF3">
            <w:pPr>
              <w:pStyle w:val="P68B1DB1-Normal8"/>
              <w:spacing w:after="0" w:line="240" w:lineRule="auto"/>
              <w:jc w:val="both"/>
              <w:rPr>
                <w:rFonts w:eastAsia="Times New Roman" w:cs="Calibri"/>
                <w:noProof/>
              </w:rPr>
            </w:pPr>
            <w:r>
              <w:rPr>
                <w:noProof/>
              </w:rPr>
              <w:t xml:space="preserve">Αριθμός υπηρεσιών που καταγράφονται στον ενισχυμένο κατάλογο οντοτήτων και υπηρεσιών και είναι διαθέσιμες μέσω διαφόρων διαύλων: ενιαία πύλη ψηφιακών υπηρεσιών, κέντρο επαφής, </w:t>
            </w:r>
            <w:r>
              <w:rPr>
                <w:i/>
                <w:noProof/>
              </w:rPr>
              <w:t>Lojas do Cidadão</w:t>
            </w:r>
            <w:r>
              <w:rPr>
                <w:noProof/>
              </w:rPr>
              <w:t xml:space="preserve"> / </w:t>
            </w:r>
            <w:r>
              <w:rPr>
                <w:i/>
                <w:noProof/>
              </w:rPr>
              <w:t>Espaços Cidadão</w:t>
            </w:r>
            <w:r>
              <w:rPr>
                <w:noProof/>
              </w:rPr>
              <w:t xml:space="preserve">. </w:t>
            </w:r>
          </w:p>
          <w:p w14:paraId="0669A61E" w14:textId="66964D8D" w:rsidR="00154AD2" w:rsidRDefault="007F6BF3">
            <w:pPr>
              <w:pStyle w:val="P68B1DB1-Normal8"/>
              <w:spacing w:after="0" w:line="240" w:lineRule="auto"/>
              <w:jc w:val="both"/>
              <w:rPr>
                <w:rFonts w:eastAsia="Times New Roman" w:cs="Calibri"/>
                <w:noProof/>
              </w:rPr>
            </w:pPr>
            <w:r>
              <w:rPr>
                <w:noProof/>
              </w:rPr>
              <w:t>Ο δείκτης αυτός συνεπάγεται τον επανασχεδιασμό των εν λόγω υπηρεσιών σύμφωνα με την αρχή «μόνον άπαξ» και τη διαθεσιμότητά τους στο πλαίσιο μιας γενικής προσέγγισης.</w:t>
            </w:r>
          </w:p>
        </w:tc>
      </w:tr>
      <w:tr w:rsidR="00154AD2" w14:paraId="5047912C" w14:textId="77777777">
        <w:trPr>
          <w:trHeight w:val="420"/>
        </w:trPr>
        <w:tc>
          <w:tcPr>
            <w:tcW w:w="1082" w:type="dxa"/>
            <w:shd w:val="clear" w:color="auto" w:fill="C4EFCE"/>
            <w:vAlign w:val="center"/>
            <w:hideMark/>
          </w:tcPr>
          <w:p w14:paraId="313C63A5" w14:textId="77777777" w:rsidR="00154AD2" w:rsidRDefault="007F6BF3">
            <w:pPr>
              <w:pStyle w:val="P68B1DB1-Normal7"/>
              <w:spacing w:after="0" w:line="240" w:lineRule="auto"/>
              <w:jc w:val="center"/>
              <w:rPr>
                <w:rFonts w:eastAsia="Times New Roman" w:cs="Calibri"/>
                <w:noProof/>
              </w:rPr>
            </w:pPr>
            <w:r>
              <w:rPr>
                <w:noProof/>
              </w:rPr>
              <w:t>19.2</w:t>
            </w:r>
          </w:p>
        </w:tc>
        <w:tc>
          <w:tcPr>
            <w:tcW w:w="1211" w:type="dxa"/>
            <w:shd w:val="clear" w:color="auto" w:fill="C4EFCE"/>
            <w:noWrap/>
            <w:vAlign w:val="center"/>
            <w:hideMark/>
          </w:tcPr>
          <w:p w14:paraId="74C76E9B" w14:textId="77777777" w:rsidR="00154AD2" w:rsidRDefault="007F6BF3">
            <w:pPr>
              <w:pStyle w:val="P68B1DB1-Normal8"/>
              <w:spacing w:after="0" w:line="240" w:lineRule="auto"/>
              <w:jc w:val="center"/>
              <w:rPr>
                <w:rFonts w:eastAsia="Times New Roman" w:cs="Calibri"/>
                <w:noProof/>
              </w:rPr>
            </w:pPr>
            <w:r>
              <w:rPr>
                <w:noProof/>
              </w:rPr>
              <w:t>TD-C19-i01</w:t>
            </w:r>
          </w:p>
        </w:tc>
        <w:tc>
          <w:tcPr>
            <w:tcW w:w="1080" w:type="dxa"/>
            <w:shd w:val="clear" w:color="auto" w:fill="C4EFCE"/>
            <w:noWrap/>
            <w:vAlign w:val="center"/>
            <w:hideMark/>
          </w:tcPr>
          <w:p w14:paraId="21EB2875" w14:textId="77777777" w:rsidR="00154AD2" w:rsidRDefault="007F6BF3">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557BE133" w14:textId="77777777" w:rsidR="00154AD2" w:rsidRDefault="007F6BF3">
            <w:pPr>
              <w:pStyle w:val="P68B1DB1-Normal8"/>
              <w:spacing w:after="0" w:line="240" w:lineRule="auto"/>
              <w:jc w:val="center"/>
              <w:rPr>
                <w:rFonts w:eastAsia="Times New Roman" w:cs="Calibri"/>
                <w:noProof/>
              </w:rPr>
            </w:pPr>
            <w:r>
              <w:rPr>
                <w:noProof/>
              </w:rPr>
              <w:t>Δημόσιες υπηρεσίες διαθέσιμες με απλουστευμένο και συνεκτικό τρόπο μέσω διαφόρων διαύλων</w:t>
            </w:r>
          </w:p>
        </w:tc>
        <w:tc>
          <w:tcPr>
            <w:tcW w:w="1343" w:type="dxa"/>
            <w:shd w:val="clear" w:color="auto" w:fill="C4EFCE"/>
            <w:noWrap/>
            <w:vAlign w:val="center"/>
            <w:hideMark/>
          </w:tcPr>
          <w:p w14:paraId="0C7B536C" w14:textId="77777777" w:rsidR="00154AD2" w:rsidRDefault="007F6BF3">
            <w:pPr>
              <w:pStyle w:val="P68B1DB1-Normal8"/>
              <w:spacing w:after="0" w:line="240" w:lineRule="auto"/>
              <w:jc w:val="center"/>
              <w:rPr>
                <w:rFonts w:eastAsia="Times New Roman" w:cs="Calibri"/>
                <w:noProof/>
              </w:rPr>
            </w:pPr>
            <w:r>
              <w:rPr>
                <w:noProof/>
              </w:rPr>
              <w:t> </w:t>
            </w:r>
          </w:p>
        </w:tc>
        <w:tc>
          <w:tcPr>
            <w:tcW w:w="1134" w:type="dxa"/>
            <w:shd w:val="clear" w:color="auto" w:fill="C4EFCE"/>
            <w:noWrap/>
            <w:vAlign w:val="center"/>
            <w:hideMark/>
          </w:tcPr>
          <w:p w14:paraId="723C0D4E"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47" w:type="dxa"/>
            <w:shd w:val="clear" w:color="auto" w:fill="C4EFCE"/>
            <w:noWrap/>
            <w:vAlign w:val="center"/>
            <w:hideMark/>
          </w:tcPr>
          <w:p w14:paraId="04D75696" w14:textId="77777777" w:rsidR="00154AD2" w:rsidRDefault="007F6BF3">
            <w:pPr>
              <w:pStyle w:val="P68B1DB1-Normal8"/>
              <w:spacing w:after="0" w:line="240" w:lineRule="auto"/>
              <w:jc w:val="center"/>
              <w:rPr>
                <w:rFonts w:eastAsia="Times New Roman" w:cs="Calibri"/>
                <w:noProof/>
              </w:rPr>
            </w:pPr>
            <w:r>
              <w:rPr>
                <w:noProof/>
              </w:rPr>
              <w:t>5</w:t>
            </w:r>
          </w:p>
        </w:tc>
        <w:tc>
          <w:tcPr>
            <w:tcW w:w="682" w:type="dxa"/>
            <w:shd w:val="clear" w:color="auto" w:fill="C4EFCE"/>
            <w:noWrap/>
            <w:vAlign w:val="center"/>
            <w:hideMark/>
          </w:tcPr>
          <w:p w14:paraId="542165AC" w14:textId="77777777" w:rsidR="00154AD2" w:rsidRDefault="007F6BF3">
            <w:pPr>
              <w:pStyle w:val="P68B1DB1-Normal8"/>
              <w:spacing w:after="0" w:line="240" w:lineRule="auto"/>
              <w:jc w:val="center"/>
              <w:rPr>
                <w:rFonts w:eastAsia="Times New Roman" w:cs="Calibri"/>
                <w:noProof/>
              </w:rPr>
            </w:pPr>
            <w:r>
              <w:rPr>
                <w:noProof/>
              </w:rPr>
              <w:t>25</w:t>
            </w:r>
          </w:p>
        </w:tc>
        <w:tc>
          <w:tcPr>
            <w:tcW w:w="550" w:type="dxa"/>
            <w:shd w:val="clear" w:color="auto" w:fill="C4EFCE"/>
            <w:noWrap/>
            <w:vAlign w:val="center"/>
            <w:hideMark/>
          </w:tcPr>
          <w:p w14:paraId="204665A2"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682" w:type="dxa"/>
            <w:shd w:val="clear" w:color="auto" w:fill="C4EFCE"/>
            <w:noWrap/>
            <w:vAlign w:val="center"/>
            <w:hideMark/>
          </w:tcPr>
          <w:p w14:paraId="47B5ABC7" w14:textId="77777777" w:rsidR="00154AD2" w:rsidRDefault="007F6BF3">
            <w:pPr>
              <w:pStyle w:val="P68B1DB1-Normal8"/>
              <w:spacing w:after="0" w:line="240" w:lineRule="auto"/>
              <w:jc w:val="center"/>
              <w:rPr>
                <w:rFonts w:eastAsia="Times New Roman" w:cs="Calibri"/>
                <w:noProof/>
              </w:rPr>
            </w:pPr>
            <w:r>
              <w:rPr>
                <w:noProof/>
              </w:rPr>
              <w:t>2026</w:t>
            </w:r>
          </w:p>
        </w:tc>
        <w:tc>
          <w:tcPr>
            <w:tcW w:w="4458" w:type="dxa"/>
            <w:shd w:val="clear" w:color="auto" w:fill="C4EFCE"/>
            <w:vAlign w:val="center"/>
            <w:hideMark/>
          </w:tcPr>
          <w:p w14:paraId="6A62EF75" w14:textId="77777777" w:rsidR="00154AD2" w:rsidRDefault="007F6BF3">
            <w:pPr>
              <w:pStyle w:val="P68B1DB1-Normal8"/>
              <w:spacing w:after="0" w:line="240" w:lineRule="auto"/>
              <w:jc w:val="both"/>
              <w:rPr>
                <w:rFonts w:eastAsia="Times New Roman" w:cs="Calibri"/>
                <w:noProof/>
              </w:rPr>
            </w:pPr>
            <w:r>
              <w:rPr>
                <w:noProof/>
              </w:rPr>
              <w:t xml:space="preserve">Αριθμός υπηρεσιών που καταγράφονται στον ενισχυμένο κατάλογο οντοτήτων και υπηρεσιών και είναι διαθέσιμες μέσω διαφόρων διαύλων: ενιαία πύλη ψηφιακών υπηρεσιών, κέντρο επαφής, </w:t>
            </w:r>
            <w:r>
              <w:rPr>
                <w:i/>
                <w:noProof/>
              </w:rPr>
              <w:t>Lojas do Cidadão</w:t>
            </w:r>
            <w:r>
              <w:rPr>
                <w:noProof/>
              </w:rPr>
              <w:t xml:space="preserve"> / </w:t>
            </w:r>
            <w:r>
              <w:rPr>
                <w:i/>
                <w:noProof/>
              </w:rPr>
              <w:t>Espaços Cidadão</w:t>
            </w:r>
            <w:r>
              <w:rPr>
                <w:noProof/>
              </w:rPr>
              <w:t xml:space="preserve">. </w:t>
            </w:r>
          </w:p>
          <w:p w14:paraId="1F8BC66A" w14:textId="3E0F41FA" w:rsidR="00154AD2" w:rsidRDefault="007F6BF3">
            <w:pPr>
              <w:pStyle w:val="P68B1DB1-Normal8"/>
              <w:spacing w:after="0" w:line="240" w:lineRule="auto"/>
              <w:jc w:val="both"/>
              <w:rPr>
                <w:rFonts w:eastAsia="Times New Roman" w:cs="Calibri"/>
                <w:noProof/>
              </w:rPr>
            </w:pPr>
            <w:r>
              <w:rPr>
                <w:noProof/>
              </w:rPr>
              <w:t>Ο δείκτης αυτός συνεπάγεται τον επανασχεδιασμό των εν λόγω υπηρεσιών σύμφωνα με την αρχή «μόνον άπαξ» και τη διαθεσιμότητά τους στο πλαίσιο μιας γενικής προσέγγισης.</w:t>
            </w:r>
          </w:p>
        </w:tc>
      </w:tr>
      <w:tr w:rsidR="00154AD2" w14:paraId="27972876" w14:textId="77777777">
        <w:trPr>
          <w:trHeight w:val="290"/>
        </w:trPr>
        <w:tc>
          <w:tcPr>
            <w:tcW w:w="1082" w:type="dxa"/>
            <w:shd w:val="clear" w:color="auto" w:fill="C4EFCE"/>
            <w:vAlign w:val="center"/>
            <w:hideMark/>
          </w:tcPr>
          <w:p w14:paraId="0B0D05C4" w14:textId="77777777" w:rsidR="00154AD2" w:rsidRDefault="007F6BF3">
            <w:pPr>
              <w:pStyle w:val="P68B1DB1-Normal7"/>
              <w:spacing w:after="0" w:line="240" w:lineRule="auto"/>
              <w:jc w:val="center"/>
              <w:rPr>
                <w:rFonts w:eastAsia="Times New Roman" w:cs="Calibri"/>
                <w:noProof/>
              </w:rPr>
            </w:pPr>
            <w:r>
              <w:rPr>
                <w:noProof/>
              </w:rPr>
              <w:t>19.3</w:t>
            </w:r>
          </w:p>
        </w:tc>
        <w:tc>
          <w:tcPr>
            <w:tcW w:w="1211" w:type="dxa"/>
            <w:shd w:val="clear" w:color="auto" w:fill="C4EFCE"/>
            <w:noWrap/>
            <w:vAlign w:val="center"/>
            <w:hideMark/>
          </w:tcPr>
          <w:p w14:paraId="0DA2F717" w14:textId="77777777" w:rsidR="00154AD2" w:rsidRDefault="007F6BF3">
            <w:pPr>
              <w:pStyle w:val="P68B1DB1-Normal8"/>
              <w:spacing w:after="0" w:line="240" w:lineRule="auto"/>
              <w:jc w:val="center"/>
              <w:rPr>
                <w:rFonts w:eastAsia="Times New Roman" w:cs="Calibri"/>
                <w:noProof/>
              </w:rPr>
            </w:pPr>
            <w:r>
              <w:rPr>
                <w:noProof/>
              </w:rPr>
              <w:t>TD-C19-i01</w:t>
            </w:r>
          </w:p>
        </w:tc>
        <w:tc>
          <w:tcPr>
            <w:tcW w:w="1080" w:type="dxa"/>
            <w:shd w:val="clear" w:color="auto" w:fill="C4EFCE"/>
            <w:noWrap/>
            <w:vAlign w:val="center"/>
            <w:hideMark/>
          </w:tcPr>
          <w:p w14:paraId="3FEDE5E4" w14:textId="77777777" w:rsidR="00154AD2" w:rsidRDefault="007F6BF3">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hideMark/>
          </w:tcPr>
          <w:p w14:paraId="24992453" w14:textId="77777777" w:rsidR="00154AD2" w:rsidRDefault="007F6BF3">
            <w:pPr>
              <w:pStyle w:val="P68B1DB1-Normal8"/>
              <w:spacing w:after="0" w:line="240" w:lineRule="auto"/>
              <w:jc w:val="center"/>
              <w:rPr>
                <w:rFonts w:eastAsia="Times New Roman" w:cs="Calibri"/>
                <w:noProof/>
              </w:rPr>
            </w:pPr>
            <w:r>
              <w:rPr>
                <w:noProof/>
              </w:rPr>
              <w:t>Εφαρμόζεται νέο μοντέλο προξενικής διαχείρισης</w:t>
            </w:r>
          </w:p>
        </w:tc>
        <w:tc>
          <w:tcPr>
            <w:tcW w:w="1343" w:type="dxa"/>
            <w:shd w:val="clear" w:color="auto" w:fill="C4EFCE"/>
            <w:noWrap/>
            <w:vAlign w:val="center"/>
            <w:hideMark/>
          </w:tcPr>
          <w:p w14:paraId="221340B2" w14:textId="77777777" w:rsidR="00154AD2" w:rsidRDefault="007F6BF3">
            <w:pPr>
              <w:pStyle w:val="P68B1DB1-Normal8"/>
              <w:spacing w:after="0" w:line="240" w:lineRule="auto"/>
              <w:jc w:val="center"/>
              <w:rPr>
                <w:rFonts w:eastAsia="Times New Roman" w:cs="Calibri"/>
                <w:noProof/>
              </w:rPr>
            </w:pPr>
            <w:r>
              <w:rPr>
                <w:noProof/>
              </w:rPr>
              <w:t>Εφαρμόζεται νέο μοντέλο προξενικής διαχείρισης</w:t>
            </w:r>
          </w:p>
        </w:tc>
        <w:tc>
          <w:tcPr>
            <w:tcW w:w="1134" w:type="dxa"/>
            <w:shd w:val="clear" w:color="auto" w:fill="C4EFCE"/>
            <w:noWrap/>
            <w:vAlign w:val="center"/>
            <w:hideMark/>
          </w:tcPr>
          <w:p w14:paraId="57A5BD83" w14:textId="77777777" w:rsidR="00154AD2" w:rsidRDefault="007F6BF3">
            <w:pPr>
              <w:pStyle w:val="P68B1DB1-Normal8"/>
              <w:spacing w:after="0" w:line="240" w:lineRule="auto"/>
              <w:jc w:val="center"/>
              <w:rPr>
                <w:rFonts w:eastAsia="Times New Roman" w:cs="Calibri"/>
                <w:noProof/>
              </w:rPr>
            </w:pPr>
            <w:r>
              <w:rPr>
                <w:noProof/>
              </w:rPr>
              <w:t> </w:t>
            </w:r>
          </w:p>
        </w:tc>
        <w:tc>
          <w:tcPr>
            <w:tcW w:w="947" w:type="dxa"/>
            <w:shd w:val="clear" w:color="auto" w:fill="C4EFCE"/>
            <w:noWrap/>
            <w:vAlign w:val="center"/>
            <w:hideMark/>
          </w:tcPr>
          <w:p w14:paraId="0C64240F" w14:textId="77777777" w:rsidR="00154AD2" w:rsidRDefault="007F6BF3">
            <w:pPr>
              <w:pStyle w:val="P68B1DB1-Normal8"/>
              <w:spacing w:after="0" w:line="240" w:lineRule="auto"/>
              <w:jc w:val="center"/>
              <w:rPr>
                <w:rFonts w:eastAsia="Times New Roman" w:cs="Calibri"/>
                <w:noProof/>
              </w:rPr>
            </w:pPr>
            <w:r>
              <w:rPr>
                <w:noProof/>
              </w:rPr>
              <w:t> </w:t>
            </w:r>
          </w:p>
        </w:tc>
        <w:tc>
          <w:tcPr>
            <w:tcW w:w="682" w:type="dxa"/>
            <w:shd w:val="clear" w:color="auto" w:fill="C4EFCE"/>
            <w:noWrap/>
            <w:vAlign w:val="center"/>
            <w:hideMark/>
          </w:tcPr>
          <w:p w14:paraId="78C80247" w14:textId="77777777" w:rsidR="00154AD2" w:rsidRDefault="007F6BF3">
            <w:pPr>
              <w:pStyle w:val="P68B1DB1-Normal8"/>
              <w:spacing w:after="0" w:line="240" w:lineRule="auto"/>
              <w:jc w:val="center"/>
              <w:rPr>
                <w:rFonts w:eastAsia="Times New Roman" w:cs="Calibri"/>
                <w:noProof/>
              </w:rPr>
            </w:pPr>
            <w:r>
              <w:rPr>
                <w:noProof/>
              </w:rPr>
              <w:t> </w:t>
            </w:r>
          </w:p>
        </w:tc>
        <w:tc>
          <w:tcPr>
            <w:tcW w:w="550" w:type="dxa"/>
            <w:shd w:val="clear" w:color="auto" w:fill="C4EFCE"/>
            <w:noWrap/>
            <w:vAlign w:val="center"/>
            <w:hideMark/>
          </w:tcPr>
          <w:p w14:paraId="2C0C4BCA"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682" w:type="dxa"/>
            <w:shd w:val="clear" w:color="auto" w:fill="C4EFCE"/>
            <w:noWrap/>
            <w:vAlign w:val="center"/>
            <w:hideMark/>
          </w:tcPr>
          <w:p w14:paraId="6EC450BB" w14:textId="77777777" w:rsidR="00154AD2" w:rsidRDefault="007F6BF3">
            <w:pPr>
              <w:pStyle w:val="P68B1DB1-Normal8"/>
              <w:spacing w:after="0" w:line="240" w:lineRule="auto"/>
              <w:jc w:val="center"/>
              <w:rPr>
                <w:rFonts w:eastAsia="Times New Roman" w:cs="Calibri"/>
                <w:noProof/>
              </w:rPr>
            </w:pPr>
            <w:r>
              <w:rPr>
                <w:noProof/>
              </w:rPr>
              <w:t>2026</w:t>
            </w:r>
          </w:p>
        </w:tc>
        <w:tc>
          <w:tcPr>
            <w:tcW w:w="4458" w:type="dxa"/>
            <w:shd w:val="clear" w:color="auto" w:fill="C4EFCE"/>
            <w:vAlign w:val="center"/>
            <w:hideMark/>
          </w:tcPr>
          <w:p w14:paraId="46DC3E91" w14:textId="77777777" w:rsidR="00154AD2" w:rsidRDefault="007F6BF3">
            <w:pPr>
              <w:pStyle w:val="P68B1DB1-Normal8"/>
              <w:spacing w:after="0" w:line="240" w:lineRule="auto"/>
              <w:jc w:val="both"/>
              <w:rPr>
                <w:rFonts w:eastAsia="Calibri" w:cs="Calibri"/>
                <w:noProof/>
              </w:rPr>
            </w:pPr>
            <w:r>
              <w:rPr>
                <w:noProof/>
              </w:rPr>
              <w:t xml:space="preserve">Πλήρης εφαρμογή του νέου μοντέλου προξενικής διαχείρισης: </w:t>
            </w:r>
          </w:p>
          <w:p w14:paraId="1B8817E6" w14:textId="77777777" w:rsidR="00154AD2" w:rsidRDefault="007F6BF3">
            <w:pPr>
              <w:pStyle w:val="P68B1DB1-Normal8"/>
              <w:spacing w:after="0" w:line="240" w:lineRule="auto"/>
              <w:jc w:val="both"/>
              <w:rPr>
                <w:rFonts w:eastAsia="Calibri" w:cs="Calibri"/>
                <w:noProof/>
              </w:rPr>
            </w:pPr>
            <w:r>
              <w:rPr>
                <w:noProof/>
              </w:rPr>
              <w:t xml:space="preserve">I) Απουλωμένες προξενικές υπηρεσίες που διατίθενται σε υπηκόους/αλλοδαπούς στο εξωτερικό με ψηφιοποίηση του 80 % των υπηρεσιών που παρέχονται από το Υπουργείο Εξωτερικών· </w:t>
            </w:r>
          </w:p>
          <w:p w14:paraId="7C5A19A7" w14:textId="49C1668D" w:rsidR="00154AD2" w:rsidRDefault="007F6BF3">
            <w:pPr>
              <w:pStyle w:val="P68B1DB1-Normal8"/>
              <w:spacing w:after="0" w:line="240" w:lineRule="auto"/>
              <w:jc w:val="both"/>
              <w:rPr>
                <w:rFonts w:eastAsia="Times New Roman" w:cs="Calibri"/>
                <w:noProof/>
              </w:rPr>
            </w:pPr>
            <w:r>
              <w:rPr>
                <w:noProof/>
              </w:rPr>
              <w:t xml:space="preserve">II) </w:t>
            </w:r>
            <w:r>
              <w:rPr>
                <w:i/>
                <w:noProof/>
              </w:rPr>
              <w:t>Centro de Atendimento προξενική</w:t>
            </w:r>
            <w:r>
              <w:rPr>
                <w:noProof/>
              </w:rPr>
              <w:t xml:space="preserve"> λειτουργία και διαθέσιμη σε τουλάχιστον 15 χώρες.</w:t>
            </w:r>
          </w:p>
        </w:tc>
      </w:tr>
      <w:tr w:rsidR="00154AD2" w14:paraId="42D2A359" w14:textId="77777777">
        <w:trPr>
          <w:trHeight w:val="290"/>
        </w:trPr>
        <w:tc>
          <w:tcPr>
            <w:tcW w:w="1082" w:type="dxa"/>
            <w:shd w:val="clear" w:color="auto" w:fill="C4EFCE"/>
            <w:vAlign w:val="center"/>
          </w:tcPr>
          <w:p w14:paraId="4C161EC7" w14:textId="4D567DD7" w:rsidR="00154AD2" w:rsidRDefault="007F6BF3">
            <w:pPr>
              <w:pStyle w:val="P68B1DB1-Normal7"/>
              <w:spacing w:after="0" w:line="240" w:lineRule="auto"/>
              <w:jc w:val="center"/>
              <w:rPr>
                <w:rFonts w:eastAsia="Times New Roman" w:cs="Calibri"/>
                <w:noProof/>
              </w:rPr>
            </w:pPr>
            <w:r>
              <w:rPr>
                <w:noProof/>
              </w:rPr>
              <w:t>19.25</w:t>
            </w:r>
          </w:p>
        </w:tc>
        <w:tc>
          <w:tcPr>
            <w:tcW w:w="1211" w:type="dxa"/>
            <w:shd w:val="clear" w:color="auto" w:fill="C4EFCE"/>
            <w:noWrap/>
            <w:vAlign w:val="center"/>
          </w:tcPr>
          <w:p w14:paraId="07A7A65E" w14:textId="3F4583C4" w:rsidR="00154AD2" w:rsidRDefault="007F6BF3">
            <w:pPr>
              <w:pStyle w:val="P68B1DB1-Normal8"/>
              <w:spacing w:after="0" w:line="240" w:lineRule="auto"/>
              <w:jc w:val="center"/>
              <w:rPr>
                <w:rFonts w:eastAsia="Times New Roman" w:cs="Calibri"/>
                <w:noProof/>
              </w:rPr>
            </w:pPr>
            <w:r>
              <w:rPr>
                <w:noProof/>
              </w:rPr>
              <w:t>TD-C19-i01</w:t>
            </w:r>
          </w:p>
        </w:tc>
        <w:tc>
          <w:tcPr>
            <w:tcW w:w="1080" w:type="dxa"/>
            <w:shd w:val="clear" w:color="auto" w:fill="C4EFCE"/>
            <w:noWrap/>
            <w:vAlign w:val="center"/>
          </w:tcPr>
          <w:p w14:paraId="45A6111B" w14:textId="49684DBC" w:rsidR="00154AD2" w:rsidRDefault="007F6BF3">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tcPr>
          <w:p w14:paraId="0EEB120D" w14:textId="7DE3216A" w:rsidR="00154AD2" w:rsidRDefault="007F6BF3">
            <w:pPr>
              <w:pStyle w:val="P68B1DB1-Normal8"/>
              <w:spacing w:after="0" w:line="240" w:lineRule="auto"/>
              <w:jc w:val="center"/>
              <w:rPr>
                <w:rFonts w:eastAsia="Times New Roman" w:cs="Calibri"/>
                <w:noProof/>
              </w:rPr>
            </w:pPr>
            <w:r>
              <w:rPr>
                <w:noProof/>
              </w:rPr>
              <w:t>Υπογραφή πρωτοκόλλων για τη δημιουργία νέων καταστημάτων πολιτών και χώρων πολιτών</w:t>
            </w:r>
          </w:p>
        </w:tc>
        <w:tc>
          <w:tcPr>
            <w:tcW w:w="1343" w:type="dxa"/>
            <w:shd w:val="clear" w:color="auto" w:fill="C4EFCE"/>
            <w:noWrap/>
            <w:vAlign w:val="center"/>
          </w:tcPr>
          <w:p w14:paraId="6B203D02" w14:textId="3253C7C6" w:rsidR="00154AD2" w:rsidRDefault="007F6BF3">
            <w:pPr>
              <w:pStyle w:val="P68B1DB1-Normal8"/>
              <w:spacing w:after="0" w:line="240" w:lineRule="auto"/>
              <w:jc w:val="center"/>
              <w:rPr>
                <w:rFonts w:eastAsia="Times New Roman" w:cs="Calibri"/>
                <w:noProof/>
              </w:rPr>
            </w:pPr>
            <w:r>
              <w:rPr>
                <w:noProof/>
              </w:rPr>
              <w:t>Υπογραφή πρωτοκόλλων</w:t>
            </w:r>
          </w:p>
        </w:tc>
        <w:tc>
          <w:tcPr>
            <w:tcW w:w="1134" w:type="dxa"/>
            <w:shd w:val="clear" w:color="auto" w:fill="C4EFCE"/>
            <w:noWrap/>
            <w:vAlign w:val="center"/>
          </w:tcPr>
          <w:p w14:paraId="4ED17015" w14:textId="57284CD9" w:rsidR="00154AD2" w:rsidRDefault="00154AD2">
            <w:pPr>
              <w:spacing w:after="0" w:line="240" w:lineRule="auto"/>
              <w:jc w:val="center"/>
              <w:rPr>
                <w:rFonts w:ascii="Calibri" w:eastAsia="Times New Roman" w:hAnsi="Calibri" w:cs="Calibri"/>
                <w:noProof/>
                <w:sz w:val="16"/>
              </w:rPr>
            </w:pPr>
          </w:p>
        </w:tc>
        <w:tc>
          <w:tcPr>
            <w:tcW w:w="947" w:type="dxa"/>
            <w:shd w:val="clear" w:color="auto" w:fill="C4EFCE"/>
            <w:noWrap/>
            <w:vAlign w:val="center"/>
          </w:tcPr>
          <w:p w14:paraId="53C5C74B" w14:textId="638C6428" w:rsidR="00154AD2" w:rsidRDefault="00154AD2">
            <w:pPr>
              <w:spacing w:after="0" w:line="240" w:lineRule="auto"/>
              <w:jc w:val="center"/>
              <w:rPr>
                <w:rFonts w:ascii="Calibri" w:eastAsia="Times New Roman" w:hAnsi="Calibri" w:cs="Calibri"/>
                <w:noProof/>
                <w:sz w:val="16"/>
              </w:rPr>
            </w:pPr>
          </w:p>
        </w:tc>
        <w:tc>
          <w:tcPr>
            <w:tcW w:w="682" w:type="dxa"/>
            <w:shd w:val="clear" w:color="auto" w:fill="C4EFCE"/>
            <w:noWrap/>
            <w:vAlign w:val="center"/>
          </w:tcPr>
          <w:p w14:paraId="657B7723" w14:textId="6009BCC2" w:rsidR="00154AD2" w:rsidRDefault="00154AD2">
            <w:pPr>
              <w:spacing w:after="0" w:line="240" w:lineRule="auto"/>
              <w:jc w:val="center"/>
              <w:rPr>
                <w:rFonts w:ascii="Calibri" w:eastAsia="Times New Roman" w:hAnsi="Calibri" w:cs="Calibri"/>
                <w:noProof/>
                <w:sz w:val="16"/>
              </w:rPr>
            </w:pPr>
          </w:p>
        </w:tc>
        <w:tc>
          <w:tcPr>
            <w:tcW w:w="550" w:type="dxa"/>
            <w:shd w:val="clear" w:color="auto" w:fill="C4EFCE"/>
            <w:noWrap/>
            <w:vAlign w:val="center"/>
          </w:tcPr>
          <w:p w14:paraId="4C967353" w14:textId="5DB71238" w:rsidR="00154AD2" w:rsidRDefault="007F6BF3">
            <w:pPr>
              <w:pStyle w:val="P68B1DB1-Normal8"/>
              <w:spacing w:after="0" w:line="240" w:lineRule="auto"/>
              <w:jc w:val="center"/>
              <w:rPr>
                <w:rFonts w:eastAsia="Times New Roman" w:cs="Calibri"/>
                <w:noProof/>
              </w:rPr>
            </w:pPr>
            <w:r>
              <w:rPr>
                <w:noProof/>
              </w:rPr>
              <w:t>ΤΡΊΜΗΝΟ 3</w:t>
            </w:r>
          </w:p>
        </w:tc>
        <w:tc>
          <w:tcPr>
            <w:tcW w:w="682" w:type="dxa"/>
            <w:shd w:val="clear" w:color="auto" w:fill="C4EFCE"/>
            <w:noWrap/>
            <w:vAlign w:val="center"/>
          </w:tcPr>
          <w:p w14:paraId="42D3096C" w14:textId="45ACD52F" w:rsidR="00154AD2" w:rsidRDefault="007F6BF3">
            <w:pPr>
              <w:pStyle w:val="P68B1DB1-Normal8"/>
              <w:spacing w:after="0" w:line="240" w:lineRule="auto"/>
              <w:jc w:val="center"/>
              <w:rPr>
                <w:rFonts w:eastAsia="Times New Roman" w:cs="Calibri"/>
                <w:noProof/>
              </w:rPr>
            </w:pPr>
            <w:r>
              <w:rPr>
                <w:noProof/>
              </w:rPr>
              <w:t>2024</w:t>
            </w:r>
          </w:p>
        </w:tc>
        <w:tc>
          <w:tcPr>
            <w:tcW w:w="4458" w:type="dxa"/>
            <w:shd w:val="clear" w:color="auto" w:fill="C4EFCE"/>
            <w:vAlign w:val="center"/>
          </w:tcPr>
          <w:p w14:paraId="351D5F02" w14:textId="653F6769" w:rsidR="00154AD2" w:rsidRDefault="007F6BF3">
            <w:pPr>
              <w:pStyle w:val="P68B1DB1-Normal8"/>
              <w:spacing w:after="0" w:line="240" w:lineRule="auto"/>
              <w:jc w:val="both"/>
              <w:rPr>
                <w:rFonts w:eastAsia="Calibri" w:cs="Calibri"/>
                <w:noProof/>
              </w:rPr>
            </w:pPr>
            <w:r>
              <w:rPr>
                <w:noProof/>
              </w:rPr>
              <w:t>Υπογραφή πρωτοκόλλων για τη δημιουργία 31 νέων καταστημάτων πολιτών (</w:t>
            </w:r>
            <w:r>
              <w:rPr>
                <w:i/>
                <w:noProof/>
              </w:rPr>
              <w:t>Lojas de Cidadão</w:t>
            </w:r>
            <w:r>
              <w:rPr>
                <w:noProof/>
              </w:rPr>
              <w:t>) και 400 νέων χώρων πολιτών (</w:t>
            </w:r>
            <w:r>
              <w:rPr>
                <w:i/>
                <w:noProof/>
              </w:rPr>
              <w:t>Espaços Cidadão</w:t>
            </w:r>
            <w:r>
              <w:rPr>
                <w:noProof/>
              </w:rPr>
              <w:t>)</w:t>
            </w:r>
          </w:p>
        </w:tc>
      </w:tr>
      <w:tr w:rsidR="00154AD2" w14:paraId="408CD92E" w14:textId="77777777">
        <w:trPr>
          <w:trHeight w:val="290"/>
        </w:trPr>
        <w:tc>
          <w:tcPr>
            <w:tcW w:w="1082" w:type="dxa"/>
            <w:shd w:val="clear" w:color="auto" w:fill="C4EFCE"/>
            <w:vAlign w:val="center"/>
          </w:tcPr>
          <w:p w14:paraId="641766AF" w14:textId="4D443BCF" w:rsidR="00154AD2" w:rsidRDefault="007F6BF3">
            <w:pPr>
              <w:pStyle w:val="P68B1DB1-Normal7"/>
              <w:spacing w:after="0" w:line="240" w:lineRule="auto"/>
              <w:jc w:val="center"/>
              <w:rPr>
                <w:rFonts w:eastAsia="Times New Roman" w:cs="Calibri"/>
                <w:noProof/>
              </w:rPr>
            </w:pPr>
            <w:r>
              <w:rPr>
                <w:noProof/>
              </w:rPr>
              <w:t>19.26</w:t>
            </w:r>
          </w:p>
        </w:tc>
        <w:tc>
          <w:tcPr>
            <w:tcW w:w="1211" w:type="dxa"/>
            <w:shd w:val="clear" w:color="auto" w:fill="C4EFCE"/>
            <w:noWrap/>
            <w:vAlign w:val="center"/>
          </w:tcPr>
          <w:p w14:paraId="70CB2BFA" w14:textId="4DB762B8" w:rsidR="00154AD2" w:rsidRDefault="007F6BF3">
            <w:pPr>
              <w:pStyle w:val="P68B1DB1-Normal8"/>
              <w:spacing w:after="0" w:line="240" w:lineRule="auto"/>
              <w:jc w:val="center"/>
              <w:rPr>
                <w:rFonts w:eastAsia="Times New Roman" w:cs="Calibri"/>
                <w:noProof/>
              </w:rPr>
            </w:pPr>
            <w:r>
              <w:rPr>
                <w:noProof/>
              </w:rPr>
              <w:t>TD-C19-i01</w:t>
            </w:r>
          </w:p>
        </w:tc>
        <w:tc>
          <w:tcPr>
            <w:tcW w:w="1080" w:type="dxa"/>
            <w:shd w:val="clear" w:color="auto" w:fill="C4EFCE"/>
            <w:noWrap/>
            <w:vAlign w:val="center"/>
          </w:tcPr>
          <w:p w14:paraId="3D62FEF2" w14:textId="0F53039D" w:rsidR="00154AD2" w:rsidRDefault="007F6BF3">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tcPr>
          <w:p w14:paraId="19DB5DC3" w14:textId="2D88108E" w:rsidR="00154AD2" w:rsidRDefault="007F6BF3">
            <w:pPr>
              <w:pStyle w:val="P68B1DB1-Normal8"/>
              <w:spacing w:after="0" w:line="240" w:lineRule="auto"/>
              <w:jc w:val="center"/>
              <w:rPr>
                <w:rFonts w:eastAsia="Times New Roman" w:cs="Calibri"/>
                <w:noProof/>
              </w:rPr>
            </w:pPr>
            <w:r>
              <w:rPr>
                <w:noProof/>
              </w:rPr>
              <w:t xml:space="preserve">Νέα καταστήματα πολιτών και χώροι πολιτών σε λειτουργία. </w:t>
            </w:r>
          </w:p>
        </w:tc>
        <w:tc>
          <w:tcPr>
            <w:tcW w:w="1343" w:type="dxa"/>
            <w:shd w:val="clear" w:color="auto" w:fill="C4EFCE"/>
            <w:noWrap/>
            <w:vAlign w:val="center"/>
          </w:tcPr>
          <w:p w14:paraId="0FA8BF22" w14:textId="77777777" w:rsidR="00154AD2" w:rsidRDefault="00154AD2">
            <w:pPr>
              <w:spacing w:after="0" w:line="240" w:lineRule="auto"/>
              <w:jc w:val="center"/>
              <w:rPr>
                <w:rFonts w:ascii="Calibri" w:eastAsia="Times New Roman" w:hAnsi="Calibri" w:cs="Calibri"/>
                <w:noProof/>
                <w:sz w:val="16"/>
              </w:rPr>
            </w:pPr>
          </w:p>
        </w:tc>
        <w:tc>
          <w:tcPr>
            <w:tcW w:w="1134" w:type="dxa"/>
            <w:shd w:val="clear" w:color="auto" w:fill="C4EFCE"/>
            <w:noWrap/>
            <w:vAlign w:val="center"/>
          </w:tcPr>
          <w:p w14:paraId="57B94528" w14:textId="683E09C2" w:rsidR="00154AD2" w:rsidRDefault="007F6BF3">
            <w:pPr>
              <w:pStyle w:val="P68B1DB1-Normal8"/>
              <w:spacing w:after="0" w:line="240" w:lineRule="auto"/>
              <w:jc w:val="center"/>
              <w:rPr>
                <w:rFonts w:eastAsia="Times New Roman" w:cs="Calibri"/>
                <w:noProof/>
              </w:rPr>
            </w:pPr>
            <w:r>
              <w:rPr>
                <w:noProof/>
              </w:rPr>
              <w:t>Αριθμός</w:t>
            </w:r>
          </w:p>
        </w:tc>
        <w:tc>
          <w:tcPr>
            <w:tcW w:w="947" w:type="dxa"/>
            <w:shd w:val="clear" w:color="auto" w:fill="C4EFCE"/>
            <w:noWrap/>
            <w:vAlign w:val="center"/>
          </w:tcPr>
          <w:p w14:paraId="799EE625" w14:textId="2F093CB5" w:rsidR="00154AD2" w:rsidRDefault="007F6BF3">
            <w:pPr>
              <w:pStyle w:val="P68B1DB1-Normal8"/>
              <w:spacing w:after="0" w:line="240" w:lineRule="auto"/>
              <w:jc w:val="center"/>
              <w:rPr>
                <w:rFonts w:eastAsia="Times New Roman" w:cs="Calibri"/>
                <w:noProof/>
              </w:rPr>
            </w:pPr>
            <w:r>
              <w:rPr>
                <w:noProof/>
              </w:rPr>
              <w:t>0</w:t>
            </w:r>
          </w:p>
        </w:tc>
        <w:tc>
          <w:tcPr>
            <w:tcW w:w="682" w:type="dxa"/>
            <w:shd w:val="clear" w:color="auto" w:fill="C4EFCE"/>
            <w:noWrap/>
            <w:vAlign w:val="center"/>
          </w:tcPr>
          <w:p w14:paraId="5FF018BE" w14:textId="106AAE71" w:rsidR="00154AD2" w:rsidRDefault="007F6BF3">
            <w:pPr>
              <w:pStyle w:val="P68B1DB1-Normal8"/>
              <w:spacing w:after="0" w:line="240" w:lineRule="auto"/>
              <w:jc w:val="center"/>
              <w:rPr>
                <w:rFonts w:eastAsia="Times New Roman" w:cs="Calibri"/>
                <w:noProof/>
              </w:rPr>
            </w:pPr>
            <w:r>
              <w:rPr>
                <w:noProof/>
              </w:rPr>
              <w:t>431</w:t>
            </w:r>
          </w:p>
        </w:tc>
        <w:tc>
          <w:tcPr>
            <w:tcW w:w="550" w:type="dxa"/>
            <w:shd w:val="clear" w:color="auto" w:fill="C4EFCE"/>
            <w:noWrap/>
            <w:vAlign w:val="center"/>
          </w:tcPr>
          <w:p w14:paraId="18F2223E" w14:textId="67B2F1DA" w:rsidR="00154AD2" w:rsidRDefault="007F6BF3">
            <w:pPr>
              <w:pStyle w:val="P68B1DB1-Normal8"/>
              <w:spacing w:after="0" w:line="240" w:lineRule="auto"/>
              <w:jc w:val="center"/>
              <w:rPr>
                <w:rFonts w:eastAsia="Times New Roman" w:cs="Calibri"/>
                <w:noProof/>
              </w:rPr>
            </w:pPr>
            <w:r>
              <w:rPr>
                <w:noProof/>
              </w:rPr>
              <w:t>ΤΡΊΜΗΝΟ 2</w:t>
            </w:r>
          </w:p>
        </w:tc>
        <w:tc>
          <w:tcPr>
            <w:tcW w:w="682" w:type="dxa"/>
            <w:shd w:val="clear" w:color="auto" w:fill="C4EFCE"/>
            <w:noWrap/>
            <w:vAlign w:val="center"/>
          </w:tcPr>
          <w:p w14:paraId="1C18699C" w14:textId="56F51900" w:rsidR="00154AD2" w:rsidRDefault="007F6BF3">
            <w:pPr>
              <w:pStyle w:val="P68B1DB1-Normal8"/>
              <w:spacing w:after="0" w:line="240" w:lineRule="auto"/>
              <w:jc w:val="center"/>
              <w:rPr>
                <w:rFonts w:eastAsia="Times New Roman" w:cs="Calibri"/>
                <w:noProof/>
              </w:rPr>
            </w:pPr>
            <w:r>
              <w:rPr>
                <w:noProof/>
              </w:rPr>
              <w:t>2026</w:t>
            </w:r>
          </w:p>
        </w:tc>
        <w:tc>
          <w:tcPr>
            <w:tcW w:w="4458" w:type="dxa"/>
            <w:shd w:val="clear" w:color="auto" w:fill="C4EFCE"/>
            <w:vAlign w:val="center"/>
          </w:tcPr>
          <w:p w14:paraId="6849E419" w14:textId="44B1A1B2" w:rsidR="00154AD2" w:rsidRDefault="007F6BF3">
            <w:pPr>
              <w:pStyle w:val="P68B1DB1-Normal8"/>
              <w:spacing w:line="240" w:lineRule="auto"/>
              <w:rPr>
                <w:rFonts w:eastAsia="Times New Roman" w:cs="Calibri"/>
                <w:noProof/>
              </w:rPr>
            </w:pPr>
            <w:r>
              <w:rPr>
                <w:noProof/>
              </w:rPr>
              <w:t>31 νέα καταστήματα πολιτών (</w:t>
            </w:r>
            <w:r>
              <w:rPr>
                <w:i/>
                <w:noProof/>
              </w:rPr>
              <w:t>Lojas de Cidadão</w:t>
            </w:r>
            <w:r>
              <w:rPr>
                <w:noProof/>
              </w:rPr>
              <w:t>) και 400 νέοι χώροι πολιτών (</w:t>
            </w:r>
            <w:r>
              <w:rPr>
                <w:i/>
                <w:noProof/>
              </w:rPr>
              <w:t>Espaços Cidadão</w:t>
            </w:r>
            <w:r>
              <w:rPr>
                <w:noProof/>
              </w:rPr>
              <w:t xml:space="preserve">) σε λειτουργία.  </w:t>
            </w:r>
          </w:p>
          <w:p w14:paraId="6F984B47" w14:textId="3B47A9D3" w:rsidR="00154AD2" w:rsidRDefault="007F6BF3">
            <w:pPr>
              <w:pStyle w:val="P68B1DB1-Normal8"/>
              <w:spacing w:line="240" w:lineRule="auto"/>
              <w:rPr>
                <w:rFonts w:eastAsia="Times New Roman" w:cs="Calibri"/>
                <w:noProof/>
              </w:rPr>
            </w:pPr>
            <w:r>
              <w:rPr>
                <w:noProof/>
              </w:rPr>
              <w:t>Τα νέα κτίρια έχουν ανάγκες πρωτογενούς ενέργειας τουλάχιστον κατά 20 % χαμηλότερες από το πρότυπο ΚΣΜΚΕ.</w:t>
            </w:r>
          </w:p>
        </w:tc>
      </w:tr>
      <w:tr w:rsidR="00154AD2" w14:paraId="20304CE4" w14:textId="77777777">
        <w:trPr>
          <w:trHeight w:val="290"/>
        </w:trPr>
        <w:tc>
          <w:tcPr>
            <w:tcW w:w="1082" w:type="dxa"/>
            <w:shd w:val="clear" w:color="auto" w:fill="C4EFCE"/>
            <w:vAlign w:val="center"/>
          </w:tcPr>
          <w:p w14:paraId="3F6EF73B" w14:textId="54A6CD7F" w:rsidR="00154AD2" w:rsidRDefault="007F6BF3">
            <w:pPr>
              <w:pStyle w:val="P68B1DB1-Normal7"/>
              <w:spacing w:after="0" w:line="240" w:lineRule="auto"/>
              <w:jc w:val="center"/>
              <w:rPr>
                <w:rFonts w:eastAsia="Times New Roman" w:cs="Calibri"/>
                <w:noProof/>
              </w:rPr>
            </w:pPr>
            <w:r>
              <w:rPr>
                <w:noProof/>
              </w:rPr>
              <w:t>19.27</w:t>
            </w:r>
          </w:p>
        </w:tc>
        <w:tc>
          <w:tcPr>
            <w:tcW w:w="1211" w:type="dxa"/>
            <w:shd w:val="clear" w:color="auto" w:fill="C4EFCE"/>
            <w:noWrap/>
            <w:vAlign w:val="center"/>
          </w:tcPr>
          <w:p w14:paraId="1F0F77AA" w14:textId="41ECE9F0" w:rsidR="00154AD2" w:rsidRDefault="007F6BF3">
            <w:pPr>
              <w:pStyle w:val="P68B1DB1-Normal8"/>
              <w:spacing w:after="0" w:line="240" w:lineRule="auto"/>
              <w:jc w:val="center"/>
              <w:rPr>
                <w:rFonts w:eastAsia="Times New Roman" w:cs="Calibri"/>
                <w:noProof/>
              </w:rPr>
            </w:pPr>
            <w:r>
              <w:rPr>
                <w:noProof/>
              </w:rPr>
              <w:t>TD-C19-i01</w:t>
            </w:r>
          </w:p>
        </w:tc>
        <w:tc>
          <w:tcPr>
            <w:tcW w:w="1080" w:type="dxa"/>
            <w:shd w:val="clear" w:color="auto" w:fill="C4EFCE"/>
            <w:noWrap/>
            <w:vAlign w:val="center"/>
          </w:tcPr>
          <w:p w14:paraId="2F6E7772" w14:textId="38D77F2B" w:rsidR="00154AD2" w:rsidRDefault="007F6BF3">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tcPr>
          <w:p w14:paraId="3BE91D37" w14:textId="3B8C1000" w:rsidR="00154AD2" w:rsidRDefault="007F6BF3">
            <w:pPr>
              <w:pStyle w:val="P68B1DB1-Normal8"/>
              <w:spacing w:after="0" w:line="240" w:lineRule="auto"/>
              <w:jc w:val="center"/>
              <w:rPr>
                <w:rFonts w:ascii="Arial" w:eastAsia="Arial" w:hAnsi="Arial" w:cs="Arial"/>
                <w:noProof/>
                <w:sz w:val="15"/>
              </w:rPr>
            </w:pPr>
            <w:r>
              <w:rPr>
                <w:noProof/>
              </w:rPr>
              <w:t>ΑΙΤΗΣΗ ΠΟΛΙΤΗ</w:t>
            </w:r>
          </w:p>
        </w:tc>
        <w:tc>
          <w:tcPr>
            <w:tcW w:w="1343" w:type="dxa"/>
            <w:shd w:val="clear" w:color="auto" w:fill="C4EFCE"/>
            <w:noWrap/>
            <w:vAlign w:val="center"/>
          </w:tcPr>
          <w:p w14:paraId="7912A7C9" w14:textId="336432D3" w:rsidR="00154AD2" w:rsidRDefault="007F6BF3">
            <w:pPr>
              <w:pStyle w:val="P68B1DB1-Normal8"/>
              <w:spacing w:after="0" w:line="240" w:lineRule="auto"/>
              <w:jc w:val="center"/>
              <w:rPr>
                <w:rFonts w:eastAsia="Times New Roman" w:cs="Calibri"/>
                <w:noProof/>
              </w:rPr>
            </w:pPr>
            <w:r>
              <w:rPr>
                <w:noProof/>
              </w:rPr>
              <w:t>Έναρξη εφαρμογής για τους πολίτες</w:t>
            </w:r>
          </w:p>
        </w:tc>
        <w:tc>
          <w:tcPr>
            <w:tcW w:w="1134" w:type="dxa"/>
            <w:shd w:val="clear" w:color="auto" w:fill="C4EFCE"/>
            <w:noWrap/>
            <w:vAlign w:val="center"/>
          </w:tcPr>
          <w:p w14:paraId="5BBBBDEF" w14:textId="77777777" w:rsidR="00154AD2" w:rsidRDefault="00154AD2">
            <w:pPr>
              <w:spacing w:after="0" w:line="240" w:lineRule="auto"/>
              <w:jc w:val="center"/>
              <w:rPr>
                <w:rFonts w:ascii="Calibri" w:eastAsia="Times New Roman" w:hAnsi="Calibri" w:cs="Calibri"/>
                <w:noProof/>
                <w:sz w:val="16"/>
              </w:rPr>
            </w:pPr>
          </w:p>
        </w:tc>
        <w:tc>
          <w:tcPr>
            <w:tcW w:w="947" w:type="dxa"/>
            <w:shd w:val="clear" w:color="auto" w:fill="C4EFCE"/>
            <w:noWrap/>
            <w:vAlign w:val="center"/>
          </w:tcPr>
          <w:p w14:paraId="4C7253AA" w14:textId="77777777" w:rsidR="00154AD2" w:rsidRDefault="00154AD2">
            <w:pPr>
              <w:spacing w:after="0" w:line="240" w:lineRule="auto"/>
              <w:jc w:val="center"/>
              <w:rPr>
                <w:rFonts w:ascii="Calibri" w:eastAsia="Times New Roman" w:hAnsi="Calibri" w:cs="Calibri"/>
                <w:noProof/>
                <w:sz w:val="16"/>
              </w:rPr>
            </w:pPr>
          </w:p>
        </w:tc>
        <w:tc>
          <w:tcPr>
            <w:tcW w:w="682" w:type="dxa"/>
            <w:shd w:val="clear" w:color="auto" w:fill="C4EFCE"/>
            <w:noWrap/>
            <w:vAlign w:val="center"/>
          </w:tcPr>
          <w:p w14:paraId="5900726E" w14:textId="77777777" w:rsidR="00154AD2" w:rsidRDefault="00154AD2">
            <w:pPr>
              <w:spacing w:after="0" w:line="240" w:lineRule="auto"/>
              <w:jc w:val="center"/>
              <w:rPr>
                <w:rFonts w:ascii="Calibri" w:eastAsia="Times New Roman" w:hAnsi="Calibri" w:cs="Calibri"/>
                <w:noProof/>
                <w:sz w:val="16"/>
              </w:rPr>
            </w:pPr>
          </w:p>
        </w:tc>
        <w:tc>
          <w:tcPr>
            <w:tcW w:w="550" w:type="dxa"/>
            <w:shd w:val="clear" w:color="auto" w:fill="C4EFCE"/>
            <w:noWrap/>
            <w:vAlign w:val="center"/>
          </w:tcPr>
          <w:p w14:paraId="0132BF5B" w14:textId="226BA8E4" w:rsidR="00154AD2" w:rsidRDefault="007F6BF3">
            <w:pPr>
              <w:pStyle w:val="P68B1DB1-Normal8"/>
              <w:spacing w:after="0" w:line="240" w:lineRule="auto"/>
              <w:jc w:val="center"/>
              <w:rPr>
                <w:rFonts w:eastAsia="Times New Roman" w:cs="Calibri"/>
                <w:noProof/>
              </w:rPr>
            </w:pPr>
            <w:r>
              <w:rPr>
                <w:noProof/>
              </w:rPr>
              <w:t>ΤΡΊΜΗΝΟ 1</w:t>
            </w:r>
          </w:p>
        </w:tc>
        <w:tc>
          <w:tcPr>
            <w:tcW w:w="682" w:type="dxa"/>
            <w:shd w:val="clear" w:color="auto" w:fill="C4EFCE"/>
            <w:noWrap/>
            <w:vAlign w:val="center"/>
          </w:tcPr>
          <w:p w14:paraId="12E3ADEC" w14:textId="0B99F5D6" w:rsidR="00154AD2" w:rsidRDefault="007F6BF3">
            <w:pPr>
              <w:pStyle w:val="P68B1DB1-Normal8"/>
              <w:spacing w:after="0" w:line="240" w:lineRule="auto"/>
              <w:jc w:val="center"/>
              <w:rPr>
                <w:rFonts w:eastAsia="Times New Roman" w:cs="Calibri"/>
                <w:noProof/>
              </w:rPr>
            </w:pPr>
            <w:r>
              <w:rPr>
                <w:noProof/>
              </w:rPr>
              <w:t>2025</w:t>
            </w:r>
          </w:p>
        </w:tc>
        <w:tc>
          <w:tcPr>
            <w:tcW w:w="4458" w:type="dxa"/>
            <w:shd w:val="clear" w:color="auto" w:fill="C4EFCE"/>
            <w:vAlign w:val="center"/>
          </w:tcPr>
          <w:p w14:paraId="4394027D" w14:textId="6D95096C" w:rsidR="00154AD2" w:rsidRDefault="007F6BF3">
            <w:pPr>
              <w:pStyle w:val="P68B1DB1-Normal8"/>
              <w:spacing w:after="0" w:line="240" w:lineRule="auto"/>
              <w:rPr>
                <w:rFonts w:eastAsia="Times New Roman" w:cs="Calibri"/>
                <w:noProof/>
              </w:rPr>
            </w:pPr>
            <w:r>
              <w:rPr>
                <w:noProof/>
              </w:rPr>
              <w:t>Έναρξη και λειτουργία της εφαρμογής για τους πολίτες. Η εφαρμογή επιτρέπει στους χρήστες να έχουν ψηφιακή πρόσβαση στις δημοφιλέστερες δημόσιες υπηρεσίες και άλλες λειτουργίες (όπως η πληρωμή για υπηρεσίες).</w:t>
            </w:r>
          </w:p>
        </w:tc>
      </w:tr>
      <w:tr w:rsidR="00154AD2" w14:paraId="4C5FE56E" w14:textId="77777777">
        <w:trPr>
          <w:trHeight w:val="1460"/>
        </w:trPr>
        <w:tc>
          <w:tcPr>
            <w:tcW w:w="1082" w:type="dxa"/>
            <w:shd w:val="clear" w:color="auto" w:fill="C4EFCE"/>
            <w:vAlign w:val="center"/>
            <w:hideMark/>
          </w:tcPr>
          <w:p w14:paraId="056AA2D9" w14:textId="77777777" w:rsidR="00154AD2" w:rsidRDefault="007F6BF3">
            <w:pPr>
              <w:pStyle w:val="P68B1DB1-Normal7"/>
              <w:spacing w:after="0" w:line="240" w:lineRule="auto"/>
              <w:jc w:val="center"/>
              <w:rPr>
                <w:rFonts w:eastAsia="Times New Roman" w:cs="Calibri"/>
                <w:noProof/>
              </w:rPr>
            </w:pPr>
            <w:r>
              <w:rPr>
                <w:noProof/>
              </w:rPr>
              <w:t>19.4</w:t>
            </w:r>
          </w:p>
        </w:tc>
        <w:tc>
          <w:tcPr>
            <w:tcW w:w="1211" w:type="dxa"/>
            <w:shd w:val="clear" w:color="auto" w:fill="C4EFCE"/>
            <w:noWrap/>
            <w:vAlign w:val="center"/>
            <w:hideMark/>
          </w:tcPr>
          <w:p w14:paraId="66F6086A" w14:textId="77777777" w:rsidR="00154AD2" w:rsidRDefault="007F6BF3">
            <w:pPr>
              <w:pStyle w:val="P68B1DB1-Normal8"/>
              <w:spacing w:after="0" w:line="240" w:lineRule="auto"/>
              <w:jc w:val="center"/>
              <w:rPr>
                <w:rFonts w:eastAsia="Times New Roman" w:cs="Calibri"/>
                <w:noProof/>
              </w:rPr>
            </w:pPr>
            <w:r>
              <w:rPr>
                <w:noProof/>
              </w:rPr>
              <w:t>TD-C19-i02</w:t>
            </w:r>
          </w:p>
        </w:tc>
        <w:tc>
          <w:tcPr>
            <w:tcW w:w="1080" w:type="dxa"/>
            <w:shd w:val="clear" w:color="auto" w:fill="C4EFCE"/>
            <w:noWrap/>
            <w:vAlign w:val="center"/>
            <w:hideMark/>
          </w:tcPr>
          <w:p w14:paraId="07ADC372" w14:textId="77777777" w:rsidR="00154AD2" w:rsidRDefault="007F6BF3">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302FA656" w14:textId="77777777" w:rsidR="00154AD2" w:rsidRDefault="007F6BF3">
            <w:pPr>
              <w:pStyle w:val="P68B1DB1-Normal8"/>
              <w:spacing w:after="0" w:line="240" w:lineRule="auto"/>
              <w:jc w:val="center"/>
              <w:rPr>
                <w:rFonts w:eastAsia="Times New Roman" w:cs="Calibri"/>
                <w:noProof/>
              </w:rPr>
            </w:pPr>
            <w:r>
              <w:rPr>
                <w:noProof/>
              </w:rPr>
              <w:t>Δημόσιες υπηρεσίες με ασφαλή πρόσβαση μέσω ηλεκτρονικής ταυτότητας και με σεβασμό της αρχής «μόνον άπαξ»</w:t>
            </w:r>
          </w:p>
        </w:tc>
        <w:tc>
          <w:tcPr>
            <w:tcW w:w="1343" w:type="dxa"/>
            <w:shd w:val="clear" w:color="auto" w:fill="C4EFCE"/>
            <w:noWrap/>
            <w:vAlign w:val="center"/>
            <w:hideMark/>
          </w:tcPr>
          <w:p w14:paraId="2F0CF461" w14:textId="77777777" w:rsidR="00154AD2" w:rsidRDefault="007F6BF3">
            <w:pPr>
              <w:pStyle w:val="P68B1DB1-Normal8"/>
              <w:spacing w:after="0" w:line="240" w:lineRule="auto"/>
              <w:jc w:val="center"/>
              <w:rPr>
                <w:rFonts w:eastAsia="Times New Roman" w:cs="Calibri"/>
                <w:noProof/>
              </w:rPr>
            </w:pPr>
            <w:r>
              <w:rPr>
                <w:noProof/>
              </w:rPr>
              <w:t> </w:t>
            </w:r>
          </w:p>
        </w:tc>
        <w:tc>
          <w:tcPr>
            <w:tcW w:w="1134" w:type="dxa"/>
            <w:shd w:val="clear" w:color="auto" w:fill="C4EFCE"/>
            <w:noWrap/>
            <w:vAlign w:val="center"/>
            <w:hideMark/>
          </w:tcPr>
          <w:p w14:paraId="1F07FD7D"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47" w:type="dxa"/>
            <w:shd w:val="clear" w:color="auto" w:fill="C4EFCE"/>
            <w:noWrap/>
            <w:vAlign w:val="center"/>
            <w:hideMark/>
          </w:tcPr>
          <w:p w14:paraId="10946C7F" w14:textId="77777777" w:rsidR="00154AD2" w:rsidRDefault="007F6BF3">
            <w:pPr>
              <w:pStyle w:val="P68B1DB1-Normal8"/>
              <w:spacing w:after="0" w:line="240" w:lineRule="auto"/>
              <w:jc w:val="center"/>
              <w:rPr>
                <w:rFonts w:eastAsia="Times New Roman" w:cs="Calibri"/>
                <w:noProof/>
              </w:rPr>
            </w:pPr>
            <w:r>
              <w:rPr>
                <w:noProof/>
              </w:rPr>
              <w:t>0</w:t>
            </w:r>
          </w:p>
        </w:tc>
        <w:tc>
          <w:tcPr>
            <w:tcW w:w="682" w:type="dxa"/>
            <w:shd w:val="clear" w:color="auto" w:fill="C4EFCE"/>
            <w:noWrap/>
            <w:vAlign w:val="center"/>
            <w:hideMark/>
          </w:tcPr>
          <w:p w14:paraId="2912ED93" w14:textId="77777777" w:rsidR="00154AD2" w:rsidRDefault="007F6BF3">
            <w:pPr>
              <w:pStyle w:val="P68B1DB1-Normal8"/>
              <w:spacing w:after="0" w:line="240" w:lineRule="auto"/>
              <w:jc w:val="center"/>
              <w:rPr>
                <w:rFonts w:eastAsia="Times New Roman" w:cs="Calibri"/>
                <w:noProof/>
              </w:rPr>
            </w:pPr>
            <w:r>
              <w:rPr>
                <w:noProof/>
              </w:rPr>
              <w:t>5</w:t>
            </w:r>
          </w:p>
        </w:tc>
        <w:tc>
          <w:tcPr>
            <w:tcW w:w="550" w:type="dxa"/>
            <w:shd w:val="clear" w:color="auto" w:fill="C4EFCE"/>
            <w:noWrap/>
            <w:vAlign w:val="center"/>
            <w:hideMark/>
          </w:tcPr>
          <w:p w14:paraId="5630E509" w14:textId="77777777" w:rsidR="00154AD2" w:rsidRDefault="007F6BF3">
            <w:pPr>
              <w:pStyle w:val="P68B1DB1-Normal8"/>
              <w:spacing w:after="0" w:line="240" w:lineRule="auto"/>
              <w:jc w:val="center"/>
              <w:rPr>
                <w:rFonts w:eastAsia="Times New Roman" w:cs="Calibri"/>
                <w:noProof/>
              </w:rPr>
            </w:pPr>
            <w:r>
              <w:rPr>
                <w:noProof/>
              </w:rPr>
              <w:t>ΤΡΊΜΗΝΟ 3</w:t>
            </w:r>
          </w:p>
        </w:tc>
        <w:tc>
          <w:tcPr>
            <w:tcW w:w="682" w:type="dxa"/>
            <w:shd w:val="clear" w:color="auto" w:fill="C4EFCE"/>
            <w:noWrap/>
            <w:vAlign w:val="center"/>
            <w:hideMark/>
          </w:tcPr>
          <w:p w14:paraId="2CCF72CC" w14:textId="77777777" w:rsidR="00154AD2" w:rsidRDefault="007F6BF3">
            <w:pPr>
              <w:pStyle w:val="P68B1DB1-Normal8"/>
              <w:spacing w:after="0" w:line="240" w:lineRule="auto"/>
              <w:jc w:val="center"/>
              <w:rPr>
                <w:rFonts w:eastAsia="Times New Roman" w:cs="Calibri"/>
                <w:noProof/>
              </w:rPr>
            </w:pPr>
            <w:r>
              <w:rPr>
                <w:noProof/>
              </w:rPr>
              <w:t>2022</w:t>
            </w:r>
          </w:p>
        </w:tc>
        <w:tc>
          <w:tcPr>
            <w:tcW w:w="4458" w:type="dxa"/>
            <w:shd w:val="clear" w:color="auto" w:fill="C4EFCE"/>
            <w:vAlign w:val="center"/>
            <w:hideMark/>
          </w:tcPr>
          <w:p w14:paraId="2D73BE7F" w14:textId="77777777" w:rsidR="00154AD2" w:rsidRDefault="00C7701C">
            <w:pPr>
              <w:pStyle w:val="P68B1DB1-Normal8"/>
              <w:spacing w:after="0" w:line="240" w:lineRule="auto"/>
              <w:jc w:val="both"/>
              <w:rPr>
                <w:rFonts w:eastAsia="Times New Roman" w:cs="Calibri"/>
                <w:noProof/>
              </w:rPr>
            </w:pPr>
            <w:hyperlink r:id="rId348" w:history="1">
              <w:r w:rsidR="007F6BF3">
                <w:rPr>
                  <w:noProof/>
                </w:rPr>
                <w:t>Αριθμός ψηφιακών δημόσιων υπηρεσιών που διατίθενται σε πολίτες και επιχειρήσεις που επαναχρησιμοποιούν δεδομένα που είναι διαθέσιμα στον κατάλογο iAP (διατίθεται στη διεύθυνση iap.gov.pt), οι οποίες καλύπτονται από την ηλεκτρονική ταυτότητα (όταν ζητείται από τις υπηρεσίες) και από το Σύστημα Ελέγχου Δεδομένων Προσωπικού Χαρακτήρα στη Δημόσια Διοίκηση, και δημοσιεύουν ανοικτά δεδομένα στον ιστότοπο www.dados.gov.pt.</w:t>
              </w:r>
            </w:hyperlink>
          </w:p>
        </w:tc>
      </w:tr>
      <w:tr w:rsidR="00154AD2" w14:paraId="68FF8B70" w14:textId="77777777">
        <w:trPr>
          <w:trHeight w:val="1460"/>
        </w:trPr>
        <w:tc>
          <w:tcPr>
            <w:tcW w:w="1082" w:type="dxa"/>
            <w:shd w:val="clear" w:color="auto" w:fill="C4EFCE"/>
            <w:vAlign w:val="center"/>
            <w:hideMark/>
          </w:tcPr>
          <w:p w14:paraId="15F177E4" w14:textId="77777777" w:rsidR="00154AD2" w:rsidRDefault="007F6BF3">
            <w:pPr>
              <w:pStyle w:val="P68B1DB1-Normal7"/>
              <w:spacing w:after="0" w:line="240" w:lineRule="auto"/>
              <w:jc w:val="center"/>
              <w:rPr>
                <w:rFonts w:eastAsia="Times New Roman" w:cs="Calibri"/>
                <w:noProof/>
              </w:rPr>
            </w:pPr>
            <w:r>
              <w:rPr>
                <w:noProof/>
              </w:rPr>
              <w:t>19.5</w:t>
            </w:r>
          </w:p>
        </w:tc>
        <w:tc>
          <w:tcPr>
            <w:tcW w:w="1211" w:type="dxa"/>
            <w:shd w:val="clear" w:color="auto" w:fill="C4EFCE"/>
            <w:noWrap/>
            <w:vAlign w:val="center"/>
            <w:hideMark/>
          </w:tcPr>
          <w:p w14:paraId="6B9131E1" w14:textId="77777777" w:rsidR="00154AD2" w:rsidRDefault="007F6BF3">
            <w:pPr>
              <w:pStyle w:val="P68B1DB1-Normal8"/>
              <w:spacing w:after="0" w:line="240" w:lineRule="auto"/>
              <w:jc w:val="center"/>
              <w:rPr>
                <w:rFonts w:eastAsia="Times New Roman" w:cs="Calibri"/>
                <w:noProof/>
              </w:rPr>
            </w:pPr>
            <w:r>
              <w:rPr>
                <w:noProof/>
              </w:rPr>
              <w:t>TD-C19-i02</w:t>
            </w:r>
          </w:p>
        </w:tc>
        <w:tc>
          <w:tcPr>
            <w:tcW w:w="1080" w:type="dxa"/>
            <w:shd w:val="clear" w:color="auto" w:fill="C4EFCE"/>
            <w:noWrap/>
            <w:vAlign w:val="center"/>
            <w:hideMark/>
          </w:tcPr>
          <w:p w14:paraId="3C336C97" w14:textId="77777777" w:rsidR="00154AD2" w:rsidRDefault="007F6BF3">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1BD9AD68" w14:textId="77777777" w:rsidR="00154AD2" w:rsidRDefault="007F6BF3">
            <w:pPr>
              <w:pStyle w:val="P68B1DB1-Normal8"/>
              <w:spacing w:after="0" w:line="240" w:lineRule="auto"/>
              <w:jc w:val="center"/>
              <w:rPr>
                <w:rFonts w:eastAsia="Times New Roman" w:cs="Calibri"/>
                <w:noProof/>
              </w:rPr>
            </w:pPr>
            <w:r>
              <w:rPr>
                <w:noProof/>
              </w:rPr>
              <w:t>Δημόσιες υπηρεσίες με ασφαλή πρόσβαση μέσω ηλεκτρονικής ταυτότητας και με σεβασμό της αρχής «μόνον άπαξ»</w:t>
            </w:r>
          </w:p>
        </w:tc>
        <w:tc>
          <w:tcPr>
            <w:tcW w:w="1343" w:type="dxa"/>
            <w:shd w:val="clear" w:color="auto" w:fill="C4EFCE"/>
            <w:noWrap/>
            <w:vAlign w:val="center"/>
            <w:hideMark/>
          </w:tcPr>
          <w:p w14:paraId="08DE2C60" w14:textId="77777777" w:rsidR="00154AD2" w:rsidRDefault="007F6BF3">
            <w:pPr>
              <w:pStyle w:val="P68B1DB1-Normal8"/>
              <w:spacing w:after="0" w:line="240" w:lineRule="auto"/>
              <w:jc w:val="center"/>
              <w:rPr>
                <w:rFonts w:eastAsia="Times New Roman" w:cs="Calibri"/>
                <w:noProof/>
              </w:rPr>
            </w:pPr>
            <w:r>
              <w:rPr>
                <w:noProof/>
              </w:rPr>
              <w:t> </w:t>
            </w:r>
          </w:p>
        </w:tc>
        <w:tc>
          <w:tcPr>
            <w:tcW w:w="1134" w:type="dxa"/>
            <w:shd w:val="clear" w:color="auto" w:fill="C4EFCE"/>
            <w:noWrap/>
            <w:vAlign w:val="center"/>
            <w:hideMark/>
          </w:tcPr>
          <w:p w14:paraId="4E591E30"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47" w:type="dxa"/>
            <w:shd w:val="clear" w:color="auto" w:fill="C4EFCE"/>
            <w:noWrap/>
            <w:vAlign w:val="center"/>
            <w:hideMark/>
          </w:tcPr>
          <w:p w14:paraId="4BE803EF" w14:textId="77777777" w:rsidR="00154AD2" w:rsidRDefault="007F6BF3">
            <w:pPr>
              <w:pStyle w:val="P68B1DB1-Normal8"/>
              <w:spacing w:after="0" w:line="240" w:lineRule="auto"/>
              <w:jc w:val="center"/>
              <w:rPr>
                <w:rFonts w:eastAsia="Times New Roman" w:cs="Calibri"/>
                <w:noProof/>
              </w:rPr>
            </w:pPr>
            <w:r>
              <w:rPr>
                <w:noProof/>
              </w:rPr>
              <w:t>5</w:t>
            </w:r>
          </w:p>
        </w:tc>
        <w:tc>
          <w:tcPr>
            <w:tcW w:w="682" w:type="dxa"/>
            <w:shd w:val="clear" w:color="auto" w:fill="C4EFCE"/>
            <w:noWrap/>
            <w:vAlign w:val="center"/>
            <w:hideMark/>
          </w:tcPr>
          <w:p w14:paraId="1EEBC244" w14:textId="77777777" w:rsidR="00154AD2" w:rsidRDefault="007F6BF3">
            <w:pPr>
              <w:pStyle w:val="P68B1DB1-Normal8"/>
              <w:spacing w:after="0" w:line="240" w:lineRule="auto"/>
              <w:jc w:val="center"/>
              <w:rPr>
                <w:rFonts w:eastAsia="Times New Roman" w:cs="Calibri"/>
                <w:noProof/>
              </w:rPr>
            </w:pPr>
            <w:r>
              <w:rPr>
                <w:noProof/>
              </w:rPr>
              <w:t>25</w:t>
            </w:r>
          </w:p>
        </w:tc>
        <w:tc>
          <w:tcPr>
            <w:tcW w:w="550" w:type="dxa"/>
            <w:shd w:val="clear" w:color="auto" w:fill="C4EFCE"/>
            <w:noWrap/>
            <w:vAlign w:val="center"/>
            <w:hideMark/>
          </w:tcPr>
          <w:p w14:paraId="55886765"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682" w:type="dxa"/>
            <w:shd w:val="clear" w:color="auto" w:fill="C4EFCE"/>
            <w:noWrap/>
            <w:vAlign w:val="center"/>
            <w:hideMark/>
          </w:tcPr>
          <w:p w14:paraId="6CF36C79" w14:textId="77777777" w:rsidR="00154AD2" w:rsidRDefault="007F6BF3">
            <w:pPr>
              <w:pStyle w:val="P68B1DB1-Normal8"/>
              <w:spacing w:after="0" w:line="240" w:lineRule="auto"/>
              <w:jc w:val="center"/>
              <w:rPr>
                <w:rFonts w:eastAsia="Times New Roman" w:cs="Calibri"/>
                <w:noProof/>
              </w:rPr>
            </w:pPr>
            <w:r>
              <w:rPr>
                <w:noProof/>
              </w:rPr>
              <w:t>2026</w:t>
            </w:r>
          </w:p>
        </w:tc>
        <w:tc>
          <w:tcPr>
            <w:tcW w:w="4458" w:type="dxa"/>
            <w:shd w:val="clear" w:color="auto" w:fill="C4EFCE"/>
            <w:vAlign w:val="center"/>
            <w:hideMark/>
          </w:tcPr>
          <w:p w14:paraId="5195558B" w14:textId="77777777" w:rsidR="00154AD2" w:rsidRDefault="00C7701C">
            <w:pPr>
              <w:pStyle w:val="P68B1DB1-Normal8"/>
              <w:spacing w:after="0" w:line="240" w:lineRule="auto"/>
              <w:jc w:val="both"/>
              <w:rPr>
                <w:rFonts w:eastAsia="Times New Roman" w:cs="Calibri"/>
                <w:noProof/>
                <w:u w:val="single"/>
              </w:rPr>
            </w:pPr>
            <w:hyperlink r:id="rId349" w:history="1">
              <w:r w:rsidR="007F6BF3">
                <w:rPr>
                  <w:noProof/>
                </w:rPr>
                <w:t>Αριθμός ψηφιακών δημόσιων υπηρεσιών που διατίθενται σε πολίτες και επιχειρήσεις που επαναχρησιμοποιούν τα δεδομένα που είναι διαθέσιμα στον κατάλογο iAP (διατίθεται στη διεύθυνση iap.gov.pt, καλύπτονται από ηλεκτρονική ταυτότητα (όταν ζητείται από τις υπηρεσίες) και από το Σύστημα Ελέγχου Δεδομένων Προσωπικού Χαρακτήρα στη Δημόσια Διοίκηση, και δημοσιεύουν ανοικτά δεδομένα στον ιστότοπο www.dados.gov.pt.</w:t>
              </w:r>
            </w:hyperlink>
          </w:p>
        </w:tc>
      </w:tr>
      <w:tr w:rsidR="00154AD2" w14:paraId="05EB17B2" w14:textId="77777777">
        <w:trPr>
          <w:trHeight w:val="2864"/>
        </w:trPr>
        <w:tc>
          <w:tcPr>
            <w:tcW w:w="1082" w:type="dxa"/>
            <w:shd w:val="clear" w:color="auto" w:fill="C4EFCE"/>
            <w:vAlign w:val="center"/>
            <w:hideMark/>
          </w:tcPr>
          <w:p w14:paraId="2E952EA4" w14:textId="77777777" w:rsidR="00154AD2" w:rsidRDefault="007F6BF3">
            <w:pPr>
              <w:pStyle w:val="P68B1DB1-Normal7"/>
              <w:spacing w:after="0" w:line="240" w:lineRule="auto"/>
              <w:jc w:val="center"/>
              <w:rPr>
                <w:rFonts w:eastAsia="Times New Roman" w:cs="Calibri"/>
                <w:noProof/>
              </w:rPr>
            </w:pPr>
            <w:r>
              <w:rPr>
                <w:noProof/>
              </w:rPr>
              <w:t>19.6</w:t>
            </w:r>
          </w:p>
        </w:tc>
        <w:tc>
          <w:tcPr>
            <w:tcW w:w="1211" w:type="dxa"/>
            <w:shd w:val="clear" w:color="auto" w:fill="C4EFCE"/>
            <w:noWrap/>
            <w:vAlign w:val="center"/>
            <w:hideMark/>
          </w:tcPr>
          <w:p w14:paraId="2C2B1316" w14:textId="77777777" w:rsidR="00154AD2" w:rsidRDefault="007F6BF3">
            <w:pPr>
              <w:pStyle w:val="P68B1DB1-Normal8"/>
              <w:spacing w:after="0" w:line="240" w:lineRule="auto"/>
              <w:jc w:val="center"/>
              <w:rPr>
                <w:rFonts w:eastAsia="Times New Roman" w:cs="Calibri"/>
                <w:noProof/>
              </w:rPr>
            </w:pPr>
            <w:r>
              <w:rPr>
                <w:noProof/>
              </w:rPr>
              <w:t>TD-C19-i02</w:t>
            </w:r>
          </w:p>
        </w:tc>
        <w:tc>
          <w:tcPr>
            <w:tcW w:w="1080" w:type="dxa"/>
            <w:shd w:val="clear" w:color="auto" w:fill="C4EFCE"/>
            <w:noWrap/>
            <w:vAlign w:val="center"/>
            <w:hideMark/>
          </w:tcPr>
          <w:p w14:paraId="0B87EDBD" w14:textId="77777777" w:rsidR="00154AD2" w:rsidRDefault="007F6BF3">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78B82EB8" w14:textId="77777777" w:rsidR="00154AD2" w:rsidRDefault="007F6BF3">
            <w:pPr>
              <w:pStyle w:val="P68B1DB1-Normal8"/>
              <w:spacing w:after="0" w:line="240" w:lineRule="auto"/>
              <w:jc w:val="center"/>
              <w:rPr>
                <w:rFonts w:eastAsia="Times New Roman" w:cs="Calibri"/>
                <w:noProof/>
              </w:rPr>
            </w:pPr>
            <w:r>
              <w:rPr>
                <w:noProof/>
              </w:rPr>
              <w:t>Υποδομή εδαφικών πληροφοριών</w:t>
            </w:r>
          </w:p>
        </w:tc>
        <w:tc>
          <w:tcPr>
            <w:tcW w:w="1343" w:type="dxa"/>
            <w:shd w:val="clear" w:color="auto" w:fill="C4EFCE"/>
            <w:noWrap/>
            <w:vAlign w:val="center"/>
            <w:hideMark/>
          </w:tcPr>
          <w:p w14:paraId="4CE5387D" w14:textId="77777777" w:rsidR="00154AD2" w:rsidRDefault="007F6BF3">
            <w:pPr>
              <w:pStyle w:val="P68B1DB1-Normal8"/>
              <w:spacing w:after="0" w:line="240" w:lineRule="auto"/>
              <w:rPr>
                <w:rFonts w:eastAsia="Times New Roman" w:cs="Calibri"/>
                <w:noProof/>
              </w:rPr>
            </w:pPr>
            <w:r>
              <w:rPr>
                <w:noProof/>
              </w:rPr>
              <w:t> </w:t>
            </w:r>
          </w:p>
        </w:tc>
        <w:tc>
          <w:tcPr>
            <w:tcW w:w="1134" w:type="dxa"/>
            <w:shd w:val="clear" w:color="auto" w:fill="C4EFCE"/>
            <w:noWrap/>
            <w:vAlign w:val="center"/>
            <w:hideMark/>
          </w:tcPr>
          <w:p w14:paraId="10B4DFC4" w14:textId="77777777" w:rsidR="00154AD2" w:rsidRDefault="007F6BF3">
            <w:pPr>
              <w:pStyle w:val="P68B1DB1-Normal8"/>
              <w:spacing w:after="0" w:line="240" w:lineRule="auto"/>
              <w:jc w:val="center"/>
              <w:rPr>
                <w:rFonts w:eastAsia="Times New Roman" w:cs="Calibri"/>
                <w:noProof/>
              </w:rPr>
            </w:pPr>
            <w:r>
              <w:rPr>
                <w:noProof/>
              </w:rPr>
              <w:t> Αριθμός</w:t>
            </w:r>
          </w:p>
        </w:tc>
        <w:tc>
          <w:tcPr>
            <w:tcW w:w="947" w:type="dxa"/>
            <w:shd w:val="clear" w:color="auto" w:fill="C4EFCE"/>
            <w:noWrap/>
            <w:vAlign w:val="center"/>
            <w:hideMark/>
          </w:tcPr>
          <w:p w14:paraId="05F91934" w14:textId="77777777" w:rsidR="00154AD2" w:rsidRDefault="007F6BF3">
            <w:pPr>
              <w:pStyle w:val="P68B1DB1-Normal8"/>
              <w:spacing w:after="0" w:line="240" w:lineRule="auto"/>
              <w:jc w:val="center"/>
              <w:rPr>
                <w:rFonts w:eastAsia="Times New Roman" w:cs="Calibri"/>
                <w:noProof/>
              </w:rPr>
            </w:pPr>
            <w:r>
              <w:rPr>
                <w:noProof/>
              </w:rPr>
              <w:t> 0</w:t>
            </w:r>
          </w:p>
        </w:tc>
        <w:tc>
          <w:tcPr>
            <w:tcW w:w="682" w:type="dxa"/>
            <w:shd w:val="clear" w:color="auto" w:fill="C4EFCE"/>
            <w:noWrap/>
            <w:vAlign w:val="center"/>
            <w:hideMark/>
          </w:tcPr>
          <w:p w14:paraId="40489FCE" w14:textId="77777777" w:rsidR="00154AD2" w:rsidRDefault="007F6BF3">
            <w:pPr>
              <w:pStyle w:val="P68B1DB1-Normal8"/>
              <w:spacing w:after="0" w:line="240" w:lineRule="auto"/>
              <w:jc w:val="center"/>
              <w:rPr>
                <w:rFonts w:eastAsia="Times New Roman" w:cs="Calibri"/>
                <w:noProof/>
              </w:rPr>
            </w:pPr>
            <w:r>
              <w:rPr>
                <w:noProof/>
              </w:rPr>
              <w:t> 150</w:t>
            </w:r>
          </w:p>
        </w:tc>
        <w:tc>
          <w:tcPr>
            <w:tcW w:w="550" w:type="dxa"/>
            <w:shd w:val="clear" w:color="auto" w:fill="C4EFCE"/>
            <w:noWrap/>
            <w:vAlign w:val="center"/>
            <w:hideMark/>
          </w:tcPr>
          <w:p w14:paraId="3D27795A"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682" w:type="dxa"/>
            <w:shd w:val="clear" w:color="auto" w:fill="C4EFCE"/>
            <w:noWrap/>
            <w:vAlign w:val="center"/>
            <w:hideMark/>
          </w:tcPr>
          <w:p w14:paraId="2E675188" w14:textId="77777777" w:rsidR="00154AD2" w:rsidRDefault="007F6BF3">
            <w:pPr>
              <w:pStyle w:val="P68B1DB1-Normal8"/>
              <w:spacing w:after="0" w:line="240" w:lineRule="auto"/>
              <w:jc w:val="center"/>
              <w:rPr>
                <w:rFonts w:eastAsia="Times New Roman" w:cs="Calibri"/>
                <w:noProof/>
              </w:rPr>
            </w:pPr>
            <w:r>
              <w:rPr>
                <w:noProof/>
              </w:rPr>
              <w:t>2026</w:t>
            </w:r>
          </w:p>
        </w:tc>
        <w:tc>
          <w:tcPr>
            <w:tcW w:w="4458" w:type="dxa"/>
            <w:shd w:val="clear" w:color="auto" w:fill="C4EFCE"/>
            <w:vAlign w:val="center"/>
            <w:hideMark/>
          </w:tcPr>
          <w:p w14:paraId="4CAF8E18" w14:textId="77777777" w:rsidR="00154AD2" w:rsidRDefault="007F6BF3">
            <w:pPr>
              <w:pStyle w:val="P68B1DB1-Normal8"/>
              <w:spacing w:after="0" w:line="240" w:lineRule="auto"/>
              <w:jc w:val="both"/>
              <w:rPr>
                <w:rFonts w:eastAsia="Times New Roman" w:cs="Calibri"/>
                <w:noProof/>
              </w:rPr>
            </w:pPr>
            <w:r>
              <w:rPr>
                <w:noProof/>
              </w:rPr>
              <w:t>Αριθμός πηγών δεδομένων που είναι ενσωματωμένες στην υποδομή εδαφικής πληροφόρησης που καλύπτει τη στέγαση, τις δημογραφικές, κοινωνικές και οικονομικές πληροφορίες. Οι πηγές δεδομένων περιλαμβάνουν διοικητικά και ερευνητικά μικροδεδομένα (συνήθως σε ατομικό επίπεδο ή σε επίπεδο οργανισμού/επιχείρησης) τα οποία ενσωματώνονται σταδιακά στη Στατιστική Υπηρεσία της Πορτογαλίας (μέσω της εθνικής υποδομής δεδομένων της), τα οποία κυμαίνονται από την κοινωνική ασφάλιση, τη φορολογική αρχή και διάφορους φορείς δημόσιας διοίκησης στους κυβερνητικούς τομείς της εκπαίδευσης, της εργασίας, της υγείας και της δικαιοσύνης, μεταξύ άλλων, και την επέκταση των καλυπτόμενων ετών (ετήσιες ή μικρότερες του έτους) στο μέτρο του δυνατού. Κάθε πηγή δεδομένων σταθεροποιείται (διαβίβαση), υποβάλλεται σε επεξεργασία και αναλύεται ώστε να είναι έτοιμη για ενοποίηση και παραγωγή στατιστικών πληροφοριών στο πλέον αναλυτικό επίπεδο, ιδίως κατά μήκος της περιφερειακής διάστασης.</w:t>
            </w:r>
          </w:p>
        </w:tc>
      </w:tr>
      <w:tr w:rsidR="00154AD2" w14:paraId="021D13B4" w14:textId="77777777">
        <w:trPr>
          <w:trHeight w:val="1546"/>
        </w:trPr>
        <w:tc>
          <w:tcPr>
            <w:tcW w:w="1082" w:type="dxa"/>
            <w:shd w:val="clear" w:color="auto" w:fill="C4EFCE"/>
            <w:vAlign w:val="center"/>
            <w:hideMark/>
          </w:tcPr>
          <w:p w14:paraId="26F8CD80" w14:textId="77777777" w:rsidR="00154AD2" w:rsidRDefault="007F6BF3">
            <w:pPr>
              <w:pStyle w:val="P68B1DB1-Normal7"/>
              <w:spacing w:after="0" w:line="240" w:lineRule="auto"/>
              <w:jc w:val="center"/>
              <w:rPr>
                <w:rFonts w:eastAsia="Times New Roman" w:cs="Calibri"/>
                <w:noProof/>
              </w:rPr>
            </w:pPr>
            <w:r>
              <w:rPr>
                <w:noProof/>
              </w:rPr>
              <w:t>19.7</w:t>
            </w:r>
          </w:p>
        </w:tc>
        <w:tc>
          <w:tcPr>
            <w:tcW w:w="1211" w:type="dxa"/>
            <w:shd w:val="clear" w:color="auto" w:fill="C4EFCE"/>
            <w:noWrap/>
            <w:vAlign w:val="center"/>
            <w:hideMark/>
          </w:tcPr>
          <w:p w14:paraId="31F06611" w14:textId="77777777" w:rsidR="00154AD2" w:rsidRDefault="007F6BF3">
            <w:pPr>
              <w:pStyle w:val="P68B1DB1-Normal8"/>
              <w:spacing w:after="0" w:line="240" w:lineRule="auto"/>
              <w:jc w:val="center"/>
              <w:rPr>
                <w:rFonts w:eastAsia="Times New Roman" w:cs="Calibri"/>
                <w:noProof/>
              </w:rPr>
            </w:pPr>
            <w:r>
              <w:rPr>
                <w:noProof/>
              </w:rPr>
              <w:t>TD-C19-i03</w:t>
            </w:r>
          </w:p>
        </w:tc>
        <w:tc>
          <w:tcPr>
            <w:tcW w:w="1080" w:type="dxa"/>
            <w:shd w:val="clear" w:color="auto" w:fill="C4EFCE"/>
            <w:noWrap/>
            <w:vAlign w:val="center"/>
            <w:hideMark/>
          </w:tcPr>
          <w:p w14:paraId="6E886759" w14:textId="77777777" w:rsidR="00154AD2" w:rsidRDefault="007F6BF3">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01F1C4FC" w14:textId="77777777" w:rsidR="00154AD2" w:rsidRDefault="007F6BF3">
            <w:pPr>
              <w:pStyle w:val="P68B1DB1-Normal8"/>
              <w:spacing w:after="0" w:line="240" w:lineRule="auto"/>
              <w:jc w:val="center"/>
              <w:rPr>
                <w:rFonts w:eastAsia="Times New Roman" w:cs="Calibri"/>
                <w:noProof/>
              </w:rPr>
            </w:pPr>
            <w:r>
              <w:rPr>
                <w:noProof/>
              </w:rPr>
              <w:t>Κατάρτιση ειδικών ΤΠ για την ενίσχυση των ικανοτήτων κυβερνοασφάλειας και ασφάλειας των πληροφοριών</w:t>
            </w:r>
          </w:p>
        </w:tc>
        <w:tc>
          <w:tcPr>
            <w:tcW w:w="1343" w:type="dxa"/>
            <w:shd w:val="clear" w:color="auto" w:fill="C4EFCE"/>
            <w:noWrap/>
            <w:vAlign w:val="center"/>
            <w:hideMark/>
          </w:tcPr>
          <w:p w14:paraId="331EB092" w14:textId="77777777" w:rsidR="00154AD2" w:rsidRDefault="007F6BF3">
            <w:pPr>
              <w:pStyle w:val="P68B1DB1-Normal8"/>
              <w:spacing w:after="0" w:line="240" w:lineRule="auto"/>
              <w:jc w:val="center"/>
              <w:rPr>
                <w:rFonts w:eastAsia="Times New Roman" w:cs="Calibri"/>
                <w:noProof/>
              </w:rPr>
            </w:pPr>
            <w:r>
              <w:rPr>
                <w:noProof/>
              </w:rPr>
              <w:t> </w:t>
            </w:r>
          </w:p>
        </w:tc>
        <w:tc>
          <w:tcPr>
            <w:tcW w:w="1134" w:type="dxa"/>
            <w:shd w:val="clear" w:color="auto" w:fill="C4EFCE"/>
            <w:noWrap/>
            <w:vAlign w:val="center"/>
            <w:hideMark/>
          </w:tcPr>
          <w:p w14:paraId="3B688D49"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47" w:type="dxa"/>
            <w:shd w:val="clear" w:color="auto" w:fill="C4EFCE"/>
            <w:noWrap/>
            <w:vAlign w:val="center"/>
            <w:hideMark/>
          </w:tcPr>
          <w:p w14:paraId="3500F57F" w14:textId="77777777" w:rsidR="00154AD2" w:rsidRDefault="007F6BF3">
            <w:pPr>
              <w:pStyle w:val="P68B1DB1-Normal8"/>
              <w:spacing w:after="0" w:line="240" w:lineRule="auto"/>
              <w:jc w:val="center"/>
              <w:rPr>
                <w:rFonts w:eastAsia="Times New Roman" w:cs="Calibri"/>
                <w:noProof/>
              </w:rPr>
            </w:pPr>
            <w:r>
              <w:rPr>
                <w:noProof/>
              </w:rPr>
              <w:t>0</w:t>
            </w:r>
          </w:p>
        </w:tc>
        <w:tc>
          <w:tcPr>
            <w:tcW w:w="682" w:type="dxa"/>
            <w:shd w:val="clear" w:color="auto" w:fill="C4EFCE"/>
            <w:noWrap/>
            <w:vAlign w:val="center"/>
            <w:hideMark/>
          </w:tcPr>
          <w:p w14:paraId="00D6EA06" w14:textId="77777777" w:rsidR="00154AD2" w:rsidRDefault="007F6BF3">
            <w:pPr>
              <w:pStyle w:val="P68B1DB1-Normal8"/>
              <w:spacing w:after="0" w:line="240" w:lineRule="auto"/>
              <w:jc w:val="center"/>
              <w:rPr>
                <w:rFonts w:eastAsia="Times New Roman" w:cs="Calibri"/>
                <w:noProof/>
              </w:rPr>
            </w:pPr>
            <w:r>
              <w:rPr>
                <w:noProof/>
              </w:rPr>
              <w:t>9 800</w:t>
            </w:r>
          </w:p>
        </w:tc>
        <w:tc>
          <w:tcPr>
            <w:tcW w:w="550" w:type="dxa"/>
            <w:shd w:val="clear" w:color="auto" w:fill="C4EFCE"/>
            <w:noWrap/>
            <w:vAlign w:val="center"/>
            <w:hideMark/>
          </w:tcPr>
          <w:p w14:paraId="4FDC9656"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682" w:type="dxa"/>
            <w:shd w:val="clear" w:color="auto" w:fill="C4EFCE"/>
            <w:noWrap/>
            <w:vAlign w:val="center"/>
            <w:hideMark/>
          </w:tcPr>
          <w:p w14:paraId="5C8036E3" w14:textId="77777777" w:rsidR="00154AD2" w:rsidRDefault="007F6BF3">
            <w:pPr>
              <w:pStyle w:val="P68B1DB1-Normal8"/>
              <w:spacing w:after="0" w:line="240" w:lineRule="auto"/>
              <w:jc w:val="center"/>
              <w:rPr>
                <w:rFonts w:eastAsia="Times New Roman" w:cs="Calibri"/>
                <w:noProof/>
              </w:rPr>
            </w:pPr>
            <w:r>
              <w:rPr>
                <w:noProof/>
              </w:rPr>
              <w:t>2026</w:t>
            </w:r>
          </w:p>
        </w:tc>
        <w:tc>
          <w:tcPr>
            <w:tcW w:w="4458" w:type="dxa"/>
            <w:shd w:val="clear" w:color="auto" w:fill="C4EFCE"/>
            <w:vAlign w:val="center"/>
            <w:hideMark/>
          </w:tcPr>
          <w:p w14:paraId="3DC67902" w14:textId="77777777" w:rsidR="00154AD2" w:rsidRDefault="007F6BF3">
            <w:pPr>
              <w:pStyle w:val="P68B1DB1-Normal8"/>
              <w:spacing w:after="0" w:line="240" w:lineRule="auto"/>
              <w:jc w:val="both"/>
              <w:rPr>
                <w:rFonts w:eastAsia="Times New Roman" w:cs="Calibri"/>
                <w:noProof/>
              </w:rPr>
            </w:pPr>
            <w:r>
              <w:rPr>
                <w:noProof/>
              </w:rPr>
              <w:t>Αριθμός ειδικών ΤΠ που εκπαιδεύτηκαν στο δίκτυο επτά νεοσυσταθέντων κέντρων ικανοτήτων στον τομέα της κυβερνοασφάλειας. Τα κέντρα παρέχουν προηγμένες δεξιότητες στον τομέα της κυβερνοασφάλειας και της ασφάλειας των πληροφοριών μέσω προγραμμάτων κατάρτισης και πρακτικής άσκησης στο Εθνικό Κέντρο Κυβερνοασφάλειας (CNCS) για υπαλλήλους ΤΠΕ της δημόσιας διοίκησης (διά ζώσης ή τηλεματική κατάρτιση)</w:t>
            </w:r>
          </w:p>
        </w:tc>
      </w:tr>
      <w:tr w:rsidR="00154AD2" w14:paraId="6EAE2210" w14:textId="77777777">
        <w:trPr>
          <w:trHeight w:val="1690"/>
        </w:trPr>
        <w:tc>
          <w:tcPr>
            <w:tcW w:w="1082" w:type="dxa"/>
            <w:shd w:val="clear" w:color="auto" w:fill="C4EFCE"/>
            <w:vAlign w:val="center"/>
            <w:hideMark/>
          </w:tcPr>
          <w:p w14:paraId="308988EE" w14:textId="77777777" w:rsidR="00154AD2" w:rsidRDefault="007F6BF3">
            <w:pPr>
              <w:pStyle w:val="P68B1DB1-Normal7"/>
              <w:spacing w:after="0" w:line="240" w:lineRule="auto"/>
              <w:jc w:val="center"/>
              <w:rPr>
                <w:rFonts w:eastAsia="Times New Roman" w:cs="Calibri"/>
                <w:noProof/>
              </w:rPr>
            </w:pPr>
            <w:r>
              <w:rPr>
                <w:noProof/>
              </w:rPr>
              <w:t>19.8</w:t>
            </w:r>
          </w:p>
        </w:tc>
        <w:tc>
          <w:tcPr>
            <w:tcW w:w="1211" w:type="dxa"/>
            <w:shd w:val="clear" w:color="auto" w:fill="C4EFCE"/>
            <w:noWrap/>
            <w:vAlign w:val="center"/>
            <w:hideMark/>
          </w:tcPr>
          <w:p w14:paraId="2756D035" w14:textId="77777777" w:rsidR="00154AD2" w:rsidRDefault="007F6BF3">
            <w:pPr>
              <w:pStyle w:val="P68B1DB1-Normal8"/>
              <w:spacing w:after="0" w:line="240" w:lineRule="auto"/>
              <w:jc w:val="center"/>
              <w:rPr>
                <w:rFonts w:eastAsia="Times New Roman" w:cs="Calibri"/>
                <w:noProof/>
              </w:rPr>
            </w:pPr>
            <w:r>
              <w:rPr>
                <w:noProof/>
              </w:rPr>
              <w:t>TD-C19-i03</w:t>
            </w:r>
          </w:p>
        </w:tc>
        <w:tc>
          <w:tcPr>
            <w:tcW w:w="1080" w:type="dxa"/>
            <w:shd w:val="clear" w:color="auto" w:fill="C4EFCE"/>
            <w:noWrap/>
            <w:vAlign w:val="center"/>
            <w:hideMark/>
          </w:tcPr>
          <w:p w14:paraId="487E3F25" w14:textId="77777777" w:rsidR="00154AD2" w:rsidRDefault="007F6BF3">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2E4949A1" w14:textId="77777777" w:rsidR="00154AD2" w:rsidRDefault="007F6BF3">
            <w:pPr>
              <w:pStyle w:val="P68B1DB1-Normal8"/>
              <w:spacing w:after="0" w:line="240" w:lineRule="auto"/>
              <w:jc w:val="center"/>
              <w:rPr>
                <w:rFonts w:eastAsia="Times New Roman" w:cs="Calibri"/>
                <w:noProof/>
              </w:rPr>
            </w:pPr>
            <w:r>
              <w:rPr>
                <w:noProof/>
              </w:rPr>
              <w:t>Υιοθέτηση της πορτογαλικής κρυπτογραφικής λύσης από τις δημόσιες αρχές</w:t>
            </w:r>
          </w:p>
        </w:tc>
        <w:tc>
          <w:tcPr>
            <w:tcW w:w="1343" w:type="dxa"/>
            <w:shd w:val="clear" w:color="auto" w:fill="C4EFCE"/>
            <w:noWrap/>
            <w:vAlign w:val="center"/>
            <w:hideMark/>
          </w:tcPr>
          <w:p w14:paraId="4C9A8180" w14:textId="77777777" w:rsidR="00154AD2" w:rsidRDefault="007F6BF3">
            <w:pPr>
              <w:pStyle w:val="P68B1DB1-Normal8"/>
              <w:spacing w:after="0" w:line="240" w:lineRule="auto"/>
              <w:rPr>
                <w:rFonts w:eastAsia="Times New Roman" w:cs="Calibri"/>
                <w:noProof/>
              </w:rPr>
            </w:pPr>
            <w:r>
              <w:rPr>
                <w:noProof/>
              </w:rPr>
              <w:t> </w:t>
            </w:r>
          </w:p>
        </w:tc>
        <w:tc>
          <w:tcPr>
            <w:tcW w:w="1134" w:type="dxa"/>
            <w:shd w:val="clear" w:color="auto" w:fill="C4EFCE"/>
            <w:noWrap/>
            <w:vAlign w:val="center"/>
            <w:hideMark/>
          </w:tcPr>
          <w:p w14:paraId="5E66E76F"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47" w:type="dxa"/>
            <w:shd w:val="clear" w:color="auto" w:fill="C4EFCE"/>
            <w:noWrap/>
            <w:vAlign w:val="center"/>
            <w:hideMark/>
          </w:tcPr>
          <w:p w14:paraId="2CC988A8" w14:textId="77777777" w:rsidR="00154AD2" w:rsidRDefault="007F6BF3">
            <w:pPr>
              <w:pStyle w:val="P68B1DB1-Normal8"/>
              <w:spacing w:after="0" w:line="240" w:lineRule="auto"/>
              <w:jc w:val="center"/>
              <w:rPr>
                <w:rFonts w:eastAsia="Times New Roman" w:cs="Calibri"/>
                <w:noProof/>
              </w:rPr>
            </w:pPr>
            <w:r>
              <w:rPr>
                <w:noProof/>
              </w:rPr>
              <w:t>0</w:t>
            </w:r>
          </w:p>
        </w:tc>
        <w:tc>
          <w:tcPr>
            <w:tcW w:w="682" w:type="dxa"/>
            <w:shd w:val="clear" w:color="auto" w:fill="C4EFCE"/>
            <w:noWrap/>
            <w:vAlign w:val="center"/>
            <w:hideMark/>
          </w:tcPr>
          <w:p w14:paraId="4A8C6E1F" w14:textId="77777777" w:rsidR="00154AD2" w:rsidRDefault="007F6BF3">
            <w:pPr>
              <w:pStyle w:val="P68B1DB1-Normal8"/>
              <w:spacing w:after="0" w:line="240" w:lineRule="auto"/>
              <w:jc w:val="center"/>
              <w:rPr>
                <w:rFonts w:eastAsia="Times New Roman" w:cs="Calibri"/>
                <w:noProof/>
              </w:rPr>
            </w:pPr>
            <w:r>
              <w:rPr>
                <w:noProof/>
              </w:rPr>
              <w:t>150</w:t>
            </w:r>
          </w:p>
        </w:tc>
        <w:tc>
          <w:tcPr>
            <w:tcW w:w="550" w:type="dxa"/>
            <w:shd w:val="clear" w:color="auto" w:fill="C4EFCE"/>
            <w:noWrap/>
            <w:vAlign w:val="center"/>
            <w:hideMark/>
          </w:tcPr>
          <w:p w14:paraId="086973FB"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682" w:type="dxa"/>
            <w:shd w:val="clear" w:color="auto" w:fill="C4EFCE"/>
            <w:noWrap/>
            <w:vAlign w:val="center"/>
            <w:hideMark/>
          </w:tcPr>
          <w:p w14:paraId="50931A0E" w14:textId="77777777" w:rsidR="00154AD2" w:rsidRDefault="007F6BF3">
            <w:pPr>
              <w:pStyle w:val="P68B1DB1-Normal8"/>
              <w:spacing w:after="0" w:line="240" w:lineRule="auto"/>
              <w:jc w:val="center"/>
              <w:rPr>
                <w:rFonts w:eastAsia="Times New Roman" w:cs="Calibri"/>
                <w:noProof/>
              </w:rPr>
            </w:pPr>
            <w:r>
              <w:rPr>
                <w:noProof/>
              </w:rPr>
              <w:t>2026</w:t>
            </w:r>
          </w:p>
        </w:tc>
        <w:tc>
          <w:tcPr>
            <w:tcW w:w="4458" w:type="dxa"/>
            <w:shd w:val="clear" w:color="auto" w:fill="C4EFCE"/>
            <w:vAlign w:val="center"/>
            <w:hideMark/>
          </w:tcPr>
          <w:p w14:paraId="365B7BEE" w14:textId="77777777" w:rsidR="00154AD2" w:rsidRDefault="007F6BF3">
            <w:pPr>
              <w:pStyle w:val="P68B1DB1-Normal8"/>
              <w:spacing w:after="0" w:line="240" w:lineRule="auto"/>
              <w:jc w:val="both"/>
              <w:rPr>
                <w:rFonts w:eastAsia="Times New Roman" w:cs="Calibri"/>
                <w:noProof/>
              </w:rPr>
            </w:pPr>
            <w:r>
              <w:rPr>
                <w:noProof/>
              </w:rPr>
              <w:t>Αριθμός δημόσιων αρχών στις οποίες παρέχεται κρυπτογραφικός εξοπλισμός που συμμορφώνεται με τις νομικές απαιτήσεις [</w:t>
            </w:r>
            <w:r>
              <w:rPr>
                <w:i/>
                <w:noProof/>
              </w:rPr>
              <w:t>Resolução do Conselho de Ministros, n.° 16/96, de 22 de março — Instruções para a Segurança Nacional, Segurança das Telecomunicações (SEGNAC 3), Capítulo 3</w:t>
            </w:r>
            <w:r>
              <w:rPr>
                <w:noProof/>
              </w:rPr>
              <w:t xml:space="preserve"> /ψήφισμα του Υπουργικού Συμβουλίου, αριθ. 16/96, 22 Μαρτίου — Οδηγίες για την εθνική ασφάλεια, την ασφάλεια των τηλεπικοινωνιών (SEGNAC 3), κεφάλαιο 3]. </w:t>
            </w:r>
          </w:p>
        </w:tc>
      </w:tr>
      <w:tr w:rsidR="00154AD2" w14:paraId="4FEFFAA1" w14:textId="77777777">
        <w:trPr>
          <w:trHeight w:val="1969"/>
        </w:trPr>
        <w:tc>
          <w:tcPr>
            <w:tcW w:w="1082" w:type="dxa"/>
            <w:shd w:val="clear" w:color="auto" w:fill="C4EFCE"/>
            <w:vAlign w:val="center"/>
          </w:tcPr>
          <w:p w14:paraId="3A68F726" w14:textId="59EE31D4" w:rsidR="00154AD2" w:rsidRDefault="007F6BF3">
            <w:pPr>
              <w:pStyle w:val="P68B1DB1-Normal7"/>
              <w:spacing w:after="0" w:line="240" w:lineRule="auto"/>
              <w:jc w:val="center"/>
              <w:rPr>
                <w:rFonts w:eastAsia="Times New Roman" w:cs="Calibri"/>
                <w:noProof/>
              </w:rPr>
            </w:pPr>
            <w:r>
              <w:rPr>
                <w:noProof/>
              </w:rPr>
              <w:t>19.9</w:t>
            </w:r>
          </w:p>
        </w:tc>
        <w:tc>
          <w:tcPr>
            <w:tcW w:w="1211" w:type="dxa"/>
            <w:shd w:val="clear" w:color="auto" w:fill="C4EFCE"/>
            <w:noWrap/>
            <w:vAlign w:val="center"/>
          </w:tcPr>
          <w:p w14:paraId="67DE3F13" w14:textId="744B2D80" w:rsidR="00154AD2" w:rsidRDefault="007F6BF3">
            <w:pPr>
              <w:pStyle w:val="P68B1DB1-Normal8"/>
              <w:spacing w:after="0" w:line="240" w:lineRule="auto"/>
              <w:jc w:val="center"/>
              <w:rPr>
                <w:rFonts w:eastAsia="Times New Roman" w:cs="Calibri"/>
                <w:noProof/>
              </w:rPr>
            </w:pPr>
            <w:r>
              <w:rPr>
                <w:noProof/>
              </w:rPr>
              <w:t>TD-C19-i03</w:t>
            </w:r>
          </w:p>
        </w:tc>
        <w:tc>
          <w:tcPr>
            <w:tcW w:w="1080" w:type="dxa"/>
            <w:shd w:val="clear" w:color="auto" w:fill="C4EFCE"/>
            <w:noWrap/>
            <w:vAlign w:val="center"/>
          </w:tcPr>
          <w:p w14:paraId="5426B223" w14:textId="1A66F3E2" w:rsidR="00154AD2" w:rsidRDefault="007F6BF3">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tcPr>
          <w:p w14:paraId="6B8CDAAE" w14:textId="05621BA1" w:rsidR="00154AD2" w:rsidRDefault="007F6BF3">
            <w:pPr>
              <w:pStyle w:val="P68B1DB1-Normal8"/>
              <w:spacing w:after="0" w:line="240" w:lineRule="auto"/>
              <w:jc w:val="center"/>
              <w:rPr>
                <w:rFonts w:eastAsia="Times New Roman" w:cs="Calibri"/>
                <w:noProof/>
              </w:rPr>
            </w:pPr>
            <w:r>
              <w:rPr>
                <w:noProof/>
              </w:rPr>
              <w:t>Εφαρμογή του Εθνικού Πλαισίου Κυβερνοασφάλειας</w:t>
            </w:r>
          </w:p>
        </w:tc>
        <w:tc>
          <w:tcPr>
            <w:tcW w:w="1343" w:type="dxa"/>
            <w:shd w:val="clear" w:color="auto" w:fill="C4EFCE"/>
            <w:noWrap/>
            <w:vAlign w:val="center"/>
          </w:tcPr>
          <w:p w14:paraId="15AE299E" w14:textId="77777777" w:rsidR="00154AD2" w:rsidRDefault="00154AD2">
            <w:pPr>
              <w:spacing w:after="0" w:line="240" w:lineRule="auto"/>
              <w:rPr>
                <w:rFonts w:ascii="Calibri" w:eastAsia="Times New Roman" w:hAnsi="Calibri" w:cs="Calibri"/>
                <w:noProof/>
                <w:sz w:val="16"/>
              </w:rPr>
            </w:pPr>
          </w:p>
        </w:tc>
        <w:tc>
          <w:tcPr>
            <w:tcW w:w="1134" w:type="dxa"/>
            <w:shd w:val="clear" w:color="auto" w:fill="C4EFCE"/>
            <w:noWrap/>
            <w:vAlign w:val="center"/>
          </w:tcPr>
          <w:p w14:paraId="557F5529" w14:textId="47FFDC85" w:rsidR="00154AD2" w:rsidRDefault="007F6BF3">
            <w:pPr>
              <w:pStyle w:val="P68B1DB1-Normal8"/>
              <w:spacing w:after="0" w:line="240" w:lineRule="auto"/>
              <w:jc w:val="center"/>
              <w:rPr>
                <w:rFonts w:eastAsia="Times New Roman" w:cs="Calibri"/>
                <w:noProof/>
              </w:rPr>
            </w:pPr>
            <w:r>
              <w:rPr>
                <w:noProof/>
              </w:rPr>
              <w:t>Αριθμός</w:t>
            </w:r>
          </w:p>
        </w:tc>
        <w:tc>
          <w:tcPr>
            <w:tcW w:w="947" w:type="dxa"/>
            <w:shd w:val="clear" w:color="auto" w:fill="C4EFCE"/>
            <w:noWrap/>
            <w:vAlign w:val="center"/>
          </w:tcPr>
          <w:p w14:paraId="10F2D9AB" w14:textId="31D9A02A" w:rsidR="00154AD2" w:rsidRDefault="007F6BF3">
            <w:pPr>
              <w:pStyle w:val="P68B1DB1-Normal8"/>
              <w:spacing w:after="0" w:line="240" w:lineRule="auto"/>
              <w:jc w:val="center"/>
              <w:rPr>
                <w:rFonts w:eastAsia="Times New Roman" w:cs="Calibri"/>
                <w:noProof/>
              </w:rPr>
            </w:pPr>
            <w:r>
              <w:rPr>
                <w:noProof/>
              </w:rPr>
              <w:t>0</w:t>
            </w:r>
          </w:p>
        </w:tc>
        <w:tc>
          <w:tcPr>
            <w:tcW w:w="682" w:type="dxa"/>
            <w:shd w:val="clear" w:color="auto" w:fill="C4EFCE"/>
            <w:noWrap/>
            <w:vAlign w:val="center"/>
          </w:tcPr>
          <w:p w14:paraId="4F952B72" w14:textId="3DF121B4" w:rsidR="00154AD2" w:rsidRDefault="007F6BF3">
            <w:pPr>
              <w:pStyle w:val="P68B1DB1-Normal8"/>
              <w:spacing w:after="0" w:line="240" w:lineRule="auto"/>
              <w:jc w:val="center"/>
              <w:rPr>
                <w:rFonts w:eastAsia="Times New Roman" w:cs="Calibri"/>
                <w:noProof/>
              </w:rPr>
            </w:pPr>
            <w:r>
              <w:rPr>
                <w:noProof/>
              </w:rPr>
              <w:t>47</w:t>
            </w:r>
          </w:p>
        </w:tc>
        <w:tc>
          <w:tcPr>
            <w:tcW w:w="550" w:type="dxa"/>
            <w:shd w:val="clear" w:color="auto" w:fill="C4EFCE"/>
            <w:noWrap/>
            <w:vAlign w:val="center"/>
          </w:tcPr>
          <w:p w14:paraId="28B08257" w14:textId="1AD527DF" w:rsidR="00154AD2" w:rsidRDefault="007F6BF3">
            <w:pPr>
              <w:pStyle w:val="P68B1DB1-Normal8"/>
              <w:spacing w:after="0" w:line="240" w:lineRule="auto"/>
              <w:jc w:val="center"/>
              <w:rPr>
                <w:rFonts w:eastAsia="Times New Roman" w:cs="Calibri"/>
                <w:noProof/>
              </w:rPr>
            </w:pPr>
            <w:r>
              <w:rPr>
                <w:noProof/>
              </w:rPr>
              <w:t>ΤΡΊΜΗΝΟ 1</w:t>
            </w:r>
          </w:p>
        </w:tc>
        <w:tc>
          <w:tcPr>
            <w:tcW w:w="682" w:type="dxa"/>
            <w:shd w:val="clear" w:color="auto" w:fill="C4EFCE"/>
            <w:noWrap/>
            <w:vAlign w:val="center"/>
          </w:tcPr>
          <w:p w14:paraId="168519DA" w14:textId="5F4A2B04" w:rsidR="00154AD2" w:rsidRDefault="007F6BF3">
            <w:pPr>
              <w:pStyle w:val="P68B1DB1-Normal8"/>
              <w:spacing w:after="0" w:line="240" w:lineRule="auto"/>
              <w:jc w:val="center"/>
              <w:rPr>
                <w:rFonts w:eastAsia="Times New Roman" w:cs="Calibri"/>
                <w:noProof/>
              </w:rPr>
            </w:pPr>
            <w:r>
              <w:rPr>
                <w:noProof/>
              </w:rPr>
              <w:t>2026</w:t>
            </w:r>
          </w:p>
        </w:tc>
        <w:tc>
          <w:tcPr>
            <w:tcW w:w="4458" w:type="dxa"/>
            <w:shd w:val="clear" w:color="auto" w:fill="C4EFCE"/>
            <w:vAlign w:val="center"/>
          </w:tcPr>
          <w:p w14:paraId="0B3D764C" w14:textId="37515DD9" w:rsidR="00154AD2" w:rsidRDefault="007F6BF3">
            <w:pPr>
              <w:pStyle w:val="P68B1DB1-Normal8"/>
              <w:spacing w:after="0" w:line="240" w:lineRule="auto"/>
              <w:jc w:val="both"/>
              <w:rPr>
                <w:rFonts w:eastAsia="Times New Roman" w:cs="Calibri"/>
                <w:noProof/>
              </w:rPr>
            </w:pPr>
            <w:r>
              <w:rPr>
                <w:noProof/>
              </w:rPr>
              <w:t>Αριθμός νέων οντοτήτων στη δημόσια διοίκηση που καλύπτονται από το εθνικό πλαίσιο κυβερνοασφάλειας (βλ. μεταρρύθμιση TD-r34). Οι εν λόγω οντότητες υποχρεούνται να παράγουν δείκτες κυβερνοασφάλειας, να εφαρμόζουν το εθνικό και ενωσιακό κανονιστικό πλαίσιο για την κυβερνοασφάλεια, μεταξύ άλλων μέσω οργανισμών αξιολόγησης της συμμόρφωσης και νέων ελεγκτών, καθώς και μέσω του καθορισμού και της παρακολούθησης του μοντέλου διακυβέρνησης συνεργασίας και ανταλλαγής πληροφοριών για την ασφάλεια των γνώσεων και των πληροφοριών.</w:t>
            </w:r>
          </w:p>
        </w:tc>
      </w:tr>
      <w:tr w:rsidR="00154AD2" w14:paraId="2F6B4CDF" w14:textId="77777777">
        <w:trPr>
          <w:trHeight w:val="430"/>
        </w:trPr>
        <w:tc>
          <w:tcPr>
            <w:tcW w:w="1082" w:type="dxa"/>
            <w:shd w:val="clear" w:color="auto" w:fill="C4EFCE"/>
            <w:vAlign w:val="center"/>
            <w:hideMark/>
          </w:tcPr>
          <w:p w14:paraId="312AB79F" w14:textId="77777777" w:rsidR="00154AD2" w:rsidRDefault="007F6BF3">
            <w:pPr>
              <w:pStyle w:val="P68B1DB1-Normal7"/>
              <w:spacing w:after="0" w:line="240" w:lineRule="auto"/>
              <w:jc w:val="center"/>
              <w:rPr>
                <w:rFonts w:eastAsia="Times New Roman" w:cs="Calibri"/>
                <w:noProof/>
              </w:rPr>
            </w:pPr>
            <w:r>
              <w:rPr>
                <w:noProof/>
              </w:rPr>
              <w:t>19.10</w:t>
            </w:r>
          </w:p>
        </w:tc>
        <w:tc>
          <w:tcPr>
            <w:tcW w:w="1211" w:type="dxa"/>
            <w:shd w:val="clear" w:color="auto" w:fill="C4EFCE"/>
            <w:noWrap/>
            <w:vAlign w:val="center"/>
            <w:hideMark/>
          </w:tcPr>
          <w:p w14:paraId="4ED32827" w14:textId="77777777" w:rsidR="00154AD2" w:rsidRDefault="007F6BF3">
            <w:pPr>
              <w:pStyle w:val="P68B1DB1-Normal8"/>
              <w:spacing w:after="0" w:line="240" w:lineRule="auto"/>
              <w:jc w:val="center"/>
              <w:rPr>
                <w:rFonts w:eastAsia="Times New Roman" w:cs="Calibri"/>
                <w:noProof/>
              </w:rPr>
            </w:pPr>
            <w:r>
              <w:rPr>
                <w:noProof/>
              </w:rPr>
              <w:t>TD-C19-i03</w:t>
            </w:r>
          </w:p>
        </w:tc>
        <w:tc>
          <w:tcPr>
            <w:tcW w:w="1080" w:type="dxa"/>
            <w:shd w:val="clear" w:color="auto" w:fill="C4EFCE"/>
            <w:noWrap/>
            <w:vAlign w:val="center"/>
            <w:hideMark/>
          </w:tcPr>
          <w:p w14:paraId="15B82E65" w14:textId="77777777" w:rsidR="00154AD2" w:rsidRDefault="007F6BF3">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hideMark/>
          </w:tcPr>
          <w:p w14:paraId="55D8A471" w14:textId="77777777" w:rsidR="00154AD2" w:rsidRDefault="007F6BF3">
            <w:pPr>
              <w:pStyle w:val="P68B1DB1-Normal8"/>
              <w:spacing w:after="0" w:line="240" w:lineRule="auto"/>
              <w:jc w:val="center"/>
              <w:rPr>
                <w:rFonts w:eastAsia="Times New Roman" w:cs="Calibri"/>
                <w:noProof/>
              </w:rPr>
            </w:pPr>
            <w:r>
              <w:rPr>
                <w:noProof/>
              </w:rPr>
              <w:t>Ολοκλήρωση της οικοδόμησης των αρχών κυβερνοασφάλειας και ασφάλειας πληροφοριών</w:t>
            </w:r>
          </w:p>
        </w:tc>
        <w:tc>
          <w:tcPr>
            <w:tcW w:w="1343" w:type="dxa"/>
            <w:shd w:val="clear" w:color="auto" w:fill="C4EFCE"/>
            <w:noWrap/>
            <w:vAlign w:val="center"/>
            <w:hideMark/>
          </w:tcPr>
          <w:p w14:paraId="73297563" w14:textId="77777777" w:rsidR="00154AD2" w:rsidRDefault="007F6BF3">
            <w:pPr>
              <w:pStyle w:val="P68B1DB1-Normal8"/>
              <w:spacing w:after="0" w:line="240" w:lineRule="auto"/>
              <w:jc w:val="center"/>
              <w:rPr>
                <w:rFonts w:eastAsia="Times New Roman" w:cs="Calibri"/>
                <w:noProof/>
              </w:rPr>
            </w:pPr>
            <w:r>
              <w:rPr>
                <w:noProof/>
              </w:rPr>
              <w:t xml:space="preserve">Ολοκλήρωση της οικοδόμησης των αρχών κυβερνοασφάλειας και ασφάλειας πληροφοριών </w:t>
            </w:r>
          </w:p>
        </w:tc>
        <w:tc>
          <w:tcPr>
            <w:tcW w:w="1134" w:type="dxa"/>
            <w:shd w:val="clear" w:color="auto" w:fill="C4EFCE"/>
            <w:noWrap/>
            <w:vAlign w:val="center"/>
            <w:hideMark/>
          </w:tcPr>
          <w:p w14:paraId="18895E37" w14:textId="77777777" w:rsidR="00154AD2" w:rsidRDefault="007F6BF3">
            <w:pPr>
              <w:pStyle w:val="P68B1DB1-Normal8"/>
              <w:spacing w:after="0" w:line="240" w:lineRule="auto"/>
              <w:jc w:val="center"/>
              <w:rPr>
                <w:rFonts w:eastAsia="Times New Roman" w:cs="Calibri"/>
                <w:noProof/>
              </w:rPr>
            </w:pPr>
            <w:r>
              <w:rPr>
                <w:noProof/>
              </w:rPr>
              <w:t xml:space="preserve"> </w:t>
            </w:r>
          </w:p>
        </w:tc>
        <w:tc>
          <w:tcPr>
            <w:tcW w:w="947" w:type="dxa"/>
            <w:shd w:val="clear" w:color="auto" w:fill="C4EFCE"/>
            <w:noWrap/>
            <w:vAlign w:val="center"/>
            <w:hideMark/>
          </w:tcPr>
          <w:p w14:paraId="68F01236" w14:textId="77777777" w:rsidR="00154AD2" w:rsidRDefault="007F6BF3">
            <w:pPr>
              <w:pStyle w:val="P68B1DB1-Normal8"/>
              <w:spacing w:after="0" w:line="240" w:lineRule="auto"/>
              <w:jc w:val="center"/>
              <w:rPr>
                <w:rFonts w:eastAsia="Times New Roman" w:cs="Calibri"/>
                <w:noProof/>
              </w:rPr>
            </w:pPr>
            <w:r>
              <w:rPr>
                <w:noProof/>
              </w:rPr>
              <w:t xml:space="preserve"> </w:t>
            </w:r>
          </w:p>
        </w:tc>
        <w:tc>
          <w:tcPr>
            <w:tcW w:w="682" w:type="dxa"/>
            <w:shd w:val="clear" w:color="auto" w:fill="C4EFCE"/>
            <w:noWrap/>
            <w:vAlign w:val="center"/>
            <w:hideMark/>
          </w:tcPr>
          <w:p w14:paraId="5CF77E3A" w14:textId="77777777" w:rsidR="00154AD2" w:rsidRDefault="007F6BF3">
            <w:pPr>
              <w:pStyle w:val="P68B1DB1-Normal8"/>
              <w:spacing w:after="0" w:line="240" w:lineRule="auto"/>
              <w:jc w:val="center"/>
              <w:rPr>
                <w:rFonts w:eastAsia="Times New Roman" w:cs="Calibri"/>
                <w:noProof/>
              </w:rPr>
            </w:pPr>
            <w:r>
              <w:rPr>
                <w:noProof/>
              </w:rPr>
              <w:t xml:space="preserve"> </w:t>
            </w:r>
          </w:p>
        </w:tc>
        <w:tc>
          <w:tcPr>
            <w:tcW w:w="550" w:type="dxa"/>
            <w:shd w:val="clear" w:color="auto" w:fill="C4EFCE"/>
            <w:noWrap/>
            <w:vAlign w:val="center"/>
            <w:hideMark/>
          </w:tcPr>
          <w:p w14:paraId="1DB26465"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682" w:type="dxa"/>
            <w:shd w:val="clear" w:color="auto" w:fill="C4EFCE"/>
            <w:noWrap/>
            <w:vAlign w:val="center"/>
            <w:hideMark/>
          </w:tcPr>
          <w:p w14:paraId="5FC22AB1" w14:textId="77777777" w:rsidR="00154AD2" w:rsidRDefault="007F6BF3">
            <w:pPr>
              <w:pStyle w:val="P68B1DB1-Normal8"/>
              <w:spacing w:after="0" w:line="240" w:lineRule="auto"/>
              <w:jc w:val="center"/>
              <w:rPr>
                <w:rFonts w:eastAsia="Times New Roman" w:cs="Calibri"/>
                <w:noProof/>
              </w:rPr>
            </w:pPr>
            <w:r>
              <w:rPr>
                <w:noProof/>
              </w:rPr>
              <w:t>2026</w:t>
            </w:r>
          </w:p>
        </w:tc>
        <w:tc>
          <w:tcPr>
            <w:tcW w:w="4458" w:type="dxa"/>
            <w:shd w:val="clear" w:color="auto" w:fill="C4EFCE"/>
            <w:vAlign w:val="center"/>
            <w:hideMark/>
          </w:tcPr>
          <w:p w14:paraId="36ECA463" w14:textId="77777777" w:rsidR="00154AD2" w:rsidRDefault="007F6BF3">
            <w:pPr>
              <w:pStyle w:val="P68B1DB1-Normal8"/>
              <w:spacing w:after="0" w:line="240" w:lineRule="auto"/>
              <w:jc w:val="both"/>
              <w:rPr>
                <w:rFonts w:eastAsia="Times New Roman" w:cs="Calibri"/>
                <w:noProof/>
              </w:rPr>
            </w:pPr>
            <w:r>
              <w:rPr>
                <w:noProof/>
              </w:rPr>
              <w:t>Ολοκλήρωση κτιριακών εργασιών και εγκατάσταση εξοπλισμού με τις κατάλληλες τεχνολογικές συνθήκες και συνθήκες ασφάλειας για την κατασκευή των τριών αρχών κυβερνοασφάλειας και ασφάλειας πληροφοριών.</w:t>
            </w:r>
          </w:p>
        </w:tc>
      </w:tr>
      <w:tr w:rsidR="00154AD2" w14:paraId="3DC45753" w14:textId="77777777">
        <w:trPr>
          <w:trHeight w:val="430"/>
        </w:trPr>
        <w:tc>
          <w:tcPr>
            <w:tcW w:w="1082" w:type="dxa"/>
            <w:shd w:val="clear" w:color="auto" w:fill="C4EFCE"/>
            <w:vAlign w:val="center"/>
            <w:hideMark/>
          </w:tcPr>
          <w:p w14:paraId="4270D7DC" w14:textId="77777777" w:rsidR="00154AD2" w:rsidRDefault="007F6BF3">
            <w:pPr>
              <w:pStyle w:val="P68B1DB1-Normal7"/>
              <w:spacing w:after="0" w:line="240" w:lineRule="auto"/>
              <w:jc w:val="center"/>
              <w:rPr>
                <w:rFonts w:eastAsia="Times New Roman" w:cs="Calibri"/>
                <w:noProof/>
              </w:rPr>
            </w:pPr>
            <w:r>
              <w:rPr>
                <w:noProof/>
              </w:rPr>
              <w:t>19.11</w:t>
            </w:r>
          </w:p>
        </w:tc>
        <w:tc>
          <w:tcPr>
            <w:tcW w:w="1211" w:type="dxa"/>
            <w:shd w:val="clear" w:color="auto" w:fill="C4EFCE"/>
            <w:noWrap/>
            <w:vAlign w:val="center"/>
            <w:hideMark/>
          </w:tcPr>
          <w:p w14:paraId="7E15EC62" w14:textId="77777777" w:rsidR="00154AD2" w:rsidRDefault="007F6BF3">
            <w:pPr>
              <w:pStyle w:val="P68B1DB1-Normal8"/>
              <w:spacing w:after="0" w:line="240" w:lineRule="auto"/>
              <w:jc w:val="center"/>
              <w:rPr>
                <w:rFonts w:eastAsia="Times New Roman" w:cs="Calibri"/>
                <w:noProof/>
              </w:rPr>
            </w:pPr>
            <w:r>
              <w:rPr>
                <w:noProof/>
              </w:rPr>
              <w:t>TD-C19-i04</w:t>
            </w:r>
          </w:p>
        </w:tc>
        <w:tc>
          <w:tcPr>
            <w:tcW w:w="1080" w:type="dxa"/>
            <w:shd w:val="clear" w:color="auto" w:fill="C4EFCE"/>
            <w:noWrap/>
            <w:vAlign w:val="center"/>
            <w:hideMark/>
          </w:tcPr>
          <w:p w14:paraId="2A1A6729" w14:textId="77777777" w:rsidR="00154AD2" w:rsidRDefault="007F6BF3">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51F4579A" w14:textId="77777777" w:rsidR="00154AD2" w:rsidRDefault="007F6BF3">
            <w:pPr>
              <w:pStyle w:val="P68B1DB1-Normal8"/>
              <w:spacing w:after="0" w:line="240" w:lineRule="auto"/>
              <w:jc w:val="center"/>
              <w:rPr>
                <w:rFonts w:eastAsia="Times New Roman" w:cs="Calibri"/>
                <w:noProof/>
              </w:rPr>
            </w:pPr>
            <w:r>
              <w:rPr>
                <w:noProof/>
              </w:rPr>
              <w:t>Ασφαλές σύστημα κινητών επικοινωνιών για κυβερνητικούς υπαλλήλους</w:t>
            </w:r>
          </w:p>
        </w:tc>
        <w:tc>
          <w:tcPr>
            <w:tcW w:w="1343" w:type="dxa"/>
            <w:shd w:val="clear" w:color="auto" w:fill="C4EFCE"/>
            <w:noWrap/>
            <w:vAlign w:val="center"/>
            <w:hideMark/>
          </w:tcPr>
          <w:p w14:paraId="25D18244" w14:textId="77777777" w:rsidR="00154AD2" w:rsidRDefault="007F6BF3">
            <w:pPr>
              <w:pStyle w:val="P68B1DB1-Normal8"/>
              <w:spacing w:after="0" w:line="240" w:lineRule="auto"/>
              <w:jc w:val="center"/>
              <w:rPr>
                <w:rFonts w:eastAsia="Times New Roman" w:cs="Calibri"/>
                <w:noProof/>
              </w:rPr>
            </w:pPr>
            <w:r>
              <w:rPr>
                <w:noProof/>
              </w:rPr>
              <w:t> </w:t>
            </w:r>
          </w:p>
        </w:tc>
        <w:tc>
          <w:tcPr>
            <w:tcW w:w="1134" w:type="dxa"/>
            <w:shd w:val="clear" w:color="auto" w:fill="C4EFCE"/>
            <w:noWrap/>
            <w:vAlign w:val="center"/>
            <w:hideMark/>
          </w:tcPr>
          <w:p w14:paraId="717F43F1" w14:textId="77777777" w:rsidR="00154AD2" w:rsidRDefault="007F6BF3">
            <w:pPr>
              <w:pStyle w:val="P68B1DB1-Normal8"/>
              <w:spacing w:after="0" w:line="240" w:lineRule="auto"/>
              <w:jc w:val="center"/>
              <w:rPr>
                <w:rFonts w:eastAsia="Times New Roman" w:cs="Calibri"/>
                <w:noProof/>
              </w:rPr>
            </w:pPr>
            <w:r>
              <w:rPr>
                <w:noProof/>
              </w:rPr>
              <w:t>%</w:t>
            </w:r>
          </w:p>
        </w:tc>
        <w:tc>
          <w:tcPr>
            <w:tcW w:w="947" w:type="dxa"/>
            <w:shd w:val="clear" w:color="auto" w:fill="C4EFCE"/>
            <w:noWrap/>
            <w:vAlign w:val="center"/>
            <w:hideMark/>
          </w:tcPr>
          <w:p w14:paraId="3A5E5B34" w14:textId="77777777" w:rsidR="00154AD2" w:rsidRDefault="007F6BF3">
            <w:pPr>
              <w:pStyle w:val="P68B1DB1-Normal8"/>
              <w:spacing w:after="0" w:line="240" w:lineRule="auto"/>
              <w:jc w:val="center"/>
              <w:rPr>
                <w:rFonts w:eastAsia="Times New Roman" w:cs="Calibri"/>
                <w:noProof/>
              </w:rPr>
            </w:pPr>
            <w:r>
              <w:rPr>
                <w:noProof/>
              </w:rPr>
              <w:t>0</w:t>
            </w:r>
          </w:p>
        </w:tc>
        <w:tc>
          <w:tcPr>
            <w:tcW w:w="682" w:type="dxa"/>
            <w:shd w:val="clear" w:color="auto" w:fill="C4EFCE"/>
            <w:noWrap/>
            <w:vAlign w:val="center"/>
            <w:hideMark/>
          </w:tcPr>
          <w:p w14:paraId="50DDAE09" w14:textId="77777777" w:rsidR="00154AD2" w:rsidRDefault="007F6BF3">
            <w:pPr>
              <w:pStyle w:val="P68B1DB1-Normal8"/>
              <w:spacing w:after="0" w:line="240" w:lineRule="auto"/>
              <w:jc w:val="center"/>
              <w:rPr>
                <w:rFonts w:eastAsia="Times New Roman" w:cs="Calibri"/>
                <w:noProof/>
              </w:rPr>
            </w:pPr>
            <w:r>
              <w:rPr>
                <w:noProof/>
              </w:rPr>
              <w:t>95</w:t>
            </w:r>
          </w:p>
        </w:tc>
        <w:tc>
          <w:tcPr>
            <w:tcW w:w="550" w:type="dxa"/>
            <w:shd w:val="clear" w:color="auto" w:fill="C4EFCE"/>
            <w:noWrap/>
            <w:vAlign w:val="center"/>
            <w:hideMark/>
          </w:tcPr>
          <w:p w14:paraId="636A686F"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682" w:type="dxa"/>
            <w:shd w:val="clear" w:color="auto" w:fill="C4EFCE"/>
            <w:noWrap/>
            <w:vAlign w:val="center"/>
            <w:hideMark/>
          </w:tcPr>
          <w:p w14:paraId="04354A03" w14:textId="77777777" w:rsidR="00154AD2" w:rsidRDefault="007F6BF3">
            <w:pPr>
              <w:pStyle w:val="P68B1DB1-Normal8"/>
              <w:spacing w:after="0" w:line="240" w:lineRule="auto"/>
              <w:jc w:val="center"/>
              <w:rPr>
                <w:rFonts w:eastAsia="Times New Roman" w:cs="Calibri"/>
                <w:noProof/>
              </w:rPr>
            </w:pPr>
            <w:r>
              <w:rPr>
                <w:noProof/>
              </w:rPr>
              <w:t>2022</w:t>
            </w:r>
          </w:p>
        </w:tc>
        <w:tc>
          <w:tcPr>
            <w:tcW w:w="4458" w:type="dxa"/>
            <w:shd w:val="clear" w:color="auto" w:fill="C4EFCE"/>
            <w:vAlign w:val="center"/>
            <w:hideMark/>
          </w:tcPr>
          <w:p w14:paraId="0B6506D9" w14:textId="77777777" w:rsidR="00154AD2" w:rsidRDefault="007F6BF3">
            <w:pPr>
              <w:pStyle w:val="P68B1DB1-Normal8"/>
              <w:spacing w:after="0" w:line="240" w:lineRule="auto"/>
              <w:jc w:val="both"/>
              <w:rPr>
                <w:rFonts w:eastAsia="Times New Roman" w:cs="Calibri"/>
                <w:noProof/>
              </w:rPr>
            </w:pPr>
            <w:r>
              <w:rPr>
                <w:noProof/>
              </w:rPr>
              <w:t>Ποσοστό υπαλλήλων της κυβέρνησης με πρόσβαση σε ασφαλές σύστημα φωνητικής επικοινωνίας, ανταλλαγής μηνυμάτων και βίντεο.</w:t>
            </w:r>
          </w:p>
        </w:tc>
      </w:tr>
      <w:tr w:rsidR="00154AD2" w14:paraId="3CA6562D" w14:textId="77777777">
        <w:trPr>
          <w:trHeight w:val="290"/>
        </w:trPr>
        <w:tc>
          <w:tcPr>
            <w:tcW w:w="1082" w:type="dxa"/>
            <w:shd w:val="clear" w:color="auto" w:fill="C4EFCE"/>
            <w:vAlign w:val="center"/>
            <w:hideMark/>
          </w:tcPr>
          <w:p w14:paraId="3056D03D" w14:textId="77777777" w:rsidR="00154AD2" w:rsidRDefault="007F6BF3">
            <w:pPr>
              <w:pStyle w:val="P68B1DB1-Normal7"/>
              <w:spacing w:after="0" w:line="240" w:lineRule="auto"/>
              <w:jc w:val="center"/>
              <w:rPr>
                <w:rFonts w:eastAsia="Times New Roman" w:cs="Calibri"/>
                <w:noProof/>
              </w:rPr>
            </w:pPr>
            <w:r>
              <w:rPr>
                <w:noProof/>
              </w:rPr>
              <w:t>19.12</w:t>
            </w:r>
          </w:p>
        </w:tc>
        <w:tc>
          <w:tcPr>
            <w:tcW w:w="1211" w:type="dxa"/>
            <w:shd w:val="clear" w:color="auto" w:fill="C4EFCE"/>
            <w:noWrap/>
            <w:vAlign w:val="center"/>
            <w:hideMark/>
          </w:tcPr>
          <w:p w14:paraId="0D7F79C6" w14:textId="77777777" w:rsidR="00154AD2" w:rsidRDefault="007F6BF3">
            <w:pPr>
              <w:pStyle w:val="P68B1DB1-Normal8"/>
              <w:spacing w:after="0" w:line="240" w:lineRule="auto"/>
              <w:jc w:val="center"/>
              <w:rPr>
                <w:rFonts w:eastAsia="Times New Roman" w:cs="Calibri"/>
                <w:noProof/>
              </w:rPr>
            </w:pPr>
            <w:r>
              <w:rPr>
                <w:noProof/>
              </w:rPr>
              <w:t>TD-C19-i04</w:t>
            </w:r>
          </w:p>
        </w:tc>
        <w:tc>
          <w:tcPr>
            <w:tcW w:w="1080" w:type="dxa"/>
            <w:shd w:val="clear" w:color="auto" w:fill="C4EFCE"/>
            <w:noWrap/>
            <w:vAlign w:val="center"/>
            <w:hideMark/>
          </w:tcPr>
          <w:p w14:paraId="6E6F4A96" w14:textId="77777777" w:rsidR="00154AD2" w:rsidRDefault="007F6BF3">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hideMark/>
          </w:tcPr>
          <w:p w14:paraId="3E8D5C65" w14:textId="77777777" w:rsidR="00154AD2" w:rsidRDefault="007F6BF3">
            <w:pPr>
              <w:pStyle w:val="P68B1DB1-Normal8"/>
              <w:spacing w:after="0" w:line="240" w:lineRule="auto"/>
              <w:jc w:val="center"/>
              <w:rPr>
                <w:rFonts w:eastAsia="Times New Roman" w:cs="Calibri"/>
                <w:noProof/>
              </w:rPr>
            </w:pPr>
            <w:r>
              <w:rPr>
                <w:noProof/>
              </w:rPr>
              <w:t xml:space="preserve">Ολοκλήρωση αναβαθμίσεων σε κρίσιμες ψηφιακές υποδομές </w:t>
            </w:r>
          </w:p>
        </w:tc>
        <w:tc>
          <w:tcPr>
            <w:tcW w:w="1343" w:type="dxa"/>
            <w:shd w:val="clear" w:color="auto" w:fill="C4EFCE"/>
            <w:noWrap/>
            <w:vAlign w:val="center"/>
            <w:hideMark/>
          </w:tcPr>
          <w:p w14:paraId="501E6AED" w14:textId="77777777" w:rsidR="00154AD2" w:rsidRDefault="007F6BF3">
            <w:pPr>
              <w:pStyle w:val="P68B1DB1-Normal8"/>
              <w:spacing w:after="0" w:line="240" w:lineRule="auto"/>
              <w:jc w:val="center"/>
              <w:rPr>
                <w:rFonts w:eastAsia="Times New Roman" w:cs="Calibri"/>
                <w:noProof/>
              </w:rPr>
            </w:pPr>
            <w:r>
              <w:rPr>
                <w:noProof/>
              </w:rPr>
              <w:t>Ολοκλήρωση των αναβαθμίσεων του Εθνικού Δικτύου Εσωτερικής Ασφάλειας και του Κρατικού Δικτύου Έκτακτης Ανάγκης στον τομέα των Επικοινωνιών</w:t>
            </w:r>
          </w:p>
        </w:tc>
        <w:tc>
          <w:tcPr>
            <w:tcW w:w="1134" w:type="dxa"/>
            <w:shd w:val="clear" w:color="auto" w:fill="C4EFCE"/>
            <w:noWrap/>
            <w:vAlign w:val="center"/>
            <w:hideMark/>
          </w:tcPr>
          <w:p w14:paraId="39F8F6F1" w14:textId="77777777" w:rsidR="00154AD2" w:rsidRDefault="007F6BF3">
            <w:pPr>
              <w:pStyle w:val="P68B1DB1-Normal8"/>
              <w:spacing w:after="0" w:line="240" w:lineRule="auto"/>
              <w:rPr>
                <w:rFonts w:eastAsia="Times New Roman" w:cs="Calibri"/>
                <w:noProof/>
              </w:rPr>
            </w:pPr>
            <w:r>
              <w:rPr>
                <w:noProof/>
              </w:rPr>
              <w:t> </w:t>
            </w:r>
          </w:p>
        </w:tc>
        <w:tc>
          <w:tcPr>
            <w:tcW w:w="947" w:type="dxa"/>
            <w:shd w:val="clear" w:color="auto" w:fill="C4EFCE"/>
            <w:noWrap/>
            <w:vAlign w:val="center"/>
            <w:hideMark/>
          </w:tcPr>
          <w:p w14:paraId="1F264429" w14:textId="77777777" w:rsidR="00154AD2" w:rsidRDefault="007F6BF3">
            <w:pPr>
              <w:pStyle w:val="P68B1DB1-Normal8"/>
              <w:spacing w:after="0" w:line="240" w:lineRule="auto"/>
              <w:rPr>
                <w:rFonts w:eastAsia="Times New Roman" w:cs="Calibri"/>
                <w:noProof/>
              </w:rPr>
            </w:pPr>
            <w:r>
              <w:rPr>
                <w:noProof/>
              </w:rPr>
              <w:t> </w:t>
            </w:r>
          </w:p>
        </w:tc>
        <w:tc>
          <w:tcPr>
            <w:tcW w:w="682" w:type="dxa"/>
            <w:shd w:val="clear" w:color="auto" w:fill="C4EFCE"/>
            <w:noWrap/>
            <w:vAlign w:val="center"/>
            <w:hideMark/>
          </w:tcPr>
          <w:p w14:paraId="1A118CBF" w14:textId="77777777" w:rsidR="00154AD2" w:rsidRDefault="007F6BF3">
            <w:pPr>
              <w:pStyle w:val="P68B1DB1-Normal8"/>
              <w:spacing w:after="0" w:line="240" w:lineRule="auto"/>
              <w:rPr>
                <w:rFonts w:eastAsia="Times New Roman" w:cs="Calibri"/>
                <w:noProof/>
              </w:rPr>
            </w:pPr>
            <w:r>
              <w:rPr>
                <w:noProof/>
              </w:rPr>
              <w:t> </w:t>
            </w:r>
          </w:p>
        </w:tc>
        <w:tc>
          <w:tcPr>
            <w:tcW w:w="550" w:type="dxa"/>
            <w:shd w:val="clear" w:color="auto" w:fill="C4EFCE"/>
            <w:noWrap/>
            <w:vAlign w:val="center"/>
            <w:hideMark/>
          </w:tcPr>
          <w:p w14:paraId="2E51498A" w14:textId="09975352" w:rsidR="00154AD2" w:rsidRDefault="007F6BF3">
            <w:pPr>
              <w:pStyle w:val="P68B1DB1-Normal8"/>
              <w:spacing w:after="0" w:line="240" w:lineRule="auto"/>
              <w:jc w:val="center"/>
              <w:rPr>
                <w:rFonts w:eastAsia="Times New Roman" w:cs="Calibri"/>
                <w:noProof/>
              </w:rPr>
            </w:pPr>
            <w:r>
              <w:rPr>
                <w:noProof/>
              </w:rPr>
              <w:t>ΤΡΊΜΗΝΟ 1</w:t>
            </w:r>
          </w:p>
        </w:tc>
        <w:tc>
          <w:tcPr>
            <w:tcW w:w="682" w:type="dxa"/>
            <w:shd w:val="clear" w:color="auto" w:fill="C4EFCE"/>
            <w:noWrap/>
            <w:vAlign w:val="center"/>
            <w:hideMark/>
          </w:tcPr>
          <w:p w14:paraId="7F7EF7EA" w14:textId="0D64379A" w:rsidR="00154AD2" w:rsidRDefault="007F6BF3">
            <w:pPr>
              <w:pStyle w:val="P68B1DB1-Normal8"/>
              <w:spacing w:after="0" w:line="240" w:lineRule="auto"/>
              <w:jc w:val="right"/>
              <w:rPr>
                <w:rFonts w:eastAsia="Times New Roman" w:cs="Calibri"/>
                <w:noProof/>
              </w:rPr>
            </w:pPr>
            <w:r>
              <w:rPr>
                <w:noProof/>
              </w:rPr>
              <w:t>2024</w:t>
            </w:r>
          </w:p>
        </w:tc>
        <w:tc>
          <w:tcPr>
            <w:tcW w:w="4458" w:type="dxa"/>
            <w:shd w:val="clear" w:color="auto" w:fill="C4EFCE"/>
            <w:hideMark/>
          </w:tcPr>
          <w:p w14:paraId="4312DD38" w14:textId="77777777" w:rsidR="00154AD2" w:rsidRDefault="007F6BF3">
            <w:pPr>
              <w:pStyle w:val="P68B1DB1-Normal8"/>
              <w:spacing w:after="0" w:line="240" w:lineRule="auto"/>
              <w:jc w:val="both"/>
              <w:rPr>
                <w:rFonts w:eastAsia="Calibri" w:cs="Calibri"/>
                <w:noProof/>
              </w:rPr>
            </w:pPr>
            <w:r>
              <w:rPr>
                <w:noProof/>
              </w:rPr>
              <w:t xml:space="preserve">Ολοκλήρωση των αναβαθμίσεων των ψηφιακών υποδομών ζωτικής σημασίας: I) 60 % της υλοποίησης πρόσθετων ικανοτήτων εντός του εθνικού δικτύου εσωτερικής ασφάλειας, συμπεριλαμβανομένης της υψηλής ικανότητας επεξεργασίας δεδομένων, της ανθεκτικότητας και της ασφάλειας: </w:t>
            </w:r>
          </w:p>
          <w:p w14:paraId="44F9C278" w14:textId="4B066DDA" w:rsidR="00154AD2" w:rsidRDefault="007F6BF3">
            <w:pPr>
              <w:pStyle w:val="P68B1DB1-Normal8"/>
              <w:spacing w:after="0" w:line="240" w:lineRule="auto"/>
              <w:jc w:val="both"/>
              <w:rPr>
                <w:rFonts w:eastAsia="Times New Roman" w:cs="Calibri"/>
                <w:noProof/>
              </w:rPr>
            </w:pPr>
            <w:r>
              <w:rPr>
                <w:noProof/>
              </w:rPr>
              <w:t>55 % της υλοποίησης της πλήρους εδαφικής κάλυψης, της ικανότητας και των απολύσεων του κρατικού δικτύου έκτακτης ανάγκης στον τομέα των επικοινωνιών</w:t>
            </w:r>
          </w:p>
        </w:tc>
      </w:tr>
      <w:tr w:rsidR="00154AD2" w14:paraId="3F8BAA6B" w14:textId="77777777">
        <w:trPr>
          <w:trHeight w:val="290"/>
        </w:trPr>
        <w:tc>
          <w:tcPr>
            <w:tcW w:w="1082" w:type="dxa"/>
            <w:shd w:val="clear" w:color="auto" w:fill="C4EFCE"/>
            <w:vAlign w:val="center"/>
            <w:hideMark/>
          </w:tcPr>
          <w:p w14:paraId="60B7CB28" w14:textId="77777777" w:rsidR="00154AD2" w:rsidRDefault="007F6BF3">
            <w:pPr>
              <w:pStyle w:val="P68B1DB1-Normal7"/>
              <w:spacing w:after="0" w:line="240" w:lineRule="auto"/>
              <w:jc w:val="center"/>
              <w:rPr>
                <w:rFonts w:eastAsia="Times New Roman" w:cs="Calibri"/>
                <w:noProof/>
              </w:rPr>
            </w:pPr>
            <w:r>
              <w:rPr>
                <w:noProof/>
              </w:rPr>
              <w:t>19.13</w:t>
            </w:r>
          </w:p>
        </w:tc>
        <w:tc>
          <w:tcPr>
            <w:tcW w:w="1211" w:type="dxa"/>
            <w:shd w:val="clear" w:color="auto" w:fill="C4EFCE"/>
            <w:noWrap/>
            <w:vAlign w:val="center"/>
            <w:hideMark/>
          </w:tcPr>
          <w:p w14:paraId="05F9B74B" w14:textId="77777777" w:rsidR="00154AD2" w:rsidRDefault="007F6BF3">
            <w:pPr>
              <w:pStyle w:val="P68B1DB1-Normal8"/>
              <w:spacing w:after="0" w:line="240" w:lineRule="auto"/>
              <w:jc w:val="center"/>
              <w:rPr>
                <w:rFonts w:eastAsia="Times New Roman" w:cs="Calibri"/>
                <w:noProof/>
              </w:rPr>
            </w:pPr>
            <w:r>
              <w:rPr>
                <w:noProof/>
              </w:rPr>
              <w:t>TD-C19-i04</w:t>
            </w:r>
          </w:p>
        </w:tc>
        <w:tc>
          <w:tcPr>
            <w:tcW w:w="1080" w:type="dxa"/>
            <w:shd w:val="clear" w:color="auto" w:fill="C4EFCE"/>
            <w:noWrap/>
            <w:vAlign w:val="center"/>
            <w:hideMark/>
          </w:tcPr>
          <w:p w14:paraId="57F97217" w14:textId="77777777" w:rsidR="00154AD2" w:rsidRDefault="007F6BF3">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hideMark/>
          </w:tcPr>
          <w:p w14:paraId="179ABEE4" w14:textId="77777777" w:rsidR="00154AD2" w:rsidRDefault="007F6BF3">
            <w:pPr>
              <w:pStyle w:val="P68B1DB1-Normal8"/>
              <w:spacing w:after="0" w:line="240" w:lineRule="auto"/>
              <w:jc w:val="center"/>
              <w:rPr>
                <w:rFonts w:eastAsia="Times New Roman" w:cs="Calibri"/>
                <w:noProof/>
              </w:rPr>
            </w:pPr>
            <w:r>
              <w:rPr>
                <w:noProof/>
              </w:rPr>
              <w:t xml:space="preserve">Ολοκλήρωση αναβαθμίσεων σε κρίσιμες ψηφιακές υποδομές </w:t>
            </w:r>
          </w:p>
        </w:tc>
        <w:tc>
          <w:tcPr>
            <w:tcW w:w="1343" w:type="dxa"/>
            <w:shd w:val="clear" w:color="auto" w:fill="C4EFCE"/>
            <w:noWrap/>
            <w:vAlign w:val="center"/>
            <w:hideMark/>
          </w:tcPr>
          <w:p w14:paraId="2699DED6" w14:textId="77777777" w:rsidR="00154AD2" w:rsidRDefault="007F6BF3">
            <w:pPr>
              <w:pStyle w:val="P68B1DB1-Normal8"/>
              <w:spacing w:after="0" w:line="240" w:lineRule="auto"/>
              <w:jc w:val="center"/>
              <w:rPr>
                <w:rFonts w:eastAsia="Times New Roman" w:cs="Calibri"/>
                <w:noProof/>
              </w:rPr>
            </w:pPr>
            <w:r>
              <w:rPr>
                <w:noProof/>
              </w:rPr>
              <w:t>Ολοκλήρωση των αναβαθμίσεων του Εθνικού Δικτύου Εσωτερικής Ασφάλειας και του Κρατικού Δικτύου Έκτακτης Ανάγκης στον τομέα των Επικοινωνιών</w:t>
            </w:r>
          </w:p>
        </w:tc>
        <w:tc>
          <w:tcPr>
            <w:tcW w:w="1134" w:type="dxa"/>
            <w:shd w:val="clear" w:color="auto" w:fill="C4EFCE"/>
            <w:noWrap/>
            <w:vAlign w:val="center"/>
            <w:hideMark/>
          </w:tcPr>
          <w:p w14:paraId="78067F72" w14:textId="77777777" w:rsidR="00154AD2" w:rsidRDefault="007F6BF3">
            <w:pPr>
              <w:pStyle w:val="P68B1DB1-Normal8"/>
              <w:spacing w:after="0" w:line="240" w:lineRule="auto"/>
              <w:rPr>
                <w:rFonts w:eastAsia="Times New Roman" w:cs="Calibri"/>
                <w:noProof/>
              </w:rPr>
            </w:pPr>
            <w:r>
              <w:rPr>
                <w:noProof/>
              </w:rPr>
              <w:t> </w:t>
            </w:r>
          </w:p>
        </w:tc>
        <w:tc>
          <w:tcPr>
            <w:tcW w:w="947" w:type="dxa"/>
            <w:shd w:val="clear" w:color="auto" w:fill="C4EFCE"/>
            <w:noWrap/>
            <w:vAlign w:val="center"/>
            <w:hideMark/>
          </w:tcPr>
          <w:p w14:paraId="2C543219" w14:textId="77777777" w:rsidR="00154AD2" w:rsidRDefault="007F6BF3">
            <w:pPr>
              <w:pStyle w:val="P68B1DB1-Normal8"/>
              <w:spacing w:after="0" w:line="240" w:lineRule="auto"/>
              <w:rPr>
                <w:rFonts w:eastAsia="Times New Roman" w:cs="Calibri"/>
                <w:noProof/>
              </w:rPr>
            </w:pPr>
            <w:r>
              <w:rPr>
                <w:noProof/>
              </w:rPr>
              <w:t> </w:t>
            </w:r>
          </w:p>
        </w:tc>
        <w:tc>
          <w:tcPr>
            <w:tcW w:w="682" w:type="dxa"/>
            <w:shd w:val="clear" w:color="auto" w:fill="C4EFCE"/>
            <w:noWrap/>
            <w:vAlign w:val="center"/>
            <w:hideMark/>
          </w:tcPr>
          <w:p w14:paraId="3512C253" w14:textId="77777777" w:rsidR="00154AD2" w:rsidRDefault="007F6BF3">
            <w:pPr>
              <w:pStyle w:val="P68B1DB1-Normal8"/>
              <w:spacing w:after="0" w:line="240" w:lineRule="auto"/>
              <w:rPr>
                <w:rFonts w:eastAsia="Times New Roman" w:cs="Calibri"/>
                <w:noProof/>
              </w:rPr>
            </w:pPr>
            <w:r>
              <w:rPr>
                <w:noProof/>
              </w:rPr>
              <w:t> </w:t>
            </w:r>
          </w:p>
        </w:tc>
        <w:tc>
          <w:tcPr>
            <w:tcW w:w="550" w:type="dxa"/>
            <w:shd w:val="clear" w:color="auto" w:fill="C4EFCE"/>
            <w:noWrap/>
            <w:vAlign w:val="center"/>
            <w:hideMark/>
          </w:tcPr>
          <w:p w14:paraId="2BB5AA71"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82" w:type="dxa"/>
            <w:shd w:val="clear" w:color="auto" w:fill="C4EFCE"/>
            <w:noWrap/>
            <w:vAlign w:val="center"/>
            <w:hideMark/>
          </w:tcPr>
          <w:p w14:paraId="7358850B" w14:textId="77777777" w:rsidR="00154AD2" w:rsidRDefault="007F6BF3">
            <w:pPr>
              <w:pStyle w:val="P68B1DB1-Normal8"/>
              <w:spacing w:after="0" w:line="240" w:lineRule="auto"/>
              <w:jc w:val="right"/>
              <w:rPr>
                <w:rFonts w:eastAsia="Times New Roman" w:cs="Calibri"/>
                <w:noProof/>
              </w:rPr>
            </w:pPr>
            <w:r>
              <w:rPr>
                <w:noProof/>
              </w:rPr>
              <w:t>2025</w:t>
            </w:r>
          </w:p>
        </w:tc>
        <w:tc>
          <w:tcPr>
            <w:tcW w:w="4458" w:type="dxa"/>
            <w:shd w:val="clear" w:color="auto" w:fill="C4EFCE"/>
            <w:vAlign w:val="center"/>
            <w:hideMark/>
          </w:tcPr>
          <w:p w14:paraId="3FAC7FB6" w14:textId="77777777" w:rsidR="00154AD2" w:rsidRDefault="007F6BF3">
            <w:pPr>
              <w:pStyle w:val="P68B1DB1-Normal8"/>
              <w:spacing w:after="0" w:line="240" w:lineRule="auto"/>
              <w:jc w:val="both"/>
              <w:rPr>
                <w:rFonts w:eastAsia="Calibri" w:cs="Calibri"/>
                <w:noProof/>
              </w:rPr>
            </w:pPr>
            <w:r>
              <w:rPr>
                <w:noProof/>
              </w:rPr>
              <w:t xml:space="preserve">Ολοκλήρωση των αναβαθμίσεων των ψηφιακών υποδομών ζωτικής σημασίας: έναρξη λειτουργίας πρόσθετης δυναμικότητας στο πλαίσιο του εθνικού δικτύου εσωτερικής ασφάλειας, συμπεριλαμβανομένης της υψηλής ικανότητας επεξεργασίας δεδομένων, της ανθεκτικότητας και της ασφάλειας: </w:t>
            </w:r>
          </w:p>
          <w:p w14:paraId="4A3AF4F0" w14:textId="77777777" w:rsidR="00154AD2" w:rsidRDefault="007F6BF3">
            <w:pPr>
              <w:pStyle w:val="P68B1DB1-Normal8"/>
              <w:spacing w:after="0" w:line="240" w:lineRule="auto"/>
              <w:jc w:val="both"/>
              <w:rPr>
                <w:rFonts w:eastAsia="Calibri" w:cs="Calibri"/>
                <w:noProof/>
              </w:rPr>
            </w:pPr>
            <w:r>
              <w:rPr>
                <w:noProof/>
              </w:rPr>
              <w:t xml:space="preserve">II) Εφαρμογή νέων τεχνολογικών αρχιτεκτονικών, συστημάτων και εργαλείων με ικανότητα έξυπνης αυτοματοποίησης και πολυπλοκότητας </w:t>
            </w:r>
          </w:p>
          <w:p w14:paraId="25F4E897" w14:textId="455BEF95" w:rsidR="00154AD2" w:rsidRDefault="007F6BF3">
            <w:pPr>
              <w:pStyle w:val="P68B1DB1-Normal8"/>
              <w:spacing w:after="0" w:line="240" w:lineRule="auto"/>
              <w:jc w:val="both"/>
              <w:rPr>
                <w:rFonts w:eastAsia="Times New Roman" w:cs="Calibri"/>
                <w:noProof/>
              </w:rPr>
            </w:pPr>
            <w:r>
              <w:rPr>
                <w:noProof/>
              </w:rPr>
              <w:t>III) Δίκτυο Έκτακτης Ανάγκης Κρατικών Επικοινωνιών: επίτευξη πλήρους εδαφικής κάλυψης και βελτίωση της ικανότητάς της και των απολύσεών της</w:t>
            </w:r>
          </w:p>
        </w:tc>
      </w:tr>
      <w:tr w:rsidR="00154AD2" w14:paraId="0A8D9375" w14:textId="77777777">
        <w:trPr>
          <w:trHeight w:val="290"/>
        </w:trPr>
        <w:tc>
          <w:tcPr>
            <w:tcW w:w="1082" w:type="dxa"/>
            <w:shd w:val="clear" w:color="auto" w:fill="C4EFCE"/>
            <w:vAlign w:val="center"/>
            <w:hideMark/>
          </w:tcPr>
          <w:p w14:paraId="59CF7E22" w14:textId="77777777" w:rsidR="00154AD2" w:rsidRDefault="007F6BF3">
            <w:pPr>
              <w:pStyle w:val="P68B1DB1-Normal7"/>
              <w:spacing w:after="0" w:line="240" w:lineRule="auto"/>
              <w:jc w:val="center"/>
              <w:rPr>
                <w:rFonts w:eastAsia="Times New Roman" w:cs="Calibri"/>
                <w:noProof/>
              </w:rPr>
            </w:pPr>
            <w:r>
              <w:rPr>
                <w:noProof/>
              </w:rPr>
              <w:t>19.14</w:t>
            </w:r>
          </w:p>
        </w:tc>
        <w:tc>
          <w:tcPr>
            <w:tcW w:w="1211" w:type="dxa"/>
            <w:shd w:val="clear" w:color="auto" w:fill="C4EFCE"/>
            <w:noWrap/>
            <w:vAlign w:val="center"/>
            <w:hideMark/>
          </w:tcPr>
          <w:p w14:paraId="0826B3A0" w14:textId="77777777" w:rsidR="00154AD2" w:rsidRDefault="007F6BF3">
            <w:pPr>
              <w:pStyle w:val="P68B1DB1-Normal8"/>
              <w:spacing w:after="0" w:line="240" w:lineRule="auto"/>
              <w:jc w:val="center"/>
              <w:rPr>
                <w:rFonts w:eastAsia="Times New Roman" w:cs="Calibri"/>
                <w:noProof/>
              </w:rPr>
            </w:pPr>
            <w:r>
              <w:rPr>
                <w:noProof/>
              </w:rPr>
              <w:t>TD-C19-i04</w:t>
            </w:r>
          </w:p>
        </w:tc>
        <w:tc>
          <w:tcPr>
            <w:tcW w:w="1080" w:type="dxa"/>
            <w:shd w:val="clear" w:color="auto" w:fill="C4EFCE"/>
            <w:noWrap/>
            <w:vAlign w:val="center"/>
            <w:hideMark/>
          </w:tcPr>
          <w:p w14:paraId="4FC5A95C" w14:textId="77777777" w:rsidR="00154AD2" w:rsidRDefault="007F6BF3">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hideMark/>
          </w:tcPr>
          <w:p w14:paraId="6CFF1D03" w14:textId="77777777" w:rsidR="00154AD2" w:rsidRDefault="007F6BF3">
            <w:pPr>
              <w:pStyle w:val="P68B1DB1-Normal8"/>
              <w:spacing w:after="0" w:line="240" w:lineRule="auto"/>
              <w:jc w:val="center"/>
              <w:rPr>
                <w:rFonts w:eastAsia="Times New Roman" w:cs="Calibri"/>
                <w:noProof/>
              </w:rPr>
            </w:pPr>
            <w:r>
              <w:rPr>
                <w:noProof/>
              </w:rPr>
              <w:t>Αναβάθμιση Πληροφοριακού Συστήματος Δυνάμεων και Υπηρεσιών Ασφαλείας</w:t>
            </w:r>
          </w:p>
        </w:tc>
        <w:tc>
          <w:tcPr>
            <w:tcW w:w="1343" w:type="dxa"/>
            <w:shd w:val="clear" w:color="auto" w:fill="C4EFCE"/>
            <w:noWrap/>
            <w:vAlign w:val="center"/>
            <w:hideMark/>
          </w:tcPr>
          <w:p w14:paraId="12090031" w14:textId="77777777" w:rsidR="00154AD2" w:rsidRDefault="007F6BF3">
            <w:pPr>
              <w:pStyle w:val="P68B1DB1-Normal8"/>
              <w:spacing w:after="0" w:line="240" w:lineRule="auto"/>
              <w:jc w:val="center"/>
              <w:rPr>
                <w:rFonts w:eastAsia="Times New Roman" w:cs="Calibri"/>
                <w:noProof/>
              </w:rPr>
            </w:pPr>
            <w:r>
              <w:rPr>
                <w:noProof/>
              </w:rPr>
              <w:t>Αναβάθμιση πληροφοριακών συστημάτων δυνάμεων και υπηρεσιών ασφαλείας</w:t>
            </w:r>
          </w:p>
        </w:tc>
        <w:tc>
          <w:tcPr>
            <w:tcW w:w="1134" w:type="dxa"/>
            <w:shd w:val="clear" w:color="auto" w:fill="C4EFCE"/>
            <w:noWrap/>
            <w:vAlign w:val="center"/>
            <w:hideMark/>
          </w:tcPr>
          <w:p w14:paraId="7E591444" w14:textId="77777777" w:rsidR="00154AD2" w:rsidRDefault="007F6BF3">
            <w:pPr>
              <w:pStyle w:val="P68B1DB1-Normal8"/>
              <w:spacing w:after="0" w:line="240" w:lineRule="auto"/>
              <w:jc w:val="center"/>
              <w:rPr>
                <w:rFonts w:eastAsia="Times New Roman" w:cs="Calibri"/>
                <w:noProof/>
              </w:rPr>
            </w:pPr>
            <w:r>
              <w:rPr>
                <w:noProof/>
              </w:rPr>
              <w:t> </w:t>
            </w:r>
          </w:p>
        </w:tc>
        <w:tc>
          <w:tcPr>
            <w:tcW w:w="947" w:type="dxa"/>
            <w:shd w:val="clear" w:color="auto" w:fill="C4EFCE"/>
            <w:noWrap/>
            <w:vAlign w:val="center"/>
            <w:hideMark/>
          </w:tcPr>
          <w:p w14:paraId="3A6B64F2" w14:textId="77777777" w:rsidR="00154AD2" w:rsidRDefault="007F6BF3">
            <w:pPr>
              <w:pStyle w:val="P68B1DB1-Normal8"/>
              <w:spacing w:after="0" w:line="240" w:lineRule="auto"/>
              <w:jc w:val="center"/>
              <w:rPr>
                <w:rFonts w:eastAsia="Times New Roman" w:cs="Calibri"/>
                <w:noProof/>
              </w:rPr>
            </w:pPr>
            <w:r>
              <w:rPr>
                <w:noProof/>
              </w:rPr>
              <w:t> </w:t>
            </w:r>
          </w:p>
        </w:tc>
        <w:tc>
          <w:tcPr>
            <w:tcW w:w="682" w:type="dxa"/>
            <w:shd w:val="clear" w:color="auto" w:fill="C4EFCE"/>
            <w:noWrap/>
            <w:vAlign w:val="center"/>
            <w:hideMark/>
          </w:tcPr>
          <w:p w14:paraId="450C75A6" w14:textId="77777777" w:rsidR="00154AD2" w:rsidRDefault="007F6BF3">
            <w:pPr>
              <w:pStyle w:val="P68B1DB1-Normal8"/>
              <w:spacing w:after="0" w:line="240" w:lineRule="auto"/>
              <w:jc w:val="center"/>
              <w:rPr>
                <w:rFonts w:eastAsia="Times New Roman" w:cs="Calibri"/>
                <w:noProof/>
              </w:rPr>
            </w:pPr>
            <w:r>
              <w:rPr>
                <w:noProof/>
              </w:rPr>
              <w:t> </w:t>
            </w:r>
          </w:p>
        </w:tc>
        <w:tc>
          <w:tcPr>
            <w:tcW w:w="550" w:type="dxa"/>
            <w:shd w:val="clear" w:color="auto" w:fill="C4EFCE"/>
            <w:noWrap/>
            <w:vAlign w:val="center"/>
            <w:hideMark/>
          </w:tcPr>
          <w:p w14:paraId="0A0A4410" w14:textId="77777777" w:rsidR="00154AD2" w:rsidRDefault="007F6BF3">
            <w:pPr>
              <w:pStyle w:val="P68B1DB1-Normal8"/>
              <w:spacing w:after="0" w:line="240" w:lineRule="auto"/>
              <w:jc w:val="center"/>
              <w:rPr>
                <w:rFonts w:eastAsia="Times New Roman" w:cs="Calibri"/>
                <w:noProof/>
              </w:rPr>
            </w:pPr>
            <w:r>
              <w:rPr>
                <w:noProof/>
              </w:rPr>
              <w:t xml:space="preserve">ΤΡΊΜΗΝΟ 4 </w:t>
            </w:r>
          </w:p>
        </w:tc>
        <w:tc>
          <w:tcPr>
            <w:tcW w:w="682" w:type="dxa"/>
            <w:shd w:val="clear" w:color="auto" w:fill="C4EFCE"/>
            <w:noWrap/>
            <w:vAlign w:val="center"/>
            <w:hideMark/>
          </w:tcPr>
          <w:p w14:paraId="46E1DCB9" w14:textId="77777777" w:rsidR="00154AD2" w:rsidRDefault="007F6BF3">
            <w:pPr>
              <w:pStyle w:val="P68B1DB1-Normal8"/>
              <w:spacing w:after="0" w:line="240" w:lineRule="auto"/>
              <w:jc w:val="center"/>
              <w:rPr>
                <w:rFonts w:eastAsia="Times New Roman" w:cs="Calibri"/>
                <w:noProof/>
              </w:rPr>
            </w:pPr>
            <w:r>
              <w:rPr>
                <w:noProof/>
              </w:rPr>
              <w:t>2024</w:t>
            </w:r>
          </w:p>
        </w:tc>
        <w:tc>
          <w:tcPr>
            <w:tcW w:w="4458" w:type="dxa"/>
            <w:shd w:val="clear" w:color="auto" w:fill="C4EFCE"/>
            <w:vAlign w:val="center"/>
            <w:hideMark/>
          </w:tcPr>
          <w:p w14:paraId="73F537E7" w14:textId="77777777" w:rsidR="00154AD2" w:rsidRDefault="007F6BF3">
            <w:pPr>
              <w:pStyle w:val="P68B1DB1-Normal8"/>
              <w:spacing w:after="0" w:line="240" w:lineRule="auto"/>
              <w:jc w:val="both"/>
              <w:rPr>
                <w:rFonts w:eastAsia="Times New Roman" w:cs="Calibri"/>
                <w:noProof/>
              </w:rPr>
            </w:pPr>
            <w:r>
              <w:rPr>
                <w:noProof/>
              </w:rPr>
              <w:t xml:space="preserve">Αναβάθμιση των συστημάτων ΤΠ των δυνάμεων και υπηρεσιών ασφαλείας: </w:t>
            </w:r>
          </w:p>
          <w:p w14:paraId="61DD86E9" w14:textId="0DD5A6A7" w:rsidR="00154AD2" w:rsidRDefault="007F6BF3">
            <w:pPr>
              <w:pStyle w:val="P68B1DB1-Normal8"/>
              <w:spacing w:after="0" w:line="240" w:lineRule="auto"/>
              <w:jc w:val="both"/>
              <w:rPr>
                <w:rFonts w:eastAsia="Times New Roman" w:cs="Calibri"/>
                <w:noProof/>
              </w:rPr>
            </w:pPr>
            <w:r>
              <w:rPr>
                <w:noProof/>
              </w:rPr>
              <w:t>έναρξη λειτουργίας των ανανεωμένων συστημάτων ΤΠ SEF (διαχείριση και έλεγχος των συνόρων, αστυνομική και δικαστική συνεργασία και κοινό ευρωπαϊκό σύστημα ασύλου) β) Κοινές υπηρεσίες ΤΠ στις δυνάμεις και υπηρεσίες ασφαλείας</w:t>
            </w:r>
          </w:p>
        </w:tc>
      </w:tr>
      <w:tr w:rsidR="00154AD2" w14:paraId="09BA9EDE" w14:textId="77777777">
        <w:trPr>
          <w:trHeight w:val="640"/>
        </w:trPr>
        <w:tc>
          <w:tcPr>
            <w:tcW w:w="1082" w:type="dxa"/>
            <w:shd w:val="clear" w:color="auto" w:fill="C4EFCE"/>
            <w:vAlign w:val="center"/>
            <w:hideMark/>
          </w:tcPr>
          <w:p w14:paraId="6AD2F9D4" w14:textId="77777777" w:rsidR="00154AD2" w:rsidRDefault="007F6BF3">
            <w:pPr>
              <w:pStyle w:val="P68B1DB1-Normal7"/>
              <w:spacing w:after="0" w:line="240" w:lineRule="auto"/>
              <w:jc w:val="center"/>
              <w:rPr>
                <w:rFonts w:eastAsia="Times New Roman" w:cs="Calibri"/>
                <w:noProof/>
              </w:rPr>
            </w:pPr>
            <w:r>
              <w:rPr>
                <w:noProof/>
              </w:rPr>
              <w:t>19.15</w:t>
            </w:r>
          </w:p>
        </w:tc>
        <w:tc>
          <w:tcPr>
            <w:tcW w:w="1211" w:type="dxa"/>
            <w:shd w:val="clear" w:color="auto" w:fill="C4EFCE"/>
            <w:noWrap/>
            <w:vAlign w:val="center"/>
            <w:hideMark/>
          </w:tcPr>
          <w:p w14:paraId="3AC7180D" w14:textId="77777777" w:rsidR="00154AD2" w:rsidRDefault="007F6BF3">
            <w:pPr>
              <w:pStyle w:val="P68B1DB1-Normal8"/>
              <w:spacing w:after="0" w:line="240" w:lineRule="auto"/>
              <w:jc w:val="center"/>
              <w:rPr>
                <w:rFonts w:eastAsia="Times New Roman" w:cs="Calibri"/>
                <w:noProof/>
              </w:rPr>
            </w:pPr>
            <w:r>
              <w:rPr>
                <w:noProof/>
              </w:rPr>
              <w:t>TD-C19-i04</w:t>
            </w:r>
          </w:p>
        </w:tc>
        <w:tc>
          <w:tcPr>
            <w:tcW w:w="1080" w:type="dxa"/>
            <w:shd w:val="clear" w:color="auto" w:fill="C4EFCE"/>
            <w:noWrap/>
            <w:vAlign w:val="center"/>
            <w:hideMark/>
          </w:tcPr>
          <w:p w14:paraId="02F28311" w14:textId="77777777" w:rsidR="00154AD2" w:rsidRDefault="007F6BF3">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hideMark/>
          </w:tcPr>
          <w:p w14:paraId="2C9ADC93" w14:textId="77777777" w:rsidR="00154AD2" w:rsidRDefault="007F6BF3">
            <w:pPr>
              <w:pStyle w:val="P68B1DB1-Normal8"/>
              <w:spacing w:after="0" w:line="240" w:lineRule="auto"/>
              <w:jc w:val="center"/>
              <w:rPr>
                <w:rFonts w:eastAsia="Times New Roman" w:cs="Calibri"/>
                <w:noProof/>
              </w:rPr>
            </w:pPr>
            <w:r>
              <w:rPr>
                <w:noProof/>
              </w:rPr>
              <w:t>Ενίσχυση του κυβερνητικού κέντρου διαχείρισης δικτύου ΤΠ (RING)</w:t>
            </w:r>
          </w:p>
        </w:tc>
        <w:tc>
          <w:tcPr>
            <w:tcW w:w="1343" w:type="dxa"/>
            <w:shd w:val="clear" w:color="auto" w:fill="C4EFCE"/>
            <w:noWrap/>
            <w:vAlign w:val="center"/>
            <w:hideMark/>
          </w:tcPr>
          <w:p w14:paraId="4C0CAC20" w14:textId="77777777" w:rsidR="00154AD2" w:rsidRDefault="007F6BF3">
            <w:pPr>
              <w:pStyle w:val="P68B1DB1-Normal8"/>
              <w:spacing w:after="0" w:line="240" w:lineRule="auto"/>
              <w:jc w:val="center"/>
              <w:rPr>
                <w:rFonts w:eastAsia="Times New Roman" w:cs="Calibri"/>
                <w:noProof/>
              </w:rPr>
            </w:pPr>
            <w:r>
              <w:rPr>
                <w:noProof/>
              </w:rPr>
              <w:t xml:space="preserve"> Ενίσχυση του κυβερνητικού κέντρου διαχείρισης δικτύου ΤΠ (RING) </w:t>
            </w:r>
          </w:p>
        </w:tc>
        <w:tc>
          <w:tcPr>
            <w:tcW w:w="1134" w:type="dxa"/>
            <w:shd w:val="clear" w:color="auto" w:fill="C4EFCE"/>
            <w:noWrap/>
            <w:vAlign w:val="center"/>
            <w:hideMark/>
          </w:tcPr>
          <w:p w14:paraId="1D34255D" w14:textId="77777777" w:rsidR="00154AD2" w:rsidRDefault="007F6BF3">
            <w:pPr>
              <w:pStyle w:val="P68B1DB1-Normal8"/>
              <w:spacing w:after="0" w:line="240" w:lineRule="auto"/>
              <w:jc w:val="center"/>
              <w:rPr>
                <w:rFonts w:eastAsia="Times New Roman" w:cs="Calibri"/>
                <w:noProof/>
              </w:rPr>
            </w:pPr>
            <w:r>
              <w:rPr>
                <w:noProof/>
              </w:rPr>
              <w:t> </w:t>
            </w:r>
          </w:p>
        </w:tc>
        <w:tc>
          <w:tcPr>
            <w:tcW w:w="947" w:type="dxa"/>
            <w:shd w:val="clear" w:color="auto" w:fill="C4EFCE"/>
            <w:noWrap/>
            <w:vAlign w:val="center"/>
            <w:hideMark/>
          </w:tcPr>
          <w:p w14:paraId="748A1D2D" w14:textId="77777777" w:rsidR="00154AD2" w:rsidRDefault="007F6BF3">
            <w:pPr>
              <w:pStyle w:val="P68B1DB1-Normal8"/>
              <w:spacing w:after="0" w:line="240" w:lineRule="auto"/>
              <w:jc w:val="center"/>
              <w:rPr>
                <w:rFonts w:eastAsia="Times New Roman" w:cs="Calibri"/>
                <w:noProof/>
              </w:rPr>
            </w:pPr>
            <w:r>
              <w:rPr>
                <w:noProof/>
              </w:rPr>
              <w:t> </w:t>
            </w:r>
          </w:p>
        </w:tc>
        <w:tc>
          <w:tcPr>
            <w:tcW w:w="682" w:type="dxa"/>
            <w:shd w:val="clear" w:color="auto" w:fill="C4EFCE"/>
            <w:noWrap/>
            <w:vAlign w:val="center"/>
            <w:hideMark/>
          </w:tcPr>
          <w:p w14:paraId="718E309F" w14:textId="77777777" w:rsidR="00154AD2" w:rsidRDefault="007F6BF3">
            <w:pPr>
              <w:pStyle w:val="P68B1DB1-Normal8"/>
              <w:spacing w:after="0" w:line="240" w:lineRule="auto"/>
              <w:jc w:val="center"/>
              <w:rPr>
                <w:rFonts w:eastAsia="Times New Roman" w:cs="Calibri"/>
                <w:noProof/>
              </w:rPr>
            </w:pPr>
            <w:r>
              <w:rPr>
                <w:noProof/>
              </w:rPr>
              <w:t> </w:t>
            </w:r>
          </w:p>
        </w:tc>
        <w:tc>
          <w:tcPr>
            <w:tcW w:w="550" w:type="dxa"/>
            <w:shd w:val="clear" w:color="auto" w:fill="C4EFCE"/>
            <w:noWrap/>
            <w:vAlign w:val="center"/>
            <w:hideMark/>
          </w:tcPr>
          <w:p w14:paraId="76EC258A"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682" w:type="dxa"/>
            <w:shd w:val="clear" w:color="auto" w:fill="C4EFCE"/>
            <w:noWrap/>
            <w:vAlign w:val="center"/>
            <w:hideMark/>
          </w:tcPr>
          <w:p w14:paraId="5C6920FB" w14:textId="77777777" w:rsidR="00154AD2" w:rsidRDefault="007F6BF3">
            <w:pPr>
              <w:pStyle w:val="P68B1DB1-Normal8"/>
              <w:spacing w:after="0" w:line="240" w:lineRule="auto"/>
              <w:jc w:val="center"/>
              <w:rPr>
                <w:rFonts w:eastAsia="Times New Roman" w:cs="Calibri"/>
                <w:noProof/>
              </w:rPr>
            </w:pPr>
            <w:r>
              <w:rPr>
                <w:noProof/>
              </w:rPr>
              <w:t>2026</w:t>
            </w:r>
          </w:p>
        </w:tc>
        <w:tc>
          <w:tcPr>
            <w:tcW w:w="4458" w:type="dxa"/>
            <w:shd w:val="clear" w:color="auto" w:fill="C4EFCE"/>
            <w:vAlign w:val="center"/>
            <w:hideMark/>
          </w:tcPr>
          <w:p w14:paraId="48233525" w14:textId="77777777" w:rsidR="00154AD2" w:rsidRDefault="007F6BF3">
            <w:pPr>
              <w:pStyle w:val="P68B1DB1-Normal8"/>
              <w:spacing w:after="0" w:line="240" w:lineRule="auto"/>
              <w:jc w:val="both"/>
              <w:rPr>
                <w:rFonts w:eastAsia="Times New Roman" w:cs="Calibri"/>
                <w:noProof/>
              </w:rPr>
            </w:pPr>
            <w:r>
              <w:rPr>
                <w:noProof/>
              </w:rPr>
              <w:t xml:space="preserve">Στόχος είναι η ενίσχυση της RING με την αναβάθμιση των πέντε κρίσιμων τεχνολογικών υποδομών της RING (προστασία τείχους προστασίας· την πληροφορική, την αποθήκευση και τη δημιουργία εφεδρικών αντιγράφων· Τηλεφωνία VoIP· τηλεδιάσκεψη, και του οικοσυστήματος εφαρμογών) και του υπολογιστικού νέφους) και αναβάθμιση της εξέλιξης των κύριων συστημάτων πληροφοριών </w:t>
            </w:r>
          </w:p>
        </w:tc>
      </w:tr>
      <w:tr w:rsidR="00154AD2" w14:paraId="0767329D" w14:textId="77777777">
        <w:trPr>
          <w:trHeight w:val="953"/>
        </w:trPr>
        <w:tc>
          <w:tcPr>
            <w:tcW w:w="1082" w:type="dxa"/>
            <w:shd w:val="clear" w:color="auto" w:fill="C4EFCE"/>
            <w:vAlign w:val="center"/>
          </w:tcPr>
          <w:p w14:paraId="18FB6E3B" w14:textId="16CADAA5" w:rsidR="00154AD2" w:rsidRDefault="007F6BF3">
            <w:pPr>
              <w:pStyle w:val="P68B1DB1-Normal7"/>
              <w:spacing w:after="0" w:line="240" w:lineRule="auto"/>
              <w:jc w:val="center"/>
              <w:rPr>
                <w:rFonts w:eastAsia="Times New Roman" w:cs="Calibri"/>
                <w:noProof/>
              </w:rPr>
            </w:pPr>
            <w:r>
              <w:rPr>
                <w:noProof/>
              </w:rPr>
              <w:t>19.28</w:t>
            </w:r>
          </w:p>
        </w:tc>
        <w:tc>
          <w:tcPr>
            <w:tcW w:w="1211" w:type="dxa"/>
            <w:shd w:val="clear" w:color="auto" w:fill="C4EFCE"/>
            <w:noWrap/>
            <w:vAlign w:val="center"/>
          </w:tcPr>
          <w:p w14:paraId="00C07FA4" w14:textId="7F329DC4" w:rsidR="00154AD2" w:rsidRDefault="007F6BF3">
            <w:pPr>
              <w:pStyle w:val="P68B1DB1-Normal8"/>
              <w:spacing w:after="0" w:line="240" w:lineRule="auto"/>
              <w:jc w:val="center"/>
              <w:rPr>
                <w:rFonts w:eastAsia="Times New Roman" w:cs="Calibri"/>
                <w:noProof/>
              </w:rPr>
            </w:pPr>
            <w:r>
              <w:rPr>
                <w:noProof/>
              </w:rPr>
              <w:t>TD-C19-i05-RAM</w:t>
            </w:r>
          </w:p>
        </w:tc>
        <w:tc>
          <w:tcPr>
            <w:tcW w:w="1080" w:type="dxa"/>
            <w:shd w:val="clear" w:color="auto" w:fill="C4EFCE"/>
            <w:noWrap/>
            <w:vAlign w:val="center"/>
          </w:tcPr>
          <w:p w14:paraId="73ED5E83" w14:textId="53DB6063" w:rsidR="00154AD2" w:rsidRDefault="007F6BF3">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tcPr>
          <w:p w14:paraId="744FC0AC" w14:textId="7F580C3A" w:rsidR="00154AD2" w:rsidRDefault="007F6BF3">
            <w:pPr>
              <w:pStyle w:val="P68B1DB1-Normal8"/>
              <w:spacing w:after="0" w:line="240" w:lineRule="auto"/>
              <w:jc w:val="center"/>
              <w:rPr>
                <w:rFonts w:eastAsia="Times New Roman" w:cs="Calibri"/>
                <w:noProof/>
              </w:rPr>
            </w:pPr>
            <w:r>
              <w:rPr>
                <w:noProof/>
              </w:rPr>
              <w:t xml:space="preserve">Λειτουργικό πρωτότυπο για λύση κεντρικής διαχείρισης δεδομένων </w:t>
            </w:r>
          </w:p>
        </w:tc>
        <w:tc>
          <w:tcPr>
            <w:tcW w:w="1343" w:type="dxa"/>
            <w:shd w:val="clear" w:color="auto" w:fill="C4EFCE"/>
            <w:noWrap/>
            <w:vAlign w:val="center"/>
          </w:tcPr>
          <w:p w14:paraId="329F803E" w14:textId="193C5F33" w:rsidR="00154AD2" w:rsidRDefault="007F6BF3">
            <w:pPr>
              <w:pStyle w:val="P68B1DB1-Normal8"/>
              <w:spacing w:after="0" w:line="240" w:lineRule="auto"/>
              <w:jc w:val="center"/>
              <w:rPr>
                <w:rFonts w:eastAsia="Times New Roman" w:cs="Calibri"/>
                <w:noProof/>
              </w:rPr>
            </w:pPr>
            <w:r>
              <w:rPr>
                <w:noProof/>
              </w:rPr>
              <w:t>Λειτουργικό πρωτότυπο σε λειτουργία</w:t>
            </w:r>
          </w:p>
        </w:tc>
        <w:tc>
          <w:tcPr>
            <w:tcW w:w="1134" w:type="dxa"/>
            <w:shd w:val="clear" w:color="auto" w:fill="C4EFCE"/>
            <w:noWrap/>
            <w:vAlign w:val="center"/>
          </w:tcPr>
          <w:p w14:paraId="2C07AACF" w14:textId="77777777" w:rsidR="00154AD2" w:rsidRDefault="00154AD2">
            <w:pPr>
              <w:spacing w:after="0" w:line="240" w:lineRule="auto"/>
              <w:jc w:val="center"/>
              <w:rPr>
                <w:rFonts w:ascii="Calibri" w:eastAsia="Times New Roman" w:hAnsi="Calibri" w:cs="Calibri"/>
                <w:noProof/>
                <w:sz w:val="16"/>
              </w:rPr>
            </w:pPr>
          </w:p>
        </w:tc>
        <w:tc>
          <w:tcPr>
            <w:tcW w:w="947" w:type="dxa"/>
            <w:shd w:val="clear" w:color="auto" w:fill="C4EFCE"/>
            <w:noWrap/>
            <w:vAlign w:val="center"/>
          </w:tcPr>
          <w:p w14:paraId="3D308A56" w14:textId="77777777" w:rsidR="00154AD2" w:rsidRDefault="00154AD2">
            <w:pPr>
              <w:spacing w:after="0" w:line="240" w:lineRule="auto"/>
              <w:jc w:val="center"/>
              <w:rPr>
                <w:rFonts w:ascii="Calibri" w:eastAsia="Times New Roman" w:hAnsi="Calibri" w:cs="Calibri"/>
                <w:noProof/>
                <w:sz w:val="16"/>
              </w:rPr>
            </w:pPr>
          </w:p>
        </w:tc>
        <w:tc>
          <w:tcPr>
            <w:tcW w:w="682" w:type="dxa"/>
            <w:shd w:val="clear" w:color="auto" w:fill="C4EFCE"/>
            <w:noWrap/>
            <w:vAlign w:val="center"/>
          </w:tcPr>
          <w:p w14:paraId="0A37D57E" w14:textId="77777777" w:rsidR="00154AD2" w:rsidRDefault="00154AD2">
            <w:pPr>
              <w:spacing w:after="0" w:line="240" w:lineRule="auto"/>
              <w:jc w:val="center"/>
              <w:rPr>
                <w:rFonts w:ascii="Calibri" w:eastAsia="Times New Roman" w:hAnsi="Calibri" w:cs="Calibri"/>
                <w:noProof/>
                <w:sz w:val="16"/>
              </w:rPr>
            </w:pPr>
          </w:p>
        </w:tc>
        <w:tc>
          <w:tcPr>
            <w:tcW w:w="550" w:type="dxa"/>
            <w:shd w:val="clear" w:color="auto" w:fill="C4EFCE"/>
            <w:noWrap/>
            <w:vAlign w:val="center"/>
          </w:tcPr>
          <w:p w14:paraId="1B060ADB" w14:textId="3C1CE63E" w:rsidR="00154AD2" w:rsidRDefault="007F6BF3">
            <w:pPr>
              <w:pStyle w:val="P68B1DB1-Normal8"/>
              <w:spacing w:after="0" w:line="240" w:lineRule="auto"/>
              <w:jc w:val="center"/>
              <w:rPr>
                <w:rFonts w:eastAsia="Times New Roman" w:cs="Calibri"/>
                <w:noProof/>
              </w:rPr>
            </w:pPr>
            <w:r>
              <w:rPr>
                <w:noProof/>
              </w:rPr>
              <w:t>ΤΡΊΜΗΝΟ 4</w:t>
            </w:r>
          </w:p>
        </w:tc>
        <w:tc>
          <w:tcPr>
            <w:tcW w:w="682" w:type="dxa"/>
            <w:shd w:val="clear" w:color="auto" w:fill="C4EFCE"/>
            <w:noWrap/>
            <w:vAlign w:val="center"/>
          </w:tcPr>
          <w:p w14:paraId="51DB435B" w14:textId="3BB9B3A3" w:rsidR="00154AD2" w:rsidRDefault="007F6BF3">
            <w:pPr>
              <w:pStyle w:val="P68B1DB1-Normal8"/>
              <w:spacing w:after="0" w:line="240" w:lineRule="auto"/>
              <w:jc w:val="center"/>
              <w:rPr>
                <w:rFonts w:eastAsia="Times New Roman" w:cs="Calibri"/>
                <w:noProof/>
              </w:rPr>
            </w:pPr>
            <w:r>
              <w:rPr>
                <w:noProof/>
              </w:rPr>
              <w:t>2024</w:t>
            </w:r>
          </w:p>
        </w:tc>
        <w:tc>
          <w:tcPr>
            <w:tcW w:w="4458" w:type="dxa"/>
            <w:shd w:val="clear" w:color="auto" w:fill="C4EFCE"/>
            <w:vAlign w:val="center"/>
          </w:tcPr>
          <w:p w14:paraId="5E2D4942" w14:textId="77777777" w:rsidR="00154AD2" w:rsidRDefault="007F6BF3">
            <w:pPr>
              <w:pStyle w:val="P68B1DB1-Normal8"/>
              <w:tabs>
                <w:tab w:val="left" w:pos="710"/>
                <w:tab w:val="right" w:pos="1963"/>
              </w:tabs>
              <w:spacing w:after="0" w:line="240" w:lineRule="auto"/>
              <w:jc w:val="both"/>
              <w:rPr>
                <w:rFonts w:eastAsia="Times New Roman" w:cs="Calibri"/>
                <w:noProof/>
              </w:rPr>
            </w:pPr>
            <w:r>
              <w:rPr>
                <w:noProof/>
              </w:rPr>
              <w:t>Θέση σε κυκλοφορία του λειτουργικού πρωτοτύπου. Το πρωτότυπο είναι σε θέση να προσομοιώσει τις ακόλουθες λειτουργίες:</w:t>
            </w:r>
          </w:p>
          <w:p w14:paraId="0A60490A" w14:textId="77777777" w:rsidR="00154AD2" w:rsidRDefault="007F6BF3">
            <w:pPr>
              <w:pStyle w:val="P68B1DB1-Normal8"/>
              <w:tabs>
                <w:tab w:val="left" w:pos="710"/>
                <w:tab w:val="right" w:pos="1963"/>
              </w:tabs>
              <w:spacing w:after="0" w:line="240" w:lineRule="auto"/>
              <w:jc w:val="both"/>
              <w:rPr>
                <w:rFonts w:eastAsia="Times New Roman" w:cs="Calibri"/>
                <w:noProof/>
              </w:rPr>
            </w:pPr>
            <w:r>
              <w:rPr>
                <w:noProof/>
              </w:rPr>
              <w:t>— Δημιουργία εργαλείων για τον εντοπισμό ανεπαρκειών, απάτης και άλλων τομέων κινδύνου με τους αλγόριθμους ΤΝ·</w:t>
            </w:r>
          </w:p>
          <w:p w14:paraId="2ADEB2DD" w14:textId="77777777" w:rsidR="00154AD2" w:rsidRDefault="007F6BF3">
            <w:pPr>
              <w:pStyle w:val="P68B1DB1-Normal8"/>
              <w:spacing w:after="0" w:line="240" w:lineRule="auto"/>
              <w:jc w:val="both"/>
              <w:rPr>
                <w:rFonts w:eastAsia="Times New Roman" w:cs="Calibri"/>
                <w:noProof/>
              </w:rPr>
            </w:pPr>
            <w:r>
              <w:rPr>
                <w:noProof/>
              </w:rPr>
              <w:t xml:space="preserve">— Διάθεση υπηρεσιών τεχνητής νοημοσύνης σε διάφορους τομείς της δημόσιας διοίκησης </w:t>
            </w:r>
          </w:p>
          <w:p w14:paraId="63B3E50E" w14:textId="567A0FC0" w:rsidR="00154AD2" w:rsidRDefault="007F6BF3">
            <w:pPr>
              <w:pStyle w:val="P68B1DB1-Normal8"/>
              <w:spacing w:after="0" w:line="240" w:lineRule="auto"/>
              <w:jc w:val="both"/>
              <w:rPr>
                <w:rFonts w:eastAsia="Times New Roman" w:cs="Calibri"/>
                <w:noProof/>
              </w:rPr>
            </w:pPr>
            <w:r>
              <w:rPr>
                <w:noProof/>
              </w:rPr>
              <w:t>— Αυτοματοποίηση της λήψης αποφάσεων σε διάφορους τομείς της δημόσιας διοίκησης.</w:t>
            </w:r>
          </w:p>
        </w:tc>
      </w:tr>
      <w:tr w:rsidR="00154AD2" w14:paraId="5CB7E1C4" w14:textId="77777777">
        <w:trPr>
          <w:trHeight w:val="953"/>
        </w:trPr>
        <w:tc>
          <w:tcPr>
            <w:tcW w:w="1082" w:type="dxa"/>
            <w:shd w:val="clear" w:color="auto" w:fill="C4EFCE"/>
            <w:vAlign w:val="center"/>
            <w:hideMark/>
          </w:tcPr>
          <w:p w14:paraId="576D56A1" w14:textId="77777777" w:rsidR="00154AD2" w:rsidRDefault="007F6BF3">
            <w:pPr>
              <w:pStyle w:val="P68B1DB1-Normal7"/>
              <w:spacing w:after="0" w:line="240" w:lineRule="auto"/>
              <w:jc w:val="center"/>
              <w:rPr>
                <w:rFonts w:eastAsia="Times New Roman" w:cs="Calibri"/>
                <w:noProof/>
              </w:rPr>
            </w:pPr>
            <w:r>
              <w:rPr>
                <w:noProof/>
              </w:rPr>
              <w:t>19.16</w:t>
            </w:r>
          </w:p>
        </w:tc>
        <w:tc>
          <w:tcPr>
            <w:tcW w:w="1211" w:type="dxa"/>
            <w:shd w:val="clear" w:color="auto" w:fill="C4EFCE"/>
            <w:noWrap/>
            <w:vAlign w:val="center"/>
            <w:hideMark/>
          </w:tcPr>
          <w:p w14:paraId="18A1503B" w14:textId="77777777" w:rsidR="00154AD2" w:rsidRDefault="007F6BF3">
            <w:pPr>
              <w:pStyle w:val="P68B1DB1-Normal8"/>
              <w:spacing w:after="0" w:line="240" w:lineRule="auto"/>
              <w:jc w:val="center"/>
              <w:rPr>
                <w:rFonts w:eastAsia="Times New Roman" w:cs="Calibri"/>
                <w:noProof/>
              </w:rPr>
            </w:pPr>
            <w:r>
              <w:rPr>
                <w:noProof/>
              </w:rPr>
              <w:t>TD-C19-i05-RAM</w:t>
            </w:r>
          </w:p>
        </w:tc>
        <w:tc>
          <w:tcPr>
            <w:tcW w:w="1080" w:type="dxa"/>
            <w:shd w:val="clear" w:color="auto" w:fill="C4EFCE"/>
            <w:noWrap/>
            <w:vAlign w:val="center"/>
            <w:hideMark/>
          </w:tcPr>
          <w:p w14:paraId="7F8FB6EE" w14:textId="77777777" w:rsidR="00154AD2" w:rsidRDefault="007F6BF3">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4769BDF3" w14:textId="77777777" w:rsidR="00154AD2" w:rsidRDefault="007F6BF3">
            <w:pPr>
              <w:pStyle w:val="P68B1DB1-Normal8"/>
              <w:spacing w:after="0" w:line="240" w:lineRule="auto"/>
              <w:jc w:val="center"/>
              <w:rPr>
                <w:rFonts w:eastAsia="Times New Roman" w:cs="Calibri"/>
                <w:noProof/>
              </w:rPr>
            </w:pPr>
            <w:r>
              <w:rPr>
                <w:noProof/>
              </w:rPr>
              <w:t>Δημόσιες υπηρεσίες για τους πολίτες, τους επισκέπτες και τις επιχειρήσεις στην ARM</w:t>
            </w:r>
          </w:p>
        </w:tc>
        <w:tc>
          <w:tcPr>
            <w:tcW w:w="1343" w:type="dxa"/>
            <w:shd w:val="clear" w:color="auto" w:fill="C4EFCE"/>
            <w:noWrap/>
            <w:vAlign w:val="center"/>
            <w:hideMark/>
          </w:tcPr>
          <w:p w14:paraId="3EA8E5EC" w14:textId="77777777" w:rsidR="00154AD2" w:rsidRDefault="007F6BF3">
            <w:pPr>
              <w:pStyle w:val="P68B1DB1-Normal8"/>
              <w:spacing w:after="0" w:line="240" w:lineRule="auto"/>
              <w:jc w:val="center"/>
              <w:rPr>
                <w:rFonts w:eastAsia="Times New Roman" w:cs="Calibri"/>
                <w:noProof/>
              </w:rPr>
            </w:pPr>
            <w:r>
              <w:rPr>
                <w:noProof/>
              </w:rPr>
              <w:t> </w:t>
            </w:r>
          </w:p>
        </w:tc>
        <w:tc>
          <w:tcPr>
            <w:tcW w:w="1134" w:type="dxa"/>
            <w:shd w:val="clear" w:color="auto" w:fill="C4EFCE"/>
            <w:noWrap/>
            <w:vAlign w:val="center"/>
            <w:hideMark/>
          </w:tcPr>
          <w:p w14:paraId="708975FC"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47" w:type="dxa"/>
            <w:shd w:val="clear" w:color="auto" w:fill="C4EFCE"/>
            <w:noWrap/>
            <w:vAlign w:val="center"/>
            <w:hideMark/>
          </w:tcPr>
          <w:p w14:paraId="648029EC" w14:textId="77777777" w:rsidR="00154AD2" w:rsidRDefault="007F6BF3">
            <w:pPr>
              <w:pStyle w:val="P68B1DB1-Normal8"/>
              <w:spacing w:after="0" w:line="240" w:lineRule="auto"/>
              <w:jc w:val="center"/>
              <w:rPr>
                <w:rFonts w:eastAsia="Times New Roman" w:cs="Calibri"/>
                <w:noProof/>
              </w:rPr>
            </w:pPr>
            <w:r>
              <w:rPr>
                <w:noProof/>
              </w:rPr>
              <w:t>0</w:t>
            </w:r>
          </w:p>
        </w:tc>
        <w:tc>
          <w:tcPr>
            <w:tcW w:w="682" w:type="dxa"/>
            <w:shd w:val="clear" w:color="auto" w:fill="C4EFCE"/>
            <w:noWrap/>
            <w:vAlign w:val="center"/>
            <w:hideMark/>
          </w:tcPr>
          <w:p w14:paraId="23D539CC" w14:textId="77777777" w:rsidR="00154AD2" w:rsidRDefault="007F6BF3">
            <w:pPr>
              <w:pStyle w:val="P68B1DB1-Normal8"/>
              <w:spacing w:after="0" w:line="240" w:lineRule="auto"/>
              <w:jc w:val="center"/>
              <w:rPr>
                <w:rFonts w:eastAsia="Times New Roman" w:cs="Calibri"/>
                <w:noProof/>
              </w:rPr>
            </w:pPr>
            <w:r>
              <w:rPr>
                <w:noProof/>
              </w:rPr>
              <w:t>5</w:t>
            </w:r>
          </w:p>
        </w:tc>
        <w:tc>
          <w:tcPr>
            <w:tcW w:w="550" w:type="dxa"/>
            <w:shd w:val="clear" w:color="auto" w:fill="C4EFCE"/>
            <w:noWrap/>
            <w:vAlign w:val="center"/>
            <w:hideMark/>
          </w:tcPr>
          <w:p w14:paraId="461712A3"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682" w:type="dxa"/>
            <w:shd w:val="clear" w:color="auto" w:fill="C4EFCE"/>
            <w:noWrap/>
            <w:vAlign w:val="center"/>
            <w:hideMark/>
          </w:tcPr>
          <w:p w14:paraId="7E32D4A6" w14:textId="77777777" w:rsidR="00154AD2" w:rsidRDefault="007F6BF3">
            <w:pPr>
              <w:pStyle w:val="P68B1DB1-Normal8"/>
              <w:spacing w:after="0" w:line="240" w:lineRule="auto"/>
              <w:jc w:val="center"/>
              <w:rPr>
                <w:rFonts w:eastAsia="Times New Roman" w:cs="Calibri"/>
                <w:noProof/>
              </w:rPr>
            </w:pPr>
            <w:r>
              <w:rPr>
                <w:noProof/>
              </w:rPr>
              <w:t>2025</w:t>
            </w:r>
          </w:p>
        </w:tc>
        <w:tc>
          <w:tcPr>
            <w:tcW w:w="4458" w:type="dxa"/>
            <w:shd w:val="clear" w:color="auto" w:fill="C4EFCE"/>
            <w:vAlign w:val="center"/>
            <w:hideMark/>
          </w:tcPr>
          <w:p w14:paraId="7F14D18C" w14:textId="77777777" w:rsidR="00154AD2" w:rsidRDefault="007F6BF3">
            <w:pPr>
              <w:pStyle w:val="P68B1DB1-Normal8"/>
              <w:spacing w:after="0" w:line="240" w:lineRule="auto"/>
              <w:jc w:val="both"/>
              <w:rPr>
                <w:rFonts w:eastAsia="Times New Roman" w:cs="Calibri"/>
                <w:noProof/>
              </w:rPr>
            </w:pPr>
            <w:r>
              <w:rPr>
                <w:noProof/>
              </w:rPr>
              <w:t>Αριθμός νέων απλουστευμένων ψηφιοποιημένων δημόσιων υπηρεσιών που διατίθενται στους πολίτες και τις επιχειρήσεις</w:t>
            </w:r>
          </w:p>
        </w:tc>
      </w:tr>
      <w:tr w:rsidR="00154AD2" w14:paraId="4DDCEA50" w14:textId="77777777">
        <w:trPr>
          <w:trHeight w:val="290"/>
        </w:trPr>
        <w:tc>
          <w:tcPr>
            <w:tcW w:w="1082" w:type="dxa"/>
            <w:shd w:val="clear" w:color="auto" w:fill="C4EFCE"/>
            <w:vAlign w:val="center"/>
            <w:hideMark/>
          </w:tcPr>
          <w:p w14:paraId="155D0A6D" w14:textId="77777777" w:rsidR="00154AD2" w:rsidRDefault="007F6BF3">
            <w:pPr>
              <w:pStyle w:val="P68B1DB1-Normal7"/>
              <w:spacing w:after="0" w:line="240" w:lineRule="auto"/>
              <w:jc w:val="center"/>
              <w:rPr>
                <w:rFonts w:eastAsia="Times New Roman" w:cs="Calibri"/>
                <w:noProof/>
              </w:rPr>
            </w:pPr>
            <w:r>
              <w:rPr>
                <w:noProof/>
              </w:rPr>
              <w:t>19.17</w:t>
            </w:r>
          </w:p>
        </w:tc>
        <w:tc>
          <w:tcPr>
            <w:tcW w:w="1211" w:type="dxa"/>
            <w:shd w:val="clear" w:color="auto" w:fill="C4EFCE"/>
            <w:noWrap/>
            <w:vAlign w:val="center"/>
            <w:hideMark/>
          </w:tcPr>
          <w:p w14:paraId="2D65B27E" w14:textId="77777777" w:rsidR="00154AD2" w:rsidRDefault="007F6BF3">
            <w:pPr>
              <w:pStyle w:val="P68B1DB1-Normal8"/>
              <w:spacing w:after="0" w:line="240" w:lineRule="auto"/>
              <w:jc w:val="center"/>
              <w:rPr>
                <w:rFonts w:eastAsia="Times New Roman" w:cs="Calibri"/>
                <w:noProof/>
              </w:rPr>
            </w:pPr>
            <w:r>
              <w:rPr>
                <w:noProof/>
              </w:rPr>
              <w:t>TD-C19-i05-RAM</w:t>
            </w:r>
          </w:p>
        </w:tc>
        <w:tc>
          <w:tcPr>
            <w:tcW w:w="1080" w:type="dxa"/>
            <w:shd w:val="clear" w:color="auto" w:fill="C4EFCE"/>
            <w:noWrap/>
            <w:vAlign w:val="center"/>
            <w:hideMark/>
          </w:tcPr>
          <w:p w14:paraId="317D5CC6" w14:textId="77777777" w:rsidR="00154AD2" w:rsidRDefault="007F6BF3">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hideMark/>
          </w:tcPr>
          <w:p w14:paraId="315CD8F8" w14:textId="77777777" w:rsidR="00154AD2" w:rsidRDefault="007F6BF3">
            <w:pPr>
              <w:pStyle w:val="P68B1DB1-Normal8"/>
              <w:spacing w:after="0" w:line="240" w:lineRule="auto"/>
              <w:jc w:val="center"/>
              <w:rPr>
                <w:rFonts w:eastAsia="Times New Roman" w:cs="Calibri"/>
                <w:noProof/>
              </w:rPr>
            </w:pPr>
            <w:r>
              <w:rPr>
                <w:noProof/>
              </w:rPr>
              <w:t>Εκσυγχρονισμός των υποδομών ζωτικής σημασίας και της αρχιτεκτονικής υπολογιστών των δημόσιων υπηρεσιών στην ARM</w:t>
            </w:r>
          </w:p>
        </w:tc>
        <w:tc>
          <w:tcPr>
            <w:tcW w:w="1343" w:type="dxa"/>
            <w:shd w:val="clear" w:color="auto" w:fill="C4EFCE"/>
            <w:noWrap/>
            <w:vAlign w:val="center"/>
            <w:hideMark/>
          </w:tcPr>
          <w:p w14:paraId="51FC6F0B" w14:textId="77777777" w:rsidR="00154AD2" w:rsidRDefault="007F6BF3">
            <w:pPr>
              <w:pStyle w:val="P68B1DB1-Normal8"/>
              <w:spacing w:after="0" w:line="240" w:lineRule="auto"/>
              <w:jc w:val="center"/>
              <w:rPr>
                <w:rFonts w:eastAsia="Times New Roman" w:cs="Calibri"/>
                <w:noProof/>
              </w:rPr>
            </w:pPr>
            <w:r>
              <w:rPr>
                <w:noProof/>
              </w:rPr>
              <w:t>Εκσυγχρονισμός των υποδομών ζωτικής σημασίας και της αρχιτεκτονικής υπολογιστών των δημόσιων υπηρεσιών στην ARM</w:t>
            </w:r>
          </w:p>
        </w:tc>
        <w:tc>
          <w:tcPr>
            <w:tcW w:w="1134" w:type="dxa"/>
            <w:shd w:val="clear" w:color="auto" w:fill="C4EFCE"/>
            <w:noWrap/>
            <w:vAlign w:val="center"/>
            <w:hideMark/>
          </w:tcPr>
          <w:p w14:paraId="5C3CE7BD" w14:textId="77777777" w:rsidR="00154AD2" w:rsidRDefault="007F6BF3">
            <w:pPr>
              <w:pStyle w:val="P68B1DB1-Normal8"/>
              <w:spacing w:after="0" w:line="240" w:lineRule="auto"/>
              <w:rPr>
                <w:rFonts w:eastAsia="Times New Roman" w:cs="Calibri"/>
                <w:noProof/>
              </w:rPr>
            </w:pPr>
            <w:r>
              <w:rPr>
                <w:noProof/>
              </w:rPr>
              <w:t> </w:t>
            </w:r>
          </w:p>
        </w:tc>
        <w:tc>
          <w:tcPr>
            <w:tcW w:w="947" w:type="dxa"/>
            <w:shd w:val="clear" w:color="auto" w:fill="C4EFCE"/>
            <w:noWrap/>
            <w:vAlign w:val="center"/>
            <w:hideMark/>
          </w:tcPr>
          <w:p w14:paraId="27932955" w14:textId="77777777" w:rsidR="00154AD2" w:rsidRDefault="007F6BF3">
            <w:pPr>
              <w:pStyle w:val="P68B1DB1-Normal8"/>
              <w:spacing w:after="0" w:line="240" w:lineRule="auto"/>
              <w:jc w:val="center"/>
              <w:rPr>
                <w:rFonts w:eastAsia="Times New Roman" w:cs="Calibri"/>
                <w:noProof/>
              </w:rPr>
            </w:pPr>
            <w:r>
              <w:rPr>
                <w:noProof/>
              </w:rPr>
              <w:t> </w:t>
            </w:r>
          </w:p>
        </w:tc>
        <w:tc>
          <w:tcPr>
            <w:tcW w:w="682" w:type="dxa"/>
            <w:shd w:val="clear" w:color="auto" w:fill="C4EFCE"/>
            <w:noWrap/>
            <w:vAlign w:val="center"/>
            <w:hideMark/>
          </w:tcPr>
          <w:p w14:paraId="53A57C64" w14:textId="77777777" w:rsidR="00154AD2" w:rsidRDefault="007F6BF3">
            <w:pPr>
              <w:pStyle w:val="P68B1DB1-Normal8"/>
              <w:spacing w:after="0" w:line="240" w:lineRule="auto"/>
              <w:jc w:val="center"/>
              <w:rPr>
                <w:rFonts w:eastAsia="Times New Roman" w:cs="Calibri"/>
                <w:noProof/>
              </w:rPr>
            </w:pPr>
            <w:r>
              <w:rPr>
                <w:noProof/>
              </w:rPr>
              <w:t> </w:t>
            </w:r>
          </w:p>
        </w:tc>
        <w:tc>
          <w:tcPr>
            <w:tcW w:w="550" w:type="dxa"/>
            <w:shd w:val="clear" w:color="auto" w:fill="C4EFCE"/>
            <w:noWrap/>
            <w:vAlign w:val="center"/>
            <w:hideMark/>
          </w:tcPr>
          <w:p w14:paraId="0EA1F25B"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682" w:type="dxa"/>
            <w:shd w:val="clear" w:color="auto" w:fill="C4EFCE"/>
            <w:noWrap/>
            <w:vAlign w:val="center"/>
            <w:hideMark/>
          </w:tcPr>
          <w:p w14:paraId="75DB415B" w14:textId="77777777" w:rsidR="00154AD2" w:rsidRDefault="007F6BF3">
            <w:pPr>
              <w:pStyle w:val="P68B1DB1-Normal8"/>
              <w:spacing w:after="0" w:line="240" w:lineRule="auto"/>
              <w:jc w:val="center"/>
              <w:rPr>
                <w:rFonts w:eastAsia="Times New Roman" w:cs="Calibri"/>
                <w:noProof/>
              </w:rPr>
            </w:pPr>
            <w:r>
              <w:rPr>
                <w:noProof/>
              </w:rPr>
              <w:t>2025</w:t>
            </w:r>
          </w:p>
        </w:tc>
        <w:tc>
          <w:tcPr>
            <w:tcW w:w="4458" w:type="dxa"/>
            <w:shd w:val="clear" w:color="auto" w:fill="C4EFCE"/>
            <w:vAlign w:val="center"/>
            <w:hideMark/>
          </w:tcPr>
          <w:p w14:paraId="639F5DC3" w14:textId="77777777" w:rsidR="00154AD2" w:rsidRDefault="007F6BF3">
            <w:pPr>
              <w:pStyle w:val="P68B1DB1-Normal12"/>
              <w:spacing w:after="0" w:line="240" w:lineRule="auto"/>
              <w:jc w:val="both"/>
              <w:rPr>
                <w:rFonts w:ascii="Times New Roman" w:eastAsia="Times New Roman" w:hAnsi="Times New Roman" w:cs="Times New Roman"/>
                <w:noProof/>
              </w:rPr>
            </w:pPr>
            <w:r>
              <w:rPr>
                <w:rFonts w:ascii="Calibri" w:hAnsi="Calibri"/>
                <w:noProof/>
              </w:rPr>
              <w:t>Ολοκλήρωση της ψηφιακής μετάβασης στη δημόσια διοίκηση της ΕΕΜ, η οποία περιλαμβάνει:</w:t>
            </w:r>
            <w:r>
              <w:rPr>
                <w:rFonts w:ascii="Times New Roman" w:hAnsi="Times New Roman"/>
                <w:noProof/>
              </w:rPr>
              <w:t xml:space="preserve"> </w:t>
            </w:r>
          </w:p>
          <w:p w14:paraId="67185D7F" w14:textId="4DEDF20E" w:rsidR="00154AD2" w:rsidRDefault="007F6BF3">
            <w:pPr>
              <w:pStyle w:val="P68B1DB1-Normal8"/>
              <w:spacing w:after="0" w:line="240" w:lineRule="auto"/>
              <w:jc w:val="both"/>
              <w:rPr>
                <w:rFonts w:eastAsia="Times New Roman" w:cs="Calibri"/>
                <w:noProof/>
              </w:rPr>
            </w:pPr>
            <w:r>
              <w:rPr>
                <w:noProof/>
              </w:rPr>
              <w:t xml:space="preserve">Υλοποίηση ιδιωτικού δικτύου 5G </w:t>
            </w:r>
          </w:p>
          <w:p w14:paraId="55AFBD4F" w14:textId="77777777" w:rsidR="00154AD2" w:rsidRDefault="007F6BF3">
            <w:pPr>
              <w:pStyle w:val="P68B1DB1-Normal8"/>
              <w:spacing w:after="0" w:line="240" w:lineRule="auto"/>
              <w:jc w:val="both"/>
              <w:rPr>
                <w:rFonts w:eastAsia="Times New Roman" w:cs="Calibri"/>
                <w:noProof/>
              </w:rPr>
            </w:pPr>
            <w:r>
              <w:rPr>
                <w:noProof/>
              </w:rPr>
              <w:t xml:space="preserve">Κινητό κέντρο επιτήρησης ελέγχου δασικών πυρκαγιών </w:t>
            </w:r>
          </w:p>
          <w:p w14:paraId="5710C4B7" w14:textId="77777777" w:rsidR="00154AD2" w:rsidRDefault="007F6BF3">
            <w:pPr>
              <w:pStyle w:val="P68B1DB1-Normal8"/>
              <w:spacing w:after="0" w:line="240" w:lineRule="auto"/>
              <w:jc w:val="both"/>
              <w:rPr>
                <w:rFonts w:eastAsia="Times New Roman" w:cs="Calibri"/>
                <w:noProof/>
              </w:rPr>
            </w:pPr>
            <w:r>
              <w:rPr>
                <w:noProof/>
              </w:rPr>
              <w:t xml:space="preserve">Συγκέντρωση και ανανέωση των υφιστάμενων κέντρων δεδομένων της περιφερειακής δημόσιας διοίκησης </w:t>
            </w:r>
          </w:p>
          <w:p w14:paraId="2D032E34" w14:textId="77777777" w:rsidR="00154AD2" w:rsidRDefault="007F6BF3">
            <w:pPr>
              <w:pStyle w:val="P68B1DB1-Normal8"/>
              <w:spacing w:after="0" w:line="240" w:lineRule="auto"/>
              <w:jc w:val="both"/>
              <w:rPr>
                <w:rFonts w:eastAsia="Times New Roman" w:cs="Calibri"/>
                <w:noProof/>
              </w:rPr>
            </w:pPr>
            <w:r>
              <w:rPr>
                <w:noProof/>
              </w:rPr>
              <w:t xml:space="preserve">Υλοποίηση της αρχιτεκτονικής κυβερνοασφάλειας (βλ. r34) </w:t>
            </w:r>
          </w:p>
          <w:p w14:paraId="67CCB2DC" w14:textId="7CD81F5F" w:rsidR="00154AD2" w:rsidRDefault="007F6BF3">
            <w:pPr>
              <w:pStyle w:val="P68B1DB1-Normal8"/>
              <w:spacing w:after="0" w:line="240" w:lineRule="auto"/>
              <w:jc w:val="both"/>
              <w:rPr>
                <w:rFonts w:eastAsia="Times New Roman" w:cs="Calibri"/>
                <w:noProof/>
              </w:rPr>
            </w:pPr>
            <w:r>
              <w:rPr>
                <w:noProof/>
              </w:rPr>
              <w:t xml:space="preserve">Συνδεσιμότητα σε κτίρια περιφερειακής δημόσιας διοίκησης Ψηφιακά εργαλεία κινητικότητας για τους υπαλλήλους του δημόσιου τομέα </w:t>
            </w:r>
          </w:p>
          <w:p w14:paraId="30F48F65" w14:textId="77777777" w:rsidR="00154AD2" w:rsidRDefault="007F6BF3">
            <w:pPr>
              <w:pStyle w:val="P68B1DB1-Normal8"/>
              <w:spacing w:after="0" w:line="240" w:lineRule="auto"/>
              <w:jc w:val="both"/>
              <w:rPr>
                <w:rFonts w:eastAsia="Times New Roman" w:cs="Calibri"/>
                <w:noProof/>
              </w:rPr>
            </w:pPr>
            <w:r>
              <w:rPr>
                <w:noProof/>
              </w:rPr>
              <w:t xml:space="preserve">Ψηφιακή κατάρτιση των υπαλλήλων του δημόσιου τομέα </w:t>
            </w:r>
          </w:p>
          <w:p w14:paraId="03CB00E5" w14:textId="77777777" w:rsidR="00154AD2" w:rsidRDefault="007F6BF3">
            <w:pPr>
              <w:pStyle w:val="P68B1DB1-Normal8"/>
              <w:spacing w:after="0" w:line="240" w:lineRule="auto"/>
              <w:jc w:val="both"/>
              <w:rPr>
                <w:rFonts w:eastAsia="Times New Roman" w:cs="Calibri"/>
                <w:noProof/>
              </w:rPr>
            </w:pPr>
            <w:r>
              <w:rPr>
                <w:noProof/>
              </w:rPr>
              <w:t xml:space="preserve">Παράδοση συστήματος ΤΠ για τη διαχείριση των δημόσιων οικονομικών </w:t>
            </w:r>
          </w:p>
          <w:p w14:paraId="596B0D1F" w14:textId="77777777" w:rsidR="00154AD2" w:rsidRDefault="007F6BF3">
            <w:pPr>
              <w:pStyle w:val="P68B1DB1-Normal8"/>
              <w:spacing w:after="0" w:line="240" w:lineRule="auto"/>
              <w:jc w:val="both"/>
              <w:rPr>
                <w:rFonts w:eastAsia="Times New Roman" w:cs="Calibri"/>
                <w:noProof/>
              </w:rPr>
            </w:pPr>
            <w:r>
              <w:rPr>
                <w:noProof/>
              </w:rPr>
              <w:t>Παράδοση συστήματος διαχείρισης δημόσιας περιουσίας</w:t>
            </w:r>
          </w:p>
          <w:p w14:paraId="5268118F" w14:textId="77777777" w:rsidR="00154AD2" w:rsidRDefault="007F6BF3">
            <w:pPr>
              <w:pStyle w:val="P68B1DB1-Normal8"/>
              <w:spacing w:after="0" w:line="240" w:lineRule="auto"/>
              <w:jc w:val="both"/>
              <w:rPr>
                <w:rFonts w:eastAsia="Times New Roman" w:cs="Calibri"/>
                <w:noProof/>
              </w:rPr>
            </w:pPr>
            <w:r>
              <w:rPr>
                <w:noProof/>
              </w:rPr>
              <w:t>Διαλειτουργικότητα του δικαστικού συστήματος ARM με τα εθνικά συστήματα ΤΠ</w:t>
            </w:r>
          </w:p>
          <w:p w14:paraId="77673804" w14:textId="63E13982" w:rsidR="00154AD2" w:rsidRDefault="007F6BF3">
            <w:pPr>
              <w:pStyle w:val="P68B1DB1-Normal8"/>
              <w:spacing w:after="0" w:line="240" w:lineRule="auto"/>
              <w:jc w:val="both"/>
              <w:rPr>
                <w:rFonts w:eastAsia="Times New Roman" w:cs="Calibri"/>
                <w:noProof/>
              </w:rPr>
            </w:pPr>
            <w:r>
              <w:rPr>
                <w:noProof/>
              </w:rPr>
              <w:t>Έργο «Smart AP AP Connect»</w:t>
            </w:r>
          </w:p>
        </w:tc>
      </w:tr>
      <w:tr w:rsidR="00154AD2" w14:paraId="2A157D90" w14:textId="77777777">
        <w:trPr>
          <w:trHeight w:val="290"/>
        </w:trPr>
        <w:tc>
          <w:tcPr>
            <w:tcW w:w="1082" w:type="dxa"/>
            <w:shd w:val="clear" w:color="auto" w:fill="C4EFCE"/>
            <w:vAlign w:val="center"/>
          </w:tcPr>
          <w:p w14:paraId="1C82B8D6" w14:textId="5B16A76A" w:rsidR="00154AD2" w:rsidRDefault="007F6BF3">
            <w:pPr>
              <w:pStyle w:val="P68B1DB1-Normal7"/>
              <w:spacing w:after="0" w:line="240" w:lineRule="auto"/>
              <w:jc w:val="center"/>
              <w:rPr>
                <w:rFonts w:eastAsia="Times New Roman" w:cs="Calibri"/>
                <w:noProof/>
              </w:rPr>
            </w:pPr>
            <w:r>
              <w:rPr>
                <w:noProof/>
              </w:rPr>
              <w:t>19.29</w:t>
            </w:r>
          </w:p>
        </w:tc>
        <w:tc>
          <w:tcPr>
            <w:tcW w:w="1211" w:type="dxa"/>
            <w:shd w:val="clear" w:color="auto" w:fill="C4EFCE"/>
            <w:noWrap/>
            <w:vAlign w:val="center"/>
          </w:tcPr>
          <w:p w14:paraId="5DF9BA4A" w14:textId="0F2186BF" w:rsidR="00154AD2" w:rsidRDefault="007F6BF3">
            <w:pPr>
              <w:pStyle w:val="P68B1DB1-Normal8"/>
              <w:spacing w:after="0" w:line="240" w:lineRule="auto"/>
              <w:jc w:val="center"/>
              <w:rPr>
                <w:rFonts w:eastAsia="Times New Roman" w:cs="Calibri"/>
                <w:noProof/>
              </w:rPr>
            </w:pPr>
            <w:r>
              <w:rPr>
                <w:noProof/>
              </w:rPr>
              <w:t>TD-C19-i05-RAM</w:t>
            </w:r>
          </w:p>
        </w:tc>
        <w:tc>
          <w:tcPr>
            <w:tcW w:w="1080" w:type="dxa"/>
            <w:shd w:val="clear" w:color="auto" w:fill="C4EFCE"/>
            <w:noWrap/>
            <w:vAlign w:val="center"/>
          </w:tcPr>
          <w:p w14:paraId="506C8CD6" w14:textId="143AFCD2" w:rsidR="00154AD2" w:rsidRDefault="007F6BF3">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tcPr>
          <w:p w14:paraId="6F63D36B" w14:textId="3601B6F1" w:rsidR="00154AD2" w:rsidRDefault="007F6BF3">
            <w:pPr>
              <w:pStyle w:val="P68B1DB1-Normal8"/>
              <w:spacing w:before="120" w:after="0" w:line="240" w:lineRule="auto"/>
              <w:jc w:val="both"/>
              <w:rPr>
                <w:rFonts w:eastAsia="Calibri" w:cs="Calibri"/>
                <w:noProof/>
              </w:rPr>
            </w:pPr>
            <w:r>
              <w:rPr>
                <w:noProof/>
              </w:rPr>
              <w:t>Λύση κεντρικής διαχείρισης δεδομένων</w:t>
            </w:r>
          </w:p>
        </w:tc>
        <w:tc>
          <w:tcPr>
            <w:tcW w:w="1343" w:type="dxa"/>
            <w:shd w:val="clear" w:color="auto" w:fill="C4EFCE"/>
            <w:noWrap/>
            <w:vAlign w:val="center"/>
          </w:tcPr>
          <w:p w14:paraId="63B29C5E" w14:textId="7AD40D4B" w:rsidR="00154AD2" w:rsidRDefault="007F6BF3">
            <w:pPr>
              <w:pStyle w:val="P68B1DB1-Normal8"/>
              <w:spacing w:after="0" w:line="240" w:lineRule="auto"/>
              <w:jc w:val="center"/>
              <w:rPr>
                <w:rFonts w:eastAsia="Calibri" w:cs="Calibri"/>
                <w:noProof/>
              </w:rPr>
            </w:pPr>
            <w:r>
              <w:rPr>
                <w:noProof/>
              </w:rPr>
              <w:t>Λειτουργική λύση κεντρικής διαχείρισης δεδομένων</w:t>
            </w:r>
          </w:p>
        </w:tc>
        <w:tc>
          <w:tcPr>
            <w:tcW w:w="1134" w:type="dxa"/>
            <w:shd w:val="clear" w:color="auto" w:fill="C4EFCE"/>
            <w:noWrap/>
            <w:vAlign w:val="center"/>
          </w:tcPr>
          <w:p w14:paraId="56259C96" w14:textId="77777777" w:rsidR="00154AD2" w:rsidRDefault="00154AD2">
            <w:pPr>
              <w:spacing w:after="0" w:line="240" w:lineRule="auto"/>
              <w:rPr>
                <w:rFonts w:ascii="Calibri" w:eastAsia="Times New Roman" w:hAnsi="Calibri" w:cs="Calibri"/>
                <w:noProof/>
                <w:sz w:val="16"/>
              </w:rPr>
            </w:pPr>
          </w:p>
        </w:tc>
        <w:tc>
          <w:tcPr>
            <w:tcW w:w="947" w:type="dxa"/>
            <w:shd w:val="clear" w:color="auto" w:fill="C4EFCE"/>
            <w:noWrap/>
            <w:vAlign w:val="center"/>
          </w:tcPr>
          <w:p w14:paraId="7BF5098B" w14:textId="77777777" w:rsidR="00154AD2" w:rsidRDefault="00154AD2">
            <w:pPr>
              <w:spacing w:after="0" w:line="240" w:lineRule="auto"/>
              <w:jc w:val="center"/>
              <w:rPr>
                <w:rFonts w:ascii="Calibri" w:eastAsia="Times New Roman" w:hAnsi="Calibri" w:cs="Calibri"/>
                <w:noProof/>
                <w:sz w:val="16"/>
              </w:rPr>
            </w:pPr>
          </w:p>
        </w:tc>
        <w:tc>
          <w:tcPr>
            <w:tcW w:w="682" w:type="dxa"/>
            <w:shd w:val="clear" w:color="auto" w:fill="C4EFCE"/>
            <w:noWrap/>
            <w:vAlign w:val="center"/>
          </w:tcPr>
          <w:p w14:paraId="027C1EA6" w14:textId="77777777" w:rsidR="00154AD2" w:rsidRDefault="00154AD2">
            <w:pPr>
              <w:spacing w:after="0" w:line="240" w:lineRule="auto"/>
              <w:jc w:val="center"/>
              <w:rPr>
                <w:rFonts w:ascii="Calibri" w:eastAsia="Times New Roman" w:hAnsi="Calibri" w:cs="Calibri"/>
                <w:noProof/>
                <w:sz w:val="16"/>
              </w:rPr>
            </w:pPr>
          </w:p>
        </w:tc>
        <w:tc>
          <w:tcPr>
            <w:tcW w:w="550" w:type="dxa"/>
            <w:shd w:val="clear" w:color="auto" w:fill="C4EFCE"/>
            <w:noWrap/>
            <w:vAlign w:val="center"/>
          </w:tcPr>
          <w:p w14:paraId="6EB0713C" w14:textId="340EFCF8" w:rsidR="00154AD2" w:rsidRDefault="007F6BF3">
            <w:pPr>
              <w:pStyle w:val="P68B1DB1-Normal8"/>
              <w:spacing w:after="0" w:line="240" w:lineRule="auto"/>
              <w:jc w:val="center"/>
              <w:rPr>
                <w:rFonts w:eastAsia="Times New Roman" w:cs="Calibri"/>
                <w:noProof/>
              </w:rPr>
            </w:pPr>
            <w:r>
              <w:rPr>
                <w:noProof/>
              </w:rPr>
              <w:t>ΤΡΊΜΗΝΟ 4</w:t>
            </w:r>
          </w:p>
        </w:tc>
        <w:tc>
          <w:tcPr>
            <w:tcW w:w="682" w:type="dxa"/>
            <w:shd w:val="clear" w:color="auto" w:fill="C4EFCE"/>
            <w:noWrap/>
            <w:vAlign w:val="center"/>
          </w:tcPr>
          <w:p w14:paraId="01F50E14" w14:textId="3E0B8059" w:rsidR="00154AD2" w:rsidRDefault="007F6BF3">
            <w:pPr>
              <w:pStyle w:val="P68B1DB1-Normal8"/>
              <w:spacing w:after="0" w:line="240" w:lineRule="auto"/>
              <w:jc w:val="center"/>
              <w:rPr>
                <w:rFonts w:eastAsia="Times New Roman" w:cs="Calibri"/>
                <w:noProof/>
              </w:rPr>
            </w:pPr>
            <w:r>
              <w:rPr>
                <w:noProof/>
              </w:rPr>
              <w:t>2025</w:t>
            </w:r>
          </w:p>
        </w:tc>
        <w:tc>
          <w:tcPr>
            <w:tcW w:w="4458" w:type="dxa"/>
            <w:shd w:val="clear" w:color="auto" w:fill="C4EFCE"/>
            <w:vAlign w:val="center"/>
          </w:tcPr>
          <w:p w14:paraId="5A47B065" w14:textId="77777777" w:rsidR="00154AD2" w:rsidRDefault="007F6BF3">
            <w:pPr>
              <w:pStyle w:val="P68B1DB1-Normal8"/>
              <w:spacing w:after="0" w:line="240" w:lineRule="auto"/>
              <w:jc w:val="both"/>
              <w:rPr>
                <w:rFonts w:eastAsia="Calibri" w:cs="Calibri"/>
                <w:noProof/>
              </w:rPr>
            </w:pPr>
            <w:r>
              <w:rPr>
                <w:noProof/>
              </w:rPr>
              <w:t>Δρομολόγηση της κεντρικής λύσης διαχείρισης δεδομένων. Οφείλει:</w:t>
            </w:r>
          </w:p>
          <w:p w14:paraId="0B46F946" w14:textId="77777777" w:rsidR="00154AD2" w:rsidRDefault="007F6BF3">
            <w:pPr>
              <w:pStyle w:val="P68B1DB1-Normal8"/>
              <w:tabs>
                <w:tab w:val="left" w:pos="710"/>
                <w:tab w:val="right" w:pos="1963"/>
              </w:tabs>
              <w:spacing w:after="0" w:line="240" w:lineRule="auto"/>
              <w:jc w:val="both"/>
              <w:rPr>
                <w:rFonts w:eastAsia="Times New Roman" w:cs="Calibri"/>
                <w:noProof/>
              </w:rPr>
            </w:pPr>
            <w:r>
              <w:rPr>
                <w:noProof/>
              </w:rPr>
              <w:t>— Δημιουργία εργαλείων για τον εντοπισμό ανεπαρκειών, απάτης και άλλων τομέων κινδύνου με τους αλγόριθμους ΤΝ·</w:t>
            </w:r>
          </w:p>
          <w:p w14:paraId="3CD59918" w14:textId="548FE233" w:rsidR="00154AD2" w:rsidRDefault="007F6BF3">
            <w:pPr>
              <w:pStyle w:val="P68B1DB1-Normal8"/>
              <w:spacing w:after="0" w:line="240" w:lineRule="auto"/>
              <w:jc w:val="both"/>
              <w:rPr>
                <w:rFonts w:eastAsia="Times New Roman" w:cs="Calibri"/>
                <w:noProof/>
              </w:rPr>
            </w:pPr>
            <w:r>
              <w:rPr>
                <w:noProof/>
              </w:rPr>
              <w:t xml:space="preserve">— Διάθεση υπηρεσιών τεχνητής νοημοσύνης σε διάφορους τομείς της δημόσιας διοίκησης </w:t>
            </w:r>
          </w:p>
          <w:p w14:paraId="3129C273" w14:textId="27DC1D7B" w:rsidR="00154AD2" w:rsidRDefault="007F6BF3">
            <w:pPr>
              <w:pStyle w:val="P68B1DB1-Normal8"/>
              <w:spacing w:after="0" w:line="240" w:lineRule="auto"/>
              <w:jc w:val="both"/>
              <w:rPr>
                <w:rFonts w:eastAsia="Times New Roman" w:cs="Calibri"/>
                <w:noProof/>
              </w:rPr>
            </w:pPr>
            <w:r>
              <w:rPr>
                <w:noProof/>
              </w:rPr>
              <w:t>— Αυτοματοποίηση της λήψης αποφάσεων σε διάφορους τομείς της δημόσιας διοίκησης.</w:t>
            </w:r>
          </w:p>
        </w:tc>
      </w:tr>
      <w:tr w:rsidR="00154AD2" w14:paraId="466B5AF3" w14:textId="77777777">
        <w:trPr>
          <w:trHeight w:val="290"/>
        </w:trPr>
        <w:tc>
          <w:tcPr>
            <w:tcW w:w="1082" w:type="dxa"/>
            <w:shd w:val="clear" w:color="auto" w:fill="C4EFCE"/>
            <w:vAlign w:val="center"/>
          </w:tcPr>
          <w:p w14:paraId="7C2288AD" w14:textId="6CE5E3E0" w:rsidR="00154AD2" w:rsidRDefault="007F6BF3">
            <w:pPr>
              <w:pStyle w:val="P68B1DB1-Normal7"/>
              <w:spacing w:after="0" w:line="240" w:lineRule="auto"/>
              <w:jc w:val="center"/>
              <w:rPr>
                <w:rFonts w:eastAsia="Times New Roman" w:cs="Calibri"/>
                <w:noProof/>
              </w:rPr>
            </w:pPr>
            <w:r>
              <w:rPr>
                <w:noProof/>
              </w:rPr>
              <w:t>19.18</w:t>
            </w:r>
          </w:p>
        </w:tc>
        <w:tc>
          <w:tcPr>
            <w:tcW w:w="1211" w:type="dxa"/>
            <w:shd w:val="clear" w:color="auto" w:fill="C4EFCE"/>
            <w:noWrap/>
            <w:vAlign w:val="center"/>
          </w:tcPr>
          <w:p w14:paraId="53E2405E" w14:textId="254C07E6" w:rsidR="00154AD2" w:rsidRDefault="007F6BF3">
            <w:pPr>
              <w:pStyle w:val="P68B1DB1-Normal8"/>
              <w:spacing w:after="0" w:line="240" w:lineRule="auto"/>
              <w:jc w:val="center"/>
              <w:rPr>
                <w:rFonts w:eastAsia="Times New Roman" w:cs="Calibri"/>
                <w:noProof/>
              </w:rPr>
            </w:pPr>
            <w:r>
              <w:rPr>
                <w:noProof/>
              </w:rPr>
              <w:t>TD-C19-i06-RAA</w:t>
            </w:r>
          </w:p>
        </w:tc>
        <w:tc>
          <w:tcPr>
            <w:tcW w:w="1080" w:type="dxa"/>
            <w:shd w:val="clear" w:color="auto" w:fill="C4EFCE"/>
            <w:noWrap/>
            <w:vAlign w:val="center"/>
          </w:tcPr>
          <w:p w14:paraId="29CC492A" w14:textId="79FE0E99" w:rsidR="00154AD2" w:rsidRDefault="007F6BF3">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tcPr>
          <w:p w14:paraId="1D1FA322" w14:textId="428C6462" w:rsidR="00154AD2" w:rsidRDefault="007F6BF3">
            <w:pPr>
              <w:pStyle w:val="P68B1DB1-Normal8"/>
              <w:spacing w:before="120" w:after="0" w:line="240" w:lineRule="auto"/>
              <w:jc w:val="both"/>
              <w:rPr>
                <w:rFonts w:eastAsia="Calibri" w:cs="Calibri"/>
                <w:noProof/>
                <w:highlight w:val="cyan"/>
              </w:rPr>
            </w:pPr>
            <w:r>
              <w:rPr>
                <w:noProof/>
              </w:rPr>
              <w:t>Ψηφιοποίηση της περιφερειακής δημόσιας διοίκησης της ARA</w:t>
            </w:r>
          </w:p>
        </w:tc>
        <w:tc>
          <w:tcPr>
            <w:tcW w:w="1343" w:type="dxa"/>
            <w:shd w:val="clear" w:color="auto" w:fill="C4EFCE"/>
            <w:noWrap/>
            <w:vAlign w:val="center"/>
          </w:tcPr>
          <w:p w14:paraId="61C1FEC8" w14:textId="112CCC73" w:rsidR="00154AD2" w:rsidRDefault="007F6BF3">
            <w:pPr>
              <w:pStyle w:val="P68B1DB1-Normal8"/>
              <w:spacing w:after="0" w:line="240" w:lineRule="auto"/>
              <w:jc w:val="center"/>
              <w:rPr>
                <w:rFonts w:eastAsia="Times New Roman" w:cs="Calibri"/>
                <w:noProof/>
              </w:rPr>
            </w:pPr>
            <w:r>
              <w:rPr>
                <w:noProof/>
              </w:rPr>
              <w:t>Ψηφιοποίηση της περιφερειακής δημόσιας διοίκησης της ARA</w:t>
            </w:r>
          </w:p>
        </w:tc>
        <w:tc>
          <w:tcPr>
            <w:tcW w:w="1134" w:type="dxa"/>
            <w:shd w:val="clear" w:color="auto" w:fill="C4EFCE"/>
            <w:noWrap/>
            <w:vAlign w:val="center"/>
          </w:tcPr>
          <w:p w14:paraId="6A5817AB" w14:textId="77777777" w:rsidR="00154AD2" w:rsidRDefault="00154AD2">
            <w:pPr>
              <w:spacing w:after="0" w:line="240" w:lineRule="auto"/>
              <w:rPr>
                <w:rFonts w:ascii="Calibri" w:eastAsia="Times New Roman" w:hAnsi="Calibri" w:cs="Calibri"/>
                <w:noProof/>
                <w:sz w:val="16"/>
              </w:rPr>
            </w:pPr>
          </w:p>
        </w:tc>
        <w:tc>
          <w:tcPr>
            <w:tcW w:w="947" w:type="dxa"/>
            <w:shd w:val="clear" w:color="auto" w:fill="C4EFCE"/>
            <w:noWrap/>
            <w:vAlign w:val="center"/>
          </w:tcPr>
          <w:p w14:paraId="5090F33B" w14:textId="77777777" w:rsidR="00154AD2" w:rsidRDefault="00154AD2">
            <w:pPr>
              <w:spacing w:after="0" w:line="240" w:lineRule="auto"/>
              <w:jc w:val="center"/>
              <w:rPr>
                <w:rFonts w:ascii="Calibri" w:eastAsia="Times New Roman" w:hAnsi="Calibri" w:cs="Calibri"/>
                <w:noProof/>
                <w:sz w:val="16"/>
              </w:rPr>
            </w:pPr>
          </w:p>
        </w:tc>
        <w:tc>
          <w:tcPr>
            <w:tcW w:w="682" w:type="dxa"/>
            <w:shd w:val="clear" w:color="auto" w:fill="C4EFCE"/>
            <w:noWrap/>
            <w:vAlign w:val="center"/>
          </w:tcPr>
          <w:p w14:paraId="63CFFECA" w14:textId="77777777" w:rsidR="00154AD2" w:rsidRDefault="00154AD2">
            <w:pPr>
              <w:spacing w:after="0" w:line="240" w:lineRule="auto"/>
              <w:jc w:val="center"/>
              <w:rPr>
                <w:rFonts w:ascii="Calibri" w:eastAsia="Times New Roman" w:hAnsi="Calibri" w:cs="Calibri"/>
                <w:noProof/>
                <w:sz w:val="16"/>
              </w:rPr>
            </w:pPr>
          </w:p>
        </w:tc>
        <w:tc>
          <w:tcPr>
            <w:tcW w:w="550" w:type="dxa"/>
            <w:shd w:val="clear" w:color="auto" w:fill="C4EFCE"/>
            <w:noWrap/>
            <w:vAlign w:val="center"/>
          </w:tcPr>
          <w:p w14:paraId="3D6E7BDA" w14:textId="5384AC54" w:rsidR="00154AD2" w:rsidRDefault="007F6BF3">
            <w:pPr>
              <w:pStyle w:val="P68B1DB1-Normal8"/>
              <w:spacing w:after="0" w:line="240" w:lineRule="auto"/>
              <w:jc w:val="center"/>
              <w:rPr>
                <w:rFonts w:eastAsia="Times New Roman" w:cs="Calibri"/>
                <w:noProof/>
              </w:rPr>
            </w:pPr>
            <w:r>
              <w:rPr>
                <w:noProof/>
              </w:rPr>
              <w:t>ΤΡΊΜΗΝΟ 4</w:t>
            </w:r>
          </w:p>
        </w:tc>
        <w:tc>
          <w:tcPr>
            <w:tcW w:w="682" w:type="dxa"/>
            <w:shd w:val="clear" w:color="auto" w:fill="C4EFCE"/>
            <w:noWrap/>
            <w:vAlign w:val="center"/>
          </w:tcPr>
          <w:p w14:paraId="52922652" w14:textId="077714E2" w:rsidR="00154AD2" w:rsidRDefault="007F6BF3">
            <w:pPr>
              <w:pStyle w:val="P68B1DB1-Normal8"/>
              <w:spacing w:after="0" w:line="240" w:lineRule="auto"/>
              <w:jc w:val="center"/>
              <w:rPr>
                <w:rFonts w:eastAsia="Times New Roman" w:cs="Calibri"/>
                <w:noProof/>
              </w:rPr>
            </w:pPr>
            <w:r>
              <w:rPr>
                <w:noProof/>
              </w:rPr>
              <w:t>2025</w:t>
            </w:r>
          </w:p>
        </w:tc>
        <w:tc>
          <w:tcPr>
            <w:tcW w:w="4458" w:type="dxa"/>
            <w:shd w:val="clear" w:color="auto" w:fill="C4EFCE"/>
            <w:vAlign w:val="center"/>
          </w:tcPr>
          <w:p w14:paraId="3D491425" w14:textId="77777777" w:rsidR="00154AD2" w:rsidRDefault="007F6BF3">
            <w:pPr>
              <w:pStyle w:val="P68B1DB1-Normal8"/>
              <w:tabs>
                <w:tab w:val="left" w:pos="710"/>
                <w:tab w:val="right" w:pos="1963"/>
              </w:tabs>
              <w:spacing w:after="0" w:line="288" w:lineRule="auto"/>
              <w:jc w:val="both"/>
              <w:rPr>
                <w:rFonts w:eastAsia="Times New Roman" w:cs="Calibri"/>
                <w:noProof/>
              </w:rPr>
            </w:pPr>
            <w:r>
              <w:rPr>
                <w:noProof/>
              </w:rPr>
              <w:t xml:space="preserve">Ολοκλήρωση πέντε έργων: </w:t>
            </w:r>
          </w:p>
          <w:p w14:paraId="5A78D913" w14:textId="77777777" w:rsidR="00154AD2" w:rsidRDefault="007F6BF3">
            <w:pPr>
              <w:pStyle w:val="P68B1DB1-Normal8"/>
              <w:tabs>
                <w:tab w:val="left" w:pos="710"/>
                <w:tab w:val="right" w:pos="1963"/>
              </w:tabs>
              <w:spacing w:after="0" w:line="288" w:lineRule="auto"/>
              <w:jc w:val="both"/>
              <w:rPr>
                <w:rFonts w:eastAsia="Times New Roman" w:cs="Calibri"/>
                <w:noProof/>
              </w:rPr>
            </w:pPr>
            <w:r>
              <w:rPr>
                <w:noProof/>
              </w:rPr>
              <w:t xml:space="preserve">APR + προσβάσιμη, ανοικτή και χωρίς αποκλεισμούς δημόσια διοίκηση </w:t>
            </w:r>
          </w:p>
          <w:p w14:paraId="3074EF7C" w14:textId="77777777" w:rsidR="00154AD2" w:rsidRDefault="007F6BF3">
            <w:pPr>
              <w:pStyle w:val="P68B1DB1-Normal8"/>
              <w:tabs>
                <w:tab w:val="left" w:pos="710"/>
                <w:tab w:val="right" w:pos="1963"/>
              </w:tabs>
              <w:spacing w:after="0" w:line="288" w:lineRule="auto"/>
              <w:jc w:val="both"/>
              <w:rPr>
                <w:rFonts w:eastAsia="Times New Roman" w:cs="Calibri"/>
                <w:noProof/>
              </w:rPr>
            </w:pPr>
            <w:r>
              <w:rPr>
                <w:noProof/>
              </w:rPr>
              <w:t>APR + πιο ευέλικτες δημόσιες υπηρεσίες και σύστημα ελέγχου και διαχείρισης των δημόσιων οικονομικών.</w:t>
            </w:r>
          </w:p>
          <w:p w14:paraId="18AA1A5C" w14:textId="351449F8" w:rsidR="00154AD2" w:rsidRDefault="007F6BF3">
            <w:pPr>
              <w:pStyle w:val="P68B1DB1-Normal8"/>
              <w:tabs>
                <w:tab w:val="left" w:pos="710"/>
                <w:tab w:val="right" w:pos="1963"/>
              </w:tabs>
              <w:spacing w:after="0" w:line="288" w:lineRule="auto"/>
              <w:jc w:val="both"/>
              <w:rPr>
                <w:rFonts w:eastAsia="Times New Roman" w:cs="Calibri"/>
                <w:noProof/>
              </w:rPr>
            </w:pPr>
            <w:r>
              <w:rPr>
                <w:noProof/>
              </w:rPr>
              <w:t xml:space="preserve">APR + Proactiva </w:t>
            </w:r>
          </w:p>
          <w:p w14:paraId="4BD5069C" w14:textId="6355AD50" w:rsidR="00154AD2" w:rsidRDefault="007F6BF3">
            <w:pPr>
              <w:pStyle w:val="P68B1DB1-Normal8"/>
              <w:tabs>
                <w:tab w:val="left" w:pos="710"/>
                <w:tab w:val="right" w:pos="1963"/>
              </w:tabs>
              <w:spacing w:after="0" w:line="288" w:lineRule="auto"/>
              <w:jc w:val="both"/>
              <w:rPr>
                <w:rFonts w:ascii="Arial" w:eastAsia="Arial" w:hAnsi="Arial" w:cs="Arial"/>
                <w:noProof/>
                <w:sz w:val="15"/>
              </w:rPr>
            </w:pPr>
            <w:r>
              <w:rPr>
                <w:noProof/>
              </w:rPr>
              <w:t>Κινητή πύλη για την περιφερειακή δημόσια διοίκηση — APR + κατάλληλη για το μέλλον</w:t>
            </w:r>
          </w:p>
        </w:tc>
      </w:tr>
      <w:tr w:rsidR="00154AD2" w14:paraId="700CCFFC" w14:textId="77777777">
        <w:trPr>
          <w:trHeight w:val="430"/>
        </w:trPr>
        <w:tc>
          <w:tcPr>
            <w:tcW w:w="1082" w:type="dxa"/>
            <w:shd w:val="clear" w:color="auto" w:fill="C4EFCE"/>
            <w:vAlign w:val="center"/>
            <w:hideMark/>
          </w:tcPr>
          <w:p w14:paraId="6F89E376" w14:textId="77777777" w:rsidR="00154AD2" w:rsidRDefault="007F6BF3">
            <w:pPr>
              <w:pStyle w:val="P68B1DB1-Normal7"/>
              <w:spacing w:after="0" w:line="240" w:lineRule="auto"/>
              <w:jc w:val="center"/>
              <w:rPr>
                <w:rFonts w:eastAsia="Times New Roman" w:cs="Calibri"/>
                <w:noProof/>
              </w:rPr>
            </w:pPr>
            <w:r>
              <w:rPr>
                <w:noProof/>
              </w:rPr>
              <w:t>19.19</w:t>
            </w:r>
          </w:p>
        </w:tc>
        <w:tc>
          <w:tcPr>
            <w:tcW w:w="1211" w:type="dxa"/>
            <w:shd w:val="clear" w:color="auto" w:fill="C4EFCE"/>
            <w:noWrap/>
            <w:vAlign w:val="center"/>
            <w:hideMark/>
          </w:tcPr>
          <w:p w14:paraId="17E815D0" w14:textId="77777777" w:rsidR="00154AD2" w:rsidRDefault="007F6BF3">
            <w:pPr>
              <w:pStyle w:val="P68B1DB1-Normal8"/>
              <w:spacing w:after="0" w:line="240" w:lineRule="auto"/>
              <w:jc w:val="center"/>
              <w:rPr>
                <w:rFonts w:eastAsia="Times New Roman" w:cs="Calibri"/>
                <w:noProof/>
              </w:rPr>
            </w:pPr>
            <w:r>
              <w:rPr>
                <w:noProof/>
              </w:rPr>
              <w:t>TD-C19-i07</w:t>
            </w:r>
          </w:p>
        </w:tc>
        <w:tc>
          <w:tcPr>
            <w:tcW w:w="1080" w:type="dxa"/>
            <w:shd w:val="clear" w:color="auto" w:fill="C4EFCE"/>
            <w:noWrap/>
            <w:vAlign w:val="center"/>
            <w:hideMark/>
          </w:tcPr>
          <w:p w14:paraId="3D998E6D" w14:textId="77777777" w:rsidR="00154AD2" w:rsidRDefault="007F6BF3">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46F9B879" w14:textId="77777777" w:rsidR="00154AD2" w:rsidRDefault="007F6BF3">
            <w:pPr>
              <w:pStyle w:val="P68B1DB1-Normal8"/>
              <w:spacing w:after="0" w:line="240" w:lineRule="auto"/>
              <w:jc w:val="center"/>
              <w:rPr>
                <w:rFonts w:eastAsia="Times New Roman" w:cs="Calibri"/>
                <w:noProof/>
              </w:rPr>
            </w:pPr>
            <w:r>
              <w:rPr>
                <w:noProof/>
              </w:rPr>
              <w:t>Πρόγραμμα πρακτικής άσκησης για πτυχιούχους</w:t>
            </w:r>
          </w:p>
        </w:tc>
        <w:tc>
          <w:tcPr>
            <w:tcW w:w="1343" w:type="dxa"/>
            <w:shd w:val="clear" w:color="auto" w:fill="C4EFCE"/>
            <w:noWrap/>
            <w:vAlign w:val="center"/>
            <w:hideMark/>
          </w:tcPr>
          <w:p w14:paraId="7526E1BB" w14:textId="77777777" w:rsidR="00154AD2" w:rsidRDefault="007F6BF3">
            <w:pPr>
              <w:pStyle w:val="P68B1DB1-Normal8"/>
              <w:spacing w:after="0" w:line="240" w:lineRule="auto"/>
              <w:jc w:val="center"/>
              <w:rPr>
                <w:rFonts w:eastAsia="Times New Roman" w:cs="Calibri"/>
                <w:noProof/>
              </w:rPr>
            </w:pPr>
            <w:r>
              <w:rPr>
                <w:noProof/>
              </w:rPr>
              <w:t> </w:t>
            </w:r>
          </w:p>
        </w:tc>
        <w:tc>
          <w:tcPr>
            <w:tcW w:w="1134" w:type="dxa"/>
            <w:shd w:val="clear" w:color="auto" w:fill="C4EFCE"/>
            <w:noWrap/>
            <w:vAlign w:val="center"/>
            <w:hideMark/>
          </w:tcPr>
          <w:p w14:paraId="6FAEB2B9"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47" w:type="dxa"/>
            <w:shd w:val="clear" w:color="auto" w:fill="C4EFCE"/>
            <w:noWrap/>
            <w:vAlign w:val="center"/>
            <w:hideMark/>
          </w:tcPr>
          <w:p w14:paraId="1C0B63B6" w14:textId="77777777" w:rsidR="00154AD2" w:rsidRDefault="007F6BF3">
            <w:pPr>
              <w:pStyle w:val="P68B1DB1-Normal8"/>
              <w:spacing w:after="0" w:line="240" w:lineRule="auto"/>
              <w:jc w:val="center"/>
              <w:rPr>
                <w:rFonts w:eastAsia="Times New Roman" w:cs="Calibri"/>
                <w:noProof/>
              </w:rPr>
            </w:pPr>
            <w:r>
              <w:rPr>
                <w:noProof/>
              </w:rPr>
              <w:t>0</w:t>
            </w:r>
          </w:p>
        </w:tc>
        <w:tc>
          <w:tcPr>
            <w:tcW w:w="682" w:type="dxa"/>
            <w:shd w:val="clear" w:color="auto" w:fill="C4EFCE"/>
            <w:noWrap/>
            <w:vAlign w:val="center"/>
            <w:hideMark/>
          </w:tcPr>
          <w:p w14:paraId="7BFD045F" w14:textId="77777777" w:rsidR="00154AD2" w:rsidRDefault="007F6BF3">
            <w:pPr>
              <w:pStyle w:val="P68B1DB1-Normal8"/>
              <w:spacing w:after="0" w:line="240" w:lineRule="auto"/>
              <w:jc w:val="center"/>
              <w:rPr>
                <w:rFonts w:eastAsia="Times New Roman" w:cs="Calibri"/>
                <w:noProof/>
              </w:rPr>
            </w:pPr>
            <w:r>
              <w:rPr>
                <w:noProof/>
              </w:rPr>
              <w:t>1 500</w:t>
            </w:r>
          </w:p>
        </w:tc>
        <w:tc>
          <w:tcPr>
            <w:tcW w:w="550" w:type="dxa"/>
            <w:shd w:val="clear" w:color="auto" w:fill="C4EFCE"/>
            <w:noWrap/>
            <w:vAlign w:val="center"/>
            <w:hideMark/>
          </w:tcPr>
          <w:p w14:paraId="349DA6C0"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82" w:type="dxa"/>
            <w:shd w:val="clear" w:color="auto" w:fill="C4EFCE"/>
            <w:noWrap/>
            <w:vAlign w:val="center"/>
            <w:hideMark/>
          </w:tcPr>
          <w:p w14:paraId="1F12DF81" w14:textId="77777777" w:rsidR="00154AD2" w:rsidRDefault="007F6BF3">
            <w:pPr>
              <w:pStyle w:val="P68B1DB1-Normal8"/>
              <w:spacing w:after="0" w:line="240" w:lineRule="auto"/>
              <w:jc w:val="center"/>
              <w:rPr>
                <w:rFonts w:eastAsia="Times New Roman" w:cs="Calibri"/>
                <w:noProof/>
              </w:rPr>
            </w:pPr>
            <w:r>
              <w:rPr>
                <w:noProof/>
              </w:rPr>
              <w:t>2023</w:t>
            </w:r>
          </w:p>
        </w:tc>
        <w:tc>
          <w:tcPr>
            <w:tcW w:w="4458" w:type="dxa"/>
            <w:shd w:val="clear" w:color="auto" w:fill="C4EFCE"/>
            <w:vAlign w:val="center"/>
            <w:hideMark/>
          </w:tcPr>
          <w:p w14:paraId="321523D7" w14:textId="77777777" w:rsidR="00154AD2" w:rsidRDefault="007F6BF3">
            <w:pPr>
              <w:pStyle w:val="P68B1DB1-Normal8"/>
              <w:spacing w:after="0" w:line="240" w:lineRule="auto"/>
              <w:jc w:val="both"/>
              <w:rPr>
                <w:rFonts w:eastAsia="Times New Roman" w:cs="Calibri"/>
                <w:noProof/>
              </w:rPr>
            </w:pPr>
            <w:r>
              <w:rPr>
                <w:noProof/>
              </w:rPr>
              <w:t xml:space="preserve">Αριθμός αποφοίτων που έχουν παρακολουθήσει το πρόγραμμα πρακτικής άσκησης στη δημόσια διοίκηση που θεσπίστηκε στο πλαίσιο του </w:t>
            </w:r>
            <w:r>
              <w:rPr>
                <w:i/>
                <w:noProof/>
              </w:rPr>
              <w:t>Resolução do Conselho de Ministros n.° 11/2021</w:t>
            </w:r>
            <w:r>
              <w:rPr>
                <w:noProof/>
              </w:rPr>
              <w:t xml:space="preserve">  </w:t>
            </w:r>
          </w:p>
        </w:tc>
      </w:tr>
      <w:tr w:rsidR="00154AD2" w14:paraId="7C101E4F" w14:textId="77777777">
        <w:trPr>
          <w:trHeight w:val="845"/>
        </w:trPr>
        <w:tc>
          <w:tcPr>
            <w:tcW w:w="1082" w:type="dxa"/>
            <w:shd w:val="clear" w:color="auto" w:fill="C4EFCE"/>
            <w:vAlign w:val="center"/>
            <w:hideMark/>
          </w:tcPr>
          <w:p w14:paraId="3693F16E" w14:textId="77777777" w:rsidR="00154AD2" w:rsidRDefault="007F6BF3">
            <w:pPr>
              <w:pStyle w:val="P68B1DB1-Normal7"/>
              <w:spacing w:after="0" w:line="240" w:lineRule="auto"/>
              <w:jc w:val="center"/>
              <w:rPr>
                <w:rFonts w:eastAsia="Times New Roman" w:cs="Calibri"/>
                <w:noProof/>
              </w:rPr>
            </w:pPr>
            <w:r>
              <w:rPr>
                <w:noProof/>
              </w:rPr>
              <w:t>19.20</w:t>
            </w:r>
          </w:p>
        </w:tc>
        <w:tc>
          <w:tcPr>
            <w:tcW w:w="1211" w:type="dxa"/>
            <w:shd w:val="clear" w:color="auto" w:fill="C4EFCE"/>
            <w:noWrap/>
            <w:vAlign w:val="center"/>
            <w:hideMark/>
          </w:tcPr>
          <w:p w14:paraId="64A1DE9A" w14:textId="77777777" w:rsidR="00154AD2" w:rsidRDefault="007F6BF3">
            <w:pPr>
              <w:pStyle w:val="P68B1DB1-Normal8"/>
              <w:spacing w:after="0" w:line="240" w:lineRule="auto"/>
              <w:jc w:val="center"/>
              <w:rPr>
                <w:rFonts w:eastAsia="Times New Roman" w:cs="Calibri"/>
                <w:noProof/>
              </w:rPr>
            </w:pPr>
            <w:r>
              <w:rPr>
                <w:noProof/>
              </w:rPr>
              <w:t>TD-C19-i07</w:t>
            </w:r>
          </w:p>
        </w:tc>
        <w:tc>
          <w:tcPr>
            <w:tcW w:w="1080" w:type="dxa"/>
            <w:shd w:val="clear" w:color="auto" w:fill="C4EFCE"/>
            <w:noWrap/>
            <w:vAlign w:val="center"/>
            <w:hideMark/>
          </w:tcPr>
          <w:p w14:paraId="30E5AB63" w14:textId="77777777" w:rsidR="00154AD2" w:rsidRDefault="007F6BF3">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75ECCEF3" w14:textId="77777777" w:rsidR="00154AD2" w:rsidRDefault="007F6BF3">
            <w:pPr>
              <w:pStyle w:val="P68B1DB1-Normal8"/>
              <w:spacing w:after="0" w:line="240" w:lineRule="auto"/>
              <w:jc w:val="center"/>
              <w:rPr>
                <w:rFonts w:eastAsia="Times New Roman" w:cs="Calibri"/>
                <w:noProof/>
              </w:rPr>
            </w:pPr>
            <w:r>
              <w:rPr>
                <w:noProof/>
              </w:rPr>
              <w:t xml:space="preserve">Υπάλληλοι του δημόσιου τομέα στην τηλεργασία </w:t>
            </w:r>
          </w:p>
        </w:tc>
        <w:tc>
          <w:tcPr>
            <w:tcW w:w="1343" w:type="dxa"/>
            <w:shd w:val="clear" w:color="auto" w:fill="C4EFCE"/>
            <w:noWrap/>
            <w:vAlign w:val="center"/>
            <w:hideMark/>
          </w:tcPr>
          <w:p w14:paraId="18CC4640" w14:textId="77777777" w:rsidR="00154AD2" w:rsidRDefault="007F6BF3">
            <w:pPr>
              <w:pStyle w:val="P68B1DB1-Normal8"/>
              <w:spacing w:after="0" w:line="240" w:lineRule="auto"/>
              <w:jc w:val="center"/>
              <w:rPr>
                <w:rFonts w:eastAsia="Times New Roman" w:cs="Calibri"/>
                <w:noProof/>
              </w:rPr>
            </w:pPr>
            <w:r>
              <w:rPr>
                <w:noProof/>
              </w:rPr>
              <w:t> </w:t>
            </w:r>
          </w:p>
        </w:tc>
        <w:tc>
          <w:tcPr>
            <w:tcW w:w="1134" w:type="dxa"/>
            <w:shd w:val="clear" w:color="auto" w:fill="C4EFCE"/>
            <w:noWrap/>
            <w:vAlign w:val="center"/>
            <w:hideMark/>
          </w:tcPr>
          <w:p w14:paraId="6FAFD665" w14:textId="77777777" w:rsidR="00154AD2" w:rsidRDefault="007F6BF3">
            <w:pPr>
              <w:pStyle w:val="P68B1DB1-Normal8"/>
              <w:spacing w:after="0" w:line="240" w:lineRule="auto"/>
              <w:jc w:val="center"/>
              <w:rPr>
                <w:rFonts w:eastAsia="Times New Roman" w:cs="Calibri"/>
                <w:noProof/>
              </w:rPr>
            </w:pPr>
            <w:r>
              <w:rPr>
                <w:noProof/>
              </w:rPr>
              <w:t>%</w:t>
            </w:r>
          </w:p>
        </w:tc>
        <w:tc>
          <w:tcPr>
            <w:tcW w:w="947" w:type="dxa"/>
            <w:shd w:val="clear" w:color="auto" w:fill="C4EFCE"/>
            <w:noWrap/>
            <w:vAlign w:val="center"/>
            <w:hideMark/>
          </w:tcPr>
          <w:p w14:paraId="47C0D607" w14:textId="77777777" w:rsidR="00154AD2" w:rsidRDefault="007F6BF3">
            <w:pPr>
              <w:pStyle w:val="P68B1DB1-Normal8"/>
              <w:spacing w:after="0" w:line="240" w:lineRule="auto"/>
              <w:jc w:val="center"/>
              <w:rPr>
                <w:rFonts w:eastAsia="Times New Roman" w:cs="Calibri"/>
                <w:noProof/>
              </w:rPr>
            </w:pPr>
            <w:r>
              <w:rPr>
                <w:noProof/>
              </w:rPr>
              <w:t>0</w:t>
            </w:r>
          </w:p>
        </w:tc>
        <w:tc>
          <w:tcPr>
            <w:tcW w:w="682" w:type="dxa"/>
            <w:shd w:val="clear" w:color="auto" w:fill="C4EFCE"/>
            <w:noWrap/>
            <w:vAlign w:val="center"/>
            <w:hideMark/>
          </w:tcPr>
          <w:p w14:paraId="4BDFB5C4" w14:textId="77777777" w:rsidR="00154AD2" w:rsidRDefault="007F6BF3">
            <w:pPr>
              <w:pStyle w:val="P68B1DB1-Normal8"/>
              <w:spacing w:after="0" w:line="240" w:lineRule="auto"/>
              <w:jc w:val="center"/>
              <w:rPr>
                <w:rFonts w:eastAsia="Times New Roman" w:cs="Calibri"/>
                <w:noProof/>
              </w:rPr>
            </w:pPr>
            <w:r>
              <w:rPr>
                <w:noProof/>
              </w:rPr>
              <w:t>25</w:t>
            </w:r>
          </w:p>
        </w:tc>
        <w:tc>
          <w:tcPr>
            <w:tcW w:w="550" w:type="dxa"/>
            <w:shd w:val="clear" w:color="auto" w:fill="C4EFCE"/>
            <w:noWrap/>
            <w:vAlign w:val="center"/>
            <w:hideMark/>
          </w:tcPr>
          <w:p w14:paraId="604CF745"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82" w:type="dxa"/>
            <w:shd w:val="clear" w:color="auto" w:fill="C4EFCE"/>
            <w:noWrap/>
            <w:vAlign w:val="center"/>
            <w:hideMark/>
          </w:tcPr>
          <w:p w14:paraId="03B6EE75" w14:textId="77777777" w:rsidR="00154AD2" w:rsidRDefault="007F6BF3">
            <w:pPr>
              <w:pStyle w:val="P68B1DB1-Normal8"/>
              <w:spacing w:after="0" w:line="240" w:lineRule="auto"/>
              <w:jc w:val="center"/>
              <w:rPr>
                <w:rFonts w:eastAsia="Times New Roman" w:cs="Calibri"/>
                <w:noProof/>
              </w:rPr>
            </w:pPr>
            <w:r>
              <w:rPr>
                <w:noProof/>
              </w:rPr>
              <w:t>2023</w:t>
            </w:r>
          </w:p>
        </w:tc>
        <w:tc>
          <w:tcPr>
            <w:tcW w:w="4458" w:type="dxa"/>
            <w:shd w:val="clear" w:color="auto" w:fill="C4EFCE"/>
            <w:vAlign w:val="center"/>
            <w:hideMark/>
          </w:tcPr>
          <w:p w14:paraId="1BE6B08F" w14:textId="77777777" w:rsidR="00154AD2" w:rsidRDefault="007F6BF3">
            <w:pPr>
              <w:pStyle w:val="P68B1DB1-Normal8"/>
              <w:spacing w:after="0" w:line="240" w:lineRule="auto"/>
              <w:jc w:val="both"/>
              <w:rPr>
                <w:rFonts w:eastAsia="Times New Roman" w:cs="Calibri"/>
                <w:noProof/>
              </w:rPr>
            </w:pPr>
            <w:r>
              <w:rPr>
                <w:noProof/>
              </w:rPr>
              <w:t>Ποσοστό εργαζομένων με λειτουργίες συμβατές με τηλεργασία που εργάζονται αποτελεσματικά στην τηλεργασία</w:t>
            </w:r>
          </w:p>
        </w:tc>
      </w:tr>
      <w:tr w:rsidR="00154AD2" w14:paraId="257C5019" w14:textId="77777777">
        <w:trPr>
          <w:trHeight w:val="290"/>
        </w:trPr>
        <w:tc>
          <w:tcPr>
            <w:tcW w:w="1082" w:type="dxa"/>
            <w:shd w:val="clear" w:color="auto" w:fill="C4EFCE"/>
            <w:vAlign w:val="center"/>
            <w:hideMark/>
          </w:tcPr>
          <w:p w14:paraId="1167BE07" w14:textId="77777777" w:rsidR="00154AD2" w:rsidRDefault="007F6BF3">
            <w:pPr>
              <w:pStyle w:val="P68B1DB1-Normal7"/>
              <w:spacing w:after="0" w:line="240" w:lineRule="auto"/>
              <w:jc w:val="center"/>
              <w:rPr>
                <w:rFonts w:eastAsia="Times New Roman" w:cs="Calibri"/>
                <w:noProof/>
              </w:rPr>
            </w:pPr>
            <w:r>
              <w:rPr>
                <w:noProof/>
              </w:rPr>
              <w:t>19.21</w:t>
            </w:r>
          </w:p>
        </w:tc>
        <w:tc>
          <w:tcPr>
            <w:tcW w:w="1211" w:type="dxa"/>
            <w:shd w:val="clear" w:color="auto" w:fill="C4EFCE"/>
            <w:noWrap/>
            <w:vAlign w:val="center"/>
            <w:hideMark/>
          </w:tcPr>
          <w:p w14:paraId="53F1D9CD" w14:textId="77777777" w:rsidR="00154AD2" w:rsidRDefault="007F6BF3">
            <w:pPr>
              <w:pStyle w:val="P68B1DB1-Normal8"/>
              <w:spacing w:after="0" w:line="240" w:lineRule="auto"/>
              <w:jc w:val="center"/>
              <w:rPr>
                <w:rFonts w:eastAsia="Times New Roman" w:cs="Calibri"/>
                <w:noProof/>
              </w:rPr>
            </w:pPr>
            <w:r>
              <w:rPr>
                <w:noProof/>
              </w:rPr>
              <w:t>TD-C19-i07</w:t>
            </w:r>
          </w:p>
        </w:tc>
        <w:tc>
          <w:tcPr>
            <w:tcW w:w="1080" w:type="dxa"/>
            <w:shd w:val="clear" w:color="auto" w:fill="C4EFCE"/>
            <w:noWrap/>
            <w:vAlign w:val="center"/>
            <w:hideMark/>
          </w:tcPr>
          <w:p w14:paraId="003D5D5A" w14:textId="77777777" w:rsidR="00154AD2" w:rsidRDefault="007F6BF3">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4D32EAEF" w14:textId="77777777" w:rsidR="00154AD2" w:rsidRDefault="007F6BF3">
            <w:pPr>
              <w:pStyle w:val="P68B1DB1-Normal8"/>
              <w:spacing w:after="0" w:line="240" w:lineRule="auto"/>
              <w:jc w:val="center"/>
              <w:rPr>
                <w:rFonts w:eastAsia="Times New Roman" w:cs="Calibri"/>
                <w:noProof/>
              </w:rPr>
            </w:pPr>
            <w:r>
              <w:rPr>
                <w:noProof/>
              </w:rPr>
              <w:t>Κατάρτιση των υπαλλήλων της δημόσιας διοίκησης</w:t>
            </w:r>
          </w:p>
        </w:tc>
        <w:tc>
          <w:tcPr>
            <w:tcW w:w="1343" w:type="dxa"/>
            <w:shd w:val="clear" w:color="auto" w:fill="C4EFCE"/>
            <w:noWrap/>
            <w:vAlign w:val="center"/>
            <w:hideMark/>
          </w:tcPr>
          <w:p w14:paraId="356BB73B" w14:textId="77777777" w:rsidR="00154AD2" w:rsidRDefault="007F6BF3">
            <w:pPr>
              <w:pStyle w:val="P68B1DB1-Normal8"/>
              <w:spacing w:after="0" w:line="240" w:lineRule="auto"/>
              <w:jc w:val="center"/>
              <w:rPr>
                <w:rFonts w:eastAsia="Times New Roman" w:cs="Calibri"/>
                <w:noProof/>
              </w:rPr>
            </w:pPr>
            <w:r>
              <w:rPr>
                <w:noProof/>
              </w:rPr>
              <w:t> </w:t>
            </w:r>
          </w:p>
        </w:tc>
        <w:tc>
          <w:tcPr>
            <w:tcW w:w="1134" w:type="dxa"/>
            <w:shd w:val="clear" w:color="auto" w:fill="C4EFCE"/>
            <w:noWrap/>
            <w:vAlign w:val="center"/>
            <w:hideMark/>
          </w:tcPr>
          <w:p w14:paraId="00612396"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47" w:type="dxa"/>
            <w:shd w:val="clear" w:color="auto" w:fill="C4EFCE"/>
            <w:noWrap/>
            <w:vAlign w:val="center"/>
            <w:hideMark/>
          </w:tcPr>
          <w:p w14:paraId="299EDA1B" w14:textId="77777777" w:rsidR="00154AD2" w:rsidRDefault="007F6BF3">
            <w:pPr>
              <w:pStyle w:val="P68B1DB1-Normal8"/>
              <w:spacing w:after="0" w:line="240" w:lineRule="auto"/>
              <w:jc w:val="center"/>
              <w:rPr>
                <w:rFonts w:eastAsia="Times New Roman" w:cs="Calibri"/>
                <w:noProof/>
              </w:rPr>
            </w:pPr>
            <w:r>
              <w:rPr>
                <w:noProof/>
              </w:rPr>
              <w:t>0</w:t>
            </w:r>
          </w:p>
        </w:tc>
        <w:tc>
          <w:tcPr>
            <w:tcW w:w="682" w:type="dxa"/>
            <w:shd w:val="clear" w:color="auto" w:fill="C4EFCE"/>
            <w:noWrap/>
            <w:vAlign w:val="center"/>
            <w:hideMark/>
          </w:tcPr>
          <w:p w14:paraId="4E220285" w14:textId="3C6BE53E" w:rsidR="00154AD2" w:rsidRDefault="007F6BF3">
            <w:pPr>
              <w:pStyle w:val="P68B1DB1-Normal8"/>
              <w:spacing w:after="0" w:line="240" w:lineRule="auto"/>
              <w:jc w:val="center"/>
              <w:rPr>
                <w:rFonts w:eastAsia="Times New Roman" w:cs="Calibri"/>
                <w:noProof/>
              </w:rPr>
            </w:pPr>
            <w:r>
              <w:rPr>
                <w:noProof/>
              </w:rPr>
              <w:t>96 400</w:t>
            </w:r>
          </w:p>
        </w:tc>
        <w:tc>
          <w:tcPr>
            <w:tcW w:w="550" w:type="dxa"/>
            <w:shd w:val="clear" w:color="auto" w:fill="C4EFCE"/>
            <w:noWrap/>
            <w:vAlign w:val="center"/>
            <w:hideMark/>
          </w:tcPr>
          <w:p w14:paraId="09C77FD6" w14:textId="77777777" w:rsidR="00154AD2" w:rsidRDefault="007F6BF3">
            <w:pPr>
              <w:pStyle w:val="P68B1DB1-Normal8"/>
              <w:spacing w:after="0" w:line="240" w:lineRule="auto"/>
              <w:jc w:val="center"/>
              <w:rPr>
                <w:rFonts w:eastAsia="Times New Roman" w:cs="Calibri"/>
                <w:noProof/>
              </w:rPr>
            </w:pPr>
            <w:r>
              <w:rPr>
                <w:noProof/>
              </w:rPr>
              <w:t>ΤΡΊΜΗΝΟ 1</w:t>
            </w:r>
          </w:p>
        </w:tc>
        <w:tc>
          <w:tcPr>
            <w:tcW w:w="682" w:type="dxa"/>
            <w:shd w:val="clear" w:color="auto" w:fill="C4EFCE"/>
            <w:noWrap/>
            <w:vAlign w:val="center"/>
            <w:hideMark/>
          </w:tcPr>
          <w:p w14:paraId="457FEE36" w14:textId="77777777" w:rsidR="00154AD2" w:rsidRDefault="007F6BF3">
            <w:pPr>
              <w:pStyle w:val="P68B1DB1-Normal8"/>
              <w:spacing w:after="0" w:line="240" w:lineRule="auto"/>
              <w:jc w:val="center"/>
              <w:rPr>
                <w:rFonts w:eastAsia="Times New Roman" w:cs="Calibri"/>
                <w:noProof/>
              </w:rPr>
            </w:pPr>
            <w:r>
              <w:rPr>
                <w:noProof/>
              </w:rPr>
              <w:t>2026</w:t>
            </w:r>
          </w:p>
        </w:tc>
        <w:tc>
          <w:tcPr>
            <w:tcW w:w="4458" w:type="dxa"/>
            <w:shd w:val="clear" w:color="auto" w:fill="C4EFCE"/>
            <w:vAlign w:val="center"/>
            <w:hideMark/>
          </w:tcPr>
          <w:p w14:paraId="5E2A4ED8" w14:textId="77777777" w:rsidR="00154AD2" w:rsidRDefault="007F6BF3">
            <w:pPr>
              <w:pStyle w:val="P68B1DB1-Normal8"/>
              <w:spacing w:after="0" w:line="240" w:lineRule="auto"/>
              <w:jc w:val="both"/>
              <w:rPr>
                <w:rFonts w:eastAsia="Times New Roman" w:cs="Calibri"/>
                <w:noProof/>
              </w:rPr>
            </w:pPr>
            <w:r>
              <w:rPr>
                <w:noProof/>
              </w:rPr>
              <w:t>Αριθμός συμμετεχόντων σε κατάρτιση στα ακόλουθα προγράμματα ανάπτυξης ικανοτήτων:</w:t>
            </w:r>
          </w:p>
          <w:p w14:paraId="3545F647" w14:textId="77777777" w:rsidR="00154AD2" w:rsidRDefault="007F6BF3">
            <w:pPr>
              <w:pStyle w:val="P68B1DB1-Normal8"/>
              <w:spacing w:after="0" w:line="240" w:lineRule="auto"/>
              <w:jc w:val="both"/>
              <w:rPr>
                <w:rFonts w:eastAsia="Times New Roman" w:cs="Calibri"/>
                <w:noProof/>
              </w:rPr>
            </w:pPr>
            <w:r>
              <w:rPr>
                <w:i/>
                <w:noProof/>
              </w:rPr>
              <w:t>Programa de capacitação digital</w:t>
            </w:r>
            <w:r>
              <w:rPr>
                <w:noProof/>
              </w:rPr>
              <w:t xml:space="preserve"> </w:t>
            </w:r>
          </w:p>
          <w:p w14:paraId="4161D919" w14:textId="77777777" w:rsidR="00154AD2" w:rsidRDefault="007F6BF3">
            <w:pPr>
              <w:pStyle w:val="P68B1DB1-Normal8"/>
              <w:spacing w:after="0" w:line="240" w:lineRule="auto"/>
              <w:jc w:val="both"/>
              <w:rPr>
                <w:rFonts w:eastAsia="Times New Roman" w:cs="Calibri"/>
                <w:noProof/>
              </w:rPr>
            </w:pPr>
            <w:r>
              <w:rPr>
                <w:noProof/>
              </w:rPr>
              <w:t xml:space="preserve">Προηγμένη και τριτοβάθμια εκπαίδευση στη διοίκηση </w:t>
            </w:r>
          </w:p>
          <w:p w14:paraId="6D3A99C1" w14:textId="77777777" w:rsidR="00154AD2" w:rsidRDefault="007F6BF3">
            <w:pPr>
              <w:pStyle w:val="P68B1DB1-Normal8"/>
              <w:spacing w:after="0" w:line="240" w:lineRule="auto"/>
              <w:jc w:val="both"/>
              <w:rPr>
                <w:rFonts w:eastAsia="Times New Roman" w:cs="Calibri"/>
                <w:i/>
                <w:noProof/>
              </w:rPr>
            </w:pPr>
            <w:r>
              <w:rPr>
                <w:noProof/>
              </w:rPr>
              <w:t xml:space="preserve">Εκπαίδευση για το </w:t>
            </w:r>
            <w:r>
              <w:rPr>
                <w:i/>
                <w:noProof/>
              </w:rPr>
              <w:t xml:space="preserve">Lojas do Cidadão/Espaços Cidadão </w:t>
            </w:r>
          </w:p>
          <w:p w14:paraId="0F98079D" w14:textId="77777777" w:rsidR="00154AD2" w:rsidRDefault="007F6BF3">
            <w:pPr>
              <w:pStyle w:val="P68B1DB1-Normal8"/>
              <w:spacing w:after="0" w:line="240" w:lineRule="auto"/>
              <w:jc w:val="both"/>
              <w:rPr>
                <w:rFonts w:eastAsia="Times New Roman" w:cs="Calibri"/>
                <w:noProof/>
              </w:rPr>
            </w:pPr>
            <w:r>
              <w:rPr>
                <w:noProof/>
              </w:rPr>
              <w:t>Πρόγραμμα «</w:t>
            </w:r>
            <w:r>
              <w:rPr>
                <w:i/>
                <w:noProof/>
              </w:rPr>
              <w:t>Qualifica AP</w:t>
            </w:r>
            <w:r>
              <w:rPr>
                <w:noProof/>
              </w:rPr>
              <w:t xml:space="preserve">» </w:t>
            </w:r>
          </w:p>
          <w:p w14:paraId="6471EAAE" w14:textId="77777777" w:rsidR="00154AD2" w:rsidRDefault="007F6BF3">
            <w:pPr>
              <w:pStyle w:val="P68B1DB1-Normal8"/>
              <w:spacing w:after="0" w:line="240" w:lineRule="auto"/>
              <w:jc w:val="both"/>
              <w:rPr>
                <w:rFonts w:eastAsia="Times New Roman" w:cs="Calibri"/>
                <w:noProof/>
              </w:rPr>
            </w:pPr>
            <w:r>
              <w:rPr>
                <w:noProof/>
              </w:rPr>
              <w:t>PlanAPP — σχέδιο δεξιοτήτων σχεδιασμού και πρόβλεψης</w:t>
            </w:r>
          </w:p>
          <w:p w14:paraId="57E273AB" w14:textId="2AC231AE" w:rsidR="00154AD2" w:rsidRDefault="007F6BF3">
            <w:pPr>
              <w:pStyle w:val="P68B1DB1-Normal8"/>
              <w:spacing w:after="0" w:line="240" w:lineRule="auto"/>
              <w:jc w:val="both"/>
              <w:rPr>
                <w:rFonts w:eastAsia="Times New Roman" w:cs="Calibri"/>
                <w:noProof/>
              </w:rPr>
            </w:pPr>
            <w:r>
              <w:rPr>
                <w:noProof/>
              </w:rPr>
              <w:t>SIADAP</w:t>
            </w:r>
          </w:p>
        </w:tc>
      </w:tr>
      <w:tr w:rsidR="00154AD2" w14:paraId="7FBC13AB" w14:textId="77777777">
        <w:trPr>
          <w:trHeight w:val="290"/>
        </w:trPr>
        <w:tc>
          <w:tcPr>
            <w:tcW w:w="1082" w:type="dxa"/>
            <w:shd w:val="clear" w:color="auto" w:fill="C4EFCE"/>
            <w:vAlign w:val="center"/>
          </w:tcPr>
          <w:p w14:paraId="58D022BD" w14:textId="64345F0E" w:rsidR="00154AD2" w:rsidRDefault="007F6BF3">
            <w:pPr>
              <w:pStyle w:val="P68B1DB1-Normal7"/>
              <w:spacing w:after="0" w:line="240" w:lineRule="auto"/>
              <w:jc w:val="center"/>
              <w:rPr>
                <w:rFonts w:eastAsia="Times New Roman" w:cs="Calibri"/>
                <w:noProof/>
              </w:rPr>
            </w:pPr>
            <w:r>
              <w:rPr>
                <w:noProof/>
              </w:rPr>
              <w:t>19.22</w:t>
            </w:r>
          </w:p>
        </w:tc>
        <w:tc>
          <w:tcPr>
            <w:tcW w:w="1211" w:type="dxa"/>
            <w:shd w:val="clear" w:color="auto" w:fill="C4EFCE"/>
            <w:noWrap/>
            <w:vAlign w:val="center"/>
          </w:tcPr>
          <w:p w14:paraId="43D1A15C" w14:textId="13068CEA" w:rsidR="00154AD2" w:rsidRDefault="007F6BF3">
            <w:pPr>
              <w:pStyle w:val="P68B1DB1-Normal8"/>
              <w:spacing w:after="0" w:line="240" w:lineRule="auto"/>
              <w:jc w:val="center"/>
              <w:rPr>
                <w:rFonts w:eastAsia="Times New Roman" w:cs="Calibri"/>
                <w:noProof/>
              </w:rPr>
            </w:pPr>
            <w:r>
              <w:rPr>
                <w:noProof/>
              </w:rPr>
              <w:t>TD-C19-r34</w:t>
            </w:r>
          </w:p>
        </w:tc>
        <w:tc>
          <w:tcPr>
            <w:tcW w:w="1080" w:type="dxa"/>
            <w:shd w:val="clear" w:color="auto" w:fill="C4EFCE"/>
            <w:noWrap/>
            <w:vAlign w:val="center"/>
          </w:tcPr>
          <w:p w14:paraId="5C282FC5" w14:textId="21349B74" w:rsidR="00154AD2" w:rsidRDefault="007F6BF3">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tcPr>
          <w:p w14:paraId="0CBD813F" w14:textId="660102B3" w:rsidR="00154AD2" w:rsidRDefault="007F6BF3">
            <w:pPr>
              <w:pStyle w:val="P68B1DB1-Normal8"/>
              <w:spacing w:after="0" w:line="240" w:lineRule="auto"/>
              <w:jc w:val="center"/>
              <w:rPr>
                <w:rFonts w:eastAsia="Times New Roman" w:cs="Calibri"/>
                <w:noProof/>
              </w:rPr>
            </w:pPr>
            <w:r>
              <w:rPr>
                <w:noProof/>
              </w:rPr>
              <w:t>Έναρξη ισχύος του νομικού πλαισίου για τον ψηφιακό μετασχηματισμό της δημόσιας διοίκησης</w:t>
            </w:r>
          </w:p>
        </w:tc>
        <w:tc>
          <w:tcPr>
            <w:tcW w:w="1343" w:type="dxa"/>
            <w:shd w:val="clear" w:color="auto" w:fill="C4EFCE"/>
            <w:noWrap/>
            <w:vAlign w:val="center"/>
          </w:tcPr>
          <w:p w14:paraId="5D13F7D8" w14:textId="7CE7177C" w:rsidR="00154AD2" w:rsidRDefault="007F6BF3">
            <w:pPr>
              <w:pStyle w:val="P68B1DB1-Normal8"/>
              <w:spacing w:after="0" w:line="240" w:lineRule="auto"/>
              <w:jc w:val="center"/>
              <w:rPr>
                <w:rFonts w:eastAsia="Times New Roman" w:cs="Calibri"/>
                <w:noProof/>
              </w:rPr>
            </w:pPr>
            <w:r>
              <w:rPr>
                <w:noProof/>
              </w:rPr>
              <w:t>Έναρξη ισχύος του νομικού πλαισίου για τον ψηφιακό μετασχηματισμό της δημόσιας διοίκησης</w:t>
            </w:r>
          </w:p>
        </w:tc>
        <w:tc>
          <w:tcPr>
            <w:tcW w:w="1134" w:type="dxa"/>
            <w:shd w:val="clear" w:color="auto" w:fill="C4EFCE"/>
            <w:noWrap/>
            <w:vAlign w:val="center"/>
          </w:tcPr>
          <w:p w14:paraId="62180EE1" w14:textId="77777777" w:rsidR="00154AD2" w:rsidRDefault="00154AD2">
            <w:pPr>
              <w:spacing w:after="0" w:line="240" w:lineRule="auto"/>
              <w:jc w:val="center"/>
              <w:rPr>
                <w:rFonts w:ascii="Calibri" w:eastAsia="Times New Roman" w:hAnsi="Calibri" w:cs="Calibri"/>
                <w:noProof/>
                <w:sz w:val="16"/>
              </w:rPr>
            </w:pPr>
          </w:p>
        </w:tc>
        <w:tc>
          <w:tcPr>
            <w:tcW w:w="947" w:type="dxa"/>
            <w:shd w:val="clear" w:color="auto" w:fill="C4EFCE"/>
            <w:noWrap/>
            <w:vAlign w:val="center"/>
          </w:tcPr>
          <w:p w14:paraId="4FFFBFC7" w14:textId="77777777" w:rsidR="00154AD2" w:rsidRDefault="00154AD2">
            <w:pPr>
              <w:spacing w:after="0" w:line="240" w:lineRule="auto"/>
              <w:jc w:val="center"/>
              <w:rPr>
                <w:rFonts w:ascii="Calibri" w:eastAsia="Times New Roman" w:hAnsi="Calibri" w:cs="Calibri"/>
                <w:noProof/>
                <w:sz w:val="16"/>
              </w:rPr>
            </w:pPr>
          </w:p>
        </w:tc>
        <w:tc>
          <w:tcPr>
            <w:tcW w:w="682" w:type="dxa"/>
            <w:shd w:val="clear" w:color="auto" w:fill="C4EFCE"/>
            <w:noWrap/>
            <w:vAlign w:val="center"/>
          </w:tcPr>
          <w:p w14:paraId="216D20AB" w14:textId="77777777" w:rsidR="00154AD2" w:rsidRDefault="00154AD2">
            <w:pPr>
              <w:spacing w:after="0" w:line="240" w:lineRule="auto"/>
              <w:jc w:val="center"/>
              <w:rPr>
                <w:rFonts w:ascii="Calibri" w:eastAsia="Times New Roman" w:hAnsi="Calibri" w:cs="Calibri"/>
                <w:noProof/>
                <w:sz w:val="16"/>
                <w:highlight w:val="yellow"/>
              </w:rPr>
            </w:pPr>
          </w:p>
        </w:tc>
        <w:tc>
          <w:tcPr>
            <w:tcW w:w="550" w:type="dxa"/>
            <w:shd w:val="clear" w:color="auto" w:fill="C4EFCE"/>
            <w:noWrap/>
            <w:vAlign w:val="center"/>
          </w:tcPr>
          <w:p w14:paraId="728AFEC2" w14:textId="63AE4ED8" w:rsidR="00154AD2" w:rsidRDefault="007F6BF3">
            <w:pPr>
              <w:pStyle w:val="P68B1DB1-Normal8"/>
              <w:spacing w:after="0" w:line="240" w:lineRule="auto"/>
              <w:jc w:val="center"/>
              <w:rPr>
                <w:rFonts w:eastAsia="Times New Roman" w:cs="Calibri"/>
                <w:noProof/>
              </w:rPr>
            </w:pPr>
            <w:r>
              <w:rPr>
                <w:noProof/>
              </w:rPr>
              <w:t>ΤΡΊΜΗΝΟ 3</w:t>
            </w:r>
          </w:p>
        </w:tc>
        <w:tc>
          <w:tcPr>
            <w:tcW w:w="682" w:type="dxa"/>
            <w:shd w:val="clear" w:color="auto" w:fill="C4EFCE"/>
            <w:noWrap/>
            <w:vAlign w:val="center"/>
          </w:tcPr>
          <w:p w14:paraId="595C52FC" w14:textId="2C811559" w:rsidR="00154AD2" w:rsidRDefault="007F6BF3">
            <w:pPr>
              <w:pStyle w:val="P68B1DB1-Normal8"/>
              <w:spacing w:after="0" w:line="240" w:lineRule="auto"/>
              <w:jc w:val="center"/>
              <w:rPr>
                <w:rFonts w:eastAsia="Times New Roman" w:cs="Calibri"/>
                <w:noProof/>
              </w:rPr>
            </w:pPr>
            <w:r>
              <w:rPr>
                <w:noProof/>
              </w:rPr>
              <w:t>2021</w:t>
            </w:r>
          </w:p>
        </w:tc>
        <w:tc>
          <w:tcPr>
            <w:tcW w:w="4458" w:type="dxa"/>
            <w:shd w:val="clear" w:color="auto" w:fill="C4EFCE"/>
            <w:vAlign w:val="center"/>
          </w:tcPr>
          <w:p w14:paraId="1CD11544" w14:textId="77777777" w:rsidR="00154AD2" w:rsidRDefault="007F6BF3">
            <w:pPr>
              <w:pStyle w:val="P68B1DB1-Normal8"/>
              <w:spacing w:after="0" w:line="240" w:lineRule="auto"/>
              <w:jc w:val="both"/>
              <w:rPr>
                <w:rFonts w:eastAsia="Times New Roman" w:cs="Calibri"/>
                <w:noProof/>
              </w:rPr>
            </w:pPr>
            <w:r>
              <w:rPr>
                <w:noProof/>
              </w:rPr>
              <w:t xml:space="preserve">Έναρξη ισχύος του νομικού πλαισίου για τον ψηφιακό μετασχηματισμό της δημόσιας διοίκησης: </w:t>
            </w:r>
          </w:p>
          <w:p w14:paraId="42F64203" w14:textId="77777777" w:rsidR="00154AD2" w:rsidRDefault="007F6BF3">
            <w:pPr>
              <w:pStyle w:val="P68B1DB1-Normal8"/>
              <w:spacing w:after="0" w:line="240" w:lineRule="auto"/>
              <w:jc w:val="both"/>
              <w:rPr>
                <w:rFonts w:eastAsia="Times New Roman" w:cs="Calibri"/>
                <w:noProof/>
              </w:rPr>
            </w:pPr>
            <w:r>
              <w:rPr>
                <w:noProof/>
              </w:rPr>
              <w:t xml:space="preserve">I) Η στρατηγική και το εγκάρσιο σχέδιο δράσης για τον ψηφιακό μετασχηματισμό της δημόσιας διοίκησης και </w:t>
            </w:r>
          </w:p>
          <w:p w14:paraId="45E866C9" w14:textId="2B06E7C5" w:rsidR="00154AD2" w:rsidRDefault="007F6BF3">
            <w:pPr>
              <w:pStyle w:val="P68B1DB1-Normal8"/>
              <w:spacing w:after="0" w:line="240" w:lineRule="auto"/>
              <w:jc w:val="both"/>
              <w:rPr>
                <w:rFonts w:eastAsia="Times New Roman" w:cs="Calibri"/>
                <w:noProof/>
              </w:rPr>
            </w:pPr>
            <w:r>
              <w:rPr>
                <w:noProof/>
              </w:rPr>
              <w:t xml:space="preserve">II) Η νομοθετική δέσμη (συμπεριλαμβανομένου του κανονισμού για τη CNCS) σχετικά με το εθνικό πλαίσιο κυβερνοασφάλειας, με βάση τον νόμο 46/2018  </w:t>
            </w:r>
          </w:p>
        </w:tc>
      </w:tr>
      <w:tr w:rsidR="00154AD2" w14:paraId="6ACE826A" w14:textId="77777777">
        <w:trPr>
          <w:trHeight w:val="640"/>
        </w:trPr>
        <w:tc>
          <w:tcPr>
            <w:tcW w:w="1082" w:type="dxa"/>
            <w:shd w:val="clear" w:color="auto" w:fill="C4EFCE"/>
            <w:vAlign w:val="center"/>
            <w:hideMark/>
          </w:tcPr>
          <w:p w14:paraId="5C1ED785" w14:textId="77777777" w:rsidR="00154AD2" w:rsidRDefault="007F6BF3">
            <w:pPr>
              <w:pStyle w:val="P68B1DB1-Normal7"/>
              <w:spacing w:after="0" w:line="240" w:lineRule="auto"/>
              <w:jc w:val="center"/>
              <w:rPr>
                <w:rFonts w:eastAsia="Times New Roman" w:cs="Calibri"/>
                <w:noProof/>
              </w:rPr>
            </w:pPr>
            <w:r>
              <w:rPr>
                <w:noProof/>
              </w:rPr>
              <w:t>19.23</w:t>
            </w:r>
          </w:p>
        </w:tc>
        <w:tc>
          <w:tcPr>
            <w:tcW w:w="1211" w:type="dxa"/>
            <w:shd w:val="clear" w:color="auto" w:fill="C4EFCE"/>
            <w:noWrap/>
            <w:vAlign w:val="center"/>
            <w:hideMark/>
          </w:tcPr>
          <w:p w14:paraId="263EFDAF" w14:textId="77777777" w:rsidR="00154AD2" w:rsidRDefault="007F6BF3">
            <w:pPr>
              <w:pStyle w:val="P68B1DB1-Normal8"/>
              <w:spacing w:after="0" w:line="240" w:lineRule="auto"/>
              <w:jc w:val="center"/>
              <w:rPr>
                <w:rFonts w:eastAsia="Times New Roman" w:cs="Calibri"/>
                <w:noProof/>
              </w:rPr>
            </w:pPr>
            <w:r>
              <w:rPr>
                <w:noProof/>
              </w:rPr>
              <w:t>TD-C19-r35</w:t>
            </w:r>
          </w:p>
        </w:tc>
        <w:tc>
          <w:tcPr>
            <w:tcW w:w="1080" w:type="dxa"/>
            <w:shd w:val="clear" w:color="auto" w:fill="C4EFCE"/>
            <w:noWrap/>
            <w:vAlign w:val="center"/>
            <w:hideMark/>
          </w:tcPr>
          <w:p w14:paraId="5996D96C" w14:textId="77777777" w:rsidR="00154AD2" w:rsidRDefault="007F6BF3">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hideMark/>
          </w:tcPr>
          <w:p w14:paraId="0B1FDC94" w14:textId="77777777" w:rsidR="00154AD2" w:rsidRDefault="007F6BF3">
            <w:pPr>
              <w:pStyle w:val="P68B1DB1-Normal8"/>
              <w:spacing w:after="0" w:line="240" w:lineRule="auto"/>
              <w:jc w:val="center"/>
              <w:rPr>
                <w:rFonts w:eastAsia="Times New Roman" w:cs="Calibri"/>
                <w:noProof/>
              </w:rPr>
            </w:pPr>
            <w:r>
              <w:rPr>
                <w:noProof/>
              </w:rPr>
              <w:t>Έναρξη ισχύος της νομοθετικής δέσμης για την αναδιοργάνωση της δημόσιας διοίκησης</w:t>
            </w:r>
          </w:p>
        </w:tc>
        <w:tc>
          <w:tcPr>
            <w:tcW w:w="1343" w:type="dxa"/>
            <w:shd w:val="clear" w:color="auto" w:fill="C4EFCE"/>
            <w:noWrap/>
            <w:vAlign w:val="center"/>
            <w:hideMark/>
          </w:tcPr>
          <w:p w14:paraId="605DD329" w14:textId="77777777" w:rsidR="00154AD2" w:rsidRDefault="007F6BF3">
            <w:pPr>
              <w:pStyle w:val="P68B1DB1-Normal8"/>
              <w:spacing w:after="0" w:line="240" w:lineRule="auto"/>
              <w:jc w:val="center"/>
              <w:rPr>
                <w:rFonts w:eastAsia="Times New Roman" w:cs="Calibri"/>
                <w:noProof/>
              </w:rPr>
            </w:pPr>
            <w:r>
              <w:rPr>
                <w:noProof/>
              </w:rPr>
              <w:t>Έναρξη ισχύος της νομοθετικής δέσμης για την αναδιοργάνωση της δημόσιας διοίκησης</w:t>
            </w:r>
          </w:p>
        </w:tc>
        <w:tc>
          <w:tcPr>
            <w:tcW w:w="1134" w:type="dxa"/>
            <w:shd w:val="clear" w:color="auto" w:fill="C4EFCE"/>
            <w:noWrap/>
            <w:vAlign w:val="center"/>
            <w:hideMark/>
          </w:tcPr>
          <w:p w14:paraId="0A7AAAFB" w14:textId="77777777" w:rsidR="00154AD2" w:rsidRDefault="007F6BF3">
            <w:pPr>
              <w:pStyle w:val="P68B1DB1-Normal8"/>
              <w:spacing w:after="0" w:line="240" w:lineRule="auto"/>
              <w:jc w:val="center"/>
              <w:rPr>
                <w:rFonts w:eastAsia="Times New Roman" w:cs="Calibri"/>
                <w:noProof/>
              </w:rPr>
            </w:pPr>
            <w:r>
              <w:rPr>
                <w:noProof/>
              </w:rPr>
              <w:t> </w:t>
            </w:r>
          </w:p>
        </w:tc>
        <w:tc>
          <w:tcPr>
            <w:tcW w:w="947" w:type="dxa"/>
            <w:shd w:val="clear" w:color="auto" w:fill="C4EFCE"/>
            <w:noWrap/>
            <w:vAlign w:val="center"/>
            <w:hideMark/>
          </w:tcPr>
          <w:p w14:paraId="1EFE25EB" w14:textId="77777777" w:rsidR="00154AD2" w:rsidRDefault="007F6BF3">
            <w:pPr>
              <w:pStyle w:val="P68B1DB1-Normal8"/>
              <w:spacing w:after="0" w:line="240" w:lineRule="auto"/>
              <w:jc w:val="center"/>
              <w:rPr>
                <w:rFonts w:eastAsia="Times New Roman" w:cs="Calibri"/>
                <w:noProof/>
              </w:rPr>
            </w:pPr>
            <w:r>
              <w:rPr>
                <w:noProof/>
              </w:rPr>
              <w:t> </w:t>
            </w:r>
          </w:p>
        </w:tc>
        <w:tc>
          <w:tcPr>
            <w:tcW w:w="682" w:type="dxa"/>
            <w:shd w:val="clear" w:color="auto" w:fill="C4EFCE"/>
            <w:noWrap/>
            <w:vAlign w:val="center"/>
            <w:hideMark/>
          </w:tcPr>
          <w:p w14:paraId="17016DD5" w14:textId="77777777" w:rsidR="00154AD2" w:rsidRDefault="007F6BF3">
            <w:pPr>
              <w:pStyle w:val="P68B1DB1-Normal8"/>
              <w:spacing w:after="0" w:line="240" w:lineRule="auto"/>
              <w:jc w:val="center"/>
              <w:rPr>
                <w:rFonts w:eastAsia="Times New Roman" w:cs="Calibri"/>
                <w:noProof/>
              </w:rPr>
            </w:pPr>
            <w:r>
              <w:rPr>
                <w:noProof/>
              </w:rPr>
              <w:t> </w:t>
            </w:r>
          </w:p>
        </w:tc>
        <w:tc>
          <w:tcPr>
            <w:tcW w:w="550" w:type="dxa"/>
            <w:shd w:val="clear" w:color="auto" w:fill="C4EFCE"/>
            <w:noWrap/>
            <w:vAlign w:val="center"/>
            <w:hideMark/>
          </w:tcPr>
          <w:p w14:paraId="2CDF4678"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682" w:type="dxa"/>
            <w:shd w:val="clear" w:color="auto" w:fill="C4EFCE"/>
            <w:noWrap/>
            <w:vAlign w:val="center"/>
            <w:hideMark/>
          </w:tcPr>
          <w:p w14:paraId="0C9F2504" w14:textId="77777777" w:rsidR="00154AD2" w:rsidRDefault="007F6BF3">
            <w:pPr>
              <w:pStyle w:val="P68B1DB1-Normal8"/>
              <w:spacing w:after="0" w:line="240" w:lineRule="auto"/>
              <w:jc w:val="center"/>
              <w:rPr>
                <w:rFonts w:eastAsia="Times New Roman" w:cs="Calibri"/>
                <w:noProof/>
              </w:rPr>
            </w:pPr>
            <w:r>
              <w:rPr>
                <w:noProof/>
              </w:rPr>
              <w:t>2023</w:t>
            </w:r>
          </w:p>
        </w:tc>
        <w:tc>
          <w:tcPr>
            <w:tcW w:w="4458" w:type="dxa"/>
            <w:shd w:val="clear" w:color="auto" w:fill="C4EFCE"/>
            <w:vAlign w:val="center"/>
            <w:hideMark/>
          </w:tcPr>
          <w:p w14:paraId="505BBF80" w14:textId="77777777" w:rsidR="00154AD2" w:rsidRDefault="007F6BF3">
            <w:pPr>
              <w:pStyle w:val="P68B1DB1-Normal8"/>
              <w:spacing w:after="0" w:line="240" w:lineRule="auto"/>
              <w:jc w:val="both"/>
              <w:rPr>
                <w:rFonts w:eastAsia="Times New Roman" w:cs="Calibri"/>
                <w:noProof/>
              </w:rPr>
            </w:pPr>
            <w:r>
              <w:rPr>
                <w:noProof/>
              </w:rPr>
              <w:t xml:space="preserve">Έναρξη ισχύος της αναγκαίας νομοθεσίας για την εφαρμογή των λειτουργικών και οργανωτικών αλλαγών της κεντρικής δημόσιας διοίκησης με βάση την έκθεση της Estrutura </w:t>
            </w:r>
            <w:r>
              <w:rPr>
                <w:i/>
                <w:noProof/>
              </w:rPr>
              <w:t>de missão που</w:t>
            </w:r>
            <w:r>
              <w:rPr>
                <w:noProof/>
              </w:rPr>
              <w:t xml:space="preserve"> δημιουργήθηκε με ψήφισμα του Υπουργικού Συμβουλίου </w:t>
            </w:r>
          </w:p>
        </w:tc>
      </w:tr>
      <w:tr w:rsidR="00154AD2" w14:paraId="3BEC967D" w14:textId="77777777">
        <w:trPr>
          <w:trHeight w:val="430"/>
        </w:trPr>
        <w:tc>
          <w:tcPr>
            <w:tcW w:w="1082" w:type="dxa"/>
            <w:shd w:val="clear" w:color="auto" w:fill="C4EFCE"/>
            <w:vAlign w:val="center"/>
            <w:hideMark/>
          </w:tcPr>
          <w:p w14:paraId="0F6E1273" w14:textId="77777777" w:rsidR="00154AD2" w:rsidRDefault="007F6BF3">
            <w:pPr>
              <w:pStyle w:val="P68B1DB1-Normal7"/>
              <w:spacing w:after="0" w:line="240" w:lineRule="auto"/>
              <w:jc w:val="center"/>
              <w:rPr>
                <w:rFonts w:eastAsia="Times New Roman" w:cs="Calibri"/>
                <w:noProof/>
              </w:rPr>
            </w:pPr>
            <w:r>
              <w:rPr>
                <w:noProof/>
              </w:rPr>
              <w:t>19.24</w:t>
            </w:r>
          </w:p>
        </w:tc>
        <w:tc>
          <w:tcPr>
            <w:tcW w:w="1211" w:type="dxa"/>
            <w:shd w:val="clear" w:color="auto" w:fill="C4EFCE"/>
            <w:noWrap/>
            <w:vAlign w:val="center"/>
            <w:hideMark/>
          </w:tcPr>
          <w:p w14:paraId="0CC675A9" w14:textId="77777777" w:rsidR="00154AD2" w:rsidRDefault="007F6BF3">
            <w:pPr>
              <w:pStyle w:val="P68B1DB1-Normal8"/>
              <w:spacing w:after="0" w:line="240" w:lineRule="auto"/>
              <w:jc w:val="center"/>
              <w:rPr>
                <w:rFonts w:eastAsia="Times New Roman" w:cs="Calibri"/>
                <w:noProof/>
              </w:rPr>
            </w:pPr>
            <w:r>
              <w:rPr>
                <w:noProof/>
              </w:rPr>
              <w:t>TD-C19-r36</w:t>
            </w:r>
          </w:p>
        </w:tc>
        <w:tc>
          <w:tcPr>
            <w:tcW w:w="1080" w:type="dxa"/>
            <w:shd w:val="clear" w:color="auto" w:fill="C4EFCE"/>
            <w:noWrap/>
            <w:vAlign w:val="center"/>
            <w:hideMark/>
          </w:tcPr>
          <w:p w14:paraId="349C8A7E" w14:textId="77777777" w:rsidR="00154AD2" w:rsidRDefault="007F6BF3">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hideMark/>
          </w:tcPr>
          <w:p w14:paraId="7479E327" w14:textId="77777777" w:rsidR="00154AD2" w:rsidRDefault="007F6BF3">
            <w:pPr>
              <w:pStyle w:val="P68B1DB1-Normal8"/>
              <w:spacing w:after="0" w:line="240" w:lineRule="auto"/>
              <w:jc w:val="center"/>
              <w:rPr>
                <w:rFonts w:eastAsia="Times New Roman" w:cs="Calibri"/>
                <w:noProof/>
              </w:rPr>
            </w:pPr>
            <w:r>
              <w:rPr>
                <w:noProof/>
              </w:rPr>
              <w:t xml:space="preserve"> Ίδρυση του Εθνικού Ινστιτούτου Διοίκησης, I.P.</w:t>
            </w:r>
          </w:p>
        </w:tc>
        <w:tc>
          <w:tcPr>
            <w:tcW w:w="1343" w:type="dxa"/>
            <w:shd w:val="clear" w:color="auto" w:fill="C4EFCE"/>
            <w:noWrap/>
            <w:vAlign w:val="center"/>
            <w:hideMark/>
          </w:tcPr>
          <w:p w14:paraId="030C5824" w14:textId="77777777" w:rsidR="00154AD2" w:rsidRDefault="007F6BF3">
            <w:pPr>
              <w:pStyle w:val="P68B1DB1-Normal8"/>
              <w:spacing w:after="0" w:line="240" w:lineRule="auto"/>
              <w:jc w:val="center"/>
              <w:rPr>
                <w:rFonts w:eastAsia="Times New Roman" w:cs="Calibri"/>
                <w:noProof/>
              </w:rPr>
            </w:pPr>
            <w:r>
              <w:rPr>
                <w:noProof/>
              </w:rPr>
              <w:t>Ίδρυση του Εθνικού Ινστιτούτου Διοίκησης, I.P. με νομική πράξη</w:t>
            </w:r>
          </w:p>
        </w:tc>
        <w:tc>
          <w:tcPr>
            <w:tcW w:w="1134" w:type="dxa"/>
            <w:shd w:val="clear" w:color="auto" w:fill="C4EFCE"/>
            <w:noWrap/>
            <w:vAlign w:val="center"/>
            <w:hideMark/>
          </w:tcPr>
          <w:p w14:paraId="0B9E120E" w14:textId="77777777" w:rsidR="00154AD2" w:rsidRDefault="007F6BF3">
            <w:pPr>
              <w:pStyle w:val="P68B1DB1-Normal8"/>
              <w:spacing w:after="0" w:line="240" w:lineRule="auto"/>
              <w:jc w:val="center"/>
              <w:rPr>
                <w:rFonts w:eastAsia="Times New Roman" w:cs="Calibri"/>
                <w:noProof/>
              </w:rPr>
            </w:pPr>
            <w:r>
              <w:rPr>
                <w:noProof/>
              </w:rPr>
              <w:t> </w:t>
            </w:r>
          </w:p>
        </w:tc>
        <w:tc>
          <w:tcPr>
            <w:tcW w:w="947" w:type="dxa"/>
            <w:shd w:val="clear" w:color="auto" w:fill="C4EFCE"/>
            <w:noWrap/>
            <w:vAlign w:val="center"/>
            <w:hideMark/>
          </w:tcPr>
          <w:p w14:paraId="4A2766AC" w14:textId="77777777" w:rsidR="00154AD2" w:rsidRDefault="007F6BF3">
            <w:pPr>
              <w:pStyle w:val="P68B1DB1-Normal8"/>
              <w:spacing w:after="0" w:line="240" w:lineRule="auto"/>
              <w:jc w:val="center"/>
              <w:rPr>
                <w:rFonts w:eastAsia="Times New Roman" w:cs="Calibri"/>
                <w:noProof/>
              </w:rPr>
            </w:pPr>
            <w:r>
              <w:rPr>
                <w:noProof/>
              </w:rPr>
              <w:t> </w:t>
            </w:r>
          </w:p>
        </w:tc>
        <w:tc>
          <w:tcPr>
            <w:tcW w:w="682" w:type="dxa"/>
            <w:shd w:val="clear" w:color="auto" w:fill="C4EFCE"/>
            <w:noWrap/>
            <w:vAlign w:val="center"/>
            <w:hideMark/>
          </w:tcPr>
          <w:p w14:paraId="649ABF2C" w14:textId="77777777" w:rsidR="00154AD2" w:rsidRDefault="007F6BF3">
            <w:pPr>
              <w:pStyle w:val="P68B1DB1-Normal8"/>
              <w:spacing w:after="0" w:line="240" w:lineRule="auto"/>
              <w:jc w:val="center"/>
              <w:rPr>
                <w:rFonts w:eastAsia="Times New Roman" w:cs="Calibri"/>
                <w:noProof/>
              </w:rPr>
            </w:pPr>
            <w:r>
              <w:rPr>
                <w:noProof/>
              </w:rPr>
              <w:t> </w:t>
            </w:r>
          </w:p>
        </w:tc>
        <w:tc>
          <w:tcPr>
            <w:tcW w:w="550" w:type="dxa"/>
            <w:shd w:val="clear" w:color="auto" w:fill="C4EFCE"/>
            <w:noWrap/>
            <w:vAlign w:val="center"/>
            <w:hideMark/>
          </w:tcPr>
          <w:p w14:paraId="1FA4DEB7" w14:textId="77777777" w:rsidR="00154AD2" w:rsidRDefault="007F6BF3">
            <w:pPr>
              <w:pStyle w:val="P68B1DB1-Normal8"/>
              <w:spacing w:after="0" w:line="240" w:lineRule="auto"/>
              <w:jc w:val="center"/>
              <w:rPr>
                <w:rFonts w:eastAsia="Times New Roman" w:cs="Calibri"/>
                <w:noProof/>
              </w:rPr>
            </w:pPr>
            <w:r>
              <w:rPr>
                <w:noProof/>
              </w:rPr>
              <w:t>ΤΡΊΜΗΝΟ 2</w:t>
            </w:r>
          </w:p>
        </w:tc>
        <w:tc>
          <w:tcPr>
            <w:tcW w:w="682" w:type="dxa"/>
            <w:shd w:val="clear" w:color="auto" w:fill="C4EFCE"/>
            <w:noWrap/>
            <w:vAlign w:val="center"/>
            <w:hideMark/>
          </w:tcPr>
          <w:p w14:paraId="1300E342" w14:textId="77777777" w:rsidR="00154AD2" w:rsidRDefault="007F6BF3">
            <w:pPr>
              <w:pStyle w:val="P68B1DB1-Normal8"/>
              <w:spacing w:after="0" w:line="240" w:lineRule="auto"/>
              <w:jc w:val="center"/>
              <w:rPr>
                <w:rFonts w:eastAsia="Times New Roman" w:cs="Calibri"/>
                <w:noProof/>
              </w:rPr>
            </w:pPr>
            <w:r>
              <w:rPr>
                <w:noProof/>
              </w:rPr>
              <w:t>2021</w:t>
            </w:r>
          </w:p>
        </w:tc>
        <w:tc>
          <w:tcPr>
            <w:tcW w:w="4458" w:type="dxa"/>
            <w:shd w:val="clear" w:color="auto" w:fill="C4EFCE"/>
            <w:vAlign w:val="center"/>
            <w:hideMark/>
          </w:tcPr>
          <w:p w14:paraId="241B071D" w14:textId="77777777" w:rsidR="00154AD2" w:rsidRDefault="007F6BF3">
            <w:pPr>
              <w:pStyle w:val="P68B1DB1-Normal8"/>
              <w:spacing w:after="0" w:line="240" w:lineRule="auto"/>
              <w:jc w:val="both"/>
              <w:rPr>
                <w:rFonts w:eastAsia="Times New Roman" w:cs="Calibri"/>
                <w:noProof/>
              </w:rPr>
            </w:pPr>
            <w:r>
              <w:rPr>
                <w:noProof/>
              </w:rPr>
              <w:t xml:space="preserve">Σύσταση με νομική πράξη του </w:t>
            </w:r>
            <w:r>
              <w:rPr>
                <w:i/>
                <w:noProof/>
              </w:rPr>
              <w:t>Instituto Nacional de Administração, IP,</w:t>
            </w:r>
            <w:r>
              <w:rPr>
                <w:noProof/>
              </w:rPr>
              <w:t xml:space="preserve"> που καθιστά δυνατές τις δραστηριότητες κατάρτισης για τη δημόσια διοίκηση</w:t>
            </w:r>
          </w:p>
        </w:tc>
      </w:tr>
      <w:tr w:rsidR="00154AD2" w14:paraId="7E83CB0B" w14:textId="77777777">
        <w:trPr>
          <w:trHeight w:val="430"/>
        </w:trPr>
        <w:tc>
          <w:tcPr>
            <w:tcW w:w="1082" w:type="dxa"/>
            <w:shd w:val="clear" w:color="auto" w:fill="C4EFCE"/>
            <w:vAlign w:val="center"/>
          </w:tcPr>
          <w:p w14:paraId="18E9975D" w14:textId="11D15DFC" w:rsidR="00154AD2" w:rsidRDefault="007F6BF3">
            <w:pPr>
              <w:pStyle w:val="P68B1DB1-Normal11"/>
              <w:spacing w:after="0" w:line="240" w:lineRule="auto"/>
              <w:jc w:val="center"/>
              <w:rPr>
                <w:rFonts w:eastAsia="Times New Roman" w:cstheme="minorHAnsi"/>
                <w:noProof/>
              </w:rPr>
            </w:pPr>
            <w:r>
              <w:rPr>
                <w:noProof/>
              </w:rPr>
              <w:t>19.30</w:t>
            </w:r>
          </w:p>
        </w:tc>
        <w:tc>
          <w:tcPr>
            <w:tcW w:w="1211" w:type="dxa"/>
            <w:shd w:val="clear" w:color="auto" w:fill="C4EFCE"/>
            <w:noWrap/>
            <w:vAlign w:val="center"/>
          </w:tcPr>
          <w:p w14:paraId="5460871A" w14:textId="02F65AC9" w:rsidR="00154AD2" w:rsidRDefault="007F6BF3">
            <w:pPr>
              <w:pStyle w:val="P68B1DB1-Normal12"/>
              <w:spacing w:after="0" w:line="240" w:lineRule="auto"/>
              <w:jc w:val="center"/>
              <w:rPr>
                <w:rFonts w:eastAsia="Times New Roman" w:cstheme="minorHAnsi"/>
                <w:noProof/>
              </w:rPr>
            </w:pPr>
            <w:r>
              <w:rPr>
                <w:noProof/>
              </w:rPr>
              <w:t>TD-C19-r41</w:t>
            </w:r>
          </w:p>
        </w:tc>
        <w:tc>
          <w:tcPr>
            <w:tcW w:w="1080" w:type="dxa"/>
            <w:shd w:val="clear" w:color="auto" w:fill="C4EFCE"/>
            <w:noWrap/>
            <w:vAlign w:val="center"/>
          </w:tcPr>
          <w:p w14:paraId="162BD2C1" w14:textId="67F68A48" w:rsidR="00154AD2" w:rsidRDefault="007F6BF3">
            <w:pPr>
              <w:pStyle w:val="P68B1DB1-Normal12"/>
              <w:spacing w:after="0" w:line="240" w:lineRule="auto"/>
              <w:jc w:val="center"/>
              <w:rPr>
                <w:rFonts w:eastAsia="Times New Roman" w:cstheme="minorHAnsi"/>
                <w:noProof/>
              </w:rPr>
            </w:pPr>
            <w:r>
              <w:rPr>
                <w:noProof/>
              </w:rPr>
              <w:t>M</w:t>
            </w:r>
          </w:p>
        </w:tc>
        <w:tc>
          <w:tcPr>
            <w:tcW w:w="1609" w:type="dxa"/>
            <w:shd w:val="clear" w:color="auto" w:fill="C4EFCE"/>
            <w:noWrap/>
            <w:vAlign w:val="center"/>
          </w:tcPr>
          <w:p w14:paraId="2A40F594" w14:textId="7823E16A" w:rsidR="00154AD2" w:rsidRDefault="007F6BF3">
            <w:pPr>
              <w:pStyle w:val="P68B1DB1-Normal12"/>
              <w:spacing w:after="0" w:line="240" w:lineRule="auto"/>
              <w:jc w:val="center"/>
              <w:rPr>
                <w:rFonts w:eastAsia="Times New Roman" w:cstheme="minorHAnsi"/>
                <w:noProof/>
              </w:rPr>
            </w:pPr>
            <w:r>
              <w:rPr>
                <w:noProof/>
              </w:rPr>
              <w:t>Έναρξη ισχύος της νομοθετικής πράξης για την πρόσβαση στις δημόσιες υπηρεσίες</w:t>
            </w:r>
          </w:p>
        </w:tc>
        <w:tc>
          <w:tcPr>
            <w:tcW w:w="1343" w:type="dxa"/>
            <w:shd w:val="clear" w:color="auto" w:fill="C4EFCE"/>
            <w:noWrap/>
            <w:vAlign w:val="center"/>
          </w:tcPr>
          <w:p w14:paraId="191A02D6" w14:textId="280F4306" w:rsidR="00154AD2" w:rsidRDefault="007F6BF3">
            <w:pPr>
              <w:pStyle w:val="P68B1DB1-Normal12"/>
              <w:spacing w:after="0" w:line="240" w:lineRule="auto"/>
              <w:jc w:val="center"/>
              <w:rPr>
                <w:rFonts w:eastAsia="Times New Roman" w:cstheme="minorHAnsi"/>
                <w:noProof/>
              </w:rPr>
            </w:pPr>
            <w:r>
              <w:rPr>
                <w:noProof/>
              </w:rPr>
              <w:t xml:space="preserve">Διάταξη της νομοθεσίας που αναφέρει την έναρξη ισχύος της νομοθεσίας </w:t>
            </w:r>
          </w:p>
        </w:tc>
        <w:tc>
          <w:tcPr>
            <w:tcW w:w="1134" w:type="dxa"/>
            <w:shd w:val="clear" w:color="auto" w:fill="C4EFCE"/>
            <w:noWrap/>
            <w:vAlign w:val="center"/>
          </w:tcPr>
          <w:p w14:paraId="15EB9DF1" w14:textId="77777777" w:rsidR="00154AD2" w:rsidRDefault="00154AD2">
            <w:pPr>
              <w:spacing w:after="0" w:line="240" w:lineRule="auto"/>
              <w:jc w:val="center"/>
              <w:rPr>
                <w:rFonts w:eastAsia="Times New Roman" w:cstheme="minorHAnsi"/>
                <w:noProof/>
                <w:sz w:val="16"/>
              </w:rPr>
            </w:pPr>
          </w:p>
        </w:tc>
        <w:tc>
          <w:tcPr>
            <w:tcW w:w="947" w:type="dxa"/>
            <w:shd w:val="clear" w:color="auto" w:fill="C4EFCE"/>
            <w:noWrap/>
            <w:vAlign w:val="center"/>
          </w:tcPr>
          <w:p w14:paraId="0B16E3FF" w14:textId="77777777" w:rsidR="00154AD2" w:rsidRDefault="00154AD2">
            <w:pPr>
              <w:spacing w:after="0" w:line="240" w:lineRule="auto"/>
              <w:jc w:val="center"/>
              <w:rPr>
                <w:rFonts w:eastAsia="Times New Roman" w:cstheme="minorHAnsi"/>
                <w:noProof/>
                <w:sz w:val="16"/>
              </w:rPr>
            </w:pPr>
          </w:p>
        </w:tc>
        <w:tc>
          <w:tcPr>
            <w:tcW w:w="682" w:type="dxa"/>
            <w:shd w:val="clear" w:color="auto" w:fill="C4EFCE"/>
            <w:noWrap/>
            <w:vAlign w:val="center"/>
          </w:tcPr>
          <w:p w14:paraId="08355F05" w14:textId="77777777" w:rsidR="00154AD2" w:rsidRDefault="00154AD2">
            <w:pPr>
              <w:spacing w:after="0" w:line="240" w:lineRule="auto"/>
              <w:jc w:val="center"/>
              <w:rPr>
                <w:rFonts w:eastAsia="Times New Roman" w:cstheme="minorHAnsi"/>
                <w:noProof/>
                <w:sz w:val="16"/>
              </w:rPr>
            </w:pPr>
          </w:p>
        </w:tc>
        <w:tc>
          <w:tcPr>
            <w:tcW w:w="550" w:type="dxa"/>
            <w:shd w:val="clear" w:color="auto" w:fill="C4EFCE"/>
            <w:noWrap/>
            <w:vAlign w:val="center"/>
          </w:tcPr>
          <w:p w14:paraId="028AEAD5" w14:textId="7004A912" w:rsidR="00154AD2" w:rsidRDefault="007F6BF3">
            <w:pPr>
              <w:pStyle w:val="P68B1DB1-Normal12"/>
              <w:spacing w:after="0" w:line="240" w:lineRule="auto"/>
              <w:jc w:val="center"/>
              <w:rPr>
                <w:rFonts w:eastAsia="Times New Roman" w:cstheme="minorHAnsi"/>
                <w:noProof/>
              </w:rPr>
            </w:pPr>
            <w:r>
              <w:rPr>
                <w:noProof/>
              </w:rPr>
              <w:t>ΤΡΊΜΗΝΟ 3</w:t>
            </w:r>
          </w:p>
        </w:tc>
        <w:tc>
          <w:tcPr>
            <w:tcW w:w="682" w:type="dxa"/>
            <w:shd w:val="clear" w:color="auto" w:fill="C4EFCE"/>
            <w:noWrap/>
            <w:vAlign w:val="center"/>
          </w:tcPr>
          <w:p w14:paraId="265FA0B5" w14:textId="7DD6FBCA" w:rsidR="00154AD2" w:rsidRDefault="007F6BF3">
            <w:pPr>
              <w:pStyle w:val="P68B1DB1-Normal12"/>
              <w:spacing w:after="0" w:line="240" w:lineRule="auto"/>
              <w:jc w:val="center"/>
              <w:rPr>
                <w:rFonts w:eastAsia="Times New Roman" w:cstheme="minorHAnsi"/>
                <w:noProof/>
              </w:rPr>
            </w:pPr>
            <w:r>
              <w:rPr>
                <w:noProof/>
              </w:rPr>
              <w:t>2025</w:t>
            </w:r>
          </w:p>
        </w:tc>
        <w:tc>
          <w:tcPr>
            <w:tcW w:w="4458" w:type="dxa"/>
            <w:shd w:val="clear" w:color="auto" w:fill="C4EFCE"/>
            <w:vAlign w:val="center"/>
          </w:tcPr>
          <w:p w14:paraId="3DA5037E" w14:textId="298CCB37" w:rsidR="00154AD2" w:rsidRDefault="007F6BF3">
            <w:pPr>
              <w:pStyle w:val="P68B1DB1-Normal12"/>
              <w:spacing w:after="0" w:line="240" w:lineRule="auto"/>
              <w:jc w:val="both"/>
              <w:rPr>
                <w:rFonts w:eastAsia="Times New Roman" w:cstheme="minorHAnsi"/>
                <w:noProof/>
              </w:rPr>
            </w:pPr>
            <w:r>
              <w:rPr>
                <w:noProof/>
              </w:rPr>
              <w:t xml:space="preserve">Έναρξη ισχύος της νομοθετικής πράξης που εναρμονίζει και ενοποιεί την αυτοπρόσωπη και επιγραμμική πρόσβαση σε δημόσιες υπηρεσίες, καθώς και επεκτείνει τον αριθμό των υπηρεσιών που διατίθενται στην ενιαία πύλη δημόσιων υπηρεσιών.   </w:t>
            </w:r>
          </w:p>
        </w:tc>
      </w:tr>
      <w:tr w:rsidR="00154AD2" w14:paraId="70FA8B5F" w14:textId="77777777">
        <w:trPr>
          <w:trHeight w:val="430"/>
        </w:trPr>
        <w:tc>
          <w:tcPr>
            <w:tcW w:w="1082" w:type="dxa"/>
            <w:shd w:val="clear" w:color="auto" w:fill="C4EFCE"/>
            <w:vAlign w:val="center"/>
          </w:tcPr>
          <w:p w14:paraId="5D5EB9E9" w14:textId="2177C7F7" w:rsidR="00154AD2" w:rsidRDefault="007F6BF3">
            <w:pPr>
              <w:pStyle w:val="P68B1DB1-Normal11"/>
              <w:spacing w:after="0" w:line="240" w:lineRule="auto"/>
              <w:jc w:val="center"/>
              <w:rPr>
                <w:rFonts w:eastAsia="Times New Roman" w:cstheme="minorHAnsi"/>
                <w:noProof/>
              </w:rPr>
            </w:pPr>
            <w:r>
              <w:rPr>
                <w:noProof/>
              </w:rPr>
              <w:t>19.31</w:t>
            </w:r>
          </w:p>
        </w:tc>
        <w:tc>
          <w:tcPr>
            <w:tcW w:w="1211" w:type="dxa"/>
            <w:shd w:val="clear" w:color="auto" w:fill="C4EFCE"/>
            <w:noWrap/>
            <w:vAlign w:val="center"/>
          </w:tcPr>
          <w:p w14:paraId="160F0E2B" w14:textId="668FB811" w:rsidR="00154AD2" w:rsidRDefault="007F6BF3">
            <w:pPr>
              <w:pStyle w:val="P68B1DB1-Bodytext1013"/>
              <w:spacing w:after="0"/>
              <w:jc w:val="center"/>
              <w:rPr>
                <w:rFonts w:cstheme="minorHAnsi"/>
                <w:noProof/>
              </w:rPr>
            </w:pPr>
            <w:r>
              <w:rPr>
                <w:noProof/>
              </w:rPr>
              <w:t>TD-C19-r42</w:t>
            </w:r>
          </w:p>
        </w:tc>
        <w:tc>
          <w:tcPr>
            <w:tcW w:w="1080" w:type="dxa"/>
            <w:shd w:val="clear" w:color="auto" w:fill="C4EFCE"/>
            <w:noWrap/>
            <w:vAlign w:val="center"/>
          </w:tcPr>
          <w:p w14:paraId="5A9F3806" w14:textId="793E38CA" w:rsidR="00154AD2" w:rsidRDefault="007F6BF3">
            <w:pPr>
              <w:pStyle w:val="P68B1DB1-Normal12"/>
              <w:spacing w:after="0" w:line="240" w:lineRule="auto"/>
              <w:jc w:val="center"/>
              <w:rPr>
                <w:rFonts w:eastAsia="Times New Roman" w:cstheme="minorHAnsi"/>
                <w:noProof/>
              </w:rPr>
            </w:pPr>
            <w:r>
              <w:rPr>
                <w:noProof/>
              </w:rPr>
              <w:t xml:space="preserve"> M</w:t>
            </w:r>
          </w:p>
        </w:tc>
        <w:tc>
          <w:tcPr>
            <w:tcW w:w="1609" w:type="dxa"/>
            <w:shd w:val="clear" w:color="auto" w:fill="C4EFCE"/>
            <w:noWrap/>
            <w:vAlign w:val="center"/>
          </w:tcPr>
          <w:p w14:paraId="2935250F" w14:textId="2D44B127" w:rsidR="00154AD2" w:rsidRDefault="007F6BF3">
            <w:pPr>
              <w:pStyle w:val="P68B1DB1-Bodytext1013"/>
              <w:jc w:val="center"/>
              <w:rPr>
                <w:rFonts w:cstheme="minorHAnsi"/>
                <w:noProof/>
              </w:rPr>
            </w:pPr>
            <w:r>
              <w:rPr>
                <w:noProof/>
              </w:rPr>
              <w:t>Έναρξη ισχύος της νομοθετικής πράξης με την οποία αναθεωρείται η SIADAP</w:t>
            </w:r>
          </w:p>
        </w:tc>
        <w:tc>
          <w:tcPr>
            <w:tcW w:w="1343" w:type="dxa"/>
            <w:shd w:val="clear" w:color="auto" w:fill="C4EFCE"/>
            <w:noWrap/>
            <w:vAlign w:val="center"/>
          </w:tcPr>
          <w:p w14:paraId="76DB72FC" w14:textId="202A9E7E" w:rsidR="00154AD2" w:rsidRDefault="007F6BF3">
            <w:pPr>
              <w:pStyle w:val="P68B1DB1-Normal12"/>
              <w:spacing w:after="0" w:line="240" w:lineRule="auto"/>
              <w:jc w:val="center"/>
              <w:rPr>
                <w:rFonts w:eastAsia="Times New Roman" w:cstheme="minorHAnsi"/>
                <w:noProof/>
              </w:rPr>
            </w:pPr>
            <w:r>
              <w:rPr>
                <w:noProof/>
              </w:rPr>
              <w:t xml:space="preserve">Διάταξη της νομοθετικής πράξης που αναφέρει την έναρξη ισχύος της νομοθετικής πράξης </w:t>
            </w:r>
          </w:p>
        </w:tc>
        <w:tc>
          <w:tcPr>
            <w:tcW w:w="1134" w:type="dxa"/>
            <w:shd w:val="clear" w:color="auto" w:fill="C4EFCE"/>
            <w:noWrap/>
            <w:vAlign w:val="center"/>
          </w:tcPr>
          <w:p w14:paraId="5BD712C6" w14:textId="68D529B9" w:rsidR="00154AD2" w:rsidRDefault="007F6BF3">
            <w:pPr>
              <w:pStyle w:val="P68B1DB1-Normal12"/>
              <w:spacing w:after="0" w:line="240" w:lineRule="auto"/>
              <w:jc w:val="center"/>
              <w:rPr>
                <w:rFonts w:eastAsia="Times New Roman" w:cstheme="minorHAnsi"/>
                <w:noProof/>
              </w:rPr>
            </w:pPr>
            <w:r>
              <w:rPr>
                <w:noProof/>
              </w:rPr>
              <w:t xml:space="preserve"> </w:t>
            </w:r>
          </w:p>
        </w:tc>
        <w:tc>
          <w:tcPr>
            <w:tcW w:w="947" w:type="dxa"/>
            <w:shd w:val="clear" w:color="auto" w:fill="C4EFCE"/>
            <w:noWrap/>
            <w:vAlign w:val="center"/>
          </w:tcPr>
          <w:p w14:paraId="64F81F0D" w14:textId="54AE8BAD" w:rsidR="00154AD2" w:rsidRDefault="007F6BF3">
            <w:pPr>
              <w:pStyle w:val="P68B1DB1-Normal12"/>
              <w:spacing w:after="0" w:line="240" w:lineRule="auto"/>
              <w:jc w:val="center"/>
              <w:rPr>
                <w:rFonts w:eastAsia="Times New Roman" w:cstheme="minorHAnsi"/>
                <w:noProof/>
              </w:rPr>
            </w:pPr>
            <w:r>
              <w:rPr>
                <w:noProof/>
              </w:rPr>
              <w:t xml:space="preserve"> </w:t>
            </w:r>
          </w:p>
        </w:tc>
        <w:tc>
          <w:tcPr>
            <w:tcW w:w="682" w:type="dxa"/>
            <w:shd w:val="clear" w:color="auto" w:fill="C4EFCE"/>
            <w:noWrap/>
            <w:vAlign w:val="center"/>
          </w:tcPr>
          <w:p w14:paraId="1DCC2FDC" w14:textId="47315426" w:rsidR="00154AD2" w:rsidRDefault="007F6BF3">
            <w:pPr>
              <w:pStyle w:val="P68B1DB1-Normal12"/>
              <w:spacing w:after="0" w:line="240" w:lineRule="auto"/>
              <w:jc w:val="center"/>
              <w:rPr>
                <w:rFonts w:eastAsia="Times New Roman" w:cstheme="minorHAnsi"/>
                <w:noProof/>
              </w:rPr>
            </w:pPr>
            <w:r>
              <w:rPr>
                <w:noProof/>
              </w:rPr>
              <w:t xml:space="preserve"> </w:t>
            </w:r>
          </w:p>
        </w:tc>
        <w:tc>
          <w:tcPr>
            <w:tcW w:w="550" w:type="dxa"/>
            <w:shd w:val="clear" w:color="auto" w:fill="C4EFCE"/>
            <w:noWrap/>
            <w:vAlign w:val="center"/>
          </w:tcPr>
          <w:p w14:paraId="3D54C13F" w14:textId="4A7609A6" w:rsidR="00154AD2" w:rsidRDefault="007F6BF3">
            <w:pPr>
              <w:pStyle w:val="P68B1DB1-Normal12"/>
              <w:spacing w:after="0" w:line="240" w:lineRule="auto"/>
              <w:jc w:val="center"/>
              <w:rPr>
                <w:rFonts w:eastAsia="Times New Roman" w:cstheme="minorHAnsi"/>
                <w:noProof/>
              </w:rPr>
            </w:pPr>
            <w:r>
              <w:rPr>
                <w:noProof/>
              </w:rPr>
              <w:t xml:space="preserve">ΤΡΊΜΗΝΟ 1 </w:t>
            </w:r>
          </w:p>
        </w:tc>
        <w:tc>
          <w:tcPr>
            <w:tcW w:w="682" w:type="dxa"/>
            <w:shd w:val="clear" w:color="auto" w:fill="C4EFCE"/>
            <w:noWrap/>
            <w:vAlign w:val="center"/>
          </w:tcPr>
          <w:p w14:paraId="77865BCF" w14:textId="2D5D08F6" w:rsidR="00154AD2" w:rsidRDefault="007F6BF3">
            <w:pPr>
              <w:pStyle w:val="P68B1DB1-Normal12"/>
              <w:spacing w:after="0" w:line="240" w:lineRule="auto"/>
              <w:jc w:val="center"/>
              <w:rPr>
                <w:rFonts w:eastAsia="Times New Roman" w:cstheme="minorHAnsi"/>
                <w:noProof/>
              </w:rPr>
            </w:pPr>
            <w:r>
              <w:rPr>
                <w:noProof/>
              </w:rPr>
              <w:t xml:space="preserve"> 2024</w:t>
            </w:r>
          </w:p>
        </w:tc>
        <w:tc>
          <w:tcPr>
            <w:tcW w:w="4458" w:type="dxa"/>
            <w:shd w:val="clear" w:color="auto" w:fill="C4EFCE"/>
            <w:vAlign w:val="center"/>
          </w:tcPr>
          <w:p w14:paraId="787D10CD" w14:textId="30D960C1" w:rsidR="00154AD2" w:rsidRDefault="007F6BF3">
            <w:pPr>
              <w:pStyle w:val="P68B1DB1-Normal12"/>
              <w:spacing w:after="0" w:line="240" w:lineRule="auto"/>
              <w:jc w:val="both"/>
              <w:rPr>
                <w:rFonts w:eastAsia="Times New Roman" w:cstheme="minorHAnsi"/>
                <w:noProof/>
              </w:rPr>
            </w:pPr>
            <w:r>
              <w:rPr>
                <w:noProof/>
              </w:rPr>
              <w:t xml:space="preserve">Έναρξη ισχύος της νομοθετικής πράξης με την οποία αναθεωρείται το Ολοκληρωμένο Σύστημα Διαχείρισης και Αξιολόγησης Επιδόσεων στη Δημόσια Διοίκηση (SIADAP) σύμφωνα με τα χαρακτηριστικά που περιγράφονται στην περιγραφή του μέτρου. </w:t>
            </w:r>
          </w:p>
        </w:tc>
      </w:tr>
      <w:tr w:rsidR="00154AD2" w14:paraId="595052CD" w14:textId="77777777">
        <w:trPr>
          <w:trHeight w:val="430"/>
        </w:trPr>
        <w:tc>
          <w:tcPr>
            <w:tcW w:w="1082" w:type="dxa"/>
            <w:shd w:val="clear" w:color="auto" w:fill="C4EFCE"/>
            <w:vAlign w:val="center"/>
          </w:tcPr>
          <w:p w14:paraId="6673DA96" w14:textId="12B6BD26" w:rsidR="00154AD2" w:rsidRDefault="007F6BF3">
            <w:pPr>
              <w:pStyle w:val="P68B1DB1-Normal11"/>
              <w:spacing w:after="0" w:line="240" w:lineRule="auto"/>
              <w:jc w:val="center"/>
              <w:rPr>
                <w:rFonts w:eastAsia="Times New Roman" w:cstheme="minorHAnsi"/>
                <w:noProof/>
              </w:rPr>
            </w:pPr>
            <w:r>
              <w:rPr>
                <w:noProof/>
              </w:rPr>
              <w:t>19.32</w:t>
            </w:r>
          </w:p>
        </w:tc>
        <w:tc>
          <w:tcPr>
            <w:tcW w:w="1211" w:type="dxa"/>
            <w:shd w:val="clear" w:color="auto" w:fill="C4EFCE"/>
            <w:noWrap/>
            <w:vAlign w:val="center"/>
          </w:tcPr>
          <w:p w14:paraId="0595A2A8" w14:textId="3B184232" w:rsidR="00154AD2" w:rsidRDefault="007F6BF3">
            <w:pPr>
              <w:pStyle w:val="P68B1DB1-Normal12"/>
              <w:spacing w:after="0" w:line="240" w:lineRule="auto"/>
              <w:jc w:val="center"/>
              <w:rPr>
                <w:rFonts w:eastAsia="Times New Roman" w:cstheme="minorHAnsi"/>
                <w:noProof/>
              </w:rPr>
            </w:pPr>
            <w:r>
              <w:rPr>
                <w:noProof/>
              </w:rPr>
              <w:t>TD-C19-r42</w:t>
            </w:r>
          </w:p>
        </w:tc>
        <w:tc>
          <w:tcPr>
            <w:tcW w:w="1080" w:type="dxa"/>
            <w:shd w:val="clear" w:color="auto" w:fill="C4EFCE"/>
            <w:noWrap/>
            <w:vAlign w:val="center"/>
          </w:tcPr>
          <w:p w14:paraId="588DCBAA" w14:textId="2DD3035E" w:rsidR="00154AD2" w:rsidRDefault="007F6BF3">
            <w:pPr>
              <w:pStyle w:val="P68B1DB1-Normal12"/>
              <w:spacing w:after="0" w:line="240" w:lineRule="auto"/>
              <w:jc w:val="center"/>
              <w:rPr>
                <w:rFonts w:eastAsia="Times New Roman" w:cstheme="minorHAnsi"/>
                <w:noProof/>
              </w:rPr>
            </w:pPr>
            <w:r>
              <w:rPr>
                <w:noProof/>
              </w:rPr>
              <w:t>M</w:t>
            </w:r>
          </w:p>
        </w:tc>
        <w:tc>
          <w:tcPr>
            <w:tcW w:w="1609" w:type="dxa"/>
            <w:shd w:val="clear" w:color="auto" w:fill="C4EFCE"/>
            <w:noWrap/>
            <w:vAlign w:val="center"/>
          </w:tcPr>
          <w:p w14:paraId="52CB2148" w14:textId="13350A36" w:rsidR="00154AD2" w:rsidRDefault="007F6BF3">
            <w:pPr>
              <w:pStyle w:val="P68B1DB1-Normal12"/>
              <w:spacing w:after="0" w:line="240" w:lineRule="auto"/>
              <w:jc w:val="center"/>
              <w:rPr>
                <w:rFonts w:eastAsia="Times New Roman" w:cstheme="minorHAnsi"/>
                <w:noProof/>
              </w:rPr>
            </w:pPr>
            <w:r>
              <w:rPr>
                <w:noProof/>
              </w:rPr>
              <w:t>Έναρξη ισχύος της νομοθετικής πράξης που αναθεωρεί το προφίλ ικανοτήτων της δημόσιας διοίκησης</w:t>
            </w:r>
          </w:p>
        </w:tc>
        <w:tc>
          <w:tcPr>
            <w:tcW w:w="1343" w:type="dxa"/>
            <w:shd w:val="clear" w:color="auto" w:fill="C4EFCE"/>
            <w:noWrap/>
            <w:vAlign w:val="center"/>
          </w:tcPr>
          <w:p w14:paraId="55C8AFE8" w14:textId="078306F1" w:rsidR="00154AD2" w:rsidRDefault="007F6BF3">
            <w:pPr>
              <w:pStyle w:val="P68B1DB1-Normal12"/>
              <w:spacing w:after="0" w:line="240" w:lineRule="auto"/>
              <w:jc w:val="center"/>
              <w:rPr>
                <w:rFonts w:eastAsia="Times New Roman" w:cstheme="minorHAnsi"/>
                <w:noProof/>
              </w:rPr>
            </w:pPr>
            <w:r>
              <w:rPr>
                <w:noProof/>
              </w:rPr>
              <w:t xml:space="preserve">Διάταξη της νομοθετικής πράξης που αναφέρει την έναρξη ισχύος της νομοθετικής πράξης </w:t>
            </w:r>
          </w:p>
        </w:tc>
        <w:tc>
          <w:tcPr>
            <w:tcW w:w="1134" w:type="dxa"/>
            <w:shd w:val="clear" w:color="auto" w:fill="C4EFCE"/>
            <w:noWrap/>
            <w:vAlign w:val="center"/>
          </w:tcPr>
          <w:p w14:paraId="0F112E93" w14:textId="3E369BD1" w:rsidR="00154AD2" w:rsidRDefault="007F6BF3">
            <w:pPr>
              <w:pStyle w:val="P68B1DB1-Normal12"/>
              <w:spacing w:after="0" w:line="240" w:lineRule="auto"/>
              <w:jc w:val="center"/>
              <w:rPr>
                <w:rFonts w:eastAsia="Times New Roman" w:cstheme="minorHAnsi"/>
                <w:noProof/>
              </w:rPr>
            </w:pPr>
            <w:r>
              <w:rPr>
                <w:noProof/>
              </w:rPr>
              <w:t xml:space="preserve"> </w:t>
            </w:r>
          </w:p>
        </w:tc>
        <w:tc>
          <w:tcPr>
            <w:tcW w:w="947" w:type="dxa"/>
            <w:shd w:val="clear" w:color="auto" w:fill="C4EFCE"/>
            <w:noWrap/>
            <w:vAlign w:val="center"/>
          </w:tcPr>
          <w:p w14:paraId="21348855" w14:textId="50047F43" w:rsidR="00154AD2" w:rsidRDefault="007F6BF3">
            <w:pPr>
              <w:pStyle w:val="P68B1DB1-Normal12"/>
              <w:spacing w:after="0" w:line="240" w:lineRule="auto"/>
              <w:jc w:val="center"/>
              <w:rPr>
                <w:rFonts w:eastAsia="Times New Roman" w:cstheme="minorHAnsi"/>
                <w:noProof/>
              </w:rPr>
            </w:pPr>
            <w:r>
              <w:rPr>
                <w:noProof/>
              </w:rPr>
              <w:t xml:space="preserve"> </w:t>
            </w:r>
          </w:p>
        </w:tc>
        <w:tc>
          <w:tcPr>
            <w:tcW w:w="682" w:type="dxa"/>
            <w:shd w:val="clear" w:color="auto" w:fill="C4EFCE"/>
            <w:noWrap/>
            <w:vAlign w:val="center"/>
          </w:tcPr>
          <w:p w14:paraId="775EF0EE" w14:textId="5792FB1D" w:rsidR="00154AD2" w:rsidRDefault="007F6BF3">
            <w:pPr>
              <w:pStyle w:val="P68B1DB1-Normal12"/>
              <w:spacing w:after="0" w:line="240" w:lineRule="auto"/>
              <w:jc w:val="center"/>
              <w:rPr>
                <w:rFonts w:eastAsia="Times New Roman" w:cstheme="minorHAnsi"/>
                <w:noProof/>
              </w:rPr>
            </w:pPr>
            <w:r>
              <w:rPr>
                <w:noProof/>
              </w:rPr>
              <w:t xml:space="preserve"> </w:t>
            </w:r>
          </w:p>
        </w:tc>
        <w:tc>
          <w:tcPr>
            <w:tcW w:w="550" w:type="dxa"/>
            <w:shd w:val="clear" w:color="auto" w:fill="C4EFCE"/>
            <w:noWrap/>
            <w:vAlign w:val="center"/>
          </w:tcPr>
          <w:p w14:paraId="104DC251" w14:textId="3CB87634" w:rsidR="00154AD2" w:rsidRDefault="007F6BF3">
            <w:pPr>
              <w:pStyle w:val="P68B1DB1-Normal12"/>
              <w:spacing w:after="0" w:line="240" w:lineRule="auto"/>
              <w:jc w:val="center"/>
              <w:rPr>
                <w:rFonts w:eastAsia="Times New Roman" w:cstheme="minorHAnsi"/>
                <w:noProof/>
              </w:rPr>
            </w:pPr>
            <w:r>
              <w:rPr>
                <w:noProof/>
              </w:rPr>
              <w:t>ΤΡΊΜΗΝΟ 1</w:t>
            </w:r>
          </w:p>
        </w:tc>
        <w:tc>
          <w:tcPr>
            <w:tcW w:w="682" w:type="dxa"/>
            <w:shd w:val="clear" w:color="auto" w:fill="C4EFCE"/>
            <w:noWrap/>
            <w:vAlign w:val="center"/>
          </w:tcPr>
          <w:p w14:paraId="1224479D" w14:textId="0B9B8D99" w:rsidR="00154AD2" w:rsidRDefault="007F6BF3">
            <w:pPr>
              <w:pStyle w:val="P68B1DB1-Normal12"/>
              <w:spacing w:after="0" w:line="240" w:lineRule="auto"/>
              <w:jc w:val="center"/>
              <w:rPr>
                <w:rFonts w:eastAsia="Times New Roman" w:cstheme="minorHAnsi"/>
                <w:noProof/>
              </w:rPr>
            </w:pPr>
            <w:r>
              <w:rPr>
                <w:noProof/>
              </w:rPr>
              <w:t>2024</w:t>
            </w:r>
          </w:p>
        </w:tc>
        <w:tc>
          <w:tcPr>
            <w:tcW w:w="4458" w:type="dxa"/>
            <w:shd w:val="clear" w:color="auto" w:fill="C4EFCE"/>
            <w:vAlign w:val="center"/>
          </w:tcPr>
          <w:p w14:paraId="14DC0FA1" w14:textId="48ADFE80" w:rsidR="00154AD2" w:rsidRDefault="007F6BF3">
            <w:pPr>
              <w:pStyle w:val="P68B1DB1-Normal12"/>
              <w:spacing w:after="0" w:line="240" w:lineRule="auto"/>
              <w:jc w:val="both"/>
              <w:rPr>
                <w:rFonts w:eastAsia="Times New Roman" w:cstheme="minorHAnsi"/>
                <w:noProof/>
              </w:rPr>
            </w:pPr>
            <w:r>
              <w:rPr>
                <w:noProof/>
              </w:rPr>
              <w:t xml:space="preserve">Το αναθεωρημένο προφίλ ικανοτήτων της δημόσιας διοίκησης τίθεται σε ισχύ. </w:t>
            </w:r>
          </w:p>
        </w:tc>
      </w:tr>
      <w:tr w:rsidR="00154AD2" w14:paraId="68DA236C" w14:textId="77777777">
        <w:trPr>
          <w:trHeight w:val="430"/>
        </w:trPr>
        <w:tc>
          <w:tcPr>
            <w:tcW w:w="1082" w:type="dxa"/>
            <w:shd w:val="clear" w:color="auto" w:fill="C4EFCE"/>
            <w:vAlign w:val="center"/>
          </w:tcPr>
          <w:p w14:paraId="21E8FF8C" w14:textId="4DFC5787" w:rsidR="00154AD2" w:rsidRDefault="007F6BF3">
            <w:pPr>
              <w:pStyle w:val="P68B1DB1-Normal11"/>
              <w:spacing w:after="0" w:line="240" w:lineRule="auto"/>
              <w:jc w:val="center"/>
              <w:rPr>
                <w:rFonts w:eastAsia="Times New Roman" w:cstheme="minorHAnsi"/>
                <w:noProof/>
              </w:rPr>
            </w:pPr>
            <w:r>
              <w:rPr>
                <w:noProof/>
              </w:rPr>
              <w:t>19.33</w:t>
            </w:r>
          </w:p>
        </w:tc>
        <w:tc>
          <w:tcPr>
            <w:tcW w:w="1211" w:type="dxa"/>
            <w:shd w:val="clear" w:color="auto" w:fill="C4EFCE"/>
            <w:noWrap/>
            <w:vAlign w:val="center"/>
          </w:tcPr>
          <w:p w14:paraId="02A0505D" w14:textId="6C5C6A0A" w:rsidR="00154AD2" w:rsidRDefault="007F6BF3">
            <w:pPr>
              <w:pStyle w:val="P68B1DB1-Normal12"/>
              <w:spacing w:after="0" w:line="240" w:lineRule="auto"/>
              <w:jc w:val="center"/>
              <w:rPr>
                <w:rFonts w:eastAsia="Times New Roman" w:cstheme="minorHAnsi"/>
                <w:noProof/>
              </w:rPr>
            </w:pPr>
            <w:r>
              <w:rPr>
                <w:noProof/>
              </w:rPr>
              <w:t>TD-C19-r42</w:t>
            </w:r>
          </w:p>
        </w:tc>
        <w:tc>
          <w:tcPr>
            <w:tcW w:w="1080" w:type="dxa"/>
            <w:shd w:val="clear" w:color="auto" w:fill="C4EFCE"/>
            <w:noWrap/>
            <w:vAlign w:val="center"/>
          </w:tcPr>
          <w:p w14:paraId="5B37C398" w14:textId="29DD42DF" w:rsidR="00154AD2" w:rsidRDefault="007F6BF3">
            <w:pPr>
              <w:pStyle w:val="P68B1DB1-Normal12"/>
              <w:spacing w:after="0" w:line="240" w:lineRule="auto"/>
              <w:jc w:val="center"/>
              <w:rPr>
                <w:rFonts w:eastAsia="Times New Roman" w:cstheme="minorHAnsi"/>
                <w:noProof/>
              </w:rPr>
            </w:pPr>
            <w:r>
              <w:rPr>
                <w:noProof/>
              </w:rPr>
              <w:t>T</w:t>
            </w:r>
          </w:p>
        </w:tc>
        <w:tc>
          <w:tcPr>
            <w:tcW w:w="1609" w:type="dxa"/>
            <w:shd w:val="clear" w:color="auto" w:fill="C4EFCE"/>
            <w:noWrap/>
            <w:vAlign w:val="center"/>
          </w:tcPr>
          <w:p w14:paraId="055786D3" w14:textId="285B3590" w:rsidR="00154AD2" w:rsidRDefault="007F6BF3">
            <w:pPr>
              <w:pStyle w:val="P68B1DB1-Normal12"/>
              <w:spacing w:after="0" w:line="240" w:lineRule="auto"/>
              <w:jc w:val="center"/>
              <w:rPr>
                <w:rFonts w:eastAsia="Times New Roman" w:cstheme="minorHAnsi"/>
                <w:noProof/>
              </w:rPr>
            </w:pPr>
            <w:r>
              <w:rPr>
                <w:noProof/>
              </w:rPr>
              <w:t>Έναρξη λειτουργίας του νέου συστήματος SIADAP</w:t>
            </w:r>
          </w:p>
        </w:tc>
        <w:tc>
          <w:tcPr>
            <w:tcW w:w="1343" w:type="dxa"/>
            <w:shd w:val="clear" w:color="auto" w:fill="C4EFCE"/>
            <w:noWrap/>
            <w:vAlign w:val="center"/>
          </w:tcPr>
          <w:p w14:paraId="09DC06A7" w14:textId="64B6C469" w:rsidR="00154AD2" w:rsidRDefault="007F6BF3">
            <w:pPr>
              <w:pStyle w:val="P68B1DB1-Normal12"/>
              <w:spacing w:after="0" w:line="240" w:lineRule="auto"/>
              <w:jc w:val="center"/>
              <w:rPr>
                <w:rFonts w:eastAsia="Times New Roman" w:cstheme="minorHAnsi"/>
                <w:noProof/>
              </w:rPr>
            </w:pPr>
            <w:r>
              <w:rPr>
                <w:noProof/>
              </w:rPr>
              <w:t xml:space="preserve">Έναρξη λειτουργίας του νέου συστήματος SIADAP </w:t>
            </w:r>
          </w:p>
        </w:tc>
        <w:tc>
          <w:tcPr>
            <w:tcW w:w="1134" w:type="dxa"/>
            <w:shd w:val="clear" w:color="auto" w:fill="C4EFCE"/>
            <w:noWrap/>
            <w:vAlign w:val="center"/>
          </w:tcPr>
          <w:p w14:paraId="58F7D868" w14:textId="1F6A8D99" w:rsidR="00154AD2" w:rsidRDefault="007F6BF3">
            <w:pPr>
              <w:pStyle w:val="P68B1DB1-Normal12"/>
              <w:spacing w:after="0" w:line="240" w:lineRule="auto"/>
              <w:jc w:val="center"/>
              <w:rPr>
                <w:rFonts w:eastAsia="Times New Roman" w:cstheme="minorHAnsi"/>
                <w:noProof/>
              </w:rPr>
            </w:pPr>
            <w:r>
              <w:rPr>
                <w:noProof/>
              </w:rPr>
              <w:t xml:space="preserve"> </w:t>
            </w:r>
          </w:p>
        </w:tc>
        <w:tc>
          <w:tcPr>
            <w:tcW w:w="947" w:type="dxa"/>
            <w:shd w:val="clear" w:color="auto" w:fill="C4EFCE"/>
            <w:noWrap/>
            <w:vAlign w:val="center"/>
          </w:tcPr>
          <w:p w14:paraId="37360046" w14:textId="55C6ECB7" w:rsidR="00154AD2" w:rsidRDefault="007F6BF3">
            <w:pPr>
              <w:pStyle w:val="P68B1DB1-Normal12"/>
              <w:spacing w:after="0" w:line="240" w:lineRule="auto"/>
              <w:jc w:val="center"/>
              <w:rPr>
                <w:rFonts w:eastAsia="Times New Roman" w:cstheme="minorHAnsi"/>
                <w:noProof/>
              </w:rPr>
            </w:pPr>
            <w:r>
              <w:rPr>
                <w:noProof/>
              </w:rPr>
              <w:t xml:space="preserve"> </w:t>
            </w:r>
          </w:p>
        </w:tc>
        <w:tc>
          <w:tcPr>
            <w:tcW w:w="682" w:type="dxa"/>
            <w:shd w:val="clear" w:color="auto" w:fill="C4EFCE"/>
            <w:noWrap/>
            <w:vAlign w:val="center"/>
          </w:tcPr>
          <w:p w14:paraId="2DB545E3" w14:textId="4B7402EB" w:rsidR="00154AD2" w:rsidRDefault="007F6BF3">
            <w:pPr>
              <w:pStyle w:val="P68B1DB1-Normal12"/>
              <w:spacing w:after="0" w:line="240" w:lineRule="auto"/>
              <w:jc w:val="center"/>
              <w:rPr>
                <w:rFonts w:eastAsia="Times New Roman" w:cstheme="minorHAnsi"/>
                <w:noProof/>
              </w:rPr>
            </w:pPr>
            <w:r>
              <w:rPr>
                <w:noProof/>
              </w:rPr>
              <w:t xml:space="preserve"> </w:t>
            </w:r>
          </w:p>
        </w:tc>
        <w:tc>
          <w:tcPr>
            <w:tcW w:w="550" w:type="dxa"/>
            <w:shd w:val="clear" w:color="auto" w:fill="C4EFCE"/>
            <w:noWrap/>
            <w:vAlign w:val="center"/>
          </w:tcPr>
          <w:p w14:paraId="1E46E1BF" w14:textId="3CA0D46D" w:rsidR="00154AD2" w:rsidRDefault="007F6BF3">
            <w:pPr>
              <w:pStyle w:val="P68B1DB1-Normal12"/>
              <w:spacing w:after="0" w:line="240" w:lineRule="auto"/>
              <w:jc w:val="center"/>
              <w:rPr>
                <w:rFonts w:eastAsia="Times New Roman" w:cstheme="minorHAnsi"/>
                <w:noProof/>
              </w:rPr>
            </w:pPr>
            <w:r>
              <w:rPr>
                <w:noProof/>
              </w:rPr>
              <w:t>ΤΡΊΜΗΝΟ 1</w:t>
            </w:r>
          </w:p>
        </w:tc>
        <w:tc>
          <w:tcPr>
            <w:tcW w:w="682" w:type="dxa"/>
            <w:shd w:val="clear" w:color="auto" w:fill="C4EFCE"/>
            <w:noWrap/>
            <w:vAlign w:val="center"/>
          </w:tcPr>
          <w:p w14:paraId="204F0C6B" w14:textId="01023863" w:rsidR="00154AD2" w:rsidRDefault="007F6BF3">
            <w:pPr>
              <w:pStyle w:val="P68B1DB1-Normal12"/>
              <w:spacing w:after="0" w:line="240" w:lineRule="auto"/>
              <w:jc w:val="center"/>
              <w:rPr>
                <w:rFonts w:eastAsia="Times New Roman" w:cstheme="minorHAnsi"/>
                <w:noProof/>
              </w:rPr>
            </w:pPr>
            <w:r>
              <w:rPr>
                <w:noProof/>
              </w:rPr>
              <w:t>2025</w:t>
            </w:r>
          </w:p>
        </w:tc>
        <w:tc>
          <w:tcPr>
            <w:tcW w:w="4458" w:type="dxa"/>
            <w:shd w:val="clear" w:color="auto" w:fill="C4EFCE"/>
            <w:vAlign w:val="center"/>
          </w:tcPr>
          <w:p w14:paraId="139C28E9" w14:textId="7E6818C1" w:rsidR="00154AD2" w:rsidRDefault="007F6BF3">
            <w:pPr>
              <w:pStyle w:val="P68B1DB1-Bodytext1013"/>
              <w:spacing w:line="240" w:lineRule="auto"/>
              <w:jc w:val="both"/>
              <w:rPr>
                <w:rFonts w:eastAsia="MS Mincho" w:cstheme="minorHAnsi"/>
                <w:noProof/>
              </w:rPr>
            </w:pPr>
            <w:r>
              <w:rPr>
                <w:noProof/>
              </w:rPr>
              <w:t>Έναρξη λειτουργίας του νέου συστήματος SIADAP, συμπεριλαμβανομένης της αντίστοιχης πλατφόρμας ΤΠ. Στους χρήστες του συστήματος SIADAP διατίθεται ειδική κατάρτιση για τη μάθηση του τρόπου χρήσης της πλατφόρμας ΤΠ.</w:t>
            </w:r>
          </w:p>
        </w:tc>
      </w:tr>
      <w:tr w:rsidR="00154AD2" w14:paraId="3BD666CA" w14:textId="77777777">
        <w:trPr>
          <w:trHeight w:val="430"/>
        </w:trPr>
        <w:tc>
          <w:tcPr>
            <w:tcW w:w="1082" w:type="dxa"/>
            <w:shd w:val="clear" w:color="auto" w:fill="C4EFCE"/>
            <w:vAlign w:val="center"/>
          </w:tcPr>
          <w:p w14:paraId="1A621731" w14:textId="4130020B" w:rsidR="00154AD2" w:rsidRDefault="007F6BF3">
            <w:pPr>
              <w:pStyle w:val="P68B1DB1-Normal11"/>
              <w:spacing w:after="0" w:line="240" w:lineRule="auto"/>
              <w:jc w:val="center"/>
              <w:rPr>
                <w:rFonts w:cstheme="minorHAnsi"/>
                <w:noProof/>
              </w:rPr>
            </w:pPr>
            <w:r>
              <w:rPr>
                <w:noProof/>
              </w:rPr>
              <w:t>19.34</w:t>
            </w:r>
          </w:p>
        </w:tc>
        <w:tc>
          <w:tcPr>
            <w:tcW w:w="1211" w:type="dxa"/>
            <w:shd w:val="clear" w:color="auto" w:fill="C4EFCE"/>
            <w:noWrap/>
            <w:vAlign w:val="center"/>
          </w:tcPr>
          <w:p w14:paraId="40206F7E" w14:textId="2D382AD0" w:rsidR="00154AD2" w:rsidRDefault="007F6BF3">
            <w:pPr>
              <w:pStyle w:val="P68B1DB1-Normal12"/>
              <w:spacing w:after="0" w:line="240" w:lineRule="auto"/>
              <w:jc w:val="center"/>
              <w:rPr>
                <w:rFonts w:cstheme="minorHAnsi"/>
                <w:noProof/>
              </w:rPr>
            </w:pPr>
            <w:r>
              <w:rPr>
                <w:noProof/>
              </w:rPr>
              <w:t>TD-C19-i08</w:t>
            </w:r>
          </w:p>
        </w:tc>
        <w:tc>
          <w:tcPr>
            <w:tcW w:w="1080" w:type="dxa"/>
            <w:shd w:val="clear" w:color="auto" w:fill="C4EFCE"/>
            <w:noWrap/>
            <w:vAlign w:val="center"/>
          </w:tcPr>
          <w:p w14:paraId="3762138F" w14:textId="70675931" w:rsidR="00154AD2" w:rsidRDefault="007F6BF3">
            <w:pPr>
              <w:pStyle w:val="P68B1DB1-Normal12"/>
              <w:spacing w:after="0" w:line="240" w:lineRule="auto"/>
              <w:jc w:val="center"/>
              <w:rPr>
                <w:rFonts w:cstheme="minorHAnsi"/>
                <w:noProof/>
              </w:rPr>
            </w:pPr>
            <w:r>
              <w:rPr>
                <w:noProof/>
              </w:rPr>
              <w:t xml:space="preserve"> M</w:t>
            </w:r>
          </w:p>
        </w:tc>
        <w:tc>
          <w:tcPr>
            <w:tcW w:w="1609" w:type="dxa"/>
            <w:shd w:val="clear" w:color="auto" w:fill="C4EFCE"/>
            <w:noWrap/>
            <w:vAlign w:val="center"/>
          </w:tcPr>
          <w:p w14:paraId="4895262C" w14:textId="47D5ADE7" w:rsidR="00154AD2" w:rsidRDefault="007F6BF3">
            <w:pPr>
              <w:pStyle w:val="P68B1DB1-Normal12"/>
              <w:spacing w:after="0" w:line="240" w:lineRule="auto"/>
              <w:jc w:val="center"/>
              <w:rPr>
                <w:rFonts w:cstheme="minorHAnsi"/>
                <w:noProof/>
              </w:rPr>
            </w:pPr>
            <w:r>
              <w:rPr>
                <w:noProof/>
              </w:rPr>
              <w:t>Έναρξη λειτουργίας της δικτυακής πύλης για τα έξυπνα εδάφη</w:t>
            </w:r>
          </w:p>
        </w:tc>
        <w:tc>
          <w:tcPr>
            <w:tcW w:w="1343" w:type="dxa"/>
            <w:shd w:val="clear" w:color="auto" w:fill="C4EFCE"/>
            <w:noWrap/>
            <w:vAlign w:val="center"/>
          </w:tcPr>
          <w:p w14:paraId="1CE63BEE" w14:textId="6B7D4F8E" w:rsidR="00154AD2" w:rsidRDefault="007F6BF3">
            <w:pPr>
              <w:pStyle w:val="P68B1DB1-Normal12"/>
              <w:spacing w:after="0" w:line="240" w:lineRule="auto"/>
              <w:jc w:val="center"/>
              <w:rPr>
                <w:rFonts w:cstheme="minorHAnsi"/>
                <w:noProof/>
              </w:rPr>
            </w:pPr>
            <w:r>
              <w:rPr>
                <w:noProof/>
              </w:rPr>
              <w:t xml:space="preserve">Έναρξη λειτουργίας της δικτυακής πύλης για τα έξυπνα εδάφη  </w:t>
            </w:r>
          </w:p>
        </w:tc>
        <w:tc>
          <w:tcPr>
            <w:tcW w:w="1134" w:type="dxa"/>
            <w:shd w:val="clear" w:color="auto" w:fill="C4EFCE"/>
            <w:noWrap/>
            <w:vAlign w:val="center"/>
          </w:tcPr>
          <w:p w14:paraId="4795DA0D" w14:textId="4161F638" w:rsidR="00154AD2" w:rsidRDefault="007F6BF3">
            <w:pPr>
              <w:pStyle w:val="P68B1DB1-Normal12"/>
              <w:spacing w:after="0" w:line="240" w:lineRule="auto"/>
              <w:jc w:val="center"/>
              <w:rPr>
                <w:rFonts w:cstheme="minorHAnsi"/>
                <w:noProof/>
              </w:rPr>
            </w:pPr>
            <w:r>
              <w:rPr>
                <w:noProof/>
              </w:rPr>
              <w:t xml:space="preserve"> </w:t>
            </w:r>
          </w:p>
        </w:tc>
        <w:tc>
          <w:tcPr>
            <w:tcW w:w="947" w:type="dxa"/>
            <w:shd w:val="clear" w:color="auto" w:fill="C4EFCE"/>
            <w:noWrap/>
            <w:vAlign w:val="center"/>
          </w:tcPr>
          <w:p w14:paraId="5ADAEE3A" w14:textId="662F9117" w:rsidR="00154AD2" w:rsidRDefault="007F6BF3">
            <w:pPr>
              <w:pStyle w:val="P68B1DB1-Normal12"/>
              <w:spacing w:after="0" w:line="240" w:lineRule="auto"/>
              <w:jc w:val="center"/>
              <w:rPr>
                <w:rFonts w:cstheme="minorHAnsi"/>
                <w:noProof/>
              </w:rPr>
            </w:pPr>
            <w:r>
              <w:rPr>
                <w:noProof/>
              </w:rPr>
              <w:t xml:space="preserve"> </w:t>
            </w:r>
          </w:p>
        </w:tc>
        <w:tc>
          <w:tcPr>
            <w:tcW w:w="682" w:type="dxa"/>
            <w:shd w:val="clear" w:color="auto" w:fill="C4EFCE"/>
            <w:noWrap/>
            <w:vAlign w:val="center"/>
          </w:tcPr>
          <w:p w14:paraId="1BF2082E" w14:textId="49DE1BE3" w:rsidR="00154AD2" w:rsidRDefault="007F6BF3">
            <w:pPr>
              <w:pStyle w:val="P68B1DB1-Normal12"/>
              <w:spacing w:after="0" w:line="240" w:lineRule="auto"/>
              <w:jc w:val="center"/>
              <w:rPr>
                <w:rFonts w:cstheme="minorHAnsi"/>
                <w:noProof/>
              </w:rPr>
            </w:pPr>
            <w:r>
              <w:rPr>
                <w:noProof/>
              </w:rPr>
              <w:t xml:space="preserve"> </w:t>
            </w:r>
          </w:p>
        </w:tc>
        <w:tc>
          <w:tcPr>
            <w:tcW w:w="550" w:type="dxa"/>
            <w:shd w:val="clear" w:color="auto" w:fill="C4EFCE"/>
            <w:noWrap/>
            <w:vAlign w:val="center"/>
          </w:tcPr>
          <w:p w14:paraId="2F308FC6" w14:textId="68E0A8F5" w:rsidR="00154AD2" w:rsidRDefault="007F6BF3">
            <w:pPr>
              <w:pStyle w:val="P68B1DB1-Normal12"/>
              <w:spacing w:after="0" w:line="240" w:lineRule="auto"/>
              <w:jc w:val="center"/>
              <w:rPr>
                <w:rFonts w:cstheme="minorHAnsi"/>
                <w:noProof/>
              </w:rPr>
            </w:pPr>
            <w:r>
              <w:rPr>
                <w:noProof/>
              </w:rPr>
              <w:t>ΤΡΊΜΗΝΟ 1</w:t>
            </w:r>
          </w:p>
        </w:tc>
        <w:tc>
          <w:tcPr>
            <w:tcW w:w="682" w:type="dxa"/>
            <w:shd w:val="clear" w:color="auto" w:fill="C4EFCE"/>
            <w:noWrap/>
            <w:vAlign w:val="center"/>
          </w:tcPr>
          <w:p w14:paraId="75086835" w14:textId="0DBEA283" w:rsidR="00154AD2" w:rsidRDefault="007F6BF3">
            <w:pPr>
              <w:pStyle w:val="P68B1DB1-Normal12"/>
              <w:spacing w:after="0" w:line="240" w:lineRule="auto"/>
              <w:jc w:val="center"/>
              <w:rPr>
                <w:rFonts w:cstheme="minorHAnsi"/>
                <w:noProof/>
              </w:rPr>
            </w:pPr>
            <w:r>
              <w:rPr>
                <w:noProof/>
              </w:rPr>
              <w:t>2025</w:t>
            </w:r>
          </w:p>
        </w:tc>
        <w:tc>
          <w:tcPr>
            <w:tcW w:w="4458" w:type="dxa"/>
            <w:shd w:val="clear" w:color="auto" w:fill="C4EFCE"/>
            <w:vAlign w:val="center"/>
          </w:tcPr>
          <w:p w14:paraId="5E92ABD1" w14:textId="47D500D2" w:rsidR="00154AD2" w:rsidRDefault="007F6BF3">
            <w:pPr>
              <w:pStyle w:val="P68B1DB1-Bodytext1013"/>
              <w:spacing w:after="0" w:line="240" w:lineRule="auto"/>
              <w:jc w:val="both"/>
              <w:rPr>
                <w:rFonts w:cstheme="minorHAnsi"/>
                <w:noProof/>
              </w:rPr>
            </w:pPr>
            <w:r>
              <w:rPr>
                <w:noProof/>
              </w:rPr>
              <w:t xml:space="preserve">Έναρξη λειτουργίας διαδικτυακού ιστότοπου (δηλαδή δικτυακής πύλης) που θα παρέχει επιγραμμικό αποθετήριο πληροφοριών σε τοπικό, περιφερειακό και εθνικό επίπεδο.  </w:t>
            </w:r>
          </w:p>
        </w:tc>
      </w:tr>
      <w:tr w:rsidR="00154AD2" w14:paraId="561E4208" w14:textId="77777777">
        <w:trPr>
          <w:trHeight w:val="430"/>
        </w:trPr>
        <w:tc>
          <w:tcPr>
            <w:tcW w:w="1082" w:type="dxa"/>
            <w:shd w:val="clear" w:color="auto" w:fill="C4EFCE"/>
            <w:vAlign w:val="center"/>
          </w:tcPr>
          <w:p w14:paraId="1C29C0D2" w14:textId="68CA64B4" w:rsidR="00154AD2" w:rsidRDefault="007F6BF3">
            <w:pPr>
              <w:pStyle w:val="P68B1DB1-Normal11"/>
              <w:spacing w:after="0" w:line="240" w:lineRule="auto"/>
              <w:jc w:val="center"/>
              <w:rPr>
                <w:rFonts w:cstheme="minorHAnsi"/>
                <w:noProof/>
              </w:rPr>
            </w:pPr>
            <w:r>
              <w:rPr>
                <w:noProof/>
              </w:rPr>
              <w:t>19.35</w:t>
            </w:r>
          </w:p>
        </w:tc>
        <w:tc>
          <w:tcPr>
            <w:tcW w:w="1211" w:type="dxa"/>
            <w:shd w:val="clear" w:color="auto" w:fill="C4EFCE"/>
            <w:noWrap/>
            <w:vAlign w:val="center"/>
          </w:tcPr>
          <w:p w14:paraId="08D6F6EF" w14:textId="5FBF4181" w:rsidR="00154AD2" w:rsidRDefault="007F6BF3">
            <w:pPr>
              <w:pStyle w:val="P68B1DB1-Bodytext1013"/>
              <w:spacing w:after="0"/>
              <w:jc w:val="center"/>
              <w:rPr>
                <w:rFonts w:cstheme="minorHAnsi"/>
                <w:noProof/>
              </w:rPr>
            </w:pPr>
            <w:r>
              <w:rPr>
                <w:noProof/>
              </w:rPr>
              <w:t>TD-C19-i08</w:t>
            </w:r>
          </w:p>
        </w:tc>
        <w:tc>
          <w:tcPr>
            <w:tcW w:w="1080" w:type="dxa"/>
            <w:shd w:val="clear" w:color="auto" w:fill="C4EFCE"/>
            <w:noWrap/>
            <w:vAlign w:val="center"/>
          </w:tcPr>
          <w:p w14:paraId="39CBDC9B" w14:textId="028DD878" w:rsidR="00154AD2" w:rsidRDefault="007F6BF3">
            <w:pPr>
              <w:pStyle w:val="P68B1DB1-Normal12"/>
              <w:spacing w:after="0" w:line="240" w:lineRule="auto"/>
              <w:jc w:val="center"/>
              <w:rPr>
                <w:noProof/>
              </w:rPr>
            </w:pPr>
            <w:r>
              <w:rPr>
                <w:noProof/>
              </w:rPr>
              <w:t>M</w:t>
            </w:r>
          </w:p>
        </w:tc>
        <w:tc>
          <w:tcPr>
            <w:tcW w:w="1609" w:type="dxa"/>
            <w:shd w:val="clear" w:color="auto" w:fill="C4EFCE"/>
            <w:noWrap/>
            <w:vAlign w:val="center"/>
          </w:tcPr>
          <w:p w14:paraId="5CDAFF79" w14:textId="16B612FE" w:rsidR="00154AD2" w:rsidRDefault="007F6BF3">
            <w:pPr>
              <w:pStyle w:val="P68B1DB1-Normal12"/>
              <w:spacing w:after="0" w:line="240" w:lineRule="auto"/>
              <w:jc w:val="center"/>
              <w:rPr>
                <w:noProof/>
              </w:rPr>
            </w:pPr>
            <w:r>
              <w:rPr>
                <w:noProof/>
              </w:rPr>
              <w:t>Έξυπνα εδάφη: Πλατφόρμες αστικής διαχείρισης, ψηφιακά δίδυμα και πίνακας εργαλείων δημόσιας πολιτικής</w:t>
            </w:r>
          </w:p>
        </w:tc>
        <w:tc>
          <w:tcPr>
            <w:tcW w:w="1343" w:type="dxa"/>
            <w:shd w:val="clear" w:color="auto" w:fill="C4EFCE"/>
            <w:noWrap/>
            <w:vAlign w:val="center"/>
          </w:tcPr>
          <w:p w14:paraId="5887A4A4" w14:textId="04AD0981" w:rsidR="00154AD2" w:rsidRDefault="007F6BF3">
            <w:pPr>
              <w:pStyle w:val="P68B1DB1-Normal8"/>
              <w:spacing w:after="0" w:line="240" w:lineRule="auto"/>
              <w:jc w:val="center"/>
              <w:rPr>
                <w:rFonts w:eastAsia="Calibri" w:cs="Calibri"/>
                <w:noProof/>
              </w:rPr>
            </w:pPr>
            <w:r>
              <w:rPr>
                <w:noProof/>
              </w:rPr>
              <w:t>Δήμοι με πλατφόρμες αστικής διαχείρισης, δημιουργία ψηφιακών διδύμων και δρομολόγηση του πίνακα εργαλείων δημόσιας πολιτικής</w:t>
            </w:r>
          </w:p>
        </w:tc>
        <w:tc>
          <w:tcPr>
            <w:tcW w:w="1134" w:type="dxa"/>
            <w:shd w:val="clear" w:color="auto" w:fill="C4EFCE"/>
            <w:noWrap/>
            <w:vAlign w:val="center"/>
          </w:tcPr>
          <w:p w14:paraId="66C3FFB1" w14:textId="620351DF" w:rsidR="00154AD2" w:rsidRDefault="00154AD2">
            <w:pPr>
              <w:spacing w:after="0" w:line="240" w:lineRule="auto"/>
              <w:jc w:val="center"/>
              <w:rPr>
                <w:rFonts w:cstheme="minorHAnsi"/>
                <w:noProof/>
                <w:sz w:val="16"/>
              </w:rPr>
            </w:pPr>
          </w:p>
        </w:tc>
        <w:tc>
          <w:tcPr>
            <w:tcW w:w="947" w:type="dxa"/>
            <w:shd w:val="clear" w:color="auto" w:fill="C4EFCE"/>
            <w:noWrap/>
            <w:vAlign w:val="center"/>
          </w:tcPr>
          <w:p w14:paraId="08351A85" w14:textId="3468C050" w:rsidR="00154AD2" w:rsidRDefault="00154AD2">
            <w:pPr>
              <w:spacing w:after="0" w:line="240" w:lineRule="auto"/>
              <w:jc w:val="center"/>
              <w:rPr>
                <w:noProof/>
                <w:sz w:val="16"/>
              </w:rPr>
            </w:pPr>
          </w:p>
        </w:tc>
        <w:tc>
          <w:tcPr>
            <w:tcW w:w="682" w:type="dxa"/>
            <w:shd w:val="clear" w:color="auto" w:fill="C4EFCE"/>
            <w:noWrap/>
            <w:vAlign w:val="center"/>
          </w:tcPr>
          <w:p w14:paraId="78472566" w14:textId="31A690E9" w:rsidR="00154AD2" w:rsidRDefault="00154AD2">
            <w:pPr>
              <w:spacing w:after="0" w:line="240" w:lineRule="auto"/>
              <w:jc w:val="center"/>
              <w:rPr>
                <w:noProof/>
                <w:sz w:val="16"/>
              </w:rPr>
            </w:pPr>
          </w:p>
        </w:tc>
        <w:tc>
          <w:tcPr>
            <w:tcW w:w="550" w:type="dxa"/>
            <w:shd w:val="clear" w:color="auto" w:fill="C4EFCE"/>
            <w:noWrap/>
            <w:vAlign w:val="center"/>
          </w:tcPr>
          <w:p w14:paraId="5C72A606" w14:textId="5E11F7EF" w:rsidR="00154AD2" w:rsidRDefault="007F6BF3">
            <w:pPr>
              <w:pStyle w:val="P68B1DB1-Normal12"/>
              <w:spacing w:after="0" w:line="240" w:lineRule="auto"/>
              <w:jc w:val="center"/>
              <w:rPr>
                <w:noProof/>
              </w:rPr>
            </w:pPr>
            <w:r>
              <w:rPr>
                <w:noProof/>
              </w:rPr>
              <w:t>ΤΡΊΜΗΝΟ 1</w:t>
            </w:r>
          </w:p>
        </w:tc>
        <w:tc>
          <w:tcPr>
            <w:tcW w:w="682" w:type="dxa"/>
            <w:shd w:val="clear" w:color="auto" w:fill="C4EFCE"/>
            <w:noWrap/>
            <w:vAlign w:val="center"/>
          </w:tcPr>
          <w:p w14:paraId="35582AA4" w14:textId="7E5EFB41" w:rsidR="00154AD2" w:rsidRDefault="007F6BF3">
            <w:pPr>
              <w:pStyle w:val="P68B1DB1-Normal12"/>
              <w:spacing w:after="0" w:line="240" w:lineRule="auto"/>
              <w:jc w:val="center"/>
              <w:rPr>
                <w:rFonts w:cstheme="minorHAnsi"/>
                <w:noProof/>
              </w:rPr>
            </w:pPr>
            <w:r>
              <w:rPr>
                <w:noProof/>
              </w:rPr>
              <w:t>2026</w:t>
            </w:r>
          </w:p>
        </w:tc>
        <w:tc>
          <w:tcPr>
            <w:tcW w:w="4458" w:type="dxa"/>
            <w:shd w:val="clear" w:color="auto" w:fill="C4EFCE"/>
            <w:vAlign w:val="center"/>
          </w:tcPr>
          <w:p w14:paraId="1A3A289D" w14:textId="7D525C8C" w:rsidR="00154AD2" w:rsidRDefault="007F6BF3">
            <w:pPr>
              <w:pStyle w:val="P68B1DB1-Bodytext1013"/>
              <w:spacing w:after="0" w:line="240" w:lineRule="auto"/>
              <w:jc w:val="both"/>
              <w:rPr>
                <w:rFonts w:cstheme="minorBidi"/>
                <w:noProof/>
              </w:rPr>
            </w:pPr>
            <w:r>
              <w:rPr>
                <w:noProof/>
              </w:rPr>
              <w:t>Εγκαθίσταται ή αναβαθμίζεται Πλατφόρμα Αστικής Διαχείρισης σε 75 Δήμους και Δήμους/Περιφέρειες μητροπολιτικών περιοχών.</w:t>
            </w:r>
          </w:p>
          <w:p w14:paraId="5DF67326" w14:textId="15FAAA70" w:rsidR="00154AD2" w:rsidRDefault="00154AD2">
            <w:pPr>
              <w:pStyle w:val="Bodytext10"/>
              <w:spacing w:after="0" w:line="240" w:lineRule="auto"/>
              <w:jc w:val="both"/>
              <w:rPr>
                <w:rFonts w:asciiTheme="minorHAnsi" w:hAnsiTheme="minorHAnsi" w:cstheme="minorBidi"/>
                <w:noProof/>
                <w:sz w:val="16"/>
              </w:rPr>
            </w:pPr>
          </w:p>
          <w:p w14:paraId="0EC040A8" w14:textId="2E07BB19" w:rsidR="00154AD2" w:rsidRDefault="007F6BF3">
            <w:pPr>
              <w:pStyle w:val="P68B1DB1-Bodytext1013"/>
              <w:spacing w:after="0" w:line="240" w:lineRule="auto"/>
              <w:jc w:val="both"/>
              <w:rPr>
                <w:rFonts w:cstheme="minorBidi"/>
                <w:noProof/>
              </w:rPr>
            </w:pPr>
            <w:r>
              <w:rPr>
                <w:noProof/>
              </w:rPr>
              <w:t>Δημιουργούνται πέντε ψηφιακά δίδυμα σε εθνικούς τομείς προτεραιότητας, όπως το νερό και η γεωργία, η ανθεκτικότητα στην κλιματική αλλαγή, η κινητικότητα και η απαλλαγή από τις ανθρακούχες εκπομπές, η υγεία, η ενέργεια, ο τουρισμός και η πολιτική προστασία.</w:t>
            </w:r>
          </w:p>
          <w:p w14:paraId="59ADF51D" w14:textId="15FAAA70" w:rsidR="00154AD2" w:rsidRDefault="00154AD2">
            <w:pPr>
              <w:pStyle w:val="Bodytext10"/>
              <w:spacing w:after="0" w:line="240" w:lineRule="auto"/>
              <w:jc w:val="both"/>
              <w:rPr>
                <w:rFonts w:asciiTheme="minorHAnsi" w:hAnsiTheme="minorHAnsi" w:cstheme="minorBidi"/>
                <w:noProof/>
                <w:sz w:val="16"/>
              </w:rPr>
            </w:pPr>
          </w:p>
          <w:p w14:paraId="1268B617" w14:textId="574B7910" w:rsidR="00154AD2" w:rsidRDefault="007F6BF3">
            <w:pPr>
              <w:pStyle w:val="P68B1DB1-Bodytext1013"/>
              <w:spacing w:after="0" w:line="240" w:lineRule="auto"/>
              <w:jc w:val="both"/>
              <w:rPr>
                <w:rFonts w:cstheme="minorBidi"/>
                <w:noProof/>
              </w:rPr>
            </w:pPr>
            <w:r>
              <w:rPr>
                <w:noProof/>
              </w:rPr>
              <w:t>Ο πίνακας εργαλείων που ανοίγεται είναι διαθέσιμος σε κεντρικούς και περιφερειακούς παράγοντες.</w:t>
            </w:r>
          </w:p>
        </w:tc>
      </w:tr>
      <w:tr w:rsidR="00154AD2" w14:paraId="1F719612" w14:textId="77777777">
        <w:trPr>
          <w:trHeight w:val="430"/>
        </w:trPr>
        <w:tc>
          <w:tcPr>
            <w:tcW w:w="1082" w:type="dxa"/>
            <w:shd w:val="clear" w:color="auto" w:fill="C4EFCE"/>
            <w:vAlign w:val="center"/>
          </w:tcPr>
          <w:p w14:paraId="628865B2" w14:textId="55E9CCCC" w:rsidR="00154AD2" w:rsidRDefault="007F6BF3">
            <w:pPr>
              <w:pStyle w:val="P68B1DB1-Normal11"/>
              <w:spacing w:after="0" w:line="240" w:lineRule="auto"/>
              <w:jc w:val="center"/>
              <w:rPr>
                <w:rFonts w:cstheme="minorHAnsi"/>
                <w:noProof/>
              </w:rPr>
            </w:pPr>
            <w:r>
              <w:rPr>
                <w:noProof/>
              </w:rPr>
              <w:t>19.36</w:t>
            </w:r>
          </w:p>
        </w:tc>
        <w:tc>
          <w:tcPr>
            <w:tcW w:w="1211" w:type="dxa"/>
            <w:shd w:val="clear" w:color="auto" w:fill="C4EFCE"/>
            <w:noWrap/>
            <w:vAlign w:val="center"/>
          </w:tcPr>
          <w:p w14:paraId="25B23B67" w14:textId="600B4833" w:rsidR="00154AD2" w:rsidRDefault="007F6BF3">
            <w:pPr>
              <w:pStyle w:val="P68B1DB1-Bodytext1013"/>
              <w:spacing w:after="0"/>
              <w:jc w:val="center"/>
              <w:rPr>
                <w:rFonts w:cstheme="minorHAnsi"/>
                <w:noProof/>
              </w:rPr>
            </w:pPr>
            <w:r>
              <w:rPr>
                <w:noProof/>
              </w:rPr>
              <w:t>TD-C19-i08</w:t>
            </w:r>
          </w:p>
        </w:tc>
        <w:tc>
          <w:tcPr>
            <w:tcW w:w="1080" w:type="dxa"/>
            <w:shd w:val="clear" w:color="auto" w:fill="C4EFCE"/>
            <w:noWrap/>
            <w:vAlign w:val="center"/>
          </w:tcPr>
          <w:p w14:paraId="419D9ACF" w14:textId="2C9A2317" w:rsidR="00154AD2" w:rsidRDefault="007F6BF3">
            <w:pPr>
              <w:pStyle w:val="P68B1DB1-Normal12"/>
              <w:spacing w:after="0" w:line="240" w:lineRule="auto"/>
              <w:jc w:val="center"/>
              <w:rPr>
                <w:rFonts w:cstheme="minorHAnsi"/>
                <w:noProof/>
              </w:rPr>
            </w:pPr>
            <w:r>
              <w:rPr>
                <w:noProof/>
              </w:rPr>
              <w:t>M</w:t>
            </w:r>
          </w:p>
        </w:tc>
        <w:tc>
          <w:tcPr>
            <w:tcW w:w="1609" w:type="dxa"/>
            <w:shd w:val="clear" w:color="auto" w:fill="C4EFCE"/>
            <w:noWrap/>
            <w:vAlign w:val="center"/>
          </w:tcPr>
          <w:p w14:paraId="5648E079" w14:textId="3040F5A3" w:rsidR="00154AD2" w:rsidRDefault="007F6BF3">
            <w:pPr>
              <w:pStyle w:val="P68B1DB1-Normal12"/>
              <w:spacing w:after="0" w:line="240" w:lineRule="auto"/>
              <w:jc w:val="center"/>
              <w:rPr>
                <w:rFonts w:cstheme="minorHAnsi"/>
                <w:noProof/>
              </w:rPr>
            </w:pPr>
            <w:r>
              <w:rPr>
                <w:noProof/>
              </w:rPr>
              <w:t>Κατάρτιση σε έξυπνες περιοχές</w:t>
            </w:r>
          </w:p>
        </w:tc>
        <w:tc>
          <w:tcPr>
            <w:tcW w:w="1343" w:type="dxa"/>
            <w:shd w:val="clear" w:color="auto" w:fill="C4EFCE"/>
            <w:noWrap/>
            <w:vAlign w:val="center"/>
          </w:tcPr>
          <w:p w14:paraId="44D863AA" w14:textId="77777777" w:rsidR="00154AD2" w:rsidRDefault="00154AD2">
            <w:pPr>
              <w:spacing w:after="0" w:line="240" w:lineRule="auto"/>
              <w:jc w:val="center"/>
              <w:rPr>
                <w:rFonts w:cstheme="minorHAnsi"/>
                <w:noProof/>
                <w:sz w:val="16"/>
              </w:rPr>
            </w:pPr>
          </w:p>
        </w:tc>
        <w:tc>
          <w:tcPr>
            <w:tcW w:w="1134" w:type="dxa"/>
            <w:shd w:val="clear" w:color="auto" w:fill="C4EFCE"/>
            <w:noWrap/>
            <w:vAlign w:val="center"/>
          </w:tcPr>
          <w:p w14:paraId="3C744534" w14:textId="471C353F" w:rsidR="00154AD2" w:rsidRDefault="007F6BF3">
            <w:pPr>
              <w:pStyle w:val="P68B1DB1-Normal12"/>
              <w:spacing w:after="0" w:line="240" w:lineRule="auto"/>
              <w:jc w:val="center"/>
              <w:rPr>
                <w:rFonts w:cstheme="minorHAnsi"/>
                <w:noProof/>
              </w:rPr>
            </w:pPr>
            <w:r>
              <w:rPr>
                <w:noProof/>
              </w:rPr>
              <w:t>Αριθμός</w:t>
            </w:r>
          </w:p>
        </w:tc>
        <w:tc>
          <w:tcPr>
            <w:tcW w:w="947" w:type="dxa"/>
            <w:shd w:val="clear" w:color="auto" w:fill="C4EFCE"/>
            <w:noWrap/>
            <w:vAlign w:val="center"/>
          </w:tcPr>
          <w:p w14:paraId="538FAA91" w14:textId="20339339" w:rsidR="00154AD2" w:rsidRDefault="007F6BF3">
            <w:pPr>
              <w:pStyle w:val="P68B1DB1-Normal12"/>
              <w:spacing w:after="0" w:line="240" w:lineRule="auto"/>
              <w:jc w:val="center"/>
              <w:rPr>
                <w:rFonts w:cstheme="minorHAnsi"/>
                <w:noProof/>
              </w:rPr>
            </w:pPr>
            <w:r>
              <w:rPr>
                <w:noProof/>
              </w:rPr>
              <w:t>0</w:t>
            </w:r>
          </w:p>
        </w:tc>
        <w:tc>
          <w:tcPr>
            <w:tcW w:w="682" w:type="dxa"/>
            <w:shd w:val="clear" w:color="auto" w:fill="C4EFCE"/>
            <w:noWrap/>
            <w:vAlign w:val="center"/>
          </w:tcPr>
          <w:p w14:paraId="498F4BE0" w14:textId="75A3A34E" w:rsidR="00154AD2" w:rsidRDefault="007F6BF3">
            <w:pPr>
              <w:pStyle w:val="P68B1DB1-Normal12"/>
              <w:spacing w:after="0" w:line="240" w:lineRule="auto"/>
              <w:jc w:val="center"/>
              <w:rPr>
                <w:rFonts w:cstheme="minorHAnsi"/>
                <w:noProof/>
              </w:rPr>
            </w:pPr>
            <w:r>
              <w:rPr>
                <w:noProof/>
              </w:rPr>
              <w:t>650</w:t>
            </w:r>
          </w:p>
        </w:tc>
        <w:tc>
          <w:tcPr>
            <w:tcW w:w="550" w:type="dxa"/>
            <w:shd w:val="clear" w:color="auto" w:fill="C4EFCE"/>
            <w:noWrap/>
            <w:vAlign w:val="center"/>
          </w:tcPr>
          <w:p w14:paraId="195EA9FE" w14:textId="21BCF0FB" w:rsidR="00154AD2" w:rsidRDefault="007F6BF3">
            <w:pPr>
              <w:pStyle w:val="P68B1DB1-Normal12"/>
              <w:spacing w:after="0" w:line="240" w:lineRule="auto"/>
              <w:jc w:val="center"/>
              <w:rPr>
                <w:rFonts w:cstheme="minorHAnsi"/>
                <w:noProof/>
              </w:rPr>
            </w:pPr>
            <w:r>
              <w:rPr>
                <w:noProof/>
              </w:rPr>
              <w:t>ΤΡΊΜΗΝΟ 4</w:t>
            </w:r>
          </w:p>
        </w:tc>
        <w:tc>
          <w:tcPr>
            <w:tcW w:w="682" w:type="dxa"/>
            <w:shd w:val="clear" w:color="auto" w:fill="C4EFCE"/>
            <w:noWrap/>
            <w:vAlign w:val="center"/>
          </w:tcPr>
          <w:p w14:paraId="5FAC320A" w14:textId="68759A95" w:rsidR="00154AD2" w:rsidRDefault="007F6BF3">
            <w:pPr>
              <w:pStyle w:val="P68B1DB1-Normal12"/>
              <w:spacing w:after="0" w:line="240" w:lineRule="auto"/>
              <w:jc w:val="center"/>
              <w:rPr>
                <w:rFonts w:cstheme="minorHAnsi"/>
                <w:noProof/>
              </w:rPr>
            </w:pPr>
            <w:r>
              <w:rPr>
                <w:noProof/>
              </w:rPr>
              <w:t>2025</w:t>
            </w:r>
          </w:p>
        </w:tc>
        <w:tc>
          <w:tcPr>
            <w:tcW w:w="4458" w:type="dxa"/>
            <w:shd w:val="clear" w:color="auto" w:fill="C4EFCE"/>
            <w:vAlign w:val="center"/>
          </w:tcPr>
          <w:p w14:paraId="6C088F62" w14:textId="48E68E5E" w:rsidR="00154AD2" w:rsidRDefault="007F6BF3">
            <w:pPr>
              <w:pStyle w:val="P68B1DB1-Bodytext1013"/>
              <w:spacing w:after="0" w:line="240" w:lineRule="auto"/>
              <w:jc w:val="both"/>
              <w:rPr>
                <w:rFonts w:cstheme="minorHAnsi"/>
                <w:noProof/>
              </w:rPr>
            </w:pPr>
            <w:r>
              <w:rPr>
                <w:noProof/>
              </w:rPr>
              <w:t>Αριθμός δημοσίων υπαλλήλων που έχουν ολοκληρώσει κατάρτιση σχετικά με τη συλλογή και τη διαχείριση δεδομένων και άλλο περιεχόμενο που συνδέεται με έξυπνες πόλεις και κτίρια, καθώς και τη βιωσιμότητα.</w:t>
            </w:r>
          </w:p>
        </w:tc>
      </w:tr>
    </w:tbl>
    <w:p w14:paraId="7E5600AA" w14:textId="77777777" w:rsidR="00154AD2" w:rsidRDefault="00154AD2">
      <w:pPr>
        <w:keepNext/>
        <w:spacing w:before="40" w:after="0" w:line="259" w:lineRule="auto"/>
        <w:jc w:val="both"/>
        <w:rPr>
          <w:rFonts w:ascii="Times New Roman" w:eastAsiaTheme="minorEastAsia" w:hAnsi="Times New Roman" w:cs="Times New Roman"/>
          <w:noProof/>
          <w:sz w:val="24"/>
          <w:u w:val="single"/>
        </w:rPr>
      </w:pPr>
    </w:p>
    <w:p w14:paraId="24A85F36" w14:textId="77777777" w:rsidR="00154AD2" w:rsidRDefault="00154AD2">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154AD2" w:rsidSect="00E00EDD">
          <w:headerReference w:type="even" r:id="rId350"/>
          <w:headerReference w:type="default" r:id="rId351"/>
          <w:footerReference w:type="even" r:id="rId352"/>
          <w:footerReference w:type="default" r:id="rId353"/>
          <w:headerReference w:type="first" r:id="rId354"/>
          <w:footerReference w:type="first" r:id="rId355"/>
          <w:pgSz w:w="16839" w:h="11907" w:orient="landscape"/>
          <w:pgMar w:top="1134" w:right="1134" w:bottom="1134" w:left="1134" w:header="567" w:footer="567" w:gutter="0"/>
          <w:cols w:space="720"/>
          <w:docGrid w:linePitch="360"/>
        </w:sectPr>
      </w:pPr>
    </w:p>
    <w:p w14:paraId="6A596265" w14:textId="77777777" w:rsidR="00154AD2" w:rsidRDefault="007F6BF3">
      <w:pPr>
        <w:pStyle w:val="P68B1DB1-Normal3"/>
        <w:keepNext/>
        <w:spacing w:before="40" w:after="0" w:line="259" w:lineRule="auto"/>
        <w:ind w:left="130" w:firstLine="720"/>
        <w:jc w:val="both"/>
        <w:outlineLvl w:val="1"/>
        <w:rPr>
          <w:rFonts w:eastAsiaTheme="minorEastAsia" w:cs="Times New Roman"/>
          <w:noProof/>
        </w:rPr>
      </w:pPr>
      <w:r>
        <w:rPr>
          <w:noProof/>
        </w:rPr>
        <w:t>T. ΣΥΝΙΣΤΏΣΑ 20: Ψηφιακό σχολείο</w:t>
      </w:r>
    </w:p>
    <w:p w14:paraId="0220BD59"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Πορτογαλία είχε, το 2019, τιμές χαμηλότερες από τους ευρωπαϊκούς μέσους όρους όσον αφορά την καθημερινή χρήση του διαδικτύου (65 %), τη χρήση διαδικτυακών δημόσιων υπηρεσιών (41 %) και ειδικών ΤΠΕ στην αγορά εργασίας (2,4 %) (στοιχεία Eurostat/Παρατηρητήριο Ψηφιακών Δεξιοτήτων) και έθεσε φιλόδοξους στόχους έως το 2025 για τους δείκτες αυτούς (80 %, 75 % και 5 % αντίστοιχα). Μεταξύ των ειδικών ΤΠΕ στην αγορά εργασίας, οι γυναίκες αντιπροσώπευαν το 18,3 % και οι άνδρες το 81,7 % (στοιχεία της Eurostat). </w:t>
      </w:r>
    </w:p>
    <w:p w14:paraId="3D0CAE16" w14:textId="77777777" w:rsidR="00154AD2" w:rsidRDefault="007F6BF3">
      <w:pPr>
        <w:pStyle w:val="P68B1DB1-Normal4"/>
        <w:keepNext/>
        <w:spacing w:before="40" w:after="0" w:line="259" w:lineRule="auto"/>
        <w:jc w:val="both"/>
        <w:rPr>
          <w:rFonts w:eastAsiaTheme="minorEastAsia" w:cs="Times New Roman"/>
          <w:noProof/>
        </w:rPr>
      </w:pPr>
      <w:r>
        <w:rPr>
          <w:noProof/>
        </w:rPr>
        <w:t>Στόχος της συνιστώσας είναι η δημιουργία των προϋποθέσεων για την εκπαιδευτική, παιδαγωγική και διαχειριστική καινοτομία του πορτογαλικού συστήματος πρωτοβάθμιας και δευτεροβάθμιας εκπαίδευσης. Αυτό θα επιτευχθεί με την ανάπτυξη ψηφιακών δεξιοτήτων των εκπαιδευτικών, των μαθητών και του σχολικού προσωπικού, με την ενσωμάτωση των ψηφιακών τεχνολογιών στους διάφορους τομείς του προγράμματος σπουδών και με την παροχή του κατάλληλου εξοπλισμού. Με τη σειρά του, αυτό αναμένεται να συμβάλει στην ψηφιακή μετάβαση και σε μια βιώσιμη και χωρίς αποκλεισμούς ανάπτυξη της οικονομίας.</w:t>
      </w:r>
    </w:p>
    <w:p w14:paraId="2A7F6906" w14:textId="77777777" w:rsidR="00154AD2" w:rsidRDefault="007F6BF3">
      <w:pPr>
        <w:pStyle w:val="P68B1DB1-Normal4"/>
        <w:keepNext/>
        <w:spacing w:before="40" w:after="0" w:line="259" w:lineRule="auto"/>
        <w:jc w:val="both"/>
        <w:rPr>
          <w:rFonts w:eastAsiaTheme="minorEastAsia" w:cs="Times New Roman"/>
          <w:noProof/>
        </w:rPr>
      </w:pPr>
      <w:r>
        <w:rPr>
          <w:noProof/>
        </w:rPr>
        <w:t>Η συνιστώσα συμβάλλει στην εφαρμογή της ειδικής ανά χώρα σύστασης για τη βελτίωση του επιπέδου δεξιοτήτων του πληθυσμού, ιδίως του ψηφιακού γραμματισμού του (ειδική ανά χώρα σύσταση 2 2019) και τη στήριξη της χρήσης ψηφιακών τεχνολογιών για τη διασφάλιση ισότιμης πρόσβασης σε ποιοτική εκπαίδευση και κατάρτιση (ειδική ανά χώρα σύσταση 2 2020).</w:t>
      </w:r>
    </w:p>
    <w:p w14:paraId="74ECCC4A" w14:textId="77777777" w:rsidR="00154AD2" w:rsidRDefault="007F6BF3">
      <w:pPr>
        <w:pStyle w:val="P68B1DB1-Normal4"/>
        <w:keepNext/>
        <w:spacing w:before="40" w:after="0" w:line="259" w:lineRule="auto"/>
        <w:jc w:val="both"/>
        <w:outlineLvl w:val="1"/>
        <w:rPr>
          <w:rFonts w:eastAsiaTheme="minorEastAsia" w:cs="Times New Roman"/>
          <w:noProof/>
        </w:rPr>
      </w:pPr>
      <w:r>
        <w:rPr>
          <w:noProof/>
        </w:rPr>
        <w:t xml:space="preserve">Αναμένεται ότι κανένα μέτρο στη συνιστώσα αυτή δεν βλάπτει σημαντικά τους περιβαλλοντικούς στόχους κατά την έννοια του άρθρου 17 του κανονισμού (ΕΕ) 2020/852, λαμβανομένης υπόψη της περιγραφής των μέτρων και των μέτρων μετριασμού που ορίζονται στο σχέδιο σύμφωνα με την τεχνική καθοδήγηση σχετικά με την αρχή της μη πρόκλησης σημαντικής βλάβης (2021/C58/01). </w:t>
      </w:r>
    </w:p>
    <w:p w14:paraId="3B662D2B" w14:textId="77777777" w:rsidR="00154AD2" w:rsidRDefault="00154AD2">
      <w:pPr>
        <w:keepNext/>
        <w:spacing w:before="40" w:after="0" w:line="259" w:lineRule="auto"/>
        <w:ind w:left="130" w:firstLine="720"/>
        <w:jc w:val="both"/>
        <w:outlineLvl w:val="1"/>
        <w:rPr>
          <w:rFonts w:ascii="Times New Roman" w:eastAsiaTheme="minorEastAsia" w:hAnsi="Times New Roman" w:cs="Times New Roman"/>
          <w:noProof/>
          <w:sz w:val="24"/>
        </w:rPr>
      </w:pPr>
    </w:p>
    <w:p w14:paraId="59DF8EE1" w14:textId="77777777" w:rsidR="00154AD2" w:rsidRDefault="007F6BF3">
      <w:pPr>
        <w:pStyle w:val="P68B1DB1-Normal3"/>
        <w:keepNext/>
        <w:spacing w:before="40" w:after="0" w:line="259" w:lineRule="auto"/>
        <w:ind w:left="130" w:firstLine="720"/>
        <w:jc w:val="both"/>
        <w:outlineLvl w:val="1"/>
        <w:rPr>
          <w:rFonts w:eastAsiaTheme="minorEastAsia" w:cs="Times New Roman"/>
          <w:noProof/>
        </w:rPr>
      </w:pPr>
      <w:r>
        <w:rPr>
          <w:noProof/>
        </w:rPr>
        <w:t>Τ.1. Περιγραφή των μεταρρυθμίσεων και των επενδύσεων που είναι επιλέξιμες για λήψη μη επιστρεπτέας χρηματοδοτικής στήριξης</w:t>
      </w:r>
    </w:p>
    <w:p w14:paraId="707939C8" w14:textId="77777777"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Μεταρρύθμιση TD-r37: Μεταρρύθμιση της ψηφιακής εκπαίδευσης</w:t>
      </w:r>
    </w:p>
    <w:p w14:paraId="75AAAB02"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Οι στόχοι του μέτρου είναι η ανάπτυξη μιας νέας ψηφιακής προσέγγισης για την εκπαίδευση, η οποία θα αξιοποιεί τις υφιστάμενες πολιτικές δημόσιας εκπαίδευσης, ιδίως το σύστημα αυτονομίας και ευελιξίας στα προγράμματα σπουδών. Η μεταρρύθμιση αυτή αποσκοπεί στην εισαγωγή ποιοτικού άλματος όσον αφορά την παιδαγωγική χρήση των ψηφιακών τεχνολογιών και τον τρόπο με τον οποίο θα ενσωματωθούν στη διαδικασία απόκτησης γνώσεων. Η μεταρρύθμιση αποσκοπεί επίσης στον μετριασμό των κινδύνων αποκλεισμού και μειονεκτημάτων στις μαθησιακές διαδικασίες μέσω της μείωσης των κοινωνικών και εκπαιδευτικών ανισοτήτων όσον αφορά την πρόσβαση στις ψηφιακές τεχνολογίες. Η μεταρρύθμιση της ψηφιακής εκπαίδευσης απευθύνεται στην εκπαιδευτική κοινότητα (μαθητές, διδακτικό και μη διδακτικό προσωπικό). </w:t>
      </w:r>
    </w:p>
    <w:p w14:paraId="2F6F6796"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μεταρρύθμιση συνίσταται σε μέτρα που διασφαλίζουν ότι το 95 % των εκπαιδευτικών στο δημόσιο εκπαιδευτικό δίκτυο λαμβάνουν κατάρτιση σε βασικές ή πιο προηγμένες ψηφιακές δεξιότητες, μεταξύ άλλων σχετικά με την ενσωμάτωση των ψηφιακών τεχνολογιών στο πρόγραμμα σπουδών. </w:t>
      </w:r>
    </w:p>
    <w:p w14:paraId="5FE5A2B5" w14:textId="77777777" w:rsidR="00154AD2" w:rsidRDefault="007F6BF3">
      <w:pPr>
        <w:pStyle w:val="P68B1DB1-Normal4"/>
        <w:keepNext/>
        <w:spacing w:before="40" w:after="0" w:line="259" w:lineRule="auto"/>
        <w:jc w:val="both"/>
        <w:rPr>
          <w:rFonts w:eastAsiaTheme="minorEastAsia" w:cs="Times New Roman"/>
          <w:noProof/>
        </w:rPr>
      </w:pPr>
      <w:r>
        <w:rPr>
          <w:noProof/>
        </w:rPr>
        <w:t>Η εφαρμογή της μεταρρύθμισης ολοκληρώνεται έως τις 31 Δεκεμβρίου 2025.</w:t>
      </w:r>
    </w:p>
    <w:p w14:paraId="079FE2F5" w14:textId="77777777"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Επένδυση TD-C20-i01: Ψηφιακή μετάβαση στην εκπαίδευση</w:t>
      </w:r>
    </w:p>
    <w:p w14:paraId="1BD28562" w14:textId="77777777" w:rsidR="00154AD2" w:rsidRDefault="007F6BF3">
      <w:pPr>
        <w:pStyle w:val="P68B1DB1-Normal4"/>
        <w:keepNext/>
        <w:spacing w:before="40" w:after="0" w:line="259" w:lineRule="auto"/>
        <w:jc w:val="both"/>
        <w:rPr>
          <w:rFonts w:eastAsiaTheme="minorEastAsia" w:cs="Times New Roman"/>
          <w:noProof/>
        </w:rPr>
      </w:pPr>
      <w:r>
        <w:rPr>
          <w:noProof/>
        </w:rPr>
        <w:t>Οι στόχοι της επένδυσης είναι οι εξής: I) να άρει τα εμπόδια στην πρόσβαση σε ποιοτικό διαδίκτυο στο σχολικό περιβάλλον· II) να άρει τους περιορισμούς στην ολοκληρωμένη χρήση του τεχνολογικού και ψηφιακού εξοπλισμού και να εξαλείψει την έλλειψη εξειδικευμένου εξοπλισμού για την ανάπτυξη ψηφιακών δεξιοτήτων και να τονώσει τη συνέχιση των σταδιοδρομιών STEAM, να προωθήσει την ισότιμη συμμετοχή κοριτσιών και αγοριών· III) να ξεπεραστεί η ανεπαρκής χρήση των ψηφιακών εκπαιδευτικών πόρων στη μαθησιακή διαδικασία και τη διαδικασία αξιολόγησης· και iv) να ξεπεραστεί η διασπορά και η αναποτελεσματικότητα των συστημάτων διαχείρισης και πληροφοριών του εκπαιδευτικού συστήματος μέσω της επανεξέτασης και επικαιροποίησης των μεθοδολογιών και διαδικασιών διαχείρισης και διοίκησης των σχολείων.</w:t>
      </w:r>
    </w:p>
    <w:p w14:paraId="7653B2CD" w14:textId="77777777" w:rsidR="00154AD2" w:rsidRDefault="007F6BF3">
      <w:pPr>
        <w:pStyle w:val="P68B1DB1-Normal4"/>
        <w:keepNext/>
        <w:spacing w:before="40" w:after="0" w:line="259" w:lineRule="auto"/>
        <w:jc w:val="both"/>
        <w:rPr>
          <w:rFonts w:eastAsiaTheme="minorEastAsia" w:cs="Times New Roman"/>
          <w:noProof/>
        </w:rPr>
      </w:pPr>
      <w:r>
        <w:rPr>
          <w:noProof/>
        </w:rPr>
        <w:t>Η επένδυση αυτή συνίσταται στα εξής:</w:t>
      </w:r>
    </w:p>
    <w:p w14:paraId="03FF5724" w14:textId="6EAC7F20" w:rsidR="00154AD2" w:rsidRDefault="007F6BF3">
      <w:pPr>
        <w:pStyle w:val="P68B1DB1-Normal4"/>
        <w:keepNext/>
        <w:numPr>
          <w:ilvl w:val="0"/>
          <w:numId w:val="38"/>
        </w:numPr>
        <w:spacing w:before="40" w:after="160" w:line="259" w:lineRule="auto"/>
        <w:contextualSpacing/>
        <w:jc w:val="both"/>
        <w:rPr>
          <w:rFonts w:eastAsiaTheme="minorEastAsia" w:cs="Times New Roman"/>
          <w:noProof/>
        </w:rPr>
      </w:pPr>
      <w:r>
        <w:rPr>
          <w:noProof/>
        </w:rPr>
        <w:t>Κλιμάκωση της συνδεσιμότητας των σχολείων με επέκταση της συνδεσιμότητας στο διαδίκτυο του διευρυμένου δικτύου εκπαίδευσης από 40 σε 300 Gbps, σύνδεση των σχολείων πρωτοβάθμιας και δευτεροβάθμιας εκπαίδευσης με το διευρυμένο δίκτυο εκπαίδευσης και παροχή σε αυτά συνδεσιμότητας τουλάχιστον 1 Gbps και επέκταση του τοπικού δικτύου με 40 νέα σημεία πρόσβασης κατά μέσο όρο για κάθε σχολείο.</w:t>
      </w:r>
    </w:p>
    <w:p w14:paraId="75BEAC82" w14:textId="10913F76" w:rsidR="00154AD2" w:rsidRDefault="007F6BF3">
      <w:pPr>
        <w:pStyle w:val="P68B1DB1-Normal4"/>
        <w:keepNext/>
        <w:numPr>
          <w:ilvl w:val="0"/>
          <w:numId w:val="38"/>
        </w:numPr>
        <w:spacing w:before="40" w:after="160" w:line="259" w:lineRule="auto"/>
        <w:contextualSpacing/>
        <w:jc w:val="both"/>
        <w:rPr>
          <w:rFonts w:eastAsiaTheme="minorEastAsia" w:cs="Times New Roman"/>
          <w:noProof/>
        </w:rPr>
      </w:pPr>
      <w:r>
        <w:rPr>
          <w:noProof/>
        </w:rPr>
        <w:t>Παροχή 600 000 υπολογιστών σε μαθητές και εκπαιδευτικούς, αναβάθμιση του εξοπλισμού προβολής των αιθουσών διδασκαλίας (40 000 προβολείς) και παροχή στα σχολεία εργαστηρίων ψηφιακής εκπαίδευσης εξοπλισμένων με εκπαιδευτικές προηγμένες ψηφιακές τεχνολογίες, όπως εκτυπωτές 3D και εκπαιδευτικά ρομπότ (1 300).</w:t>
      </w:r>
    </w:p>
    <w:p w14:paraId="2EECEC6A" w14:textId="77777777" w:rsidR="00154AD2" w:rsidRDefault="007F6BF3">
      <w:pPr>
        <w:pStyle w:val="P68B1DB1-Normal4"/>
        <w:keepNext/>
        <w:numPr>
          <w:ilvl w:val="0"/>
          <w:numId w:val="38"/>
        </w:numPr>
        <w:spacing w:before="40" w:after="160" w:line="259" w:lineRule="auto"/>
        <w:contextualSpacing/>
        <w:jc w:val="both"/>
        <w:rPr>
          <w:rFonts w:eastAsiaTheme="minorEastAsia" w:cs="Times New Roman"/>
          <w:noProof/>
        </w:rPr>
      </w:pPr>
      <w:r>
        <w:rPr>
          <w:noProof/>
        </w:rPr>
        <w:t>Ανάπτυξη και υιοθέτηση νέων ψηφιακών εκπαιδευτικών πόρων (95 % των μαθημάτων στα προγράμματα σπουδών πρωτοβάθμιας και δευτεροβάθμιας εκπαίδευσης, συμπεριλαμβανομένης της φυσικής αγωγής και του αθλητισμού), συμπεριλαμβανομένης της ψηφιοποίησης των δοκιμασιών αξιολόγησης.</w:t>
      </w:r>
    </w:p>
    <w:p w14:paraId="52367BA5" w14:textId="77777777" w:rsidR="00154AD2" w:rsidRDefault="007F6BF3">
      <w:pPr>
        <w:pStyle w:val="P68B1DB1-Normal4"/>
        <w:keepNext/>
        <w:numPr>
          <w:ilvl w:val="0"/>
          <w:numId w:val="38"/>
        </w:numPr>
        <w:spacing w:before="40" w:after="160" w:line="259" w:lineRule="auto"/>
        <w:contextualSpacing/>
        <w:jc w:val="both"/>
        <w:rPr>
          <w:rFonts w:eastAsiaTheme="minorEastAsia" w:cs="Times New Roman"/>
          <w:noProof/>
        </w:rPr>
      </w:pPr>
      <w:r>
        <w:rPr>
          <w:noProof/>
        </w:rPr>
        <w:t>Παροχή στα σχολεία ενός «ενιαίου συστήματος ταυτότητας» για τη διαχείριση της σχολικής κοινότητας, τη σύγκλιση και την ενσωμάτωση πληροφοριακών συστημάτων εκπαιδευτικής διαχείρισης και την παροχή στη διαχείριση των κατάλληλων λύσεων ΤΠ, 15 000 διαφορετικού εξοπλισμού (μεταξύ υπολογιστών, σαρωτών και εκτυπωτών), με σκοπό την επίτευξη αποτελεσματικότερης και διαφανέστερης λειτουργίας του εκπαιδευτικού συστήματος, συμπεριλαμβανομένου του εξορθολογισμού των δαπανών των σχολείων.</w:t>
      </w:r>
    </w:p>
    <w:p w14:paraId="0F323A51" w14:textId="77777777" w:rsidR="00154AD2" w:rsidRDefault="007F6BF3">
      <w:pPr>
        <w:pStyle w:val="P68B1DB1-Normal4"/>
        <w:keepNext/>
        <w:spacing w:before="40" w:after="0" w:line="259" w:lineRule="auto"/>
        <w:jc w:val="both"/>
        <w:rPr>
          <w:rFonts w:eastAsiaTheme="minorEastAsia" w:cs="Times New Roman"/>
          <w:noProof/>
        </w:rPr>
      </w:pPr>
      <w:r>
        <w:rPr>
          <w:noProof/>
        </w:rPr>
        <w:t>Η υλοποίηση της επένδυσης θα ολοκληρωθεί έως τις 31 Δεκεμβρίου 2025.</w:t>
      </w:r>
    </w:p>
    <w:p w14:paraId="14F3F2F2" w14:textId="77777777"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Επένδυση TD-C20-i02-RAA: Ψηφιακή εκπαίδευση (Αζόρες)</w:t>
      </w:r>
    </w:p>
    <w:p w14:paraId="6DBBE642"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Στόχοι του μέτρου είναι η διασφάλιση της πρόσβασης στη χρήση ψηφιακών τεχνολογιών, η προώθηση των ίσων ευκαιριών και η επίτευξη σημαντικών βελτιώσεων στα μέσα μάθησης, σύμφωνα με το σχέδιο δράσης της Ευρωπαϊκής Ένωσης για την ψηφιακή εκπαίδευση. </w:t>
      </w:r>
    </w:p>
    <w:p w14:paraId="5C7D6298" w14:textId="325E0E33" w:rsidR="00154AD2" w:rsidRDefault="007F6BF3">
      <w:pPr>
        <w:pStyle w:val="P68B1DB1-Normal4"/>
        <w:keepNext/>
        <w:spacing w:before="40" w:after="0" w:line="259" w:lineRule="auto"/>
        <w:jc w:val="both"/>
        <w:rPr>
          <w:rFonts w:eastAsiaTheme="minorEastAsia" w:cs="Times New Roman"/>
          <w:noProof/>
        </w:rPr>
      </w:pPr>
      <w:r>
        <w:rPr>
          <w:noProof/>
        </w:rPr>
        <w:t>Η επένδυση αυτή συνίσταται στην προώθηση της ανάπτυξης ψηφιακών δεξιοτήτων της εκπαιδευτικής κοινότητας με στόχο τόσο τους σπουδαστές, τους γονείς τους όσο και τους εκπαιδευτικούς τους και περιλαμβάνει στοχευμένες δράσεις στους ακόλουθους τομείς:</w:t>
      </w:r>
    </w:p>
    <w:p w14:paraId="513C3B5B" w14:textId="36FC7C89" w:rsidR="00154AD2" w:rsidRDefault="007F6BF3">
      <w:pPr>
        <w:pStyle w:val="P68B1DB1-Normal4"/>
        <w:keepNext/>
        <w:numPr>
          <w:ilvl w:val="0"/>
          <w:numId w:val="38"/>
        </w:numPr>
        <w:spacing w:before="40" w:after="160" w:line="259" w:lineRule="auto"/>
        <w:contextualSpacing/>
        <w:jc w:val="both"/>
        <w:rPr>
          <w:rFonts w:eastAsiaTheme="minorEastAsia" w:cs="Times New Roman"/>
          <w:noProof/>
        </w:rPr>
      </w:pPr>
      <w:r>
        <w:rPr>
          <w:noProof/>
        </w:rPr>
        <w:t>Εξοπλισμός: 31 900 νέο κινητό εξοπλισμό ΤΠ για την προσχολική, πρωτοβάθμια και δευτεροβάθμια εκπαίδευση, συμπεριλαμβανομένης της παρακολούθησης αναβαθμίσεων και λογισμικού και της παροχής εξοπλισμού σε σχολικό επίπεδο με τουλάχιστον 1080 νέες διαδραστικές οθόνες, 100 νέο εξειδικευμένο εργαστηριακό εξοπλισμό, 100 νέους εκτυπωτές 3D και 150 νέα εκπαιδευτικά ρομπότ·</w:t>
      </w:r>
    </w:p>
    <w:p w14:paraId="0EBDFF9B" w14:textId="77777777" w:rsidR="00154AD2" w:rsidRDefault="007F6BF3">
      <w:pPr>
        <w:pStyle w:val="P68B1DB1-Normal4"/>
        <w:keepNext/>
        <w:numPr>
          <w:ilvl w:val="0"/>
          <w:numId w:val="38"/>
        </w:numPr>
        <w:spacing w:before="40" w:after="160" w:line="259" w:lineRule="auto"/>
        <w:contextualSpacing/>
        <w:jc w:val="both"/>
        <w:rPr>
          <w:rFonts w:eastAsiaTheme="minorEastAsia" w:cs="Times New Roman"/>
          <w:noProof/>
        </w:rPr>
      </w:pPr>
      <w:r>
        <w:rPr>
          <w:noProof/>
        </w:rPr>
        <w:t>Ψηφιακοί εκπαιδευτικοί πόροι: ψηφιοποίηση των εκπαιδευτικών πόρων με στόχο την προσέγγιση του 100 % των μαθητών στην Αυτόνομη Περιφέρεια των Αζορών με τη χρήση ψηφιακών εγχειριδίων·</w:t>
      </w:r>
    </w:p>
    <w:p w14:paraId="2A03A637" w14:textId="0F426A51" w:rsidR="00154AD2" w:rsidRDefault="007F6BF3">
      <w:pPr>
        <w:pStyle w:val="P68B1DB1-Normal4"/>
        <w:keepNext/>
        <w:numPr>
          <w:ilvl w:val="0"/>
          <w:numId w:val="38"/>
        </w:numPr>
        <w:spacing w:before="40" w:after="160" w:line="259" w:lineRule="auto"/>
        <w:contextualSpacing/>
        <w:jc w:val="both"/>
        <w:rPr>
          <w:rFonts w:eastAsiaTheme="minorEastAsia" w:cs="Times New Roman"/>
          <w:noProof/>
        </w:rPr>
      </w:pPr>
      <w:r>
        <w:rPr>
          <w:noProof/>
        </w:rPr>
        <w:t xml:space="preserve">Ψηφιακές ικανότητες: 24 ενότητες κατάρτισης αφιερωμένες στους εκπαιδευτικούς και τους γονείς των μαθητών· </w:t>
      </w:r>
    </w:p>
    <w:p w14:paraId="690C5BB4" w14:textId="7315D772" w:rsidR="00154AD2" w:rsidRDefault="007F6BF3">
      <w:pPr>
        <w:pStyle w:val="P68B1DB1-Normal4"/>
        <w:keepNext/>
        <w:numPr>
          <w:ilvl w:val="0"/>
          <w:numId w:val="38"/>
        </w:numPr>
        <w:spacing w:before="40" w:after="160" w:line="259" w:lineRule="auto"/>
        <w:contextualSpacing/>
        <w:jc w:val="both"/>
        <w:rPr>
          <w:rFonts w:eastAsiaTheme="minorEastAsia" w:cs="Times New Roman"/>
          <w:noProof/>
        </w:rPr>
      </w:pPr>
      <w:r>
        <w:rPr>
          <w:noProof/>
        </w:rPr>
        <w:t xml:space="preserve">Συνδεσιμότητα: δράσεις για τη βελτίωση της συνδεσιμότητας των σχολείων στην αυτόνομη περιφέρεια των Αζορών σε τουλάχιστον 1 Gbps. Αγορά και εγκατάσταση 1500 διακοπτών και APS. </w:t>
      </w:r>
    </w:p>
    <w:p w14:paraId="1A26EC6C" w14:textId="77777777" w:rsidR="00154AD2" w:rsidRDefault="007F6BF3">
      <w:pPr>
        <w:pStyle w:val="P68B1DB1-Normal4"/>
        <w:keepNext/>
        <w:spacing w:before="40" w:after="0" w:line="259" w:lineRule="auto"/>
        <w:jc w:val="both"/>
        <w:rPr>
          <w:rFonts w:eastAsiaTheme="minorEastAsia" w:cs="Times New Roman"/>
          <w:noProof/>
        </w:rPr>
      </w:pPr>
      <w:r>
        <w:rPr>
          <w:noProof/>
        </w:rPr>
        <w:t>Η υλοποίηση της επένδυσης θα ολοκληρωθεί έως τις 31 Δεκεμβρίου 2025.</w:t>
      </w:r>
    </w:p>
    <w:p w14:paraId="6248B184" w14:textId="4041F786"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Επένδυση TD-C20-i03-RAM: Επιτάχυνση της ψηφιοποίησης της εκπαίδευσης ARM</w:t>
      </w:r>
    </w:p>
    <w:p w14:paraId="19CEFD55" w14:textId="7C0999F4" w:rsidR="00154AD2" w:rsidRDefault="007F6BF3">
      <w:pPr>
        <w:pStyle w:val="P68B1DB1-Normal4"/>
        <w:keepNext/>
        <w:spacing w:before="40" w:after="0" w:line="259" w:lineRule="auto"/>
        <w:jc w:val="both"/>
        <w:rPr>
          <w:rFonts w:eastAsiaTheme="minorEastAsia" w:cs="Times New Roman"/>
          <w:noProof/>
        </w:rPr>
      </w:pPr>
      <w:r>
        <w:rPr>
          <w:noProof/>
        </w:rPr>
        <w:t>Στόχος του μέτρου είναι η δημιουργία ενός πιο προορατικού, καινοτόμου, χωρίς αποκλεισμούς, αυτόνομου, δίκαιου και ανοικτού εκπαιδευτικού συστήματος στην αυτόνομη περιφέρεια της Μαδέρας στα δημόσια και ιδιωτικά σχολεία.</w:t>
      </w:r>
    </w:p>
    <w:p w14:paraId="34D95A54" w14:textId="77777777" w:rsidR="00154AD2" w:rsidRDefault="007F6BF3">
      <w:pPr>
        <w:pStyle w:val="P68B1DB1-Normal4"/>
        <w:keepNext/>
        <w:spacing w:before="40" w:after="0" w:line="259" w:lineRule="auto"/>
        <w:jc w:val="both"/>
        <w:rPr>
          <w:rFonts w:eastAsiaTheme="minorEastAsia" w:cs="Times New Roman"/>
          <w:noProof/>
        </w:rPr>
      </w:pPr>
      <w:r>
        <w:rPr>
          <w:noProof/>
        </w:rPr>
        <w:t>Η επένδυση συνίσταται στην παροχή ποιοτικής μάθησης και κατάρτισης και προσόντων, στην προετοιμασία των παιδιών και των μαθητών για την αντιμετώπιση των προκλήσεων του εικοστού πρώτου αιώνα, συμπεριλαμβανομένης της ψηφιακής μετάβασης, με ειδικές δράσεις στους ακόλουθους τομείς:</w:t>
      </w:r>
    </w:p>
    <w:p w14:paraId="6E749B90" w14:textId="3B32952B" w:rsidR="00154AD2" w:rsidRDefault="007F6BF3">
      <w:pPr>
        <w:pStyle w:val="P68B1DB1-Normal4"/>
        <w:keepNext/>
        <w:numPr>
          <w:ilvl w:val="0"/>
          <w:numId w:val="39"/>
        </w:numPr>
        <w:spacing w:before="40" w:after="160" w:line="259" w:lineRule="auto"/>
        <w:contextualSpacing/>
        <w:jc w:val="both"/>
        <w:rPr>
          <w:rFonts w:eastAsiaTheme="minorEastAsia" w:cs="Times New Roman"/>
          <w:noProof/>
        </w:rPr>
      </w:pPr>
      <w:r>
        <w:rPr>
          <w:noProof/>
        </w:rPr>
        <w:t>Ψηφιακοί εκπαιδευτικοί πόροι και εξοπλισμός: Στο πλαίσιο του έργου των «ψηφιακών εγχειριδίων» αποσκοπεί στην παροχή πολλαπλών ψηφιακών εκπαιδευτικών πόρων σε διάφορους μορφότυπους και διαφορετικές τυπολογίες (κινούμενα σχέδια, προσομοιώσεις, τρισδιάστατα βίντεο ή άλλα), στην παροχή εξοπλισμού (ταμπλέτες ή φορητοί υπολογιστές, ανάλογα με το έτος της σχολικής φοίτησης) και πρόσβαση σε ψηφιακά σχολικά βιβλία, ώστε να διασφαλιστεί ότι η εκπαιδευτική κοινότητα (μαθητές, εκπαιδευτικοί, τεχνικοί ανώτερης εκπαίδευσης, τεχνικοί τεχνικής βοήθειας, πάροχοι εκπαίδευσης) έχει ασφαλή πρόσβαση στο περιεχόμενο που είναι διαθέσιμο μέσω της ψηφιοποίησης της εκπαίδευσης. Περιλαμβάνει, για όλους τους μαθητές (15 910 μαθητές): 1 ταμπλέτα ή φορητό υπολογιστή, ανάλογα με το έτος σχολικής φοίτησης, 1 Άδεια εικονικής πρόσβασης στα σχολεία που ισχύει για κάθε σχολικό έτος· 1 προσωπική και μη μεταβιβάσιμη άδεια της ψηφιακής έκδοσης κάθε σχολικού εγχειριδίου που εκδίδεται για τη σχολική φοίτηση.</w:t>
      </w:r>
    </w:p>
    <w:p w14:paraId="56EC44E7" w14:textId="4D84A1D3" w:rsidR="00154AD2" w:rsidRDefault="007F6BF3">
      <w:pPr>
        <w:pStyle w:val="P68B1DB1-Normal4"/>
        <w:keepNext/>
        <w:numPr>
          <w:ilvl w:val="0"/>
          <w:numId w:val="39"/>
        </w:numPr>
        <w:spacing w:before="40" w:after="160" w:line="259" w:lineRule="auto"/>
        <w:contextualSpacing/>
        <w:jc w:val="both"/>
        <w:rPr>
          <w:rFonts w:eastAsiaTheme="minorEastAsia" w:cs="Times New Roman"/>
          <w:noProof/>
        </w:rPr>
      </w:pPr>
      <w:r>
        <w:rPr>
          <w:noProof/>
        </w:rPr>
        <w:t>Συνδεσιμότητα και εξοπλισμός για τα σχολεία: με στόχο τον εξοπλισμό των σχολείων με «καινοτόμα περιβάλλοντα μάθησης» (34 «καινοτόμα περιβαλλοντικά προγράμματα μαθητείας»· 22 «Makerspace»· 15 χώροι για τη μάθηση στον τομέα της παιδικής φροντίδας· 20 «καινοτόμοι χώροι» — με βάση την έννοια της αίθουσας</w:t>
      </w:r>
      <w:r>
        <w:rPr>
          <w:noProof/>
        </w:rPr>
        <w:footnoteReference w:id="77"/>
      </w:r>
      <w:r>
        <w:rPr>
          <w:noProof/>
        </w:rPr>
        <w:t xml:space="preserve">Snoezelen — προώθηση της ένταξης και του ψηφιακού γραμματισμού, με τα «Κέντρα Εκπαιδευτικής Καινοτομίας για Προγραμματισμό και Ρομπότ», ένα για κάθε σχολείο, </w:t>
      </w:r>
    </w:p>
    <w:p w14:paraId="6FC4CEC9" w14:textId="62347127" w:rsidR="00154AD2" w:rsidRDefault="007F6BF3">
      <w:pPr>
        <w:pStyle w:val="P68B1DB1-Normal4"/>
        <w:keepNext/>
        <w:numPr>
          <w:ilvl w:val="0"/>
          <w:numId w:val="39"/>
        </w:numPr>
        <w:spacing w:before="40" w:after="160" w:line="259" w:lineRule="auto"/>
        <w:contextualSpacing/>
        <w:jc w:val="both"/>
        <w:rPr>
          <w:rFonts w:eastAsiaTheme="minorEastAsia" w:cs="Times New Roman"/>
          <w:noProof/>
        </w:rPr>
      </w:pPr>
      <w:r>
        <w:rPr>
          <w:noProof/>
        </w:rPr>
        <w:t xml:space="preserve">Ψηφιακές ικανότητες: με δραστηριότητες κατάρτισης που προσφέρονται σε εκπαιδευτικούς και μη διδακτικό προσωπικό (τεχνικοί τριτοβάθμιας εκπαίδευσης, τεχνικοί βοηθοί). </w:t>
      </w:r>
    </w:p>
    <w:p w14:paraId="116BAADB" w14:textId="77777777" w:rsidR="00154AD2" w:rsidRDefault="007F6BF3">
      <w:pPr>
        <w:pStyle w:val="P68B1DB1-Normal4"/>
        <w:keepNext/>
        <w:spacing w:before="40" w:after="0" w:line="259" w:lineRule="auto"/>
        <w:jc w:val="both"/>
        <w:rPr>
          <w:rFonts w:eastAsiaTheme="minorEastAsia" w:cs="Times New Roman"/>
          <w:noProof/>
        </w:rPr>
        <w:sectPr w:rsidR="00154AD2" w:rsidSect="00E00EDD">
          <w:headerReference w:type="even" r:id="rId356"/>
          <w:headerReference w:type="default" r:id="rId357"/>
          <w:footerReference w:type="even" r:id="rId358"/>
          <w:footerReference w:type="default" r:id="rId359"/>
          <w:headerReference w:type="first" r:id="rId360"/>
          <w:footerReference w:type="first" r:id="rId361"/>
          <w:pgSz w:w="11907" w:h="16839"/>
          <w:pgMar w:top="1134" w:right="1134" w:bottom="1134" w:left="1134" w:header="567" w:footer="567" w:gutter="0"/>
          <w:cols w:space="720"/>
          <w:docGrid w:linePitch="360"/>
        </w:sectPr>
      </w:pPr>
      <w:r>
        <w:rPr>
          <w:noProof/>
        </w:rPr>
        <w:t>Η υλοποίηση της επένδυσης θα ολοκληρωθεί έως τις 31 Δεκεμβρίου 2025.</w:t>
      </w:r>
    </w:p>
    <w:p w14:paraId="6A865438" w14:textId="77777777" w:rsidR="00154AD2" w:rsidRDefault="007F6BF3">
      <w:pPr>
        <w:pStyle w:val="P68B1DB1-Normal3"/>
        <w:keepNext/>
        <w:spacing w:before="40" w:after="0" w:line="259" w:lineRule="auto"/>
        <w:ind w:left="130" w:firstLine="720"/>
        <w:jc w:val="both"/>
        <w:outlineLvl w:val="1"/>
        <w:rPr>
          <w:rFonts w:eastAsiaTheme="minorEastAsia" w:cs="Times New Roman"/>
          <w:noProof/>
        </w:rPr>
      </w:pPr>
      <w:r>
        <w:rPr>
          <w:noProof/>
        </w:rPr>
        <w:t>Τ.2. Ορόσημα, στόχοι, δείκτες και χρονοδιάγραμμα για την παρακολούθηση και την υλοποίηση της μη επιστρεπτέας χρηματοδοτικής στήριξης</w:t>
      </w:r>
    </w:p>
    <w:p w14:paraId="3E59DF2E" w14:textId="77777777" w:rsidR="00154AD2" w:rsidRDefault="00154AD2">
      <w:pPr>
        <w:keepNext/>
        <w:spacing w:before="40" w:after="0" w:line="259" w:lineRule="auto"/>
        <w:jc w:val="both"/>
        <w:rPr>
          <w:rFonts w:ascii="Times New Roman" w:eastAsiaTheme="minorEastAsia" w:hAnsi="Times New Roman" w:cs="Times New Roman"/>
          <w:noProof/>
          <w:sz w:val="24"/>
        </w:rPr>
      </w:pPr>
    </w:p>
    <w:tbl>
      <w:tblPr>
        <w:tblW w:w="147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992"/>
        <w:gridCol w:w="567"/>
        <w:gridCol w:w="708"/>
        <w:gridCol w:w="3969"/>
      </w:tblGrid>
      <w:tr w:rsidR="00154AD2" w14:paraId="161579D1" w14:textId="77777777">
        <w:trPr>
          <w:trHeight w:val="910"/>
          <w:tblHeader/>
        </w:trPr>
        <w:tc>
          <w:tcPr>
            <w:tcW w:w="1135" w:type="dxa"/>
            <w:vMerge w:val="restart"/>
            <w:shd w:val="clear" w:color="auto" w:fill="BDD6EE"/>
            <w:vAlign w:val="center"/>
            <w:hideMark/>
          </w:tcPr>
          <w:p w14:paraId="18D3C4B3" w14:textId="77777777" w:rsidR="00154AD2" w:rsidRDefault="007F6BF3">
            <w:pPr>
              <w:pStyle w:val="P68B1DB1-Normal6"/>
              <w:spacing w:after="0" w:line="240" w:lineRule="auto"/>
              <w:jc w:val="center"/>
              <w:rPr>
                <w:rFonts w:eastAsia="Times New Roman" w:cs="Times New Roman"/>
                <w:noProof/>
              </w:rPr>
            </w:pPr>
            <w:r>
              <w:rPr>
                <w:noProof/>
              </w:rPr>
              <w:t>Αύξων αριθμός</w:t>
            </w:r>
          </w:p>
        </w:tc>
        <w:tc>
          <w:tcPr>
            <w:tcW w:w="1276" w:type="dxa"/>
            <w:vMerge w:val="restart"/>
            <w:shd w:val="clear" w:color="auto" w:fill="BDD6EE"/>
            <w:vAlign w:val="center"/>
            <w:hideMark/>
          </w:tcPr>
          <w:p w14:paraId="0F2DCA77" w14:textId="77777777" w:rsidR="00154AD2" w:rsidRDefault="007F6BF3">
            <w:pPr>
              <w:pStyle w:val="P68B1DB1-Normal6"/>
              <w:spacing w:after="0" w:line="240" w:lineRule="auto"/>
              <w:jc w:val="center"/>
              <w:rPr>
                <w:rFonts w:eastAsia="Times New Roman" w:cs="Times New Roman"/>
                <w:noProof/>
              </w:rPr>
            </w:pPr>
            <w:r>
              <w:rPr>
                <w:noProof/>
              </w:rPr>
              <w:t>Μέτρο (Μεταρρύθμιση ή Επενδύσεις)</w:t>
            </w:r>
          </w:p>
        </w:tc>
        <w:tc>
          <w:tcPr>
            <w:tcW w:w="1134" w:type="dxa"/>
            <w:vMerge w:val="restart"/>
            <w:shd w:val="clear" w:color="auto" w:fill="BDD6EE"/>
            <w:vAlign w:val="center"/>
            <w:hideMark/>
          </w:tcPr>
          <w:p w14:paraId="6ABCFCFD" w14:textId="4ED9A5A5" w:rsidR="00154AD2" w:rsidRDefault="007F6BF3">
            <w:pPr>
              <w:pStyle w:val="P68B1DB1-Normal6"/>
              <w:spacing w:after="0" w:line="240" w:lineRule="auto"/>
              <w:jc w:val="center"/>
              <w:rPr>
                <w:rFonts w:eastAsia="Times New Roman" w:cs="Times New Roman"/>
                <w:noProof/>
              </w:rPr>
            </w:pPr>
            <w:r>
              <w:rPr>
                <w:noProof/>
              </w:rPr>
              <w:t>Ορόσημο/Στόχος</w:t>
            </w:r>
          </w:p>
        </w:tc>
        <w:tc>
          <w:tcPr>
            <w:tcW w:w="1701" w:type="dxa"/>
            <w:vMerge w:val="restart"/>
            <w:shd w:val="clear" w:color="auto" w:fill="BDD6EE"/>
            <w:vAlign w:val="center"/>
            <w:hideMark/>
          </w:tcPr>
          <w:p w14:paraId="6F4253DE" w14:textId="77777777" w:rsidR="00154AD2" w:rsidRDefault="007F6BF3">
            <w:pPr>
              <w:pStyle w:val="P68B1DB1-Normal6"/>
              <w:spacing w:after="0" w:line="240" w:lineRule="auto"/>
              <w:jc w:val="center"/>
              <w:rPr>
                <w:rFonts w:eastAsia="Times New Roman" w:cs="Times New Roman"/>
                <w:noProof/>
              </w:rPr>
            </w:pPr>
            <w:r>
              <w:rPr>
                <w:noProof/>
              </w:rPr>
              <w:t>Όνομα</w:t>
            </w:r>
          </w:p>
        </w:tc>
        <w:tc>
          <w:tcPr>
            <w:tcW w:w="1275" w:type="dxa"/>
            <w:vMerge w:val="restart"/>
            <w:shd w:val="clear" w:color="auto" w:fill="BDD6EE"/>
            <w:vAlign w:val="center"/>
            <w:hideMark/>
          </w:tcPr>
          <w:p w14:paraId="5E98634F" w14:textId="77777777" w:rsidR="00154AD2" w:rsidRDefault="007F6BF3">
            <w:pPr>
              <w:pStyle w:val="P68B1DB1-Normal6"/>
              <w:spacing w:after="0" w:line="240" w:lineRule="auto"/>
              <w:jc w:val="center"/>
              <w:rPr>
                <w:rFonts w:eastAsia="Times New Roman" w:cs="Times New Roman"/>
                <w:noProof/>
              </w:rPr>
            </w:pPr>
            <w:r>
              <w:rPr>
                <w:noProof/>
              </w:rPr>
              <w:t>Ποιοτικοί δείκτες (για τα ορόσημα)</w:t>
            </w:r>
          </w:p>
        </w:tc>
        <w:tc>
          <w:tcPr>
            <w:tcW w:w="2977" w:type="dxa"/>
            <w:gridSpan w:val="3"/>
            <w:shd w:val="clear" w:color="auto" w:fill="BDD6EE"/>
            <w:vAlign w:val="center"/>
            <w:hideMark/>
          </w:tcPr>
          <w:p w14:paraId="1726AAB0" w14:textId="77777777" w:rsidR="00154AD2" w:rsidRDefault="007F6BF3">
            <w:pPr>
              <w:pStyle w:val="P68B1DB1-Normal6"/>
              <w:spacing w:after="0" w:line="240" w:lineRule="auto"/>
              <w:jc w:val="center"/>
              <w:rPr>
                <w:rFonts w:eastAsia="Times New Roman" w:cs="Times New Roman"/>
                <w:noProof/>
              </w:rPr>
            </w:pPr>
            <w:r>
              <w:rPr>
                <w:noProof/>
              </w:rPr>
              <w:t>Ποσοτικοί δείκτες (για τους στόχους)</w:t>
            </w:r>
          </w:p>
        </w:tc>
        <w:tc>
          <w:tcPr>
            <w:tcW w:w="1275" w:type="dxa"/>
            <w:gridSpan w:val="2"/>
            <w:shd w:val="clear" w:color="auto" w:fill="BDD6EE"/>
            <w:vAlign w:val="center"/>
            <w:hideMark/>
          </w:tcPr>
          <w:p w14:paraId="416EE560" w14:textId="77777777" w:rsidR="00154AD2" w:rsidRDefault="007F6BF3">
            <w:pPr>
              <w:pStyle w:val="P68B1DB1-Normal6"/>
              <w:spacing w:after="0" w:line="240" w:lineRule="auto"/>
              <w:jc w:val="center"/>
              <w:rPr>
                <w:rFonts w:eastAsia="Times New Roman" w:cs="Times New Roman"/>
                <w:noProof/>
              </w:rPr>
            </w:pPr>
            <w:r>
              <w:rPr>
                <w:noProof/>
              </w:rPr>
              <w:t>Ενδεικτικό χρονοδιάγραμμα ολοκλήρωσης</w:t>
            </w:r>
          </w:p>
        </w:tc>
        <w:tc>
          <w:tcPr>
            <w:tcW w:w="3969" w:type="dxa"/>
            <w:vMerge w:val="restart"/>
            <w:shd w:val="clear" w:color="auto" w:fill="BDD6EE"/>
            <w:vAlign w:val="center"/>
            <w:hideMark/>
          </w:tcPr>
          <w:p w14:paraId="566259A2" w14:textId="77777777" w:rsidR="00154AD2" w:rsidRDefault="007F6BF3">
            <w:pPr>
              <w:pStyle w:val="P68B1DB1-Normal6"/>
              <w:spacing w:after="0" w:line="240" w:lineRule="auto"/>
              <w:jc w:val="center"/>
              <w:rPr>
                <w:rFonts w:eastAsia="Times New Roman" w:cs="Times New Roman"/>
                <w:noProof/>
              </w:rPr>
            </w:pPr>
            <w:r>
              <w:rPr>
                <w:noProof/>
              </w:rPr>
              <w:t>Περιγραφή και σαφής ορισμός κάθε ορόσημου και στόχου</w:t>
            </w:r>
          </w:p>
        </w:tc>
      </w:tr>
      <w:tr w:rsidR="00154AD2" w14:paraId="624748BC" w14:textId="77777777">
        <w:trPr>
          <w:trHeight w:val="470"/>
          <w:tblHeader/>
        </w:trPr>
        <w:tc>
          <w:tcPr>
            <w:tcW w:w="1135" w:type="dxa"/>
            <w:vMerge/>
            <w:vAlign w:val="center"/>
            <w:hideMark/>
          </w:tcPr>
          <w:p w14:paraId="50EEF1DC" w14:textId="77777777" w:rsidR="00154AD2" w:rsidRDefault="00154AD2">
            <w:pPr>
              <w:spacing w:after="0" w:line="240" w:lineRule="auto"/>
              <w:rPr>
                <w:rFonts w:ascii="Times New Roman" w:eastAsia="Times New Roman" w:hAnsi="Times New Roman" w:cs="Times New Roman"/>
                <w:b/>
                <w:noProof/>
                <w:sz w:val="18"/>
              </w:rPr>
            </w:pPr>
          </w:p>
        </w:tc>
        <w:tc>
          <w:tcPr>
            <w:tcW w:w="1276" w:type="dxa"/>
            <w:vMerge/>
            <w:vAlign w:val="center"/>
            <w:hideMark/>
          </w:tcPr>
          <w:p w14:paraId="79C161D4" w14:textId="77777777" w:rsidR="00154AD2" w:rsidRDefault="00154AD2">
            <w:pPr>
              <w:spacing w:after="0" w:line="240" w:lineRule="auto"/>
              <w:rPr>
                <w:rFonts w:ascii="Times New Roman" w:eastAsia="Times New Roman" w:hAnsi="Times New Roman" w:cs="Times New Roman"/>
                <w:b/>
                <w:noProof/>
                <w:sz w:val="18"/>
              </w:rPr>
            </w:pPr>
          </w:p>
        </w:tc>
        <w:tc>
          <w:tcPr>
            <w:tcW w:w="1134" w:type="dxa"/>
            <w:vMerge/>
            <w:vAlign w:val="center"/>
            <w:hideMark/>
          </w:tcPr>
          <w:p w14:paraId="0AD30B37" w14:textId="1F95A1E3" w:rsidR="00154AD2" w:rsidRDefault="00154AD2">
            <w:pPr>
              <w:spacing w:after="0" w:line="240" w:lineRule="auto"/>
              <w:jc w:val="center"/>
              <w:rPr>
                <w:rFonts w:ascii="Times New Roman" w:eastAsia="Times New Roman" w:hAnsi="Times New Roman" w:cs="Times New Roman"/>
                <w:b/>
                <w:noProof/>
                <w:sz w:val="18"/>
              </w:rPr>
            </w:pPr>
          </w:p>
        </w:tc>
        <w:tc>
          <w:tcPr>
            <w:tcW w:w="1701" w:type="dxa"/>
            <w:vMerge/>
            <w:vAlign w:val="center"/>
            <w:hideMark/>
          </w:tcPr>
          <w:p w14:paraId="5D61E092" w14:textId="77777777" w:rsidR="00154AD2" w:rsidRDefault="00154AD2">
            <w:pPr>
              <w:spacing w:after="0" w:line="240" w:lineRule="auto"/>
              <w:rPr>
                <w:rFonts w:ascii="Times New Roman" w:eastAsia="Times New Roman" w:hAnsi="Times New Roman" w:cs="Times New Roman"/>
                <w:b/>
                <w:noProof/>
                <w:sz w:val="18"/>
              </w:rPr>
            </w:pPr>
          </w:p>
        </w:tc>
        <w:tc>
          <w:tcPr>
            <w:tcW w:w="1275" w:type="dxa"/>
            <w:vMerge/>
            <w:vAlign w:val="center"/>
            <w:hideMark/>
          </w:tcPr>
          <w:p w14:paraId="0EF12599" w14:textId="77777777" w:rsidR="00154AD2" w:rsidRDefault="00154AD2">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543C08EA" w14:textId="77777777" w:rsidR="00154AD2" w:rsidRDefault="007F6BF3">
            <w:pPr>
              <w:pStyle w:val="P68B1DB1-Normal6"/>
              <w:spacing w:after="0" w:line="240" w:lineRule="auto"/>
              <w:jc w:val="center"/>
              <w:rPr>
                <w:rFonts w:eastAsia="Times New Roman" w:cs="Times New Roman"/>
                <w:noProof/>
              </w:rPr>
            </w:pPr>
            <w:r>
              <w:rPr>
                <w:noProof/>
              </w:rPr>
              <w:t>Μονάδα μέτρησης</w:t>
            </w:r>
          </w:p>
        </w:tc>
        <w:tc>
          <w:tcPr>
            <w:tcW w:w="992" w:type="dxa"/>
            <w:shd w:val="clear" w:color="auto" w:fill="BDD6EE"/>
            <w:vAlign w:val="center"/>
            <w:hideMark/>
          </w:tcPr>
          <w:p w14:paraId="1E2EEAE7" w14:textId="77777777" w:rsidR="00154AD2" w:rsidRDefault="007F6BF3">
            <w:pPr>
              <w:pStyle w:val="P68B1DB1-Normal6"/>
              <w:spacing w:after="0" w:line="240" w:lineRule="auto"/>
              <w:jc w:val="center"/>
              <w:rPr>
                <w:rFonts w:eastAsia="Times New Roman" w:cs="Times New Roman"/>
                <w:noProof/>
              </w:rPr>
            </w:pPr>
            <w:r>
              <w:rPr>
                <w:noProof/>
              </w:rPr>
              <w:t>Γραμμή βάσης</w:t>
            </w:r>
          </w:p>
        </w:tc>
        <w:tc>
          <w:tcPr>
            <w:tcW w:w="992" w:type="dxa"/>
            <w:shd w:val="clear" w:color="auto" w:fill="BDD6EE"/>
            <w:vAlign w:val="center"/>
            <w:hideMark/>
          </w:tcPr>
          <w:p w14:paraId="08F656FE" w14:textId="77777777" w:rsidR="00154AD2" w:rsidRDefault="007F6BF3">
            <w:pPr>
              <w:pStyle w:val="P68B1DB1-Normal6"/>
              <w:spacing w:after="0" w:line="240" w:lineRule="auto"/>
              <w:jc w:val="center"/>
              <w:rPr>
                <w:rFonts w:eastAsia="Times New Roman" w:cs="Times New Roman"/>
                <w:noProof/>
              </w:rPr>
            </w:pPr>
            <w:r>
              <w:rPr>
                <w:noProof/>
              </w:rPr>
              <w:t>Στόχοι</w:t>
            </w:r>
          </w:p>
        </w:tc>
        <w:tc>
          <w:tcPr>
            <w:tcW w:w="567" w:type="dxa"/>
            <w:shd w:val="clear" w:color="auto" w:fill="BDD6EE"/>
            <w:vAlign w:val="center"/>
            <w:hideMark/>
          </w:tcPr>
          <w:p w14:paraId="6D741527" w14:textId="77777777" w:rsidR="00154AD2" w:rsidRDefault="007F6BF3">
            <w:pPr>
              <w:pStyle w:val="P68B1DB1-Normal6"/>
              <w:spacing w:after="0" w:line="240" w:lineRule="auto"/>
              <w:jc w:val="center"/>
              <w:rPr>
                <w:rFonts w:eastAsia="Times New Roman" w:cs="Times New Roman"/>
                <w:noProof/>
              </w:rPr>
            </w:pPr>
            <w:r>
              <w:rPr>
                <w:noProof/>
              </w:rPr>
              <w:t>Ε</w:t>
            </w:r>
          </w:p>
        </w:tc>
        <w:tc>
          <w:tcPr>
            <w:tcW w:w="708" w:type="dxa"/>
            <w:shd w:val="clear" w:color="auto" w:fill="BDD6EE"/>
            <w:vAlign w:val="center"/>
            <w:hideMark/>
          </w:tcPr>
          <w:p w14:paraId="195C72EE" w14:textId="77777777" w:rsidR="00154AD2" w:rsidRDefault="007F6BF3">
            <w:pPr>
              <w:pStyle w:val="P68B1DB1-Normal6"/>
              <w:spacing w:after="0" w:line="240" w:lineRule="auto"/>
              <w:jc w:val="center"/>
              <w:rPr>
                <w:rFonts w:eastAsia="Times New Roman" w:cs="Times New Roman"/>
                <w:noProof/>
              </w:rPr>
            </w:pPr>
            <w:r>
              <w:rPr>
                <w:noProof/>
              </w:rPr>
              <w:t>Έτος</w:t>
            </w:r>
          </w:p>
        </w:tc>
        <w:tc>
          <w:tcPr>
            <w:tcW w:w="3969" w:type="dxa"/>
            <w:vMerge/>
            <w:vAlign w:val="center"/>
            <w:hideMark/>
          </w:tcPr>
          <w:p w14:paraId="0AB1CE62" w14:textId="77777777" w:rsidR="00154AD2" w:rsidRDefault="00154AD2">
            <w:pPr>
              <w:spacing w:after="0" w:line="240" w:lineRule="auto"/>
              <w:rPr>
                <w:rFonts w:ascii="Times New Roman" w:eastAsia="Times New Roman" w:hAnsi="Times New Roman" w:cs="Times New Roman"/>
                <w:b/>
                <w:noProof/>
                <w:sz w:val="18"/>
              </w:rPr>
            </w:pPr>
          </w:p>
        </w:tc>
      </w:tr>
      <w:tr w:rsidR="00154AD2" w14:paraId="72498156" w14:textId="77777777">
        <w:trPr>
          <w:trHeight w:val="430"/>
        </w:trPr>
        <w:tc>
          <w:tcPr>
            <w:tcW w:w="1135" w:type="dxa"/>
            <w:shd w:val="clear" w:color="auto" w:fill="C4EFCE"/>
            <w:vAlign w:val="center"/>
            <w:hideMark/>
          </w:tcPr>
          <w:p w14:paraId="63BE4AE8" w14:textId="77777777" w:rsidR="00154AD2" w:rsidRDefault="007F6BF3">
            <w:pPr>
              <w:pStyle w:val="P68B1DB1-Normal7"/>
              <w:spacing w:after="0" w:line="240" w:lineRule="auto"/>
              <w:jc w:val="center"/>
              <w:rPr>
                <w:rFonts w:eastAsia="Times New Roman" w:cs="Calibri"/>
                <w:noProof/>
              </w:rPr>
            </w:pPr>
            <w:r>
              <w:rPr>
                <w:noProof/>
              </w:rPr>
              <w:t>20.1</w:t>
            </w:r>
          </w:p>
        </w:tc>
        <w:tc>
          <w:tcPr>
            <w:tcW w:w="1276" w:type="dxa"/>
            <w:shd w:val="clear" w:color="auto" w:fill="C4EFCE"/>
            <w:noWrap/>
            <w:vAlign w:val="center"/>
            <w:hideMark/>
          </w:tcPr>
          <w:p w14:paraId="164C94BA" w14:textId="77777777" w:rsidR="00154AD2" w:rsidRDefault="007F6BF3">
            <w:pPr>
              <w:pStyle w:val="P68B1DB1-Normal8"/>
              <w:spacing w:after="0" w:line="240" w:lineRule="auto"/>
              <w:jc w:val="center"/>
              <w:rPr>
                <w:rFonts w:eastAsia="Times New Roman" w:cs="Calibri"/>
                <w:noProof/>
              </w:rPr>
            </w:pPr>
            <w:r>
              <w:rPr>
                <w:noProof/>
              </w:rPr>
              <w:t>TD-C20-r37</w:t>
            </w:r>
          </w:p>
        </w:tc>
        <w:tc>
          <w:tcPr>
            <w:tcW w:w="1134" w:type="dxa"/>
            <w:shd w:val="clear" w:color="auto" w:fill="C4EFCE"/>
            <w:noWrap/>
            <w:vAlign w:val="center"/>
            <w:hideMark/>
          </w:tcPr>
          <w:p w14:paraId="12F2735F"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A40C825" w14:textId="77777777" w:rsidR="00154AD2" w:rsidRDefault="007F6BF3">
            <w:pPr>
              <w:pStyle w:val="P68B1DB1-Normal8"/>
              <w:spacing w:after="0" w:line="240" w:lineRule="auto"/>
              <w:jc w:val="center"/>
              <w:rPr>
                <w:rFonts w:eastAsia="Times New Roman" w:cs="Calibri"/>
                <w:noProof/>
              </w:rPr>
            </w:pPr>
            <w:r>
              <w:rPr>
                <w:noProof/>
              </w:rPr>
              <w:t>Κατάρτιση σε ψηφιακές δεξιότητες για εκπαιδευτικούς και μη διδακτικό προσωπικό στο δημόσιο εκπαιδευτικό δίκτυο</w:t>
            </w:r>
          </w:p>
        </w:tc>
        <w:tc>
          <w:tcPr>
            <w:tcW w:w="1275" w:type="dxa"/>
            <w:shd w:val="clear" w:color="auto" w:fill="C4EFCE"/>
            <w:noWrap/>
            <w:vAlign w:val="center"/>
            <w:hideMark/>
          </w:tcPr>
          <w:p w14:paraId="224B1BF8"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67CBB8E" w14:textId="77777777" w:rsidR="00154AD2" w:rsidRDefault="007F6BF3">
            <w:pPr>
              <w:pStyle w:val="P68B1DB1-Normal8"/>
              <w:spacing w:after="0" w:line="240" w:lineRule="auto"/>
              <w:jc w:val="center"/>
              <w:rPr>
                <w:rFonts w:eastAsia="Times New Roman" w:cs="Calibri"/>
                <w:noProof/>
              </w:rPr>
            </w:pPr>
            <w:r>
              <w:rPr>
                <w:noProof/>
              </w:rPr>
              <w:t>%</w:t>
            </w:r>
          </w:p>
        </w:tc>
        <w:tc>
          <w:tcPr>
            <w:tcW w:w="992" w:type="dxa"/>
            <w:shd w:val="clear" w:color="auto" w:fill="C4EFCE"/>
            <w:noWrap/>
            <w:vAlign w:val="center"/>
            <w:hideMark/>
          </w:tcPr>
          <w:p w14:paraId="6A3414D8" w14:textId="77777777" w:rsidR="00154AD2" w:rsidRDefault="007F6BF3">
            <w:pPr>
              <w:pStyle w:val="P68B1DB1-Normal8"/>
              <w:spacing w:after="0" w:line="240" w:lineRule="auto"/>
              <w:jc w:val="center"/>
              <w:rPr>
                <w:rFonts w:eastAsia="Times New Roman" w:cs="Calibri"/>
                <w:noProof/>
              </w:rPr>
            </w:pPr>
            <w:r>
              <w:rPr>
                <w:noProof/>
              </w:rPr>
              <w:t> 0</w:t>
            </w:r>
          </w:p>
        </w:tc>
        <w:tc>
          <w:tcPr>
            <w:tcW w:w="992" w:type="dxa"/>
            <w:shd w:val="clear" w:color="auto" w:fill="C4EFCE"/>
            <w:noWrap/>
            <w:vAlign w:val="center"/>
            <w:hideMark/>
          </w:tcPr>
          <w:p w14:paraId="6B108FA3" w14:textId="77777777" w:rsidR="00154AD2" w:rsidRDefault="007F6BF3">
            <w:pPr>
              <w:pStyle w:val="P68B1DB1-Normal8"/>
              <w:spacing w:after="0" w:line="240" w:lineRule="auto"/>
              <w:jc w:val="center"/>
              <w:rPr>
                <w:rFonts w:eastAsia="Times New Roman" w:cs="Calibri"/>
                <w:noProof/>
              </w:rPr>
            </w:pPr>
            <w:r>
              <w:rPr>
                <w:noProof/>
              </w:rPr>
              <w:t>95</w:t>
            </w:r>
          </w:p>
        </w:tc>
        <w:tc>
          <w:tcPr>
            <w:tcW w:w="567" w:type="dxa"/>
            <w:shd w:val="clear" w:color="auto" w:fill="C4EFCE"/>
            <w:noWrap/>
            <w:vAlign w:val="center"/>
            <w:hideMark/>
          </w:tcPr>
          <w:p w14:paraId="75635301"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7E7431B0" w14:textId="77777777" w:rsidR="00154AD2" w:rsidRDefault="007F6BF3">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4AA33588" w14:textId="77777777" w:rsidR="00154AD2" w:rsidRDefault="007F6BF3">
            <w:pPr>
              <w:pStyle w:val="P68B1DB1-Normal8"/>
              <w:spacing w:after="0" w:line="240" w:lineRule="auto"/>
              <w:jc w:val="both"/>
              <w:rPr>
                <w:rFonts w:eastAsia="Times New Roman" w:cs="Calibri"/>
                <w:noProof/>
              </w:rPr>
            </w:pPr>
            <w:r>
              <w:rPr>
                <w:noProof/>
              </w:rPr>
              <w:t xml:space="preserve">Ποσοστό εκπαιδευτικών στο δημόσιο εκπαιδευτικό δίκτυο που έχουν λάβει κατάρτιση σε βασικές ή πιο προηγμένες ψηφιακές δεξιότητες, μεταξύ άλλων (για εκπαιδευτικούς) σχετικά με την ενσωμάτωση των ψηφιακών τεχνολογιών στο πρόγραμμα σπουδών </w:t>
            </w:r>
          </w:p>
        </w:tc>
      </w:tr>
      <w:tr w:rsidR="00154AD2" w14:paraId="7114F95D" w14:textId="77777777">
        <w:trPr>
          <w:trHeight w:val="300"/>
        </w:trPr>
        <w:tc>
          <w:tcPr>
            <w:tcW w:w="1135" w:type="dxa"/>
            <w:shd w:val="clear" w:color="auto" w:fill="C4EFCE"/>
            <w:vAlign w:val="center"/>
          </w:tcPr>
          <w:p w14:paraId="08F3C5C5" w14:textId="77777777" w:rsidR="00154AD2" w:rsidRDefault="007F6BF3">
            <w:pPr>
              <w:pStyle w:val="P68B1DB1-Normal7"/>
              <w:spacing w:after="0" w:line="240" w:lineRule="auto"/>
              <w:jc w:val="center"/>
              <w:rPr>
                <w:rFonts w:eastAsia="Times New Roman" w:cs="Calibri"/>
                <w:noProof/>
              </w:rPr>
            </w:pPr>
            <w:r>
              <w:rPr>
                <w:noProof/>
              </w:rPr>
              <w:t>20.2</w:t>
            </w:r>
          </w:p>
        </w:tc>
        <w:tc>
          <w:tcPr>
            <w:tcW w:w="1276" w:type="dxa"/>
            <w:shd w:val="clear" w:color="auto" w:fill="C4EFCE"/>
            <w:noWrap/>
            <w:vAlign w:val="center"/>
          </w:tcPr>
          <w:p w14:paraId="0AF6BE0F" w14:textId="77777777" w:rsidR="00154AD2" w:rsidRDefault="007F6BF3">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tcPr>
          <w:p w14:paraId="36E5EE5C"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tcPr>
          <w:p w14:paraId="2DF62002" w14:textId="77777777" w:rsidR="00154AD2" w:rsidRDefault="007F6BF3">
            <w:pPr>
              <w:pStyle w:val="P68B1DB1-Normal8"/>
              <w:spacing w:after="0" w:line="240" w:lineRule="auto"/>
              <w:jc w:val="center"/>
              <w:rPr>
                <w:rFonts w:eastAsia="Times New Roman" w:cs="Calibri"/>
                <w:noProof/>
              </w:rPr>
            </w:pPr>
            <w:r>
              <w:rPr>
                <w:noProof/>
              </w:rPr>
              <w:t>Υπογραφή συμβάσεων για την αγορά ατομικών ηλεκτρονικών υπολογιστών για μαθητές και εκπαιδευτικούς</w:t>
            </w:r>
          </w:p>
        </w:tc>
        <w:tc>
          <w:tcPr>
            <w:tcW w:w="1275" w:type="dxa"/>
            <w:shd w:val="clear" w:color="auto" w:fill="C4EFCE"/>
            <w:noWrap/>
            <w:vAlign w:val="center"/>
          </w:tcPr>
          <w:p w14:paraId="5636A55F" w14:textId="77777777" w:rsidR="00154AD2" w:rsidRDefault="007F6BF3">
            <w:pPr>
              <w:pStyle w:val="P68B1DB1-Normal8"/>
              <w:spacing w:after="0" w:line="240" w:lineRule="auto"/>
              <w:jc w:val="center"/>
              <w:rPr>
                <w:rFonts w:eastAsia="Times New Roman" w:cs="Calibri"/>
                <w:noProof/>
              </w:rPr>
            </w:pPr>
            <w:r>
              <w:rPr>
                <w:noProof/>
              </w:rPr>
              <w:t>Υπογραφή σύμβασης </w:t>
            </w:r>
          </w:p>
        </w:tc>
        <w:tc>
          <w:tcPr>
            <w:tcW w:w="993" w:type="dxa"/>
            <w:shd w:val="clear" w:color="auto" w:fill="C4EFCE"/>
            <w:noWrap/>
            <w:vAlign w:val="center"/>
          </w:tcPr>
          <w:p w14:paraId="097313A5" w14:textId="77777777" w:rsidR="00154AD2" w:rsidRDefault="00154AD2">
            <w:pPr>
              <w:spacing w:after="0" w:line="240" w:lineRule="auto"/>
              <w:jc w:val="center"/>
              <w:rPr>
                <w:rFonts w:ascii="Calibri" w:eastAsia="Times New Roman" w:hAnsi="Calibri" w:cs="Calibri"/>
                <w:noProof/>
                <w:sz w:val="16"/>
              </w:rPr>
            </w:pPr>
          </w:p>
        </w:tc>
        <w:tc>
          <w:tcPr>
            <w:tcW w:w="992" w:type="dxa"/>
            <w:shd w:val="clear" w:color="auto" w:fill="C4EFCE"/>
            <w:noWrap/>
            <w:vAlign w:val="center"/>
          </w:tcPr>
          <w:p w14:paraId="1EC54429" w14:textId="77777777" w:rsidR="00154AD2" w:rsidRDefault="00154AD2">
            <w:pPr>
              <w:spacing w:after="0" w:line="240" w:lineRule="auto"/>
              <w:jc w:val="center"/>
              <w:rPr>
                <w:rFonts w:ascii="Calibri" w:eastAsia="Times New Roman" w:hAnsi="Calibri" w:cs="Calibri"/>
                <w:noProof/>
                <w:sz w:val="16"/>
              </w:rPr>
            </w:pPr>
          </w:p>
        </w:tc>
        <w:tc>
          <w:tcPr>
            <w:tcW w:w="992" w:type="dxa"/>
            <w:shd w:val="clear" w:color="auto" w:fill="C4EFCE"/>
            <w:noWrap/>
            <w:vAlign w:val="center"/>
          </w:tcPr>
          <w:p w14:paraId="10D49A9C" w14:textId="77777777" w:rsidR="00154AD2" w:rsidRDefault="00154AD2">
            <w:pPr>
              <w:spacing w:after="0" w:line="240" w:lineRule="auto"/>
              <w:jc w:val="center"/>
              <w:rPr>
                <w:rFonts w:ascii="Calibri" w:eastAsia="Times New Roman" w:hAnsi="Calibri" w:cs="Calibri"/>
                <w:noProof/>
                <w:sz w:val="16"/>
              </w:rPr>
            </w:pPr>
          </w:p>
        </w:tc>
        <w:tc>
          <w:tcPr>
            <w:tcW w:w="567" w:type="dxa"/>
            <w:shd w:val="clear" w:color="auto" w:fill="C4EFCE"/>
            <w:noWrap/>
            <w:vAlign w:val="center"/>
          </w:tcPr>
          <w:p w14:paraId="473C119D"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tcPr>
          <w:p w14:paraId="667C7DB0" w14:textId="77777777" w:rsidR="00154AD2" w:rsidRDefault="007F6BF3">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tcPr>
          <w:p w14:paraId="50EEB7FB" w14:textId="77777777" w:rsidR="00154AD2" w:rsidRDefault="007F6BF3">
            <w:pPr>
              <w:pStyle w:val="P68B1DB1-Normal8"/>
              <w:spacing w:after="0" w:line="240" w:lineRule="auto"/>
              <w:jc w:val="both"/>
              <w:rPr>
                <w:rFonts w:eastAsia="Times New Roman" w:cs="Calibri"/>
                <w:noProof/>
              </w:rPr>
            </w:pPr>
            <w:r>
              <w:rPr>
                <w:noProof/>
              </w:rPr>
              <w:t>Υπογραφή συμβάσεων για την αγορά 600 000 νέων φορητών υπολογιστών που θα δανείζονται σε εκπαιδευτικούς και μαθητές</w:t>
            </w:r>
          </w:p>
        </w:tc>
      </w:tr>
      <w:tr w:rsidR="00154AD2" w14:paraId="085E7F63" w14:textId="77777777">
        <w:trPr>
          <w:trHeight w:val="300"/>
        </w:trPr>
        <w:tc>
          <w:tcPr>
            <w:tcW w:w="1135" w:type="dxa"/>
            <w:shd w:val="clear" w:color="auto" w:fill="C4EFCE"/>
            <w:vAlign w:val="center"/>
            <w:hideMark/>
          </w:tcPr>
          <w:p w14:paraId="4CAF552D" w14:textId="77777777" w:rsidR="00154AD2" w:rsidRDefault="007F6BF3">
            <w:pPr>
              <w:pStyle w:val="P68B1DB1-Normal7"/>
              <w:spacing w:after="0" w:line="240" w:lineRule="auto"/>
              <w:jc w:val="center"/>
              <w:rPr>
                <w:rFonts w:eastAsia="Times New Roman" w:cs="Calibri"/>
                <w:noProof/>
              </w:rPr>
            </w:pPr>
            <w:r>
              <w:rPr>
                <w:noProof/>
              </w:rPr>
              <w:t>20.3</w:t>
            </w:r>
          </w:p>
        </w:tc>
        <w:tc>
          <w:tcPr>
            <w:tcW w:w="1276" w:type="dxa"/>
            <w:shd w:val="clear" w:color="auto" w:fill="C4EFCE"/>
            <w:noWrap/>
            <w:vAlign w:val="center"/>
            <w:hideMark/>
          </w:tcPr>
          <w:p w14:paraId="7D638ADE" w14:textId="77777777" w:rsidR="00154AD2" w:rsidRDefault="007F6BF3">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6ED35996"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D20C1E8" w14:textId="77777777" w:rsidR="00154AD2" w:rsidRDefault="007F6BF3">
            <w:pPr>
              <w:pStyle w:val="P68B1DB1-Normal8"/>
              <w:spacing w:after="0" w:line="240" w:lineRule="auto"/>
              <w:jc w:val="center"/>
              <w:rPr>
                <w:rFonts w:eastAsia="Times New Roman" w:cs="Calibri"/>
                <w:noProof/>
              </w:rPr>
            </w:pPr>
            <w:r>
              <w:rPr>
                <w:noProof/>
              </w:rPr>
              <w:t>Ηλεκτρονικοί υπολογιστές για την ατομική χρήση μαθητών και εκπαιδευτικών</w:t>
            </w:r>
          </w:p>
        </w:tc>
        <w:tc>
          <w:tcPr>
            <w:tcW w:w="1275" w:type="dxa"/>
            <w:shd w:val="clear" w:color="auto" w:fill="C4EFCE"/>
            <w:noWrap/>
            <w:vAlign w:val="center"/>
            <w:hideMark/>
          </w:tcPr>
          <w:p w14:paraId="2CBBC935"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B22CD9F"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41371EA9" w14:textId="77777777" w:rsidR="00154AD2" w:rsidRDefault="007F6BF3">
            <w:pPr>
              <w:pStyle w:val="P68B1DB1-Normal8"/>
              <w:spacing w:after="0" w:line="240" w:lineRule="auto"/>
              <w:jc w:val="center"/>
              <w:rPr>
                <w:rFonts w:eastAsia="Times New Roman" w:cs="Calibri"/>
                <w:noProof/>
              </w:rPr>
            </w:pPr>
            <w:r>
              <w:rPr>
                <w:noProof/>
              </w:rPr>
              <w:t>450 000</w:t>
            </w:r>
          </w:p>
        </w:tc>
        <w:tc>
          <w:tcPr>
            <w:tcW w:w="992" w:type="dxa"/>
            <w:shd w:val="clear" w:color="auto" w:fill="C4EFCE"/>
            <w:noWrap/>
            <w:vAlign w:val="center"/>
            <w:hideMark/>
          </w:tcPr>
          <w:p w14:paraId="7AA00153" w14:textId="77777777" w:rsidR="00154AD2" w:rsidRDefault="007F6BF3">
            <w:pPr>
              <w:pStyle w:val="P68B1DB1-Normal8"/>
              <w:spacing w:after="0" w:line="240" w:lineRule="auto"/>
              <w:jc w:val="center"/>
              <w:rPr>
                <w:rFonts w:eastAsia="Times New Roman" w:cs="Calibri"/>
                <w:noProof/>
              </w:rPr>
            </w:pPr>
            <w:r>
              <w:rPr>
                <w:noProof/>
              </w:rPr>
              <w:t>1 050 000</w:t>
            </w:r>
          </w:p>
        </w:tc>
        <w:tc>
          <w:tcPr>
            <w:tcW w:w="567" w:type="dxa"/>
            <w:shd w:val="clear" w:color="auto" w:fill="C4EFCE"/>
            <w:noWrap/>
            <w:vAlign w:val="center"/>
            <w:hideMark/>
          </w:tcPr>
          <w:p w14:paraId="675FB560"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5DBE1730" w14:textId="77777777" w:rsidR="00154AD2" w:rsidRDefault="007F6BF3">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608C7B2E" w14:textId="16A5EDB1" w:rsidR="00154AD2" w:rsidRDefault="007F6BF3">
            <w:pPr>
              <w:pStyle w:val="P68B1DB1-Normal8"/>
              <w:spacing w:after="0" w:line="240" w:lineRule="auto"/>
              <w:jc w:val="both"/>
              <w:rPr>
                <w:rFonts w:eastAsia="Times New Roman" w:cs="Calibri"/>
                <w:noProof/>
              </w:rPr>
            </w:pPr>
            <w:r>
              <w:rPr>
                <w:noProof/>
              </w:rPr>
              <w:t>Αριθμός φορητών υπολογιστών που θα χορηγηθούν σε εκπαιδευτικούς και μαθητές σε δημόσια σχολεία πρωτοβάθμιας και δευτεροβάθμιας εκπαίδευσης</w:t>
            </w:r>
          </w:p>
        </w:tc>
      </w:tr>
      <w:tr w:rsidR="00154AD2" w14:paraId="73850E68" w14:textId="77777777">
        <w:trPr>
          <w:trHeight w:val="640"/>
        </w:trPr>
        <w:tc>
          <w:tcPr>
            <w:tcW w:w="1135" w:type="dxa"/>
            <w:shd w:val="clear" w:color="auto" w:fill="C4EFCE"/>
            <w:vAlign w:val="center"/>
            <w:hideMark/>
          </w:tcPr>
          <w:p w14:paraId="2C49AD1E" w14:textId="77777777" w:rsidR="00154AD2" w:rsidRDefault="007F6BF3">
            <w:pPr>
              <w:pStyle w:val="P68B1DB1-Normal7"/>
              <w:spacing w:after="0" w:line="240" w:lineRule="auto"/>
              <w:jc w:val="center"/>
              <w:rPr>
                <w:rFonts w:eastAsia="Times New Roman" w:cs="Calibri"/>
                <w:noProof/>
              </w:rPr>
            </w:pPr>
            <w:r>
              <w:rPr>
                <w:noProof/>
              </w:rPr>
              <w:t>20.4</w:t>
            </w:r>
          </w:p>
        </w:tc>
        <w:tc>
          <w:tcPr>
            <w:tcW w:w="1276" w:type="dxa"/>
            <w:shd w:val="clear" w:color="auto" w:fill="C4EFCE"/>
            <w:noWrap/>
            <w:vAlign w:val="center"/>
            <w:hideMark/>
          </w:tcPr>
          <w:p w14:paraId="21831B90" w14:textId="77777777" w:rsidR="00154AD2" w:rsidRDefault="007F6BF3">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3DC5179D"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D27B3A2" w14:textId="77777777" w:rsidR="00154AD2" w:rsidRDefault="007F6BF3">
            <w:pPr>
              <w:pStyle w:val="P68B1DB1-Normal8"/>
              <w:spacing w:after="0" w:line="240" w:lineRule="auto"/>
              <w:jc w:val="center"/>
              <w:rPr>
                <w:rFonts w:eastAsia="Times New Roman" w:cs="Calibri"/>
                <w:noProof/>
              </w:rPr>
            </w:pPr>
            <w:r>
              <w:rPr>
                <w:noProof/>
              </w:rPr>
              <w:t>Αναβάθμιση της συνδεσιμότητας των σχολείων πρωτοβάθμιας και δευτεροβάθμιας εκπαίδευσης</w:t>
            </w:r>
          </w:p>
        </w:tc>
        <w:tc>
          <w:tcPr>
            <w:tcW w:w="1275" w:type="dxa"/>
            <w:shd w:val="clear" w:color="auto" w:fill="C4EFCE"/>
            <w:noWrap/>
            <w:vAlign w:val="center"/>
            <w:hideMark/>
          </w:tcPr>
          <w:p w14:paraId="07232047"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999EFC6" w14:textId="77777777" w:rsidR="00154AD2" w:rsidRDefault="007F6BF3">
            <w:pPr>
              <w:pStyle w:val="P68B1DB1-Normal8"/>
              <w:spacing w:after="0" w:line="240" w:lineRule="auto"/>
              <w:jc w:val="center"/>
              <w:rPr>
                <w:rFonts w:eastAsia="Times New Roman" w:cs="Calibri"/>
                <w:noProof/>
              </w:rPr>
            </w:pPr>
            <w:r>
              <w:rPr>
                <w:noProof/>
              </w:rPr>
              <w:t xml:space="preserve">% </w:t>
            </w:r>
          </w:p>
        </w:tc>
        <w:tc>
          <w:tcPr>
            <w:tcW w:w="992" w:type="dxa"/>
            <w:shd w:val="clear" w:color="auto" w:fill="C4EFCE"/>
            <w:noWrap/>
            <w:vAlign w:val="center"/>
            <w:hideMark/>
          </w:tcPr>
          <w:p w14:paraId="519070AC" w14:textId="77777777" w:rsidR="00154AD2" w:rsidRDefault="007F6BF3">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2D3F45FC" w14:textId="77777777" w:rsidR="00154AD2" w:rsidRDefault="007F6BF3">
            <w:pPr>
              <w:pStyle w:val="P68B1DB1-Normal8"/>
              <w:spacing w:after="0" w:line="240" w:lineRule="auto"/>
              <w:jc w:val="center"/>
              <w:rPr>
                <w:rFonts w:eastAsia="Times New Roman" w:cs="Calibri"/>
                <w:noProof/>
              </w:rPr>
            </w:pPr>
            <w:r>
              <w:rPr>
                <w:noProof/>
              </w:rPr>
              <w:t>95</w:t>
            </w:r>
          </w:p>
        </w:tc>
        <w:tc>
          <w:tcPr>
            <w:tcW w:w="567" w:type="dxa"/>
            <w:shd w:val="clear" w:color="auto" w:fill="C4EFCE"/>
            <w:noWrap/>
            <w:vAlign w:val="center"/>
            <w:hideMark/>
          </w:tcPr>
          <w:p w14:paraId="6F6CA3AB"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35CFD022" w14:textId="10E5C0BC" w:rsidR="00154AD2" w:rsidRDefault="007F6BF3">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00706952" w14:textId="2D0D82EE" w:rsidR="00154AD2" w:rsidRDefault="007F6BF3">
            <w:pPr>
              <w:pStyle w:val="P68B1DB1-Normal8"/>
              <w:spacing w:after="0" w:line="240" w:lineRule="auto"/>
              <w:jc w:val="both"/>
              <w:rPr>
                <w:rFonts w:eastAsia="Times New Roman" w:cs="Calibri"/>
                <w:noProof/>
              </w:rPr>
            </w:pPr>
            <w:r>
              <w:rPr>
                <w:noProof/>
              </w:rPr>
              <w:t xml:space="preserve">Ποσοστό δημόσιων σχολείων πρωτοβάθμιας και δευτεροβάθμιας εκπαίδευσης στην ηπειρωτική Πορτογαλία που 1) συνδέονται με το διευρυμένο δίκτυο εκπαίδευσης 300 Gbps με σύνδεση τουλάχιστον 1 Gbps· και 2) διαθέτουν τοπικά σχολικά δίκτυα με, κατά μέσο όρο, 40 σημεία πρόσβασης Wi-fi. </w:t>
            </w:r>
          </w:p>
        </w:tc>
      </w:tr>
      <w:tr w:rsidR="00154AD2" w14:paraId="28357C41" w14:textId="77777777">
        <w:trPr>
          <w:trHeight w:val="1060"/>
        </w:trPr>
        <w:tc>
          <w:tcPr>
            <w:tcW w:w="1135" w:type="dxa"/>
            <w:shd w:val="clear" w:color="auto" w:fill="C4EFCE"/>
            <w:vAlign w:val="center"/>
            <w:hideMark/>
          </w:tcPr>
          <w:p w14:paraId="52869EA6" w14:textId="77777777" w:rsidR="00154AD2" w:rsidRDefault="007F6BF3">
            <w:pPr>
              <w:pStyle w:val="P68B1DB1-Normal7"/>
              <w:spacing w:after="0" w:line="240" w:lineRule="auto"/>
              <w:jc w:val="center"/>
              <w:rPr>
                <w:rFonts w:eastAsia="Times New Roman" w:cs="Calibri"/>
                <w:noProof/>
              </w:rPr>
            </w:pPr>
            <w:r>
              <w:rPr>
                <w:noProof/>
              </w:rPr>
              <w:t>20.5</w:t>
            </w:r>
          </w:p>
        </w:tc>
        <w:tc>
          <w:tcPr>
            <w:tcW w:w="1276" w:type="dxa"/>
            <w:shd w:val="clear" w:color="auto" w:fill="C4EFCE"/>
            <w:noWrap/>
            <w:vAlign w:val="center"/>
            <w:hideMark/>
          </w:tcPr>
          <w:p w14:paraId="118116DB" w14:textId="77777777" w:rsidR="00154AD2" w:rsidRDefault="007F6BF3">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20568D27"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371D07C" w14:textId="77777777" w:rsidR="00154AD2" w:rsidRDefault="007F6BF3">
            <w:pPr>
              <w:pStyle w:val="P68B1DB1-Normal8"/>
              <w:spacing w:after="0" w:line="240" w:lineRule="auto"/>
              <w:jc w:val="center"/>
              <w:rPr>
                <w:rFonts w:eastAsia="Times New Roman" w:cs="Calibri"/>
                <w:noProof/>
              </w:rPr>
            </w:pPr>
            <w:r>
              <w:rPr>
                <w:noProof/>
              </w:rPr>
              <w:t>Εγκατεστημένα εργαστήρια ψηφιακής εκπαίδευσης</w:t>
            </w:r>
          </w:p>
        </w:tc>
        <w:tc>
          <w:tcPr>
            <w:tcW w:w="1275" w:type="dxa"/>
            <w:shd w:val="clear" w:color="auto" w:fill="C4EFCE"/>
            <w:noWrap/>
            <w:vAlign w:val="center"/>
            <w:hideMark/>
          </w:tcPr>
          <w:p w14:paraId="3057EB2E"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7E61E26"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121F7ADD" w14:textId="77777777" w:rsidR="00154AD2" w:rsidRDefault="007F6BF3">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5CB928B4" w14:textId="77777777" w:rsidR="00154AD2" w:rsidRDefault="007F6BF3">
            <w:pPr>
              <w:pStyle w:val="P68B1DB1-Normal8"/>
              <w:spacing w:after="0" w:line="240" w:lineRule="auto"/>
              <w:jc w:val="center"/>
              <w:rPr>
                <w:rFonts w:eastAsia="Times New Roman" w:cs="Calibri"/>
                <w:noProof/>
              </w:rPr>
            </w:pPr>
            <w:r>
              <w:rPr>
                <w:noProof/>
              </w:rPr>
              <w:t>1 300</w:t>
            </w:r>
          </w:p>
        </w:tc>
        <w:tc>
          <w:tcPr>
            <w:tcW w:w="567" w:type="dxa"/>
            <w:shd w:val="clear" w:color="auto" w:fill="C4EFCE"/>
            <w:noWrap/>
            <w:vAlign w:val="center"/>
            <w:hideMark/>
          </w:tcPr>
          <w:p w14:paraId="465B78FA"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3E3CE4C3" w14:textId="7A64BB4D" w:rsidR="00154AD2" w:rsidRDefault="007F6BF3">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4120F3CB" w14:textId="77777777" w:rsidR="00154AD2" w:rsidRDefault="007F6BF3">
            <w:pPr>
              <w:pStyle w:val="P68B1DB1-Normal8"/>
              <w:spacing w:after="0" w:line="240" w:lineRule="auto"/>
              <w:jc w:val="both"/>
              <w:rPr>
                <w:rFonts w:eastAsia="Times New Roman" w:cs="Calibri"/>
                <w:noProof/>
              </w:rPr>
            </w:pPr>
            <w:r>
              <w:rPr>
                <w:noProof/>
              </w:rPr>
              <w:t>Αριθμός νέων εργαστηρίων ψηφιακής εκπαίδευσης που έχουν εγκατασταθεί σε δημόσια σχολεία πρωτοβάθμιας και δευτεροβάθμιας εκπαίδευσης στην ηπειρωτική Πορτογαλία με εξειδικευμένο εξοπλισμό έργων, όπως κιτ ρομποτικής, εκτυπωτές 3D, εξοπλισμός μέτρησης και δοκιμής, διάφορα εργαλεία, ενότητες ανάπτυξης και προσομοίωσης, ηλεκτρονικά συστατικά στοιχεία, μηχανές εγγραφής και κοπής λέιζερ ή άλλα, για την ανάπτυξη και τον πολλαπλασιασμό των πειραματικών ομάδων πληροφορικής, προγραμματισμού και ρομποτικών.</w:t>
            </w:r>
          </w:p>
        </w:tc>
      </w:tr>
      <w:tr w:rsidR="00154AD2" w14:paraId="39151C53" w14:textId="77777777">
        <w:trPr>
          <w:trHeight w:val="300"/>
        </w:trPr>
        <w:tc>
          <w:tcPr>
            <w:tcW w:w="1135" w:type="dxa"/>
            <w:shd w:val="clear" w:color="auto" w:fill="C4EFCE"/>
            <w:vAlign w:val="center"/>
            <w:hideMark/>
          </w:tcPr>
          <w:p w14:paraId="26EC845C" w14:textId="77777777" w:rsidR="00154AD2" w:rsidRDefault="007F6BF3">
            <w:pPr>
              <w:pStyle w:val="P68B1DB1-Normal7"/>
              <w:spacing w:after="0" w:line="240" w:lineRule="auto"/>
              <w:jc w:val="center"/>
              <w:rPr>
                <w:rFonts w:eastAsia="Times New Roman" w:cs="Calibri"/>
                <w:noProof/>
              </w:rPr>
            </w:pPr>
            <w:r>
              <w:rPr>
                <w:noProof/>
              </w:rPr>
              <w:t>20.6</w:t>
            </w:r>
          </w:p>
        </w:tc>
        <w:tc>
          <w:tcPr>
            <w:tcW w:w="1276" w:type="dxa"/>
            <w:shd w:val="clear" w:color="auto" w:fill="C4EFCE"/>
            <w:noWrap/>
            <w:vAlign w:val="center"/>
            <w:hideMark/>
          </w:tcPr>
          <w:p w14:paraId="5A9E807B" w14:textId="77777777" w:rsidR="00154AD2" w:rsidRDefault="007F6BF3">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0DB3DE55"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86508B8" w14:textId="77777777" w:rsidR="00154AD2" w:rsidRDefault="007F6BF3">
            <w:pPr>
              <w:pStyle w:val="P68B1DB1-Normal8"/>
              <w:spacing w:after="0" w:line="240" w:lineRule="auto"/>
              <w:jc w:val="center"/>
              <w:rPr>
                <w:rFonts w:eastAsia="Times New Roman" w:cs="Calibri"/>
                <w:noProof/>
              </w:rPr>
            </w:pPr>
            <w:r>
              <w:rPr>
                <w:noProof/>
              </w:rPr>
              <w:t>Αίθουσες διδασκαλίας με νέο εξοπλισμό προβολής</w:t>
            </w:r>
          </w:p>
        </w:tc>
        <w:tc>
          <w:tcPr>
            <w:tcW w:w="1275" w:type="dxa"/>
            <w:shd w:val="clear" w:color="auto" w:fill="C4EFCE"/>
            <w:noWrap/>
            <w:vAlign w:val="center"/>
            <w:hideMark/>
          </w:tcPr>
          <w:p w14:paraId="670C4A44"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5D8A0139"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125DBE7A" w14:textId="77777777" w:rsidR="00154AD2" w:rsidRDefault="007F6BF3">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31610ED6" w14:textId="77777777" w:rsidR="00154AD2" w:rsidRDefault="007F6BF3">
            <w:pPr>
              <w:pStyle w:val="P68B1DB1-Normal8"/>
              <w:spacing w:after="0" w:line="240" w:lineRule="auto"/>
              <w:jc w:val="center"/>
              <w:rPr>
                <w:rFonts w:eastAsia="Times New Roman" w:cs="Calibri"/>
                <w:noProof/>
              </w:rPr>
            </w:pPr>
            <w:r>
              <w:rPr>
                <w:noProof/>
              </w:rPr>
              <w:t>40 000</w:t>
            </w:r>
          </w:p>
        </w:tc>
        <w:tc>
          <w:tcPr>
            <w:tcW w:w="567" w:type="dxa"/>
            <w:shd w:val="clear" w:color="auto" w:fill="C4EFCE"/>
            <w:noWrap/>
            <w:vAlign w:val="center"/>
            <w:hideMark/>
          </w:tcPr>
          <w:p w14:paraId="7382EA47" w14:textId="057266D2" w:rsidR="00154AD2" w:rsidRDefault="007F6BF3">
            <w:pPr>
              <w:pStyle w:val="P68B1DB1-Normal8"/>
              <w:spacing w:after="0" w:line="240" w:lineRule="auto"/>
              <w:jc w:val="center"/>
              <w:rPr>
                <w:rFonts w:eastAsia="Times New Roman" w:cs="Calibri"/>
                <w:noProof/>
              </w:rPr>
            </w:pPr>
            <w:r>
              <w:rPr>
                <w:noProof/>
              </w:rPr>
              <w:t>ΤΡΊΜΗΝΟ 2</w:t>
            </w:r>
          </w:p>
        </w:tc>
        <w:tc>
          <w:tcPr>
            <w:tcW w:w="708" w:type="dxa"/>
            <w:shd w:val="clear" w:color="auto" w:fill="C4EFCE"/>
            <w:noWrap/>
            <w:vAlign w:val="center"/>
            <w:hideMark/>
          </w:tcPr>
          <w:p w14:paraId="00628B06" w14:textId="10DF44DB" w:rsidR="00154AD2" w:rsidRDefault="007F6BF3">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5F7C27F0" w14:textId="77777777" w:rsidR="00154AD2" w:rsidRDefault="007F6BF3">
            <w:pPr>
              <w:pStyle w:val="P68B1DB1-Normal8"/>
              <w:spacing w:after="0" w:line="240" w:lineRule="auto"/>
              <w:jc w:val="both"/>
              <w:rPr>
                <w:rFonts w:eastAsia="Times New Roman" w:cs="Calibri"/>
                <w:noProof/>
              </w:rPr>
            </w:pPr>
            <w:r>
              <w:rPr>
                <w:noProof/>
              </w:rPr>
              <w:t xml:space="preserve">Αριθμός αιθουσών διδασκαλίας σε δημόσια σχολεία πρωτοβάθμιας και δευτεροβάθμιας εκπαίδευσης με νέο εξοπλισμό προβολής </w:t>
            </w:r>
          </w:p>
        </w:tc>
      </w:tr>
      <w:tr w:rsidR="00154AD2" w14:paraId="651A2DB2" w14:textId="77777777">
        <w:trPr>
          <w:trHeight w:val="850"/>
        </w:trPr>
        <w:tc>
          <w:tcPr>
            <w:tcW w:w="1135" w:type="dxa"/>
            <w:shd w:val="clear" w:color="auto" w:fill="C4EFCE"/>
            <w:vAlign w:val="center"/>
            <w:hideMark/>
          </w:tcPr>
          <w:p w14:paraId="79EC60DC" w14:textId="77777777" w:rsidR="00154AD2" w:rsidRDefault="007F6BF3">
            <w:pPr>
              <w:pStyle w:val="P68B1DB1-Normal7"/>
              <w:spacing w:after="0" w:line="240" w:lineRule="auto"/>
              <w:jc w:val="center"/>
              <w:rPr>
                <w:rFonts w:eastAsia="Times New Roman" w:cs="Calibri"/>
                <w:noProof/>
              </w:rPr>
            </w:pPr>
            <w:r>
              <w:rPr>
                <w:noProof/>
              </w:rPr>
              <w:t>20.7</w:t>
            </w:r>
          </w:p>
        </w:tc>
        <w:tc>
          <w:tcPr>
            <w:tcW w:w="1276" w:type="dxa"/>
            <w:shd w:val="clear" w:color="auto" w:fill="C4EFCE"/>
            <w:noWrap/>
            <w:vAlign w:val="center"/>
            <w:hideMark/>
          </w:tcPr>
          <w:p w14:paraId="7C4CC769" w14:textId="77777777" w:rsidR="00154AD2" w:rsidRDefault="007F6BF3">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288B1223"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A43A074" w14:textId="77777777" w:rsidR="00154AD2" w:rsidRDefault="007F6BF3">
            <w:pPr>
              <w:pStyle w:val="P68B1DB1-Normal8"/>
              <w:spacing w:after="0" w:line="240" w:lineRule="auto"/>
              <w:jc w:val="center"/>
              <w:rPr>
                <w:rFonts w:eastAsia="Times New Roman" w:cs="Calibri"/>
                <w:noProof/>
              </w:rPr>
            </w:pPr>
            <w:r>
              <w:rPr>
                <w:noProof/>
              </w:rPr>
              <w:t>Ενδυνάμωση της διοίκησης των σχολείων</w:t>
            </w:r>
          </w:p>
        </w:tc>
        <w:tc>
          <w:tcPr>
            <w:tcW w:w="1275" w:type="dxa"/>
            <w:shd w:val="clear" w:color="auto" w:fill="C4EFCE"/>
            <w:noWrap/>
            <w:vAlign w:val="center"/>
            <w:hideMark/>
          </w:tcPr>
          <w:p w14:paraId="0F6F76E2"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2306F94" w14:textId="77777777" w:rsidR="00154AD2" w:rsidRDefault="007F6BF3">
            <w:pPr>
              <w:pStyle w:val="P68B1DB1-Normal8"/>
              <w:spacing w:after="0" w:line="240" w:lineRule="auto"/>
              <w:jc w:val="center"/>
              <w:rPr>
                <w:rFonts w:eastAsia="Times New Roman" w:cs="Calibri"/>
                <w:noProof/>
              </w:rPr>
            </w:pPr>
            <w:r>
              <w:rPr>
                <w:noProof/>
              </w:rPr>
              <w:t>%</w:t>
            </w:r>
          </w:p>
        </w:tc>
        <w:tc>
          <w:tcPr>
            <w:tcW w:w="992" w:type="dxa"/>
            <w:shd w:val="clear" w:color="auto" w:fill="C4EFCE"/>
            <w:noWrap/>
            <w:vAlign w:val="center"/>
            <w:hideMark/>
          </w:tcPr>
          <w:p w14:paraId="57355270" w14:textId="77777777" w:rsidR="00154AD2" w:rsidRDefault="007F6BF3">
            <w:pPr>
              <w:pStyle w:val="P68B1DB1-Normal8"/>
              <w:spacing w:after="0" w:line="240" w:lineRule="auto"/>
              <w:jc w:val="center"/>
              <w:rPr>
                <w:rFonts w:eastAsia="Times New Roman" w:cs="Calibri"/>
                <w:noProof/>
              </w:rPr>
            </w:pPr>
            <w:r>
              <w:rPr>
                <w:noProof/>
              </w:rPr>
              <w:t>30</w:t>
            </w:r>
          </w:p>
        </w:tc>
        <w:tc>
          <w:tcPr>
            <w:tcW w:w="992" w:type="dxa"/>
            <w:shd w:val="clear" w:color="auto" w:fill="C4EFCE"/>
            <w:noWrap/>
            <w:vAlign w:val="center"/>
            <w:hideMark/>
          </w:tcPr>
          <w:p w14:paraId="33A86C14" w14:textId="77777777" w:rsidR="00154AD2" w:rsidRDefault="007F6BF3">
            <w:pPr>
              <w:pStyle w:val="P68B1DB1-Normal8"/>
              <w:spacing w:after="0" w:line="240" w:lineRule="auto"/>
              <w:jc w:val="center"/>
              <w:rPr>
                <w:rFonts w:eastAsia="Times New Roman" w:cs="Calibri"/>
                <w:noProof/>
              </w:rPr>
            </w:pPr>
            <w:r>
              <w:rPr>
                <w:noProof/>
              </w:rPr>
              <w:t>95</w:t>
            </w:r>
          </w:p>
        </w:tc>
        <w:tc>
          <w:tcPr>
            <w:tcW w:w="567" w:type="dxa"/>
            <w:shd w:val="clear" w:color="auto" w:fill="C4EFCE"/>
            <w:noWrap/>
            <w:vAlign w:val="center"/>
            <w:hideMark/>
          </w:tcPr>
          <w:p w14:paraId="5F47097D"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4343F287" w14:textId="77777777" w:rsidR="00154AD2" w:rsidRDefault="007F6BF3">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20BBF106" w14:textId="71A22BCD" w:rsidR="00154AD2" w:rsidRDefault="007F6BF3">
            <w:pPr>
              <w:pStyle w:val="P68B1DB1-Normal8"/>
              <w:spacing w:after="0" w:line="240" w:lineRule="auto"/>
              <w:jc w:val="both"/>
              <w:rPr>
                <w:rFonts w:eastAsia="Times New Roman" w:cs="Calibri"/>
                <w:noProof/>
              </w:rPr>
            </w:pPr>
            <w:r>
              <w:rPr>
                <w:noProof/>
              </w:rPr>
              <w:t>Ποσοστό δημόσιων σχολείων πρωτοβάθμιας και δευτεροβάθμιας εκπαίδευσης στην ηπειρωτική Πορτογαλία που έχουν 1) υιοθετήσει το ενιαίο σύστημα ταυτοτήτων· 2) συνδέεται με τα πληροφοριακά συστήματα διαχείρισης της εκπαίδευσης του Υπουργείου Παιδείας και 3) ενέκρινε το σύστημα School 360, συμπεριλαμβανομένης της προμήθειας 15 000 υπολογιστών για χρήση σε δραστηριότητες διαχείρισης σχολείων.</w:t>
            </w:r>
          </w:p>
        </w:tc>
      </w:tr>
      <w:tr w:rsidR="00154AD2" w14:paraId="3EE0A428" w14:textId="77777777">
        <w:trPr>
          <w:trHeight w:val="430"/>
        </w:trPr>
        <w:tc>
          <w:tcPr>
            <w:tcW w:w="1135" w:type="dxa"/>
            <w:shd w:val="clear" w:color="auto" w:fill="C4EFCE"/>
            <w:vAlign w:val="center"/>
            <w:hideMark/>
          </w:tcPr>
          <w:p w14:paraId="3858008C" w14:textId="77777777" w:rsidR="00154AD2" w:rsidRDefault="007F6BF3">
            <w:pPr>
              <w:pStyle w:val="P68B1DB1-Normal7"/>
              <w:spacing w:after="0" w:line="240" w:lineRule="auto"/>
              <w:jc w:val="center"/>
              <w:rPr>
                <w:rFonts w:eastAsia="Times New Roman" w:cs="Calibri"/>
                <w:noProof/>
              </w:rPr>
            </w:pPr>
            <w:r>
              <w:rPr>
                <w:noProof/>
              </w:rPr>
              <w:t>20.8</w:t>
            </w:r>
          </w:p>
        </w:tc>
        <w:tc>
          <w:tcPr>
            <w:tcW w:w="1276" w:type="dxa"/>
            <w:shd w:val="clear" w:color="auto" w:fill="C4EFCE"/>
            <w:noWrap/>
            <w:vAlign w:val="center"/>
            <w:hideMark/>
          </w:tcPr>
          <w:p w14:paraId="2319D081" w14:textId="77777777" w:rsidR="00154AD2" w:rsidRDefault="007F6BF3">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3060AFF1"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084A8A8B" w14:textId="77777777" w:rsidR="00154AD2" w:rsidRDefault="007F6BF3">
            <w:pPr>
              <w:pStyle w:val="P68B1DB1-Normal8"/>
              <w:spacing w:after="0" w:line="240" w:lineRule="auto"/>
              <w:jc w:val="center"/>
              <w:rPr>
                <w:rFonts w:eastAsia="Times New Roman" w:cs="Calibri"/>
                <w:noProof/>
              </w:rPr>
            </w:pPr>
            <w:r>
              <w:rPr>
                <w:noProof/>
              </w:rPr>
              <w:t>Ψηφιακοί εκπαιδευτικοί πόροι</w:t>
            </w:r>
          </w:p>
        </w:tc>
        <w:tc>
          <w:tcPr>
            <w:tcW w:w="1275" w:type="dxa"/>
            <w:shd w:val="clear" w:color="auto" w:fill="C4EFCE"/>
            <w:noWrap/>
            <w:vAlign w:val="center"/>
            <w:hideMark/>
          </w:tcPr>
          <w:p w14:paraId="2EB1AFBE"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1AFDD2B" w14:textId="77777777" w:rsidR="00154AD2" w:rsidRDefault="007F6BF3">
            <w:pPr>
              <w:pStyle w:val="P68B1DB1-Normal8"/>
              <w:spacing w:after="0" w:line="240" w:lineRule="auto"/>
              <w:jc w:val="center"/>
              <w:rPr>
                <w:rFonts w:eastAsia="Times New Roman" w:cs="Calibri"/>
                <w:noProof/>
              </w:rPr>
            </w:pPr>
            <w:r>
              <w:rPr>
                <w:noProof/>
              </w:rPr>
              <w:t>%</w:t>
            </w:r>
          </w:p>
        </w:tc>
        <w:tc>
          <w:tcPr>
            <w:tcW w:w="992" w:type="dxa"/>
            <w:shd w:val="clear" w:color="auto" w:fill="C4EFCE"/>
            <w:noWrap/>
            <w:vAlign w:val="center"/>
            <w:hideMark/>
          </w:tcPr>
          <w:p w14:paraId="02C4AFF6" w14:textId="77777777" w:rsidR="00154AD2" w:rsidRDefault="007F6BF3">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4E9F353A" w14:textId="77777777" w:rsidR="00154AD2" w:rsidRDefault="007F6BF3">
            <w:pPr>
              <w:pStyle w:val="P68B1DB1-Normal8"/>
              <w:spacing w:after="0" w:line="240" w:lineRule="auto"/>
              <w:jc w:val="center"/>
              <w:rPr>
                <w:rFonts w:eastAsia="Times New Roman" w:cs="Calibri"/>
                <w:noProof/>
              </w:rPr>
            </w:pPr>
            <w:r>
              <w:rPr>
                <w:noProof/>
              </w:rPr>
              <w:t>95</w:t>
            </w:r>
          </w:p>
        </w:tc>
        <w:tc>
          <w:tcPr>
            <w:tcW w:w="567" w:type="dxa"/>
            <w:shd w:val="clear" w:color="auto" w:fill="C4EFCE"/>
            <w:noWrap/>
            <w:vAlign w:val="center"/>
            <w:hideMark/>
          </w:tcPr>
          <w:p w14:paraId="4CC9C924"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7436371A" w14:textId="77777777" w:rsidR="00154AD2" w:rsidRDefault="007F6BF3">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5EECD628" w14:textId="77777777" w:rsidR="00154AD2" w:rsidRDefault="007F6BF3">
            <w:pPr>
              <w:pStyle w:val="P68B1DB1-Normal8"/>
              <w:spacing w:after="0" w:line="240" w:lineRule="auto"/>
              <w:jc w:val="both"/>
              <w:rPr>
                <w:rFonts w:eastAsia="Times New Roman" w:cs="Calibri"/>
                <w:noProof/>
              </w:rPr>
            </w:pPr>
            <w:r>
              <w:rPr>
                <w:noProof/>
              </w:rPr>
              <w:t>Ποσοστό μαθημάτων στα προγράμματα σπουδών πρωτοβάθμιας και δευτεροβάθμιας εκπαίδευσης, συμπεριλαμβανομένης της φυσικής αγωγής και του αθλητισμού για τα οποία έχει ολοκληρωθεί η παραγωγή ψηφιακών εκπαιδευτικών πόρων.</w:t>
            </w:r>
          </w:p>
        </w:tc>
      </w:tr>
      <w:tr w:rsidR="00154AD2" w14:paraId="6583B735" w14:textId="77777777">
        <w:trPr>
          <w:trHeight w:val="300"/>
        </w:trPr>
        <w:tc>
          <w:tcPr>
            <w:tcW w:w="1135" w:type="dxa"/>
            <w:shd w:val="clear" w:color="auto" w:fill="C4EFCE"/>
            <w:vAlign w:val="center"/>
            <w:hideMark/>
          </w:tcPr>
          <w:p w14:paraId="4B067463" w14:textId="77777777" w:rsidR="00154AD2" w:rsidRDefault="007F6BF3">
            <w:pPr>
              <w:pStyle w:val="P68B1DB1-Normal7"/>
              <w:spacing w:after="0" w:line="240" w:lineRule="auto"/>
              <w:jc w:val="center"/>
              <w:rPr>
                <w:rFonts w:eastAsia="Times New Roman" w:cs="Calibri"/>
                <w:noProof/>
              </w:rPr>
            </w:pPr>
            <w:r>
              <w:rPr>
                <w:noProof/>
              </w:rPr>
              <w:t>20.9</w:t>
            </w:r>
          </w:p>
        </w:tc>
        <w:tc>
          <w:tcPr>
            <w:tcW w:w="1276" w:type="dxa"/>
            <w:shd w:val="clear" w:color="auto" w:fill="C4EFCE"/>
            <w:noWrap/>
            <w:vAlign w:val="center"/>
            <w:hideMark/>
          </w:tcPr>
          <w:p w14:paraId="51ABDC58" w14:textId="77777777" w:rsidR="00154AD2" w:rsidRDefault="007F6BF3">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493108C4"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92A1726" w14:textId="77777777" w:rsidR="00154AD2" w:rsidRDefault="007F6BF3">
            <w:pPr>
              <w:pStyle w:val="P68B1DB1-Normal8"/>
              <w:spacing w:after="0" w:line="240" w:lineRule="auto"/>
              <w:jc w:val="center"/>
              <w:rPr>
                <w:rFonts w:eastAsia="Times New Roman" w:cs="Calibri"/>
                <w:noProof/>
              </w:rPr>
            </w:pPr>
            <w:r>
              <w:rPr>
                <w:noProof/>
              </w:rPr>
              <w:t xml:space="preserve">Ψηφιακές δοκιμασίες και εξετάσεις στα σχολεία </w:t>
            </w:r>
          </w:p>
        </w:tc>
        <w:tc>
          <w:tcPr>
            <w:tcW w:w="1275" w:type="dxa"/>
            <w:shd w:val="clear" w:color="auto" w:fill="C4EFCE"/>
            <w:noWrap/>
            <w:vAlign w:val="center"/>
            <w:hideMark/>
          </w:tcPr>
          <w:p w14:paraId="5EC705BD"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4340419" w14:textId="77777777" w:rsidR="00154AD2" w:rsidRDefault="007F6BF3">
            <w:pPr>
              <w:pStyle w:val="P68B1DB1-Normal8"/>
              <w:spacing w:after="0" w:line="240" w:lineRule="auto"/>
              <w:jc w:val="center"/>
              <w:rPr>
                <w:rFonts w:eastAsia="Times New Roman" w:cs="Calibri"/>
                <w:noProof/>
              </w:rPr>
            </w:pPr>
            <w:r>
              <w:rPr>
                <w:noProof/>
              </w:rPr>
              <w:t>%</w:t>
            </w:r>
          </w:p>
        </w:tc>
        <w:tc>
          <w:tcPr>
            <w:tcW w:w="992" w:type="dxa"/>
            <w:shd w:val="clear" w:color="auto" w:fill="C4EFCE"/>
            <w:noWrap/>
            <w:vAlign w:val="center"/>
            <w:hideMark/>
          </w:tcPr>
          <w:p w14:paraId="2A8DDDCB" w14:textId="77777777" w:rsidR="00154AD2" w:rsidRDefault="007F6BF3">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1F827CC1" w14:textId="77777777" w:rsidR="00154AD2" w:rsidRDefault="007F6BF3">
            <w:pPr>
              <w:pStyle w:val="P68B1DB1-Normal8"/>
              <w:spacing w:after="0" w:line="240" w:lineRule="auto"/>
              <w:jc w:val="center"/>
              <w:rPr>
                <w:rFonts w:eastAsia="Times New Roman" w:cs="Calibri"/>
                <w:noProof/>
              </w:rPr>
            </w:pPr>
            <w:r>
              <w:rPr>
                <w:noProof/>
              </w:rPr>
              <w:t>95</w:t>
            </w:r>
          </w:p>
        </w:tc>
        <w:tc>
          <w:tcPr>
            <w:tcW w:w="567" w:type="dxa"/>
            <w:shd w:val="clear" w:color="auto" w:fill="C4EFCE"/>
            <w:noWrap/>
            <w:vAlign w:val="center"/>
            <w:hideMark/>
          </w:tcPr>
          <w:p w14:paraId="6BF8C0F1"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410ECCAB" w14:textId="77777777" w:rsidR="00154AD2" w:rsidRDefault="007F6BF3">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6FCEA458" w14:textId="77777777" w:rsidR="00154AD2" w:rsidRDefault="007F6BF3">
            <w:pPr>
              <w:pStyle w:val="P68B1DB1-Normal8"/>
              <w:spacing w:after="0" w:line="240" w:lineRule="auto"/>
              <w:jc w:val="both"/>
              <w:rPr>
                <w:rFonts w:eastAsia="Times New Roman" w:cs="Calibri"/>
                <w:noProof/>
              </w:rPr>
            </w:pPr>
            <w:r>
              <w:rPr>
                <w:noProof/>
              </w:rPr>
              <w:t>Ποσοστό τελικών σχολικών δοκιμασιών και εξετάσεων που έχουν ψηφιοποιηθεί.</w:t>
            </w:r>
          </w:p>
        </w:tc>
      </w:tr>
      <w:tr w:rsidR="00154AD2" w14:paraId="1835F478" w14:textId="77777777">
        <w:trPr>
          <w:trHeight w:val="640"/>
        </w:trPr>
        <w:tc>
          <w:tcPr>
            <w:tcW w:w="1135" w:type="dxa"/>
            <w:shd w:val="clear" w:color="auto" w:fill="C4EFCE"/>
            <w:vAlign w:val="center"/>
            <w:hideMark/>
          </w:tcPr>
          <w:p w14:paraId="0918542F" w14:textId="77777777" w:rsidR="00154AD2" w:rsidRDefault="007F6BF3">
            <w:pPr>
              <w:pStyle w:val="P68B1DB1-Normal7"/>
              <w:spacing w:after="0" w:line="240" w:lineRule="auto"/>
              <w:jc w:val="center"/>
              <w:rPr>
                <w:rFonts w:eastAsia="Times New Roman" w:cs="Calibri"/>
                <w:noProof/>
              </w:rPr>
            </w:pPr>
            <w:r>
              <w:rPr>
                <w:noProof/>
              </w:rPr>
              <w:t>20.10</w:t>
            </w:r>
          </w:p>
        </w:tc>
        <w:tc>
          <w:tcPr>
            <w:tcW w:w="1276" w:type="dxa"/>
            <w:shd w:val="clear" w:color="auto" w:fill="C4EFCE"/>
            <w:noWrap/>
            <w:vAlign w:val="center"/>
            <w:hideMark/>
          </w:tcPr>
          <w:p w14:paraId="05624015" w14:textId="77777777" w:rsidR="00154AD2" w:rsidRDefault="007F6BF3">
            <w:pPr>
              <w:pStyle w:val="P68B1DB1-Normal8"/>
              <w:spacing w:after="0" w:line="240" w:lineRule="auto"/>
              <w:jc w:val="center"/>
              <w:rPr>
                <w:rFonts w:eastAsia="Times New Roman" w:cs="Calibri"/>
                <w:noProof/>
              </w:rPr>
            </w:pPr>
            <w:r>
              <w:rPr>
                <w:noProof/>
              </w:rPr>
              <w:t>TD-C20-i02-RAA</w:t>
            </w:r>
          </w:p>
        </w:tc>
        <w:tc>
          <w:tcPr>
            <w:tcW w:w="1134" w:type="dxa"/>
            <w:shd w:val="clear" w:color="auto" w:fill="C4EFCE"/>
            <w:noWrap/>
            <w:vAlign w:val="center"/>
            <w:hideMark/>
          </w:tcPr>
          <w:p w14:paraId="2541112A"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C3C4030" w14:textId="77777777" w:rsidR="00154AD2" w:rsidRDefault="007F6BF3">
            <w:pPr>
              <w:pStyle w:val="P68B1DB1-Normal8"/>
              <w:spacing w:after="0" w:line="240" w:lineRule="auto"/>
              <w:jc w:val="center"/>
              <w:rPr>
                <w:rFonts w:eastAsia="Times New Roman" w:cs="Calibri"/>
                <w:noProof/>
              </w:rPr>
            </w:pPr>
            <w:r>
              <w:rPr>
                <w:noProof/>
              </w:rPr>
              <w:t>Μαζικά ανοικτά διαδικτυακά μαθήματα για εκπαιδευτικούς και γονείς στην ARA</w:t>
            </w:r>
          </w:p>
        </w:tc>
        <w:tc>
          <w:tcPr>
            <w:tcW w:w="1275" w:type="dxa"/>
            <w:shd w:val="clear" w:color="auto" w:fill="C4EFCE"/>
            <w:noWrap/>
            <w:vAlign w:val="center"/>
            <w:hideMark/>
          </w:tcPr>
          <w:p w14:paraId="3E7759AA"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03B79BA3" w14:textId="77777777" w:rsidR="00154AD2" w:rsidRDefault="007F6BF3">
            <w:pPr>
              <w:pStyle w:val="P68B1DB1-Normal8"/>
              <w:spacing w:after="0" w:line="240" w:lineRule="auto"/>
              <w:jc w:val="center"/>
              <w:rPr>
                <w:rFonts w:eastAsia="Times New Roman" w:cs="Calibri"/>
                <w:noProof/>
              </w:rPr>
            </w:pPr>
            <w:r>
              <w:rPr>
                <w:noProof/>
              </w:rPr>
              <w:t> Αριθμός</w:t>
            </w:r>
          </w:p>
        </w:tc>
        <w:tc>
          <w:tcPr>
            <w:tcW w:w="992" w:type="dxa"/>
            <w:shd w:val="clear" w:color="auto" w:fill="C4EFCE"/>
            <w:noWrap/>
            <w:vAlign w:val="center"/>
            <w:hideMark/>
          </w:tcPr>
          <w:p w14:paraId="35DA7DA1" w14:textId="77777777" w:rsidR="00154AD2" w:rsidRDefault="007F6BF3">
            <w:pPr>
              <w:pStyle w:val="P68B1DB1-Normal8"/>
              <w:spacing w:after="0" w:line="240" w:lineRule="auto"/>
              <w:jc w:val="center"/>
              <w:rPr>
                <w:rFonts w:eastAsia="Times New Roman" w:cs="Calibri"/>
                <w:noProof/>
              </w:rPr>
            </w:pPr>
            <w:r>
              <w:rPr>
                <w:noProof/>
              </w:rPr>
              <w:t> 0</w:t>
            </w:r>
          </w:p>
        </w:tc>
        <w:tc>
          <w:tcPr>
            <w:tcW w:w="992" w:type="dxa"/>
            <w:shd w:val="clear" w:color="auto" w:fill="C4EFCE"/>
            <w:noWrap/>
            <w:vAlign w:val="center"/>
            <w:hideMark/>
          </w:tcPr>
          <w:p w14:paraId="1A1252EC" w14:textId="77777777" w:rsidR="00154AD2" w:rsidRDefault="007F6BF3">
            <w:pPr>
              <w:pStyle w:val="P68B1DB1-Normal8"/>
              <w:spacing w:after="0" w:line="240" w:lineRule="auto"/>
              <w:jc w:val="center"/>
              <w:rPr>
                <w:rFonts w:eastAsia="Times New Roman" w:cs="Calibri"/>
                <w:noProof/>
              </w:rPr>
            </w:pPr>
            <w:r>
              <w:rPr>
                <w:noProof/>
              </w:rPr>
              <w:t>4 </w:t>
            </w:r>
          </w:p>
        </w:tc>
        <w:tc>
          <w:tcPr>
            <w:tcW w:w="567" w:type="dxa"/>
            <w:shd w:val="clear" w:color="auto" w:fill="C4EFCE"/>
            <w:noWrap/>
            <w:vAlign w:val="center"/>
            <w:hideMark/>
          </w:tcPr>
          <w:p w14:paraId="4C03DB82"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4B08F7C5" w14:textId="77777777" w:rsidR="00154AD2" w:rsidRDefault="007F6BF3">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32162FD6" w14:textId="1657A217" w:rsidR="00154AD2" w:rsidRDefault="007F6BF3">
            <w:pPr>
              <w:pStyle w:val="P68B1DB1-Normal8"/>
              <w:spacing w:after="0" w:line="240" w:lineRule="auto"/>
              <w:jc w:val="both"/>
              <w:rPr>
                <w:rFonts w:eastAsia="Times New Roman" w:cs="Calibri"/>
                <w:noProof/>
              </w:rPr>
            </w:pPr>
            <w:r>
              <w:rPr>
                <w:noProof/>
              </w:rPr>
              <w:t>Αριθμός μαζικών ανοικτών διαδικτυακών μαθημάτων (MOOC) που δημιουργήθηκαν για την προώθηση της ανάπτυξης ψηφιακών δεξιοτήτων για την εκπαίδευση στην τάξη και την εξ αποστάσεως μάθηση, συμπεριλαμβανομένης της παροχής μαθημάτων και διαδικτυακής πύλης για τις δημόσιες συμβάσεις ψηφιακών ικανοτήτων. Τα MOOC διατίθενται στο διαδίκτυο και είναι ελεύθερα προσβάσιμα στους εκπαιδευτικούς και τους γονείς των μαθητών</w:t>
            </w:r>
          </w:p>
        </w:tc>
      </w:tr>
      <w:tr w:rsidR="00154AD2" w14:paraId="460A159F" w14:textId="77777777">
        <w:trPr>
          <w:trHeight w:val="430"/>
        </w:trPr>
        <w:tc>
          <w:tcPr>
            <w:tcW w:w="1135" w:type="dxa"/>
            <w:shd w:val="clear" w:color="auto" w:fill="C4EFCE"/>
            <w:vAlign w:val="center"/>
            <w:hideMark/>
          </w:tcPr>
          <w:p w14:paraId="68F05D42" w14:textId="77777777" w:rsidR="00154AD2" w:rsidRDefault="007F6BF3">
            <w:pPr>
              <w:pStyle w:val="P68B1DB1-Normal7"/>
              <w:spacing w:after="0" w:line="240" w:lineRule="auto"/>
              <w:jc w:val="center"/>
              <w:rPr>
                <w:rFonts w:eastAsia="Times New Roman" w:cs="Calibri"/>
                <w:noProof/>
              </w:rPr>
            </w:pPr>
            <w:r>
              <w:rPr>
                <w:noProof/>
              </w:rPr>
              <w:t>20.11</w:t>
            </w:r>
          </w:p>
        </w:tc>
        <w:tc>
          <w:tcPr>
            <w:tcW w:w="1276" w:type="dxa"/>
            <w:shd w:val="clear" w:color="auto" w:fill="C4EFCE"/>
            <w:noWrap/>
            <w:vAlign w:val="center"/>
            <w:hideMark/>
          </w:tcPr>
          <w:p w14:paraId="6836999F" w14:textId="77777777" w:rsidR="00154AD2" w:rsidRDefault="007F6BF3">
            <w:pPr>
              <w:pStyle w:val="P68B1DB1-Normal8"/>
              <w:spacing w:after="0" w:line="240" w:lineRule="auto"/>
              <w:jc w:val="center"/>
              <w:rPr>
                <w:rFonts w:eastAsia="Times New Roman" w:cs="Calibri"/>
                <w:noProof/>
              </w:rPr>
            </w:pPr>
            <w:r>
              <w:rPr>
                <w:noProof/>
              </w:rPr>
              <w:t>TD-C20-i02-RAA</w:t>
            </w:r>
          </w:p>
        </w:tc>
        <w:tc>
          <w:tcPr>
            <w:tcW w:w="1134" w:type="dxa"/>
            <w:shd w:val="clear" w:color="auto" w:fill="C4EFCE"/>
            <w:noWrap/>
            <w:vAlign w:val="center"/>
            <w:hideMark/>
          </w:tcPr>
          <w:p w14:paraId="11B05124"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4258687" w14:textId="77777777" w:rsidR="00154AD2" w:rsidRDefault="007F6BF3">
            <w:pPr>
              <w:pStyle w:val="P68B1DB1-Normal8"/>
              <w:spacing w:after="0" w:line="240" w:lineRule="auto"/>
              <w:jc w:val="center"/>
              <w:rPr>
                <w:rFonts w:eastAsia="Times New Roman" w:cs="Calibri"/>
                <w:noProof/>
              </w:rPr>
            </w:pPr>
            <w:r>
              <w:rPr>
                <w:noProof/>
              </w:rPr>
              <w:t>Νέοι φορητοί υπολογιστές και ταμπλέτες για σχολεία στην ARA</w:t>
            </w:r>
          </w:p>
        </w:tc>
        <w:tc>
          <w:tcPr>
            <w:tcW w:w="1275" w:type="dxa"/>
            <w:shd w:val="clear" w:color="auto" w:fill="C4EFCE"/>
            <w:noWrap/>
            <w:vAlign w:val="center"/>
            <w:hideMark/>
          </w:tcPr>
          <w:p w14:paraId="1EA6C894"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F699FF1" w14:textId="77777777" w:rsidR="00154AD2" w:rsidRDefault="007F6BF3">
            <w:pPr>
              <w:pStyle w:val="P68B1DB1-Normal8"/>
              <w:spacing w:after="0" w:line="240" w:lineRule="auto"/>
              <w:jc w:val="center"/>
              <w:rPr>
                <w:rFonts w:eastAsia="Times New Roman" w:cs="Calibri"/>
                <w:noProof/>
              </w:rPr>
            </w:pPr>
            <w:r>
              <w:rPr>
                <w:noProof/>
              </w:rPr>
              <w:t> Αριθμός</w:t>
            </w:r>
          </w:p>
        </w:tc>
        <w:tc>
          <w:tcPr>
            <w:tcW w:w="992" w:type="dxa"/>
            <w:shd w:val="clear" w:color="auto" w:fill="C4EFCE"/>
            <w:noWrap/>
            <w:vAlign w:val="center"/>
            <w:hideMark/>
          </w:tcPr>
          <w:p w14:paraId="1229DA03" w14:textId="77777777" w:rsidR="00154AD2" w:rsidRDefault="007F6BF3">
            <w:pPr>
              <w:pStyle w:val="P68B1DB1-Normal8"/>
              <w:spacing w:after="0" w:line="240" w:lineRule="auto"/>
              <w:jc w:val="center"/>
              <w:rPr>
                <w:rFonts w:eastAsia="Times New Roman" w:cs="Calibri"/>
                <w:noProof/>
              </w:rPr>
            </w:pPr>
            <w:r>
              <w:rPr>
                <w:noProof/>
              </w:rPr>
              <w:t> 0</w:t>
            </w:r>
          </w:p>
        </w:tc>
        <w:tc>
          <w:tcPr>
            <w:tcW w:w="992" w:type="dxa"/>
            <w:shd w:val="clear" w:color="auto" w:fill="C4EFCE"/>
            <w:noWrap/>
            <w:vAlign w:val="center"/>
            <w:hideMark/>
          </w:tcPr>
          <w:p w14:paraId="6A9D697F" w14:textId="606152BC" w:rsidR="00154AD2" w:rsidRDefault="007F6BF3">
            <w:pPr>
              <w:pStyle w:val="P68B1DB1-Normal8"/>
              <w:spacing w:after="0" w:line="240" w:lineRule="auto"/>
              <w:jc w:val="center"/>
              <w:rPr>
                <w:rFonts w:eastAsia="Times New Roman" w:cs="Calibri"/>
                <w:noProof/>
              </w:rPr>
            </w:pPr>
            <w:r>
              <w:rPr>
                <w:noProof/>
              </w:rPr>
              <w:t>31 900 </w:t>
            </w:r>
          </w:p>
        </w:tc>
        <w:tc>
          <w:tcPr>
            <w:tcW w:w="567" w:type="dxa"/>
            <w:shd w:val="clear" w:color="auto" w:fill="C4EFCE"/>
            <w:noWrap/>
            <w:vAlign w:val="center"/>
            <w:hideMark/>
          </w:tcPr>
          <w:p w14:paraId="33E5271F"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791A9F02" w14:textId="77777777" w:rsidR="00154AD2" w:rsidRDefault="007F6BF3">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0D530C43" w14:textId="4454DA70" w:rsidR="00154AD2" w:rsidRDefault="007F6BF3">
            <w:pPr>
              <w:pStyle w:val="P68B1DB1-Normal8"/>
              <w:spacing w:after="0" w:line="240" w:lineRule="auto"/>
              <w:jc w:val="both"/>
              <w:rPr>
                <w:rFonts w:eastAsia="Times New Roman" w:cs="Calibri"/>
                <w:noProof/>
                <w:highlight w:val="yellow"/>
              </w:rPr>
            </w:pPr>
            <w:r>
              <w:rPr>
                <w:noProof/>
              </w:rPr>
              <w:t xml:space="preserve">Αριθμός νέων φορητών υπολογιστών και ταμπλετών για προσχολική, 1η και 2η εκπαίδευση και δευτεροβάθμια εκπαίδευση, </w:t>
            </w:r>
          </w:p>
        </w:tc>
      </w:tr>
      <w:tr w:rsidR="00154AD2" w14:paraId="717DE77B" w14:textId="77777777">
        <w:trPr>
          <w:trHeight w:val="420"/>
        </w:trPr>
        <w:tc>
          <w:tcPr>
            <w:tcW w:w="1135" w:type="dxa"/>
            <w:shd w:val="clear" w:color="auto" w:fill="C4EFCE"/>
            <w:vAlign w:val="center"/>
            <w:hideMark/>
          </w:tcPr>
          <w:p w14:paraId="0BEC3FD8" w14:textId="77777777" w:rsidR="00154AD2" w:rsidRDefault="007F6BF3">
            <w:pPr>
              <w:pStyle w:val="P68B1DB1-Normal7"/>
              <w:spacing w:after="0" w:line="240" w:lineRule="auto"/>
              <w:jc w:val="center"/>
              <w:rPr>
                <w:rFonts w:eastAsia="Times New Roman" w:cs="Calibri"/>
                <w:noProof/>
              </w:rPr>
            </w:pPr>
            <w:r>
              <w:rPr>
                <w:noProof/>
              </w:rPr>
              <w:t>20.12</w:t>
            </w:r>
          </w:p>
        </w:tc>
        <w:tc>
          <w:tcPr>
            <w:tcW w:w="1276" w:type="dxa"/>
            <w:shd w:val="clear" w:color="auto" w:fill="C4EFCE"/>
            <w:noWrap/>
            <w:vAlign w:val="center"/>
            <w:hideMark/>
          </w:tcPr>
          <w:p w14:paraId="0159F519" w14:textId="77777777" w:rsidR="00154AD2" w:rsidRDefault="007F6BF3">
            <w:pPr>
              <w:pStyle w:val="P68B1DB1-Normal8"/>
              <w:spacing w:after="0" w:line="240" w:lineRule="auto"/>
              <w:jc w:val="center"/>
              <w:rPr>
                <w:rFonts w:eastAsia="Times New Roman" w:cs="Calibri"/>
                <w:noProof/>
              </w:rPr>
            </w:pPr>
            <w:r>
              <w:rPr>
                <w:noProof/>
              </w:rPr>
              <w:t>TD-C20-i02-RAA</w:t>
            </w:r>
          </w:p>
        </w:tc>
        <w:tc>
          <w:tcPr>
            <w:tcW w:w="1134" w:type="dxa"/>
            <w:shd w:val="clear" w:color="auto" w:fill="C4EFCE"/>
            <w:noWrap/>
            <w:vAlign w:val="center"/>
            <w:hideMark/>
          </w:tcPr>
          <w:p w14:paraId="731C7953"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26675CAB" w14:textId="77777777" w:rsidR="00154AD2" w:rsidRDefault="007F6BF3">
            <w:pPr>
              <w:pStyle w:val="P68B1DB1-Normal8"/>
              <w:spacing w:after="0" w:line="240" w:lineRule="auto"/>
              <w:jc w:val="center"/>
              <w:rPr>
                <w:rFonts w:eastAsia="Times New Roman" w:cs="Calibri"/>
                <w:noProof/>
              </w:rPr>
            </w:pPr>
            <w:r>
              <w:rPr>
                <w:noProof/>
              </w:rPr>
              <w:t>Ψηφιακός εξοπλισμός και ψηφιακοί εκπαιδευτικοί πόροι των σχολείων στην ARA</w:t>
            </w:r>
          </w:p>
        </w:tc>
        <w:tc>
          <w:tcPr>
            <w:tcW w:w="1275" w:type="dxa"/>
            <w:shd w:val="clear" w:color="auto" w:fill="C4EFCE"/>
            <w:noWrap/>
            <w:vAlign w:val="center"/>
            <w:hideMark/>
          </w:tcPr>
          <w:p w14:paraId="665AC058" w14:textId="77777777" w:rsidR="00154AD2" w:rsidRDefault="007F6BF3">
            <w:pPr>
              <w:pStyle w:val="P68B1DB1-Normal8"/>
              <w:spacing w:after="0" w:line="240" w:lineRule="auto"/>
              <w:jc w:val="center"/>
              <w:rPr>
                <w:rFonts w:eastAsia="Times New Roman" w:cs="Calibri"/>
                <w:noProof/>
              </w:rPr>
            </w:pPr>
            <w:r>
              <w:rPr>
                <w:noProof/>
              </w:rPr>
              <w:t>Παροχή ψηφιακού εξοπλισμού και ψηφιακών εκπαιδευτικών πόρων στα σχολεία της ARA </w:t>
            </w:r>
          </w:p>
        </w:tc>
        <w:tc>
          <w:tcPr>
            <w:tcW w:w="993" w:type="dxa"/>
            <w:shd w:val="clear" w:color="auto" w:fill="C4EFCE"/>
            <w:noWrap/>
            <w:vAlign w:val="center"/>
            <w:hideMark/>
          </w:tcPr>
          <w:p w14:paraId="4291E0F6" w14:textId="77777777" w:rsidR="00154AD2" w:rsidRDefault="007F6BF3">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717013E8" w14:textId="77777777" w:rsidR="00154AD2" w:rsidRDefault="007F6BF3">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73B8A39D" w14:textId="77777777" w:rsidR="00154AD2" w:rsidRDefault="007F6BF3">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0D69B374"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2B160E88" w14:textId="77777777" w:rsidR="00154AD2" w:rsidRDefault="007F6BF3">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5FB45933" w14:textId="4CC70D9C" w:rsidR="00154AD2" w:rsidRDefault="007F6BF3">
            <w:pPr>
              <w:pStyle w:val="P68B1DB1-Normal8"/>
              <w:spacing w:after="0" w:line="240" w:lineRule="auto"/>
              <w:jc w:val="both"/>
              <w:rPr>
                <w:rFonts w:eastAsia="Times New Roman" w:cs="Calibri"/>
                <w:noProof/>
              </w:rPr>
            </w:pPr>
            <w:r>
              <w:rPr>
                <w:noProof/>
              </w:rPr>
              <w:t xml:space="preserve">Ολοκλήρωση της διανομής του ακόλουθου ψηφιακού εξοπλισμού στα σχολεία της Αυτόνομης Περιφέρειας Αζορών: τουλάχιστον 1Gbps σύνδεση στο διαδίκτυο στο 95 % των σχολείων, 1080 νέες διαδραστικές οθόνες, 100 νέος εξειδικευμένος εργαστηριακός εξοπλισμός, 100 νέοι εκτυπωτές 3D, 150 νέα εκπαιδευτικά ρομπότ. Επιπλέον, όλα τα δημόσια σχολεία και τέσσερα ιδιωτικά σχολεία προσφέρουν ψηφιακά εγχειρίδια για όλους τους μαθητές. Αγοράζονται και εγκαθίστανται 1500 διακόπτες και APS. </w:t>
            </w:r>
          </w:p>
          <w:p w14:paraId="08384363" w14:textId="6F1DA79E" w:rsidR="00154AD2" w:rsidRDefault="00154AD2">
            <w:pPr>
              <w:spacing w:after="0" w:line="240" w:lineRule="auto"/>
              <w:jc w:val="both"/>
              <w:rPr>
                <w:rFonts w:ascii="Calibri" w:eastAsia="Times New Roman" w:hAnsi="Calibri" w:cs="Calibri"/>
                <w:noProof/>
                <w:sz w:val="16"/>
              </w:rPr>
            </w:pPr>
          </w:p>
        </w:tc>
      </w:tr>
      <w:tr w:rsidR="00154AD2" w14:paraId="10C91F97" w14:textId="77777777">
        <w:trPr>
          <w:trHeight w:val="640"/>
        </w:trPr>
        <w:tc>
          <w:tcPr>
            <w:tcW w:w="1135" w:type="dxa"/>
            <w:shd w:val="clear" w:color="auto" w:fill="C4EFCE"/>
            <w:vAlign w:val="center"/>
            <w:hideMark/>
          </w:tcPr>
          <w:p w14:paraId="7E9B20A9" w14:textId="77777777" w:rsidR="00154AD2" w:rsidRDefault="007F6BF3">
            <w:pPr>
              <w:pStyle w:val="P68B1DB1-Normal7"/>
              <w:spacing w:after="0" w:line="240" w:lineRule="auto"/>
              <w:jc w:val="center"/>
              <w:rPr>
                <w:rFonts w:eastAsia="Times New Roman" w:cs="Calibri"/>
                <w:noProof/>
              </w:rPr>
            </w:pPr>
            <w:r>
              <w:rPr>
                <w:noProof/>
              </w:rPr>
              <w:t>20.13</w:t>
            </w:r>
          </w:p>
        </w:tc>
        <w:tc>
          <w:tcPr>
            <w:tcW w:w="1276" w:type="dxa"/>
            <w:shd w:val="clear" w:color="auto" w:fill="C4EFCE"/>
            <w:noWrap/>
            <w:vAlign w:val="center"/>
            <w:hideMark/>
          </w:tcPr>
          <w:p w14:paraId="2040DD1F" w14:textId="77777777" w:rsidR="00154AD2" w:rsidRDefault="007F6BF3">
            <w:pPr>
              <w:pStyle w:val="P68B1DB1-Normal8"/>
              <w:spacing w:after="0" w:line="240" w:lineRule="auto"/>
              <w:jc w:val="center"/>
              <w:rPr>
                <w:rFonts w:eastAsia="Times New Roman" w:cs="Calibri"/>
                <w:noProof/>
              </w:rPr>
            </w:pPr>
            <w:r>
              <w:rPr>
                <w:noProof/>
              </w:rPr>
              <w:t>TD-C20-i02-RAA</w:t>
            </w:r>
          </w:p>
        </w:tc>
        <w:tc>
          <w:tcPr>
            <w:tcW w:w="1134" w:type="dxa"/>
            <w:shd w:val="clear" w:color="auto" w:fill="C4EFCE"/>
            <w:noWrap/>
            <w:vAlign w:val="center"/>
            <w:hideMark/>
          </w:tcPr>
          <w:p w14:paraId="736FAD20"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E518DAD" w14:textId="77777777" w:rsidR="00154AD2" w:rsidRDefault="007F6BF3">
            <w:pPr>
              <w:pStyle w:val="P68B1DB1-Normal8"/>
              <w:spacing w:after="0" w:line="240" w:lineRule="auto"/>
              <w:jc w:val="center"/>
              <w:rPr>
                <w:rFonts w:eastAsia="Times New Roman" w:cs="Calibri"/>
                <w:noProof/>
              </w:rPr>
            </w:pPr>
            <w:r>
              <w:rPr>
                <w:noProof/>
              </w:rPr>
              <w:t>Μαζικά ανοικτά διαδικτυακά μαθήματα για εκπαιδευτικούς και γονείς στην ARA</w:t>
            </w:r>
          </w:p>
        </w:tc>
        <w:tc>
          <w:tcPr>
            <w:tcW w:w="1275" w:type="dxa"/>
            <w:shd w:val="clear" w:color="auto" w:fill="C4EFCE"/>
            <w:noWrap/>
            <w:vAlign w:val="center"/>
            <w:hideMark/>
          </w:tcPr>
          <w:p w14:paraId="39B4F2CD"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DD36ADA" w14:textId="77777777" w:rsidR="00154AD2" w:rsidRDefault="007F6BF3">
            <w:pPr>
              <w:pStyle w:val="P68B1DB1-Normal8"/>
              <w:spacing w:after="0" w:line="240" w:lineRule="auto"/>
              <w:jc w:val="center"/>
              <w:rPr>
                <w:rFonts w:eastAsia="Times New Roman" w:cs="Calibri"/>
                <w:noProof/>
              </w:rPr>
            </w:pPr>
            <w:r>
              <w:rPr>
                <w:noProof/>
              </w:rPr>
              <w:t> Αριθμός</w:t>
            </w:r>
          </w:p>
        </w:tc>
        <w:tc>
          <w:tcPr>
            <w:tcW w:w="992" w:type="dxa"/>
            <w:shd w:val="clear" w:color="auto" w:fill="C4EFCE"/>
            <w:noWrap/>
            <w:vAlign w:val="center"/>
            <w:hideMark/>
          </w:tcPr>
          <w:p w14:paraId="62B718DE" w14:textId="77777777" w:rsidR="00154AD2" w:rsidRDefault="007F6BF3">
            <w:pPr>
              <w:pStyle w:val="P68B1DB1-Normal8"/>
              <w:spacing w:after="0" w:line="240" w:lineRule="auto"/>
              <w:jc w:val="center"/>
              <w:rPr>
                <w:rFonts w:eastAsia="Times New Roman" w:cs="Calibri"/>
                <w:noProof/>
              </w:rPr>
            </w:pPr>
            <w:r>
              <w:rPr>
                <w:noProof/>
              </w:rPr>
              <w:t>4 </w:t>
            </w:r>
          </w:p>
        </w:tc>
        <w:tc>
          <w:tcPr>
            <w:tcW w:w="992" w:type="dxa"/>
            <w:shd w:val="clear" w:color="auto" w:fill="C4EFCE"/>
            <w:noWrap/>
            <w:vAlign w:val="center"/>
            <w:hideMark/>
          </w:tcPr>
          <w:p w14:paraId="2541D73D" w14:textId="77777777" w:rsidR="00154AD2" w:rsidRDefault="007F6BF3">
            <w:pPr>
              <w:pStyle w:val="P68B1DB1-Normal8"/>
              <w:spacing w:after="0" w:line="240" w:lineRule="auto"/>
              <w:jc w:val="center"/>
              <w:rPr>
                <w:rFonts w:eastAsia="Times New Roman" w:cs="Calibri"/>
                <w:noProof/>
              </w:rPr>
            </w:pPr>
            <w:r>
              <w:rPr>
                <w:noProof/>
              </w:rPr>
              <w:t>24 </w:t>
            </w:r>
          </w:p>
        </w:tc>
        <w:tc>
          <w:tcPr>
            <w:tcW w:w="567" w:type="dxa"/>
            <w:shd w:val="clear" w:color="auto" w:fill="C4EFCE"/>
            <w:noWrap/>
            <w:vAlign w:val="center"/>
            <w:hideMark/>
          </w:tcPr>
          <w:p w14:paraId="69EB09C9"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78E360EC" w14:textId="77777777" w:rsidR="00154AD2" w:rsidRDefault="007F6BF3">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460A3612" w14:textId="32C24508" w:rsidR="00154AD2" w:rsidRDefault="007F6BF3">
            <w:pPr>
              <w:pStyle w:val="P68B1DB1-Normal8"/>
              <w:spacing w:after="0" w:line="240" w:lineRule="auto"/>
              <w:jc w:val="both"/>
              <w:rPr>
                <w:rFonts w:eastAsia="Times New Roman" w:cs="Calibri"/>
                <w:noProof/>
              </w:rPr>
            </w:pPr>
            <w:r>
              <w:rPr>
                <w:noProof/>
              </w:rPr>
              <w:t>Αριθμός μαζικών ανοικτών διαδικτυακών μαθημάτων (MOOC) που δημιουργήθηκαν για την προώθηση της ανάπτυξης ψηφιακών δεξιοτήτων για την εκπαίδευση στην τάξη και την εξ αποστάσεως μάθηση, συμπεριλαμβανομένης της παροχής μαθημάτων και διαδικτυακής πύλης για τις δημόσιες συμβάσεις ψηφιακών ικανοτήτων. Τα MOOC διατίθενται στο διαδίκτυο και είναι ελεύθερα προσβάσιμα στους εκπαιδευτικούς και τους γονείς των μαθητών</w:t>
            </w:r>
          </w:p>
        </w:tc>
      </w:tr>
      <w:tr w:rsidR="00154AD2" w14:paraId="1D223056" w14:textId="77777777">
        <w:trPr>
          <w:trHeight w:val="430"/>
        </w:trPr>
        <w:tc>
          <w:tcPr>
            <w:tcW w:w="1135" w:type="dxa"/>
            <w:shd w:val="clear" w:color="auto" w:fill="C4EFCE"/>
            <w:vAlign w:val="center"/>
            <w:hideMark/>
          </w:tcPr>
          <w:p w14:paraId="0ECDAF89" w14:textId="77777777" w:rsidR="00154AD2" w:rsidRDefault="007F6BF3">
            <w:pPr>
              <w:pStyle w:val="P68B1DB1-Normal7"/>
              <w:spacing w:after="0" w:line="240" w:lineRule="auto"/>
              <w:jc w:val="center"/>
              <w:rPr>
                <w:rFonts w:eastAsia="Times New Roman" w:cs="Calibri"/>
                <w:noProof/>
              </w:rPr>
            </w:pPr>
            <w:r>
              <w:rPr>
                <w:noProof/>
              </w:rPr>
              <w:t>20.14</w:t>
            </w:r>
          </w:p>
        </w:tc>
        <w:tc>
          <w:tcPr>
            <w:tcW w:w="1276" w:type="dxa"/>
            <w:shd w:val="clear" w:color="auto" w:fill="C4EFCE"/>
            <w:noWrap/>
            <w:vAlign w:val="center"/>
            <w:hideMark/>
          </w:tcPr>
          <w:p w14:paraId="03D3DFC8" w14:textId="77777777" w:rsidR="00154AD2" w:rsidRDefault="007F6BF3">
            <w:pPr>
              <w:pStyle w:val="P68B1DB1-Normal8"/>
              <w:spacing w:after="0" w:line="240" w:lineRule="auto"/>
              <w:jc w:val="center"/>
              <w:rPr>
                <w:rFonts w:eastAsia="Times New Roman" w:cs="Calibri"/>
                <w:noProof/>
              </w:rPr>
            </w:pPr>
            <w:r>
              <w:rPr>
                <w:noProof/>
              </w:rPr>
              <w:t>TD-C20-i03-RAM</w:t>
            </w:r>
          </w:p>
        </w:tc>
        <w:tc>
          <w:tcPr>
            <w:tcW w:w="1134" w:type="dxa"/>
            <w:shd w:val="clear" w:color="auto" w:fill="C4EFCE"/>
            <w:noWrap/>
            <w:vAlign w:val="center"/>
            <w:hideMark/>
          </w:tcPr>
          <w:p w14:paraId="723CBA4B"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EC3C9C2" w14:textId="77777777" w:rsidR="00154AD2" w:rsidRDefault="007F6BF3">
            <w:pPr>
              <w:pStyle w:val="P68B1DB1-Normal8"/>
              <w:spacing w:after="0" w:line="240" w:lineRule="auto"/>
              <w:jc w:val="center"/>
              <w:rPr>
                <w:rFonts w:eastAsia="Times New Roman" w:cs="Calibri"/>
                <w:noProof/>
              </w:rPr>
            </w:pPr>
            <w:r>
              <w:rPr>
                <w:noProof/>
              </w:rPr>
              <w:t>Ψηφιακά εγχειρίδια για μαθητές του 2ου και 3ου κύκλου και για μαθητές δευτεροβάθμιας εκπαίδευσης</w:t>
            </w:r>
          </w:p>
        </w:tc>
        <w:tc>
          <w:tcPr>
            <w:tcW w:w="1275" w:type="dxa"/>
            <w:shd w:val="clear" w:color="auto" w:fill="C4EFCE"/>
            <w:noWrap/>
            <w:vAlign w:val="center"/>
            <w:hideMark/>
          </w:tcPr>
          <w:p w14:paraId="581FCA5A"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56A2C559"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3D79BB54" w14:textId="77777777" w:rsidR="00154AD2" w:rsidRDefault="007F6BF3">
            <w:pPr>
              <w:pStyle w:val="P68B1DB1-Normal8"/>
              <w:spacing w:after="0" w:line="240" w:lineRule="auto"/>
              <w:jc w:val="center"/>
              <w:rPr>
                <w:rFonts w:eastAsia="Times New Roman" w:cs="Calibri"/>
                <w:noProof/>
              </w:rPr>
            </w:pPr>
            <w:r>
              <w:rPr>
                <w:noProof/>
              </w:rPr>
              <w:t> 0</w:t>
            </w:r>
          </w:p>
        </w:tc>
        <w:tc>
          <w:tcPr>
            <w:tcW w:w="992" w:type="dxa"/>
            <w:shd w:val="clear" w:color="auto" w:fill="C4EFCE"/>
            <w:noWrap/>
            <w:vAlign w:val="center"/>
            <w:hideMark/>
          </w:tcPr>
          <w:p w14:paraId="021450BF" w14:textId="77777777" w:rsidR="00154AD2" w:rsidRDefault="007F6BF3">
            <w:pPr>
              <w:pStyle w:val="P68B1DB1-Normal8"/>
              <w:spacing w:after="0" w:line="240" w:lineRule="auto"/>
              <w:jc w:val="center"/>
              <w:rPr>
                <w:rFonts w:eastAsia="Times New Roman" w:cs="Calibri"/>
                <w:noProof/>
              </w:rPr>
            </w:pPr>
            <w:r>
              <w:rPr>
                <w:noProof/>
              </w:rPr>
              <w:t>5 120</w:t>
            </w:r>
          </w:p>
        </w:tc>
        <w:tc>
          <w:tcPr>
            <w:tcW w:w="567" w:type="dxa"/>
            <w:shd w:val="clear" w:color="auto" w:fill="C4EFCE"/>
            <w:noWrap/>
            <w:vAlign w:val="center"/>
            <w:hideMark/>
          </w:tcPr>
          <w:p w14:paraId="606A70F3"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6E7BF1A5" w14:textId="77777777" w:rsidR="00154AD2" w:rsidRDefault="007F6BF3">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23F22FD8" w14:textId="77777777" w:rsidR="00154AD2" w:rsidRDefault="007F6BF3">
            <w:pPr>
              <w:pStyle w:val="P68B1DB1-Normal8"/>
              <w:spacing w:after="0" w:line="240" w:lineRule="auto"/>
              <w:jc w:val="both"/>
              <w:rPr>
                <w:rFonts w:eastAsia="Times New Roman" w:cs="Calibri"/>
                <w:noProof/>
              </w:rPr>
            </w:pPr>
            <w:r>
              <w:rPr>
                <w:noProof/>
              </w:rPr>
              <w:t>Αριθμός μαθητών στον 2ο και 3ο κύκλο πρωτοβάθμιας και δευτεροβάθμιας εκπαίδευσης οι οποίοι κατά τη διάρκεια του σχολικού έτους είχαν πρόσβαση και χρησιμοποίησαν το ψηφιακό κιτ εγχειριδίου στην ΕΕΜ.</w:t>
            </w:r>
          </w:p>
        </w:tc>
      </w:tr>
      <w:tr w:rsidR="00154AD2" w14:paraId="1D717255" w14:textId="77777777">
        <w:trPr>
          <w:trHeight w:val="430"/>
        </w:trPr>
        <w:tc>
          <w:tcPr>
            <w:tcW w:w="1135" w:type="dxa"/>
            <w:shd w:val="clear" w:color="auto" w:fill="C4EFCE"/>
            <w:vAlign w:val="center"/>
            <w:hideMark/>
          </w:tcPr>
          <w:p w14:paraId="43A515EE" w14:textId="77777777" w:rsidR="00154AD2" w:rsidRDefault="007F6BF3">
            <w:pPr>
              <w:pStyle w:val="P68B1DB1-Normal7"/>
              <w:spacing w:after="0" w:line="240" w:lineRule="auto"/>
              <w:jc w:val="center"/>
              <w:rPr>
                <w:rFonts w:eastAsia="Times New Roman" w:cs="Calibri"/>
                <w:noProof/>
              </w:rPr>
            </w:pPr>
            <w:r>
              <w:rPr>
                <w:noProof/>
              </w:rPr>
              <w:t>20.15</w:t>
            </w:r>
          </w:p>
        </w:tc>
        <w:tc>
          <w:tcPr>
            <w:tcW w:w="1276" w:type="dxa"/>
            <w:shd w:val="clear" w:color="auto" w:fill="C4EFCE"/>
            <w:noWrap/>
            <w:vAlign w:val="center"/>
            <w:hideMark/>
          </w:tcPr>
          <w:p w14:paraId="2F471844" w14:textId="77777777" w:rsidR="00154AD2" w:rsidRDefault="007F6BF3">
            <w:pPr>
              <w:pStyle w:val="P68B1DB1-Normal8"/>
              <w:spacing w:after="0" w:line="240" w:lineRule="auto"/>
              <w:jc w:val="center"/>
              <w:rPr>
                <w:rFonts w:eastAsia="Times New Roman" w:cs="Calibri"/>
                <w:noProof/>
              </w:rPr>
            </w:pPr>
            <w:r>
              <w:rPr>
                <w:noProof/>
              </w:rPr>
              <w:t>TD-C20-i03-RAM</w:t>
            </w:r>
          </w:p>
        </w:tc>
        <w:tc>
          <w:tcPr>
            <w:tcW w:w="1134" w:type="dxa"/>
            <w:shd w:val="clear" w:color="auto" w:fill="C4EFCE"/>
            <w:noWrap/>
            <w:vAlign w:val="center"/>
            <w:hideMark/>
          </w:tcPr>
          <w:p w14:paraId="557AA325"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CD1B65B" w14:textId="77777777" w:rsidR="00154AD2" w:rsidRDefault="007F6BF3">
            <w:pPr>
              <w:pStyle w:val="P68B1DB1-Normal8"/>
              <w:spacing w:after="0" w:line="240" w:lineRule="auto"/>
              <w:jc w:val="center"/>
              <w:rPr>
                <w:rFonts w:eastAsia="Times New Roman" w:cs="Calibri"/>
                <w:noProof/>
              </w:rPr>
            </w:pPr>
            <w:r>
              <w:rPr>
                <w:noProof/>
              </w:rPr>
              <w:t>Σύνδεση σχολείων στην ΕΕΜ</w:t>
            </w:r>
          </w:p>
        </w:tc>
        <w:tc>
          <w:tcPr>
            <w:tcW w:w="1275" w:type="dxa"/>
            <w:shd w:val="clear" w:color="auto" w:fill="C4EFCE"/>
            <w:noWrap/>
            <w:vAlign w:val="center"/>
            <w:hideMark/>
          </w:tcPr>
          <w:p w14:paraId="744D9AD2"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0395B5B" w14:textId="77777777" w:rsidR="00154AD2" w:rsidRDefault="007F6BF3">
            <w:pPr>
              <w:pStyle w:val="P68B1DB1-Normal8"/>
              <w:spacing w:after="0" w:line="240" w:lineRule="auto"/>
              <w:jc w:val="center"/>
              <w:rPr>
                <w:rFonts w:eastAsia="Times New Roman" w:cs="Calibri"/>
                <w:noProof/>
              </w:rPr>
            </w:pPr>
            <w:r>
              <w:rPr>
                <w:noProof/>
              </w:rPr>
              <w:t>%</w:t>
            </w:r>
          </w:p>
        </w:tc>
        <w:tc>
          <w:tcPr>
            <w:tcW w:w="992" w:type="dxa"/>
            <w:shd w:val="clear" w:color="auto" w:fill="C4EFCE"/>
            <w:noWrap/>
            <w:vAlign w:val="center"/>
            <w:hideMark/>
          </w:tcPr>
          <w:p w14:paraId="13728FA6" w14:textId="77777777" w:rsidR="00154AD2" w:rsidRDefault="007F6BF3">
            <w:pPr>
              <w:pStyle w:val="P68B1DB1-Normal8"/>
              <w:spacing w:after="0" w:line="240" w:lineRule="auto"/>
              <w:jc w:val="center"/>
              <w:rPr>
                <w:rFonts w:eastAsia="Times New Roman" w:cs="Calibri"/>
                <w:noProof/>
              </w:rPr>
            </w:pPr>
            <w:r>
              <w:rPr>
                <w:noProof/>
              </w:rPr>
              <w:t> 0</w:t>
            </w:r>
          </w:p>
        </w:tc>
        <w:tc>
          <w:tcPr>
            <w:tcW w:w="992" w:type="dxa"/>
            <w:shd w:val="clear" w:color="auto" w:fill="C4EFCE"/>
            <w:noWrap/>
            <w:vAlign w:val="center"/>
            <w:hideMark/>
          </w:tcPr>
          <w:p w14:paraId="2CFD81C3" w14:textId="53F859A1" w:rsidR="00154AD2" w:rsidRDefault="007F6BF3">
            <w:pPr>
              <w:pStyle w:val="P68B1DB1-Normal8"/>
              <w:spacing w:after="0" w:line="240" w:lineRule="auto"/>
              <w:jc w:val="center"/>
              <w:rPr>
                <w:rFonts w:eastAsia="Times New Roman" w:cs="Calibri"/>
                <w:noProof/>
              </w:rPr>
            </w:pPr>
            <w:r>
              <w:rPr>
                <w:noProof/>
              </w:rPr>
              <w:t>95</w:t>
            </w:r>
          </w:p>
        </w:tc>
        <w:tc>
          <w:tcPr>
            <w:tcW w:w="567" w:type="dxa"/>
            <w:shd w:val="clear" w:color="auto" w:fill="C4EFCE"/>
            <w:noWrap/>
            <w:vAlign w:val="center"/>
            <w:hideMark/>
          </w:tcPr>
          <w:p w14:paraId="1467E0FF"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702F513A" w14:textId="77777777" w:rsidR="00154AD2" w:rsidRDefault="007F6BF3">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22DA9518" w14:textId="77777777" w:rsidR="00154AD2" w:rsidRDefault="007F6BF3">
            <w:pPr>
              <w:pStyle w:val="P68B1DB1-Normal8"/>
              <w:spacing w:after="0" w:line="240" w:lineRule="auto"/>
              <w:jc w:val="both"/>
              <w:rPr>
                <w:rFonts w:eastAsia="Times New Roman" w:cs="Calibri"/>
                <w:noProof/>
              </w:rPr>
            </w:pPr>
            <w:r>
              <w:rPr>
                <w:noProof/>
              </w:rPr>
              <w:t xml:space="preserve">Ποσοστό των σχολείων πρωτοβάθμιας και δευτεροβάθμιας εκπαίδευσης στην ARM που είναι συνδεδεμένα με το διαρθρωμένο δίκτυο Wi-fi της ARM με σύνδεση στο διαδίκτυο τουλάχιστον 1Gbps για κάθε σχολείο. </w:t>
            </w:r>
          </w:p>
          <w:p w14:paraId="3A29FC8E" w14:textId="4CC450DC" w:rsidR="00154AD2" w:rsidRDefault="007F6BF3">
            <w:pPr>
              <w:pStyle w:val="P68B1DB1-Normal8"/>
              <w:spacing w:after="0" w:line="240" w:lineRule="auto"/>
              <w:jc w:val="both"/>
              <w:rPr>
                <w:rFonts w:eastAsia="Times New Roman" w:cs="Calibri"/>
                <w:noProof/>
              </w:rPr>
            </w:pPr>
            <w:r>
              <w:rPr>
                <w:noProof/>
              </w:rPr>
              <w:t xml:space="preserve">Επιπλέον, δέκα τακτικά ιδιωτικά σχολεία και ιδιωτικά και δημόσια επαγγελματικά σχολεία που θα συνδεθούν με το διαρθρωμένο δίκτυο Wi-fi ARM με σύνδεση στο διαδίκτυο τουλάχιστον 1Gbps για κάθε σχολείο. </w:t>
            </w:r>
          </w:p>
          <w:p w14:paraId="624C1FEB" w14:textId="77CAAEB2" w:rsidR="00154AD2" w:rsidRDefault="00154AD2">
            <w:pPr>
              <w:spacing w:after="0" w:line="240" w:lineRule="auto"/>
              <w:jc w:val="both"/>
              <w:rPr>
                <w:rFonts w:ascii="Calibri" w:eastAsia="Times New Roman" w:hAnsi="Calibri" w:cs="Calibri"/>
                <w:noProof/>
                <w:sz w:val="16"/>
              </w:rPr>
            </w:pPr>
          </w:p>
        </w:tc>
      </w:tr>
      <w:tr w:rsidR="00154AD2" w14:paraId="1ED02672" w14:textId="77777777">
        <w:trPr>
          <w:trHeight w:val="430"/>
        </w:trPr>
        <w:tc>
          <w:tcPr>
            <w:tcW w:w="1135" w:type="dxa"/>
            <w:shd w:val="clear" w:color="auto" w:fill="C4EFCE"/>
            <w:vAlign w:val="center"/>
            <w:hideMark/>
          </w:tcPr>
          <w:p w14:paraId="243BF94D" w14:textId="77777777" w:rsidR="00154AD2" w:rsidRDefault="007F6BF3">
            <w:pPr>
              <w:pStyle w:val="P68B1DB1-Normal7"/>
              <w:spacing w:after="0" w:line="240" w:lineRule="auto"/>
              <w:jc w:val="center"/>
              <w:rPr>
                <w:rFonts w:eastAsia="Times New Roman" w:cs="Calibri"/>
                <w:noProof/>
              </w:rPr>
            </w:pPr>
            <w:r>
              <w:rPr>
                <w:noProof/>
              </w:rPr>
              <w:t>20.16</w:t>
            </w:r>
          </w:p>
        </w:tc>
        <w:tc>
          <w:tcPr>
            <w:tcW w:w="1276" w:type="dxa"/>
            <w:shd w:val="clear" w:color="auto" w:fill="C4EFCE"/>
            <w:noWrap/>
            <w:vAlign w:val="center"/>
            <w:hideMark/>
          </w:tcPr>
          <w:p w14:paraId="2BD7D152" w14:textId="77777777" w:rsidR="00154AD2" w:rsidRDefault="007F6BF3">
            <w:pPr>
              <w:pStyle w:val="P68B1DB1-Normal8"/>
              <w:spacing w:after="0" w:line="240" w:lineRule="auto"/>
              <w:jc w:val="center"/>
              <w:rPr>
                <w:rFonts w:eastAsia="Times New Roman" w:cs="Calibri"/>
                <w:noProof/>
              </w:rPr>
            </w:pPr>
            <w:r>
              <w:rPr>
                <w:noProof/>
              </w:rPr>
              <w:t>TD-C20-i03-RAM</w:t>
            </w:r>
          </w:p>
        </w:tc>
        <w:tc>
          <w:tcPr>
            <w:tcW w:w="1134" w:type="dxa"/>
            <w:shd w:val="clear" w:color="auto" w:fill="C4EFCE"/>
            <w:noWrap/>
            <w:vAlign w:val="center"/>
            <w:hideMark/>
          </w:tcPr>
          <w:p w14:paraId="1186022C"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D0DFB1E" w14:textId="77777777" w:rsidR="00154AD2" w:rsidRDefault="007F6BF3">
            <w:pPr>
              <w:pStyle w:val="P68B1DB1-Normal8"/>
              <w:spacing w:after="0" w:line="240" w:lineRule="auto"/>
              <w:jc w:val="center"/>
              <w:rPr>
                <w:rFonts w:eastAsia="Times New Roman" w:cs="Calibri"/>
                <w:noProof/>
              </w:rPr>
            </w:pPr>
            <w:r>
              <w:rPr>
                <w:noProof/>
              </w:rPr>
              <w:t>Ψηφιακά εγχειρίδια για τους μαθητές του 2ου και 3ου κύκλου και για τους μαθητές δευτεροβάθμιας εκπαίδευσης στην ARM</w:t>
            </w:r>
          </w:p>
        </w:tc>
        <w:tc>
          <w:tcPr>
            <w:tcW w:w="1275" w:type="dxa"/>
            <w:shd w:val="clear" w:color="auto" w:fill="C4EFCE"/>
            <w:noWrap/>
            <w:vAlign w:val="center"/>
            <w:hideMark/>
          </w:tcPr>
          <w:p w14:paraId="7C67A362"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2EF3DF9D"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5CD64AFF" w14:textId="77777777" w:rsidR="00154AD2" w:rsidRDefault="007F6BF3">
            <w:pPr>
              <w:pStyle w:val="P68B1DB1-Normal8"/>
              <w:spacing w:after="0" w:line="240" w:lineRule="auto"/>
              <w:jc w:val="center"/>
              <w:rPr>
                <w:rFonts w:eastAsia="Times New Roman" w:cs="Calibri"/>
                <w:noProof/>
              </w:rPr>
            </w:pPr>
            <w:r>
              <w:rPr>
                <w:noProof/>
              </w:rPr>
              <w:t> 5 120</w:t>
            </w:r>
          </w:p>
        </w:tc>
        <w:tc>
          <w:tcPr>
            <w:tcW w:w="992" w:type="dxa"/>
            <w:shd w:val="clear" w:color="auto" w:fill="C4EFCE"/>
            <w:noWrap/>
            <w:vAlign w:val="center"/>
            <w:hideMark/>
          </w:tcPr>
          <w:p w14:paraId="240804FC" w14:textId="0B620340" w:rsidR="00154AD2" w:rsidRDefault="007F6BF3">
            <w:pPr>
              <w:pStyle w:val="P68B1DB1-Normal8"/>
              <w:spacing w:after="0" w:line="240" w:lineRule="auto"/>
              <w:jc w:val="center"/>
              <w:rPr>
                <w:rFonts w:eastAsia="Times New Roman" w:cs="Calibri"/>
                <w:noProof/>
              </w:rPr>
            </w:pPr>
            <w:r>
              <w:rPr>
                <w:noProof/>
              </w:rPr>
              <w:t>15 910</w:t>
            </w:r>
          </w:p>
        </w:tc>
        <w:tc>
          <w:tcPr>
            <w:tcW w:w="567" w:type="dxa"/>
            <w:shd w:val="clear" w:color="auto" w:fill="C4EFCE"/>
            <w:noWrap/>
            <w:vAlign w:val="center"/>
            <w:hideMark/>
          </w:tcPr>
          <w:p w14:paraId="62B4040C"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2F0C2BA8" w14:textId="77777777" w:rsidR="00154AD2" w:rsidRDefault="007F6BF3">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00F3AA12" w14:textId="77777777" w:rsidR="00154AD2" w:rsidRDefault="007F6BF3">
            <w:pPr>
              <w:pStyle w:val="P68B1DB1-Normal8"/>
              <w:spacing w:after="0" w:line="240" w:lineRule="auto"/>
              <w:jc w:val="both"/>
              <w:rPr>
                <w:rFonts w:eastAsia="Times New Roman" w:cs="Calibri"/>
                <w:noProof/>
              </w:rPr>
            </w:pPr>
            <w:r>
              <w:rPr>
                <w:noProof/>
              </w:rPr>
              <w:t>Αριθμός μαθητών στον 2ο και 3ο κύκλο πρωτοβάθμιας και δευτεροβάθμιας εκπαίδευσης οι οποίοι κατά τη διάρκεια του σχολικού έτους είχαν πρόσβαση και χρησιμοποίησαν το ψηφιακό κιτ εγχειριδίου στην ΕΕΜ.</w:t>
            </w:r>
          </w:p>
        </w:tc>
      </w:tr>
      <w:tr w:rsidR="00154AD2" w14:paraId="7660D0EB" w14:textId="77777777">
        <w:trPr>
          <w:trHeight w:val="430"/>
        </w:trPr>
        <w:tc>
          <w:tcPr>
            <w:tcW w:w="1135" w:type="dxa"/>
            <w:shd w:val="clear" w:color="auto" w:fill="C4EFCE"/>
            <w:vAlign w:val="center"/>
            <w:hideMark/>
          </w:tcPr>
          <w:p w14:paraId="325F95D8" w14:textId="77777777" w:rsidR="00154AD2" w:rsidRDefault="007F6BF3">
            <w:pPr>
              <w:pStyle w:val="P68B1DB1-Normal7"/>
              <w:spacing w:after="0" w:line="240" w:lineRule="auto"/>
              <w:jc w:val="center"/>
              <w:rPr>
                <w:rFonts w:eastAsia="Times New Roman" w:cs="Calibri"/>
                <w:noProof/>
              </w:rPr>
            </w:pPr>
            <w:r>
              <w:rPr>
                <w:noProof/>
              </w:rPr>
              <w:t>20.17</w:t>
            </w:r>
          </w:p>
        </w:tc>
        <w:tc>
          <w:tcPr>
            <w:tcW w:w="1276" w:type="dxa"/>
            <w:shd w:val="clear" w:color="auto" w:fill="C4EFCE"/>
            <w:noWrap/>
            <w:vAlign w:val="center"/>
            <w:hideMark/>
          </w:tcPr>
          <w:p w14:paraId="180447D1" w14:textId="77777777" w:rsidR="00154AD2" w:rsidRDefault="007F6BF3">
            <w:pPr>
              <w:pStyle w:val="P68B1DB1-Normal8"/>
              <w:spacing w:after="0" w:line="240" w:lineRule="auto"/>
              <w:jc w:val="center"/>
              <w:rPr>
                <w:rFonts w:eastAsia="Times New Roman" w:cs="Calibri"/>
                <w:noProof/>
              </w:rPr>
            </w:pPr>
            <w:r>
              <w:rPr>
                <w:noProof/>
              </w:rPr>
              <w:t>TD-C20-i03-RAM</w:t>
            </w:r>
          </w:p>
        </w:tc>
        <w:tc>
          <w:tcPr>
            <w:tcW w:w="1134" w:type="dxa"/>
            <w:shd w:val="clear" w:color="auto" w:fill="C4EFCE"/>
            <w:noWrap/>
            <w:vAlign w:val="center"/>
            <w:hideMark/>
          </w:tcPr>
          <w:p w14:paraId="7743CB91" w14:textId="77777777" w:rsidR="00154AD2" w:rsidRDefault="007F6BF3">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EE5696E" w14:textId="74CF1BE8" w:rsidR="00154AD2" w:rsidRDefault="007F6BF3">
            <w:pPr>
              <w:pStyle w:val="P68B1DB1-Normal8"/>
              <w:spacing w:after="0" w:line="240" w:lineRule="auto"/>
              <w:jc w:val="center"/>
              <w:rPr>
                <w:rFonts w:eastAsia="Times New Roman" w:cs="Calibri"/>
                <w:noProof/>
              </w:rPr>
            </w:pPr>
            <w:r>
              <w:rPr>
                <w:noProof/>
              </w:rPr>
              <w:t>Κατάρτιση εκπαιδευτικών και μη διδακτικού προσωπικού σε ψηφιακές ικανότητες στην ΕΕΜ</w:t>
            </w:r>
          </w:p>
        </w:tc>
        <w:tc>
          <w:tcPr>
            <w:tcW w:w="1275" w:type="dxa"/>
            <w:shd w:val="clear" w:color="auto" w:fill="C4EFCE"/>
            <w:noWrap/>
            <w:vAlign w:val="center"/>
            <w:hideMark/>
          </w:tcPr>
          <w:p w14:paraId="420A8AD6" w14:textId="77777777" w:rsidR="00154AD2" w:rsidRDefault="007F6BF3">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297D008C" w14:textId="77777777" w:rsidR="00154AD2" w:rsidRDefault="007F6BF3">
            <w:pPr>
              <w:pStyle w:val="P68B1DB1-Normal8"/>
              <w:spacing w:after="0" w:line="240" w:lineRule="auto"/>
              <w:jc w:val="center"/>
              <w:rPr>
                <w:rFonts w:eastAsia="Times New Roman" w:cs="Calibri"/>
                <w:noProof/>
              </w:rPr>
            </w:pPr>
            <w:r>
              <w:rPr>
                <w:noProof/>
              </w:rPr>
              <w:t>Αριθμός</w:t>
            </w:r>
          </w:p>
        </w:tc>
        <w:tc>
          <w:tcPr>
            <w:tcW w:w="992" w:type="dxa"/>
            <w:shd w:val="clear" w:color="auto" w:fill="C4EFCE"/>
            <w:noWrap/>
            <w:vAlign w:val="center"/>
            <w:hideMark/>
          </w:tcPr>
          <w:p w14:paraId="3B8AB54E" w14:textId="77777777" w:rsidR="00154AD2" w:rsidRDefault="007F6BF3">
            <w:pPr>
              <w:pStyle w:val="P68B1DB1-Normal8"/>
              <w:spacing w:after="0" w:line="240" w:lineRule="auto"/>
              <w:jc w:val="center"/>
              <w:rPr>
                <w:rFonts w:eastAsia="Times New Roman" w:cs="Calibri"/>
                <w:noProof/>
              </w:rPr>
            </w:pPr>
            <w:r>
              <w:rPr>
                <w:noProof/>
              </w:rPr>
              <w:t> 0</w:t>
            </w:r>
          </w:p>
        </w:tc>
        <w:tc>
          <w:tcPr>
            <w:tcW w:w="992" w:type="dxa"/>
            <w:shd w:val="clear" w:color="auto" w:fill="C4EFCE"/>
            <w:noWrap/>
            <w:vAlign w:val="center"/>
            <w:hideMark/>
          </w:tcPr>
          <w:p w14:paraId="535A3EE3" w14:textId="41629E58" w:rsidR="00154AD2" w:rsidRDefault="007F6BF3">
            <w:pPr>
              <w:pStyle w:val="P68B1DB1-Normal8"/>
              <w:spacing w:after="0" w:line="240" w:lineRule="auto"/>
              <w:jc w:val="center"/>
              <w:rPr>
                <w:rFonts w:eastAsia="Times New Roman" w:cs="Calibri"/>
                <w:noProof/>
              </w:rPr>
            </w:pPr>
            <w:r>
              <w:rPr>
                <w:noProof/>
              </w:rPr>
              <w:t>6 500</w:t>
            </w:r>
          </w:p>
        </w:tc>
        <w:tc>
          <w:tcPr>
            <w:tcW w:w="567" w:type="dxa"/>
            <w:shd w:val="clear" w:color="auto" w:fill="C4EFCE"/>
            <w:noWrap/>
            <w:vAlign w:val="center"/>
            <w:hideMark/>
          </w:tcPr>
          <w:p w14:paraId="482B643B"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43B0F623" w14:textId="77777777" w:rsidR="00154AD2" w:rsidRDefault="007F6BF3">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76DF7A39" w14:textId="4A0452C5" w:rsidR="00154AD2" w:rsidRDefault="007F6BF3">
            <w:pPr>
              <w:pStyle w:val="P68B1DB1-Normal8"/>
              <w:spacing w:after="0" w:line="240" w:lineRule="auto"/>
              <w:jc w:val="both"/>
              <w:rPr>
                <w:rFonts w:eastAsia="Times New Roman" w:cs="Calibri"/>
                <w:noProof/>
              </w:rPr>
            </w:pPr>
            <w:r>
              <w:rPr>
                <w:noProof/>
              </w:rPr>
              <w:t>Αριθμός εκπαιδευτικών και μη διδακτικού προσωπικού από όλες τις βαθμίδες εκπαίδευσης (από την προσχολική έως τη δευτεροβάθμια εκπαίδευση) που συμμετείχαν σε κατάρτιση σε ψηφιακές και τεχνολογικές δεξιότητες στην ΕΕΜ</w:t>
            </w:r>
          </w:p>
        </w:tc>
      </w:tr>
      <w:tr w:rsidR="00154AD2" w14:paraId="55A3D1D0" w14:textId="77777777">
        <w:trPr>
          <w:trHeight w:val="1050"/>
        </w:trPr>
        <w:tc>
          <w:tcPr>
            <w:tcW w:w="1135" w:type="dxa"/>
            <w:shd w:val="clear" w:color="auto" w:fill="C4EFCE"/>
            <w:vAlign w:val="center"/>
            <w:hideMark/>
          </w:tcPr>
          <w:p w14:paraId="7B3BBD15" w14:textId="77777777" w:rsidR="00154AD2" w:rsidRDefault="007F6BF3">
            <w:pPr>
              <w:pStyle w:val="P68B1DB1-Normal7"/>
              <w:spacing w:after="0" w:line="240" w:lineRule="auto"/>
              <w:jc w:val="center"/>
              <w:rPr>
                <w:rFonts w:eastAsia="Times New Roman" w:cs="Calibri"/>
                <w:noProof/>
              </w:rPr>
            </w:pPr>
            <w:r>
              <w:rPr>
                <w:noProof/>
              </w:rPr>
              <w:t>20.18</w:t>
            </w:r>
          </w:p>
        </w:tc>
        <w:tc>
          <w:tcPr>
            <w:tcW w:w="1276" w:type="dxa"/>
            <w:shd w:val="clear" w:color="auto" w:fill="C4EFCE"/>
            <w:noWrap/>
            <w:vAlign w:val="center"/>
            <w:hideMark/>
          </w:tcPr>
          <w:p w14:paraId="3DD1B641" w14:textId="77777777" w:rsidR="00154AD2" w:rsidRDefault="007F6BF3">
            <w:pPr>
              <w:pStyle w:val="P68B1DB1-Normal8"/>
              <w:spacing w:after="0" w:line="240" w:lineRule="auto"/>
              <w:jc w:val="center"/>
              <w:rPr>
                <w:rFonts w:eastAsia="Times New Roman" w:cs="Calibri"/>
                <w:noProof/>
              </w:rPr>
            </w:pPr>
            <w:r>
              <w:rPr>
                <w:noProof/>
              </w:rPr>
              <w:t>TD-C20-i03-RAM</w:t>
            </w:r>
          </w:p>
        </w:tc>
        <w:tc>
          <w:tcPr>
            <w:tcW w:w="1134" w:type="dxa"/>
            <w:shd w:val="clear" w:color="auto" w:fill="C4EFCE"/>
            <w:noWrap/>
            <w:vAlign w:val="center"/>
            <w:hideMark/>
          </w:tcPr>
          <w:p w14:paraId="3149BD8C" w14:textId="77777777" w:rsidR="00154AD2" w:rsidRDefault="007F6BF3">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74F966D8" w14:textId="77777777" w:rsidR="00154AD2" w:rsidRDefault="007F6BF3">
            <w:pPr>
              <w:pStyle w:val="P68B1DB1-Normal8"/>
              <w:spacing w:after="0" w:line="240" w:lineRule="auto"/>
              <w:jc w:val="center"/>
              <w:rPr>
                <w:rFonts w:eastAsia="Times New Roman" w:cs="Calibri"/>
                <w:noProof/>
              </w:rPr>
            </w:pPr>
            <w:r>
              <w:rPr>
                <w:noProof/>
              </w:rPr>
              <w:t>Παράδοση επιστημονικού και τεχνολογικού εξοπλισμού σε σχολεία της ARM</w:t>
            </w:r>
          </w:p>
        </w:tc>
        <w:tc>
          <w:tcPr>
            <w:tcW w:w="1275" w:type="dxa"/>
            <w:shd w:val="clear" w:color="auto" w:fill="C4EFCE"/>
            <w:noWrap/>
            <w:vAlign w:val="center"/>
            <w:hideMark/>
          </w:tcPr>
          <w:p w14:paraId="1EEB5525" w14:textId="77777777" w:rsidR="00154AD2" w:rsidRDefault="007F6BF3">
            <w:pPr>
              <w:pStyle w:val="P68B1DB1-Normal8"/>
              <w:spacing w:after="0" w:line="240" w:lineRule="auto"/>
              <w:jc w:val="center"/>
              <w:rPr>
                <w:rFonts w:eastAsia="Times New Roman" w:cs="Calibri"/>
                <w:noProof/>
              </w:rPr>
            </w:pPr>
            <w:r>
              <w:rPr>
                <w:noProof/>
              </w:rPr>
              <w:t>Παράδοση επιστημονικού και τεχνολογικού εξοπλισμού σε σχολεία της ARM</w:t>
            </w:r>
          </w:p>
        </w:tc>
        <w:tc>
          <w:tcPr>
            <w:tcW w:w="993" w:type="dxa"/>
            <w:shd w:val="clear" w:color="auto" w:fill="C4EFCE"/>
            <w:noWrap/>
            <w:vAlign w:val="center"/>
            <w:hideMark/>
          </w:tcPr>
          <w:p w14:paraId="452E3CD7" w14:textId="74CDE77A" w:rsidR="00154AD2" w:rsidRDefault="00154AD2">
            <w:pPr>
              <w:spacing w:after="0" w:line="240" w:lineRule="auto"/>
              <w:jc w:val="center"/>
              <w:rPr>
                <w:rFonts w:ascii="Calibri" w:eastAsia="Times New Roman" w:hAnsi="Calibri" w:cs="Calibri"/>
                <w:noProof/>
                <w:sz w:val="16"/>
              </w:rPr>
            </w:pPr>
          </w:p>
        </w:tc>
        <w:tc>
          <w:tcPr>
            <w:tcW w:w="992" w:type="dxa"/>
            <w:shd w:val="clear" w:color="auto" w:fill="C4EFCE"/>
            <w:noWrap/>
            <w:vAlign w:val="center"/>
            <w:hideMark/>
          </w:tcPr>
          <w:p w14:paraId="19E0DA20" w14:textId="77777777" w:rsidR="00154AD2" w:rsidRDefault="007F6BF3">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621CC52E" w14:textId="797C68A8" w:rsidR="00154AD2" w:rsidRDefault="00154AD2">
            <w:pPr>
              <w:spacing w:after="0" w:line="240" w:lineRule="auto"/>
              <w:jc w:val="center"/>
              <w:rPr>
                <w:rFonts w:ascii="Calibri" w:eastAsia="Times New Roman" w:hAnsi="Calibri" w:cs="Calibri"/>
                <w:noProof/>
                <w:sz w:val="16"/>
              </w:rPr>
            </w:pPr>
          </w:p>
        </w:tc>
        <w:tc>
          <w:tcPr>
            <w:tcW w:w="567" w:type="dxa"/>
            <w:shd w:val="clear" w:color="auto" w:fill="C4EFCE"/>
            <w:noWrap/>
            <w:vAlign w:val="center"/>
            <w:hideMark/>
          </w:tcPr>
          <w:p w14:paraId="04C56176" w14:textId="77777777" w:rsidR="00154AD2" w:rsidRDefault="007F6BF3">
            <w:pPr>
              <w:pStyle w:val="P68B1DB1-Normal8"/>
              <w:spacing w:after="0" w:line="240" w:lineRule="auto"/>
              <w:jc w:val="center"/>
              <w:rPr>
                <w:rFonts w:eastAsia="Times New Roman" w:cs="Calibri"/>
                <w:noProof/>
              </w:rPr>
            </w:pPr>
            <w:r>
              <w:rPr>
                <w:noProof/>
              </w:rPr>
              <w:t>ΤΡΊΜΗΝΟ 4</w:t>
            </w:r>
          </w:p>
        </w:tc>
        <w:tc>
          <w:tcPr>
            <w:tcW w:w="708" w:type="dxa"/>
            <w:shd w:val="clear" w:color="auto" w:fill="C4EFCE"/>
            <w:noWrap/>
            <w:vAlign w:val="center"/>
            <w:hideMark/>
          </w:tcPr>
          <w:p w14:paraId="2338A6FD" w14:textId="77777777" w:rsidR="00154AD2" w:rsidRDefault="007F6BF3">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77272357" w14:textId="01FD295F" w:rsidR="00154AD2" w:rsidRDefault="007F6BF3">
            <w:pPr>
              <w:pStyle w:val="P68B1DB1-Normal8"/>
              <w:spacing w:after="0" w:line="240" w:lineRule="auto"/>
              <w:rPr>
                <w:rFonts w:eastAsia="Times New Roman" w:cs="Calibri"/>
                <w:noProof/>
              </w:rPr>
            </w:pPr>
            <w:r>
              <w:rPr>
                <w:noProof/>
              </w:rPr>
              <w:t>Σχολεία της RAM που επωφελούνται από τη διανομή των ακόλουθων κιτ πειραματισμού ρομποτικής επιστημονικού και τεχνολογικού εξοπλισμού (για 129 σχολικά δωμάτια/εκπαιδευτικούς χώρους για όλα τα επίπεδα εκπαίδευσης: πριν,</w:t>
            </w:r>
            <w:r>
              <w:rPr>
                <w:noProof/>
                <w:vertAlign w:val="superscript"/>
              </w:rPr>
              <w:t>1ος</w:t>
            </w:r>
            <w:r>
              <w:rPr>
                <w:noProof/>
              </w:rPr>
              <w:t xml:space="preserve"> κύκλος, 2ος</w:t>
            </w:r>
            <w:r>
              <w:rPr>
                <w:noProof/>
                <w:vertAlign w:val="superscript"/>
              </w:rPr>
              <w:t>κύκλος</w:t>
            </w:r>
            <w:r>
              <w:rPr>
                <w:noProof/>
              </w:rPr>
              <w:t>,</w:t>
            </w:r>
            <w:r>
              <w:rPr>
                <w:noProof/>
                <w:vertAlign w:val="superscript"/>
              </w:rPr>
              <w:t>3ος</w:t>
            </w:r>
            <w:r>
              <w:rPr>
                <w:noProof/>
              </w:rPr>
              <w:t xml:space="preserve"> κύκλος και δευτεροβάθμια εκπαίδευση)· κιτ πειραματικής επιστήμης (για 129 σχολικά δωμάτια/εκπαιδευτικούς χώρους)· Κιτ ατμού (για 129 σχολικά δωμάτια/χώρους εκπαίδευσης)· κιτ βιολογίας, φυσικής και χημείας (για 35 σχολικά δωμάτια/χώρους εκπαίδευσης)· Πακέτα πολυμέσων/πολυμέσων (για 40 σχολικά δωμάτια/εκπαιδευτικούς χώρους), 100 νέος εξοπλισμός πληροφορικής (για 94 σχολικά δωμάτια/εκπαιδευτικούς χώρους στον 1ο κύκλο)· </w:t>
            </w:r>
          </w:p>
          <w:p w14:paraId="4F6AF773" w14:textId="6828D80F" w:rsidR="00154AD2" w:rsidRDefault="007F6BF3">
            <w:pPr>
              <w:pStyle w:val="P68B1DB1-Normal8"/>
              <w:spacing w:after="0" w:line="240" w:lineRule="auto"/>
              <w:rPr>
                <w:rFonts w:eastAsia="Times New Roman" w:cs="Calibri"/>
                <w:noProof/>
              </w:rPr>
            </w:pPr>
            <w:r>
              <w:rPr>
                <w:noProof/>
              </w:rPr>
              <w:t>Επιπλέον, θα δημιουργηθούν 91 καινοτόμα μαθησιακά περιβάλλοντα που θα επιτρέψουν νέες μεθοδολογικές προσεγγίσεις στη διαδικασία διδασκαλίας και μάθησης.</w:t>
            </w:r>
          </w:p>
        </w:tc>
      </w:tr>
    </w:tbl>
    <w:p w14:paraId="63F6E735"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7DF53512" w14:textId="77777777" w:rsidR="00154AD2" w:rsidRDefault="00154AD2">
      <w:pPr>
        <w:keepNext/>
        <w:spacing w:before="40" w:after="0" w:line="259" w:lineRule="auto"/>
        <w:jc w:val="both"/>
        <w:rPr>
          <w:rFonts w:ascii="Times New Roman" w:eastAsiaTheme="minorEastAsia" w:hAnsi="Times New Roman" w:cs="Times New Roman"/>
          <w:noProof/>
          <w:sz w:val="24"/>
        </w:rPr>
        <w:sectPr w:rsidR="00154AD2" w:rsidSect="00E00EDD">
          <w:headerReference w:type="even" r:id="rId362"/>
          <w:headerReference w:type="default" r:id="rId363"/>
          <w:footerReference w:type="even" r:id="rId364"/>
          <w:footerReference w:type="default" r:id="rId365"/>
          <w:headerReference w:type="first" r:id="rId366"/>
          <w:footerReference w:type="first" r:id="rId367"/>
          <w:pgSz w:w="16839" w:h="11907" w:orient="landscape"/>
          <w:pgMar w:top="1134" w:right="1134" w:bottom="1134" w:left="1134" w:header="567" w:footer="567" w:gutter="0"/>
          <w:cols w:space="720"/>
          <w:docGrid w:linePitch="360"/>
        </w:sectPr>
      </w:pPr>
    </w:p>
    <w:p w14:paraId="581F76B7" w14:textId="7D5951D9" w:rsidR="00154AD2" w:rsidRDefault="007F6BF3">
      <w:pPr>
        <w:pStyle w:val="P68B1DB1-Normal3"/>
        <w:keepNext/>
        <w:spacing w:before="40" w:after="0" w:line="259" w:lineRule="auto"/>
        <w:ind w:left="130" w:firstLine="720"/>
        <w:jc w:val="both"/>
        <w:outlineLvl w:val="1"/>
        <w:rPr>
          <w:rFonts w:eastAsiaTheme="minorEastAsia" w:cs="Times New Roman"/>
          <w:noProof/>
        </w:rPr>
      </w:pPr>
      <w:r>
        <w:rPr>
          <w:noProof/>
        </w:rPr>
        <w:t>U. ΣΥΝΙΣΤΏΣΑ 21: REPowerEU</w:t>
      </w:r>
    </w:p>
    <w:p w14:paraId="0F35EBBE" w14:textId="77777777" w:rsidR="00154AD2" w:rsidRDefault="007F6BF3">
      <w:pPr>
        <w:pStyle w:val="P68B1DB1-Normal4"/>
        <w:spacing w:before="40" w:after="0" w:line="259" w:lineRule="auto"/>
        <w:jc w:val="both"/>
        <w:rPr>
          <w:rFonts w:cs="Times New Roman"/>
          <w:noProof/>
        </w:rPr>
      </w:pPr>
      <w:r>
        <w:rPr>
          <w:noProof/>
        </w:rPr>
        <w:t xml:space="preserve">Στόχος του κεφαλαίου για το REPowerEU είναι να στηρίξει τις φιλοδοξίες της Πορτογαλίας όσον αφορά την ενεργειακή ανεξαρτησία και την πράσινη μετάβαση, στο πλαίσιο της νέας γεωπολιτικής κατάστασης και της κατάστασης της αγοράς ενέργειας. </w:t>
      </w:r>
    </w:p>
    <w:p w14:paraId="22A180DD" w14:textId="50AD9BCD" w:rsidR="00154AD2" w:rsidRDefault="007F6BF3">
      <w:pPr>
        <w:pStyle w:val="P68B1DB1-Normal4"/>
        <w:spacing w:before="40" w:after="0" w:line="259" w:lineRule="auto"/>
        <w:jc w:val="both"/>
        <w:rPr>
          <w:rFonts w:cs="Times New Roman"/>
          <w:noProof/>
        </w:rPr>
      </w:pPr>
      <w:r>
        <w:rPr>
          <w:noProof/>
        </w:rPr>
        <w:t>Οι μεταρρυθμίσεις και οι επενδύσεις στο πλαίσιο του REPowerEU αποσκοπούν στην ενίσχυση της ενεργειακής κυριαρχίας της Πορτογαλίας και στην επιτάχυνση της απαλλαγής της οικονομίας της από τις ανθρακούχες εκπομπές. Το κεφάλαιο περιλαμβάνει μεταρρυθμίσεις που θα εξορθολογίσουν τις διαδικασίες αδειοδότησης ανανεώσιμων πηγών ενέργειας, θα δημιουργήσουν μια υπηρεσία μίας στάσης για την αδειοδότηση έργων ανανεώσιμων πηγών ενέργειας, καθώς και θα προωθήσουν τη χρήση βιομεθανίου και ανανεώσιμου υδρογόνου στη χώρα. Μια επένδυση θα συνίσταται στην εκπόνηση τεχνικών μελετών για την αξιοποίηση της υπεράκτιας αιολικής ενέργειας. Επιπλέον, η Πορτογαλία αντιμετωπίζει την πρόκληση της επανεκπαίδευσης του εργατικού δυναμικού για την πράσινη μετάβαση με μια μεταρρύθμιση για τις πράσινες δεξιότητες, η οποία αποσκοπεί στη δημιουργία μιας ολοκληρωμένης προσφοράς επαγγελματικής κατάρτισης για την ανάπτυξη πράσινων δεξιοτήτων και στην κατάρτιση 25 χιλιάδων ατόμων κατά τα επόμενα δύο έτη.</w:t>
      </w:r>
    </w:p>
    <w:p w14:paraId="28D9518A" w14:textId="77777777" w:rsidR="00154AD2" w:rsidRDefault="007F6BF3">
      <w:pPr>
        <w:pStyle w:val="P68B1DB1-Normal4"/>
        <w:spacing w:before="40" w:after="0" w:line="259" w:lineRule="auto"/>
        <w:jc w:val="both"/>
        <w:rPr>
          <w:rFonts w:cs="Times New Roman"/>
          <w:noProof/>
        </w:rPr>
      </w:pPr>
      <w:r>
        <w:rPr>
          <w:noProof/>
        </w:rPr>
        <w:t xml:space="preserve">Το κεφάλαιο περιλαμβάνει επίσης επενδύσεις για την αντιμετώπιση της ενεργειακής φτώχειας με επενδύσεις για την αύξηση της ενεργειακής απόδοσης σε οικιστικά κτίρια, κτίρια υπηρεσιών και δημόσια κτίρια, καθώς και μεταρρυθμίσεις για τη δημιουργία εθνικού παρατηρητηρίου για την ενεργειακή φτώχεια και την ανάπτυξη ενός μοντέλου υπηρεσίας μίας στάσης για τη στήριξη των πολιτών στην υλοποίηση παρεμβάσεων ενεργειακής απόδοσης. </w:t>
      </w:r>
    </w:p>
    <w:p w14:paraId="3419D7E7" w14:textId="54D4EF87" w:rsidR="00154AD2" w:rsidRDefault="007F6BF3">
      <w:pPr>
        <w:pStyle w:val="P68B1DB1-Normal4"/>
        <w:spacing w:before="40" w:after="0" w:line="259" w:lineRule="auto"/>
        <w:jc w:val="both"/>
        <w:rPr>
          <w:rFonts w:cs="Times New Roman"/>
          <w:noProof/>
        </w:rPr>
      </w:pPr>
      <w:r>
        <w:rPr>
          <w:noProof/>
        </w:rPr>
        <w:t>Η Πορτογαλία αυξάνει επίσης την ανθεκτικότητά της πραγματοποιώντας στρατηγικές επενδύσεις για τη στήριξη της παραγωγής τεχνολογιών μηδενικών καθαρών εκπομπών, κλιμακώνοντας τις υφιστάμενες επενδύσεις σε ανανεώσιμα αέρια και σε μεταφορές μηδενικών εκπομπών, καθώς και αναπτύσσοντας ικανότητα αποθήκευσης για την αύξηση της ευελιξίας του ενεργειακού συστήματος, προωθώντας παράλληλα τις ανανεώσιμες πηγές ενέργειας. Διάφορες νέες επενδύσεις σε μεταφορές μηδενικών εκπομπών προγραμματίζονται και εξαπλώνονται σε ολόκληρη τη χώρα, συμπεριλαμβανομένης της κατασκευής γραμμής ταχείας διέλευσης λεωφορείων στην Braga και σιδηρόδρομου στους Ναζάρες».</w:t>
      </w:r>
    </w:p>
    <w:p w14:paraId="5E7C784E" w14:textId="0274E162" w:rsidR="00154AD2" w:rsidRDefault="007F6BF3">
      <w:pPr>
        <w:pStyle w:val="P68B1DB1-Normal4"/>
        <w:spacing w:before="40" w:after="0" w:line="259" w:lineRule="auto"/>
        <w:jc w:val="both"/>
        <w:rPr>
          <w:rFonts w:cs="Times New Roman"/>
          <w:noProof/>
        </w:rPr>
      </w:pPr>
      <w:r>
        <w:rPr>
          <w:noProof/>
        </w:rPr>
        <w:t>Διάφορα μέτρα θα έχουν διασυνοριακή διάσταση, η οποία θα αναπτυχθεί ως επί το πλείστον μέσω επενδύσεων στις ανανεώσιμες πηγές ενέργειας και στην ενεργειακή απόδοση.</w:t>
      </w:r>
    </w:p>
    <w:p w14:paraId="053BB105" w14:textId="3BC176B9" w:rsidR="00154AD2" w:rsidRDefault="007F6BF3">
      <w:pPr>
        <w:pStyle w:val="P68B1DB1-Normal4"/>
        <w:keepNext/>
        <w:spacing w:before="40" w:after="0" w:line="259" w:lineRule="auto"/>
        <w:jc w:val="both"/>
        <w:rPr>
          <w:rFonts w:eastAsiaTheme="minorEastAsia" w:cs="Times New Roman"/>
          <w:noProof/>
        </w:rPr>
      </w:pPr>
      <w:r>
        <w:rPr>
          <w:noProof/>
        </w:rPr>
        <w:t>Η συνιστώσα συμβάλλει στην εφαρμογή της ειδικής ανά χώρα σύστασης που εκδόθηκε προς την Πορτογαλία για τη μείωση της εξάρτησής της από τα ορυκτά καύσιμα (ειδικές ανά χώρα συστάσεις 4 2022 και 2023) και για την εστίαση των επενδύσεων στη μετάβαση σε χαμηλές εκπομπές διοξειδίου του άνθρακα και στην ενεργειακή μετάβαση (ειδική ανά χώρα σύσταση 3 2019), καθώς και στην καθαρή και αποδοτική παραγωγή και χρήση ενέργειας (ειδική ανά χώρα σύσταση 3 2020). Περιλαμβάνει ιδίως μέτρα για την επιτάχυνση της ανάπτυξης ανανεώσιμων πηγών ενέργειας, την απλούστευση της αδειοδότησης, την απαλλαγή του τομέα των μεταφορών από τις ανθρακούχες εκπομπές, τη βελτίωση της ενεργειακής απόδοσης των κτιρίων, την αναβάθμιση των δικτύων μεταφοράς και διανομής ηλεκτρικής ενέργειας, την αύξηση της αποθήκευσης ηλεκτρικής ενέργειας και την ενίσχυση της απόκτησης πράσινων δεξιοτήτων που απαιτούνται για την πράσινη μετάβαση.</w:t>
      </w:r>
    </w:p>
    <w:p w14:paraId="68203BCC" w14:textId="77777777" w:rsidR="00154AD2" w:rsidRDefault="007F6BF3">
      <w:pPr>
        <w:pStyle w:val="P68B1DB1-Normal4"/>
        <w:spacing w:before="40" w:after="0" w:line="259" w:lineRule="auto"/>
        <w:jc w:val="both"/>
        <w:rPr>
          <w:rFonts w:cs="Times New Roman"/>
          <w:noProof/>
        </w:rPr>
      </w:pPr>
      <w:r>
        <w:rPr>
          <w:noProof/>
        </w:rPr>
        <w:t>Αναμένεται ότι κανένα μέτρο στη συνιστώσα αυτή δεν βλάπτει σημαντικά τους περιβαλλοντικούς στόχους κατά την έννοια του άρθρου 17 του κανονισμού (ΕΕ) 2020/852, λαμβανομένης υπόψη της περιγραφής των μέτρων και των μέτρων μετριασμού που προβλέπονται στο σχέδιο ανάκαμψης και ανθεκτικότητας σύμφωνα με τις τεχνικές κατευθυντήριες γραμμές του DNSH (2021/C58/01).</w:t>
      </w:r>
    </w:p>
    <w:p w14:paraId="40A068BA" w14:textId="77777777" w:rsidR="00154AD2" w:rsidRDefault="00154AD2">
      <w:pPr>
        <w:keepNext/>
        <w:spacing w:before="40" w:after="0" w:line="259" w:lineRule="auto"/>
        <w:jc w:val="both"/>
        <w:outlineLvl w:val="1"/>
        <w:rPr>
          <w:rFonts w:ascii="Times New Roman" w:eastAsiaTheme="majorEastAsia" w:hAnsi="Times New Roman" w:cs="Times New Roman"/>
          <w:b/>
          <w:noProof/>
          <w:sz w:val="24"/>
          <w:u w:val="single"/>
        </w:rPr>
      </w:pPr>
    </w:p>
    <w:p w14:paraId="3FDCB5A0" w14:textId="4CC2E66E" w:rsidR="00154AD2" w:rsidRDefault="007F6BF3">
      <w:pPr>
        <w:pStyle w:val="P68B1DB1-Normal3"/>
        <w:keepNext/>
        <w:spacing w:before="40" w:after="0" w:line="259" w:lineRule="auto"/>
        <w:ind w:left="130" w:firstLine="720"/>
        <w:jc w:val="both"/>
        <w:outlineLvl w:val="1"/>
        <w:rPr>
          <w:rFonts w:eastAsiaTheme="minorEastAsia" w:cs="Times New Roman"/>
          <w:noProof/>
        </w:rPr>
      </w:pPr>
      <w:r>
        <w:rPr>
          <w:noProof/>
        </w:rPr>
        <w:t>U.1. Περιγραφή των μεταρρυθμίσεων και των επενδύσεων που είναι επιλέξιμες για λήψη μη επιστρεπτέας χρηματοδοτικής στήριξης</w:t>
      </w:r>
    </w:p>
    <w:p w14:paraId="1C306676" w14:textId="6845FEE8" w:rsidR="00154AD2" w:rsidRDefault="007F6BF3">
      <w:pPr>
        <w:pStyle w:val="P68B1DB1-Normal5"/>
        <w:spacing w:before="240" w:after="0"/>
        <w:rPr>
          <w:rFonts w:eastAsiaTheme="minorEastAsia" w:cs="Times New Roman"/>
          <w:noProof/>
        </w:rPr>
      </w:pPr>
      <w:bookmarkStart w:id="33" w:name="_Toc137472477"/>
      <w:r>
        <w:rPr>
          <w:noProof/>
        </w:rPr>
        <w:t>Επενδύσεις RP-C21-i01: Κλιμακούμενο μέτρο: Απαλλαγή της βιομηχανίας από τις ανθρακούχες εκπομπές</w:t>
      </w:r>
      <w:bookmarkEnd w:id="33"/>
    </w:p>
    <w:p w14:paraId="07D772F8" w14:textId="59DEB25F" w:rsidR="00154AD2" w:rsidRDefault="007F6BF3">
      <w:pPr>
        <w:pStyle w:val="P68B1DB1-Normal4"/>
        <w:spacing w:before="40" w:after="0" w:line="259" w:lineRule="auto"/>
        <w:jc w:val="both"/>
        <w:rPr>
          <w:rFonts w:cs="Times New Roman"/>
          <w:noProof/>
        </w:rPr>
      </w:pPr>
      <w:r>
        <w:rPr>
          <w:noProof/>
        </w:rPr>
        <w:t>Στόχος του μέτρου αυτού είναι η κλιμάκωση των επενδύσεων TC-C11-I01: Απαλλαγή της βιομηχανίας από τις ανθρακούχες εκπομπές, στο πλαίσιο της συνιστώσας 11.</w:t>
      </w:r>
    </w:p>
    <w:p w14:paraId="6F624D1D" w14:textId="5DD7C54D" w:rsidR="00154AD2" w:rsidRDefault="007F6BF3">
      <w:pPr>
        <w:pStyle w:val="P68B1DB1-Normal4"/>
        <w:spacing w:before="40" w:after="0" w:line="259" w:lineRule="auto"/>
        <w:jc w:val="both"/>
        <w:rPr>
          <w:rFonts w:cs="Times New Roman"/>
          <w:noProof/>
        </w:rPr>
      </w:pPr>
      <w:r>
        <w:rPr>
          <w:noProof/>
        </w:rPr>
        <w:t>Το κλιμακούμενο μέρος του μέτρου αυξάνει τον αριθμό των υποστηριζόμενων έργων απαλλαγής από τις ανθρακούχες εκπομπές. Η στήριξη για το κλιμακούμενο μέρος του μέτρου χορηγείται σε 500 μικρές και μεσαίες επιχειρήσεις για έργα μέγιστου ύψους 200 000 EUR ανά επιχείρηση κατά τη διάρκεια τριών οικονομικών ετών («απλουστευμένα» έργα).</w:t>
      </w:r>
    </w:p>
    <w:p w14:paraId="29353424" w14:textId="77777777" w:rsidR="00154AD2" w:rsidRDefault="007F6BF3">
      <w:pPr>
        <w:pStyle w:val="P68B1DB1-Normal4"/>
        <w:spacing w:before="40" w:after="0" w:line="259" w:lineRule="auto"/>
        <w:jc w:val="both"/>
        <w:rPr>
          <w:rFonts w:cs="Times New Roman"/>
          <w:noProof/>
        </w:rPr>
      </w:pPr>
      <w:r>
        <w:rPr>
          <w:noProof/>
        </w:rPr>
        <w:t>Η υλοποίηση της επένδυσης θα ολοκληρωθεί έως τις 30 Ιουνίου 2026.</w:t>
      </w:r>
    </w:p>
    <w:p w14:paraId="579DBFB6" w14:textId="4A98A963" w:rsidR="00154AD2" w:rsidRDefault="007F6BF3">
      <w:pPr>
        <w:pStyle w:val="P68B1DB1-Normal5"/>
        <w:keepNext/>
        <w:spacing w:before="240" w:after="0" w:line="259" w:lineRule="auto"/>
        <w:ind w:left="851"/>
        <w:jc w:val="both"/>
        <w:outlineLvl w:val="2"/>
        <w:rPr>
          <w:rFonts w:eastAsiaTheme="minorEastAsia" w:cs="Times New Roman"/>
          <w:noProof/>
        </w:rPr>
      </w:pPr>
      <w:bookmarkStart w:id="34" w:name="_Toc137472478"/>
      <w:r>
        <w:rPr>
          <w:noProof/>
        </w:rPr>
        <w:t>Επενδύσεις RP-C21-i02: Κλιμακούμενο μέτρο: Ενεργειακή απόδοση σε οικιστικά κτίρια</w:t>
      </w:r>
      <w:bookmarkEnd w:id="34"/>
    </w:p>
    <w:p w14:paraId="59D08E92" w14:textId="437238A1" w:rsidR="00154AD2" w:rsidRDefault="007F6BF3">
      <w:pPr>
        <w:pStyle w:val="P68B1DB1-Normal4"/>
        <w:spacing w:after="0"/>
        <w:jc w:val="both"/>
        <w:rPr>
          <w:rFonts w:cs="Times New Roman"/>
          <w:noProof/>
        </w:rPr>
      </w:pPr>
      <w:r>
        <w:rPr>
          <w:noProof/>
        </w:rPr>
        <w:t xml:space="preserve">Στόχος του μέτρου είναι η κλιμάκωση του μέτρου TC-C13-I01: Ενεργειακή απόδοση σε οικιστικά κτίρια βάσει της συνιστώσας 13. </w:t>
      </w:r>
    </w:p>
    <w:p w14:paraId="5ED787E9" w14:textId="7157997D" w:rsidR="00154AD2" w:rsidRDefault="007F6BF3">
      <w:pPr>
        <w:pStyle w:val="P68B1DB1-Normal4"/>
        <w:spacing w:after="0"/>
        <w:jc w:val="both"/>
        <w:rPr>
          <w:rFonts w:cs="Times New Roman"/>
          <w:noProof/>
        </w:rPr>
      </w:pPr>
      <w:r>
        <w:rPr>
          <w:noProof/>
        </w:rPr>
        <w:t>Το τμήμα κλιμάκωσης του μέτρου αυξάνει τον αριθμό των ανακαινισμένων οικιστικών κτιρίων και τον αριθμό της παραγωγής ενέργειας από ανανεώσιμες πηγές για αυτοκατανάλωση. Το 60 % του εμβαδού δαπέδου που ανακαινίζεται στο πλαίσιο της επένδυσης αυτής πραγματοποιείται σε πολυκατοικίες.</w:t>
      </w:r>
    </w:p>
    <w:p w14:paraId="1A06BA32" w14:textId="0369DD0D" w:rsidR="00154AD2" w:rsidRDefault="007F6BF3">
      <w:pPr>
        <w:pStyle w:val="P68B1DB1-Normal4"/>
        <w:spacing w:after="0"/>
        <w:jc w:val="both"/>
        <w:rPr>
          <w:rFonts w:cs="Times New Roman"/>
          <w:noProof/>
        </w:rPr>
      </w:pPr>
      <w:r>
        <w:rPr>
          <w:noProof/>
        </w:rPr>
        <w:t>Η υλοποίηση της επένδυσης θα ολοκληρωθεί έως τις 30 Σεπτεμβρίου 2025.</w:t>
      </w:r>
    </w:p>
    <w:p w14:paraId="7450F2F2" w14:textId="64382BF4" w:rsidR="00154AD2" w:rsidRDefault="00154AD2">
      <w:pPr>
        <w:spacing w:after="0"/>
        <w:jc w:val="both"/>
        <w:rPr>
          <w:rFonts w:ascii="Times New Roman" w:hAnsi="Times New Roman" w:cs="Times New Roman"/>
          <w:noProof/>
          <w:sz w:val="24"/>
        </w:rPr>
      </w:pPr>
    </w:p>
    <w:p w14:paraId="10433ABC" w14:textId="26B19E0B" w:rsidR="00154AD2" w:rsidRDefault="007F6BF3">
      <w:pPr>
        <w:pStyle w:val="P68B1DB1-Normal5"/>
        <w:keepNext/>
        <w:spacing w:before="240" w:after="0" w:line="259" w:lineRule="auto"/>
        <w:ind w:left="851"/>
        <w:jc w:val="both"/>
        <w:outlineLvl w:val="2"/>
        <w:rPr>
          <w:rFonts w:eastAsiaTheme="minorEastAsia" w:cs="Times New Roman"/>
          <w:noProof/>
        </w:rPr>
      </w:pPr>
      <w:bookmarkStart w:id="35" w:name="_Toc137472479"/>
      <w:bookmarkStart w:id="36" w:name="_Hlk140143655"/>
      <w:r>
        <w:rPr>
          <w:noProof/>
        </w:rPr>
        <w:t>Επενδύσεις RP-C21-i03: Κλιμακούμενο μέτρο: Ενεργειακή απόδοση κτιρίων που χρησιμοποιούνται από τον τομέα των υπηρεσιών</w:t>
      </w:r>
      <w:bookmarkEnd w:id="35"/>
    </w:p>
    <w:bookmarkEnd w:id="36"/>
    <w:p w14:paraId="7E310686" w14:textId="29A7DFDE" w:rsidR="00154AD2" w:rsidRDefault="007F6BF3">
      <w:pPr>
        <w:pStyle w:val="P68B1DB1-Normal4"/>
        <w:spacing w:after="0"/>
        <w:jc w:val="both"/>
        <w:rPr>
          <w:rFonts w:cs="Times New Roman"/>
          <w:noProof/>
        </w:rPr>
      </w:pPr>
      <w:r>
        <w:rPr>
          <w:noProof/>
        </w:rPr>
        <w:t>Στόχος του μέτρου αυτού είναι η κλιμάκωση του μέτρου TC-C13-I03 Ενεργειακή απόδοση σε κτίρια που χρησιμοποιούνται από τον τομέα των υπηρεσιών στο πλαίσιο της συνιστώσας 13. Το κλιμακούμενο μέρος του μέτρου αυξάνει την έκταση των ανακαινισμένων ιδιωτικών κτιρίων υπηρεσιών.</w:t>
      </w:r>
    </w:p>
    <w:p w14:paraId="39D446C7" w14:textId="77777777" w:rsidR="00154AD2" w:rsidRDefault="007F6BF3">
      <w:pPr>
        <w:pStyle w:val="P68B1DB1-Normal4"/>
        <w:spacing w:after="0"/>
        <w:jc w:val="both"/>
        <w:rPr>
          <w:rFonts w:cs="Times New Roman"/>
          <w:noProof/>
        </w:rPr>
      </w:pPr>
      <w:r>
        <w:rPr>
          <w:noProof/>
        </w:rPr>
        <w:t>Η υλοποίηση της επένδυσης θα ολοκληρωθεί έως τις 30 Ιουνίου 2026.</w:t>
      </w:r>
    </w:p>
    <w:p w14:paraId="09DB76BB" w14:textId="795DCBD2" w:rsidR="00154AD2" w:rsidRDefault="007F6BF3">
      <w:pPr>
        <w:pStyle w:val="P68B1DB1-Normal5"/>
        <w:keepNext/>
        <w:spacing w:before="240" w:after="0" w:line="259" w:lineRule="auto"/>
        <w:ind w:left="851"/>
        <w:jc w:val="both"/>
        <w:outlineLvl w:val="2"/>
        <w:rPr>
          <w:rFonts w:eastAsiaTheme="minorEastAsia" w:cs="Times New Roman"/>
          <w:noProof/>
        </w:rPr>
      </w:pPr>
      <w:bookmarkStart w:id="37" w:name="_Toc137472480"/>
      <w:r>
        <w:rPr>
          <w:noProof/>
        </w:rPr>
        <w:t>Επένδυση RP-C21-i04-RAM: Ενεργειακή απόδοση σε δημόσια κτίρια</w:t>
      </w:r>
      <w:bookmarkEnd w:id="37"/>
      <w:r>
        <w:rPr>
          <w:noProof/>
        </w:rPr>
        <w:t xml:space="preserve"> στη Μαδέρα</w:t>
      </w:r>
    </w:p>
    <w:p w14:paraId="4366A173" w14:textId="69F8BE3B" w:rsidR="00154AD2" w:rsidRDefault="007F6BF3">
      <w:pPr>
        <w:pStyle w:val="P68B1DB1-Normal4"/>
        <w:spacing w:before="40" w:after="0" w:line="259" w:lineRule="auto"/>
        <w:jc w:val="both"/>
        <w:rPr>
          <w:rFonts w:cs="Times New Roman"/>
          <w:noProof/>
        </w:rPr>
      </w:pPr>
      <w:r>
        <w:rPr>
          <w:noProof/>
        </w:rPr>
        <w:t>Στόχος της επένδυσης αυτής είναι η προώθηση της ενεργειακής ανακαίνισης, η προώθηση της ενεργειακής απόδοσης και της αποδοτικής χρήσης των πόρων και η αύξηση της αυτοκατανάλωσης ενέργειας από ανανεώσιμες πηγές στα δημόσια κτίρια στη Μαδέρα.</w:t>
      </w:r>
    </w:p>
    <w:p w14:paraId="534C977C" w14:textId="236F0827" w:rsidR="00154AD2" w:rsidRDefault="007F6BF3">
      <w:pPr>
        <w:pStyle w:val="P68B1DB1-Normal4"/>
        <w:spacing w:before="40" w:after="0" w:line="259" w:lineRule="auto"/>
        <w:jc w:val="both"/>
        <w:rPr>
          <w:rFonts w:cs="Times New Roman"/>
          <w:noProof/>
        </w:rPr>
      </w:pPr>
      <w:r>
        <w:rPr>
          <w:noProof/>
        </w:rPr>
        <w:t xml:space="preserve">Η επένδυση αυτή συνίσταται σε μέτρα για την προώθηση της ανακαίνισης, της ενεργειακής απόδοσης, της απαλλαγής από τις ανθρακούχες εκπομπές, της αποδοτικής χρήσης του νερού και της κυκλικής οικονομίας στα δημόσια κτίρια στην αυτόνομη περιφέρεια της Μαδέρας, με την οποία επιτυγχάνονται μεσαίου βάθους ανακαινίσεις. </w:t>
      </w:r>
    </w:p>
    <w:p w14:paraId="3C5C60AA" w14:textId="77777777" w:rsidR="00154AD2" w:rsidRDefault="007F6BF3">
      <w:pPr>
        <w:pStyle w:val="P68B1DB1-Normal4"/>
        <w:spacing w:before="40" w:after="0" w:line="259" w:lineRule="auto"/>
        <w:jc w:val="both"/>
        <w:rPr>
          <w:rFonts w:cs="Times New Roman"/>
          <w:noProof/>
        </w:rPr>
      </w:pPr>
      <w:r>
        <w:rPr>
          <w:noProof/>
        </w:rPr>
        <w:t xml:space="preserve">Τα κτίρια που είναι επιλέξιμα για παρέμβαση είναι όλα δημόσιας χρήσης, ιδίως στους τομείς της υγείας, της εκπαίδευσης και της περιφερειακής δημόσιας διοίκησης. </w:t>
      </w:r>
    </w:p>
    <w:p w14:paraId="3EF533D2" w14:textId="5F948B86" w:rsidR="00154AD2" w:rsidRDefault="007F6BF3">
      <w:pPr>
        <w:pStyle w:val="P68B1DB1-Normal4"/>
        <w:spacing w:before="40" w:after="0" w:line="259" w:lineRule="auto"/>
        <w:jc w:val="both"/>
        <w:rPr>
          <w:rFonts w:cs="Times New Roman"/>
          <w:noProof/>
        </w:rPr>
      </w:pPr>
      <w:r>
        <w:rPr>
          <w:noProof/>
        </w:rPr>
        <w:t>Η υλοποίηση της επένδυσης θα ολοκληρωθεί έως τις 31 Δεκεμβρίου 2025.</w:t>
      </w:r>
    </w:p>
    <w:p w14:paraId="5362038B" w14:textId="78F3A9C9" w:rsidR="00154AD2" w:rsidRDefault="007F6BF3">
      <w:pPr>
        <w:pStyle w:val="P68B1DB1-Normal5"/>
        <w:keepNext/>
        <w:spacing w:before="240" w:after="0" w:line="259" w:lineRule="auto"/>
        <w:ind w:left="851"/>
        <w:jc w:val="both"/>
        <w:outlineLvl w:val="2"/>
        <w:rPr>
          <w:rFonts w:eastAsiaTheme="minorEastAsia" w:cs="Times New Roman"/>
          <w:noProof/>
        </w:rPr>
      </w:pPr>
      <w:bookmarkStart w:id="38" w:name="_Toc137472481"/>
      <w:r>
        <w:rPr>
          <w:noProof/>
        </w:rPr>
        <w:t>Μεταρρύθμιση RP-C21-r43: Εθνικό Παρατηρητήριο Ενεργειακής Φτώχειας</w:t>
      </w:r>
      <w:bookmarkEnd w:id="38"/>
      <w:r>
        <w:rPr>
          <w:noProof/>
        </w:rPr>
        <w:t xml:space="preserve"> </w:t>
      </w:r>
    </w:p>
    <w:p w14:paraId="722EBB4B" w14:textId="77777777" w:rsidR="00154AD2" w:rsidRDefault="007F6BF3">
      <w:pPr>
        <w:pStyle w:val="P68B1DB1-Normal4"/>
        <w:spacing w:beforeLines="40" w:before="96" w:after="0" w:line="22" w:lineRule="atLeast"/>
        <w:jc w:val="both"/>
        <w:rPr>
          <w:rFonts w:cs="Times New Roman"/>
          <w:noProof/>
        </w:rPr>
      </w:pPr>
      <w:r>
        <w:rPr>
          <w:noProof/>
        </w:rPr>
        <w:t xml:space="preserve">Στόχος της μεταρρύθμισης αυτής είναι η δημιουργία ενός φορέα για τις εθνικές, περιφερειακές και τοπικές αρχές, ο οποίος θα παρακολουθεί την κατάσταση της ενεργειακής φτώχειας και θα αναλύει και θα αναπτύσσει δημόσιες πολιτικές για την εξάλειψή της στην Πορτογαλία. </w:t>
      </w:r>
    </w:p>
    <w:p w14:paraId="05D42E40" w14:textId="672AEEFC" w:rsidR="00154AD2" w:rsidRDefault="007F6BF3">
      <w:pPr>
        <w:pStyle w:val="P68B1DB1-Normal4"/>
        <w:spacing w:beforeLines="40" w:before="96" w:after="0" w:line="22" w:lineRule="atLeast"/>
        <w:jc w:val="both"/>
        <w:rPr>
          <w:rFonts w:eastAsia="MS Mincho" w:cs="Times New Roman"/>
          <w:noProof/>
        </w:rPr>
      </w:pPr>
      <w:r>
        <w:rPr>
          <w:noProof/>
        </w:rPr>
        <w:t xml:space="preserve">Με τη μεταρρύθμιση συστήνεται το Εθνικό Παρατηρητήριο Ενεργειακής Φτώχειας (ONPE), το οποίο είναι αρμόδιο για: </w:t>
      </w:r>
    </w:p>
    <w:p w14:paraId="37FF066C" w14:textId="57280600" w:rsidR="00154AD2" w:rsidRDefault="007F6BF3">
      <w:pPr>
        <w:pStyle w:val="ListParagraph"/>
        <w:keepNext w:val="0"/>
        <w:numPr>
          <w:ilvl w:val="0"/>
          <w:numId w:val="86"/>
        </w:numPr>
        <w:spacing w:beforeLines="40" w:before="96" w:after="0" w:line="22" w:lineRule="atLeast"/>
        <w:rPr>
          <w:rFonts w:eastAsia="MS Mincho"/>
          <w:noProof/>
        </w:rPr>
      </w:pPr>
      <w:r>
        <w:rPr>
          <w:noProof/>
        </w:rPr>
        <w:t>Παρακολούθηση, εποπτεία, συντονισμός και υποβολή εκθέσεων σχετικά με την εφαρμογή της μακροπρόθεσμης στρατηγικής για την ενεργειακή φτώχεια (ELPPE)·</w:t>
      </w:r>
    </w:p>
    <w:p w14:paraId="4DA6276A" w14:textId="77777777" w:rsidR="00154AD2" w:rsidRDefault="007F6BF3">
      <w:pPr>
        <w:pStyle w:val="ListParagraph"/>
        <w:keepNext w:val="0"/>
        <w:numPr>
          <w:ilvl w:val="0"/>
          <w:numId w:val="86"/>
        </w:numPr>
        <w:spacing w:beforeLines="40" w:before="96" w:after="0" w:line="22" w:lineRule="atLeast"/>
        <w:rPr>
          <w:noProof/>
        </w:rPr>
      </w:pPr>
      <w:r>
        <w:rPr>
          <w:noProof/>
        </w:rPr>
        <w:t>Συντονισμός των εργασιών πολιτικής που σχετίζονται με την ενεργειακή φτώχεια που σχετίζονται με τον σχεδιασμό και την εφαρμογή του εθνικού σχεδίου για την ενέργεια και το κλίμα (ΕΣΕΚ) και των εθνικών κοινωνικών σχεδίων για το κλίμα·</w:t>
      </w:r>
    </w:p>
    <w:p w14:paraId="7A42E09A" w14:textId="357B042B" w:rsidR="00154AD2" w:rsidRDefault="007F6BF3">
      <w:pPr>
        <w:pStyle w:val="ListParagraph"/>
        <w:keepNext w:val="0"/>
        <w:numPr>
          <w:ilvl w:val="0"/>
          <w:numId w:val="86"/>
        </w:numPr>
        <w:spacing w:beforeLines="40" w:before="96" w:after="0" w:line="22" w:lineRule="atLeast"/>
        <w:rPr>
          <w:rFonts w:eastAsia="MS Mincho"/>
          <w:noProof/>
        </w:rPr>
      </w:pPr>
      <w:r>
        <w:rPr>
          <w:noProof/>
        </w:rPr>
        <w:t>Προτείνοντας στην κυβέρνηση δεκαετή σχέδια δράσης (ορίζοντες 2030, 2040 και 2050), καθώς και την αναθεώρησή τους και την αναθεώρηση του ELPPE, με συχνότητα τουλάχιστον τριών ετών και πέντε ετών, αντίστοιχα·</w:t>
      </w:r>
    </w:p>
    <w:p w14:paraId="72AF5EA4" w14:textId="77777777" w:rsidR="00154AD2" w:rsidRDefault="007F6BF3">
      <w:pPr>
        <w:pStyle w:val="ListParagraph"/>
        <w:keepNext w:val="0"/>
        <w:numPr>
          <w:ilvl w:val="0"/>
          <w:numId w:val="86"/>
        </w:numPr>
        <w:spacing w:beforeLines="40" w:before="96" w:after="0" w:line="22" w:lineRule="atLeast"/>
        <w:rPr>
          <w:rFonts w:eastAsia="MS Mincho"/>
          <w:noProof/>
        </w:rPr>
      </w:pPr>
      <w:r>
        <w:rPr>
          <w:noProof/>
        </w:rPr>
        <w:t>Υλοποίηση δράσεων ανάπτυξης ικανοτήτων για δημόσιους και ιδιωτικούς, εθνικούς, περιφερειακούς και τοπικούς φορείς που συμμετέχουν στην εφαρμογή της μακροπρόθεσμης στρατηγικής για την ενεργειακή φτώχεια·</w:t>
      </w:r>
    </w:p>
    <w:p w14:paraId="4CCEAC98" w14:textId="77777777" w:rsidR="00154AD2" w:rsidRDefault="007F6BF3">
      <w:pPr>
        <w:pStyle w:val="ListParagraph"/>
        <w:keepNext w:val="0"/>
        <w:numPr>
          <w:ilvl w:val="0"/>
          <w:numId w:val="86"/>
        </w:numPr>
        <w:spacing w:beforeLines="40" w:before="96" w:after="0" w:line="22" w:lineRule="atLeast"/>
        <w:rPr>
          <w:noProof/>
        </w:rPr>
      </w:pPr>
      <w:r>
        <w:rPr>
          <w:noProof/>
        </w:rPr>
        <w:t>Τον εντοπισμό και την παρακολούθηση των νοικοκυριών που αντιμετωπίζουν ενεργειακή φτώχεια με τη δημιουργία και την εφαρμογή εργαλείου περιοδικής έρευνας·</w:t>
      </w:r>
    </w:p>
    <w:p w14:paraId="2FC0162A" w14:textId="77777777" w:rsidR="00154AD2" w:rsidRDefault="007F6BF3">
      <w:pPr>
        <w:pStyle w:val="ListParagraph"/>
        <w:keepNext w:val="0"/>
        <w:numPr>
          <w:ilvl w:val="0"/>
          <w:numId w:val="86"/>
        </w:numPr>
        <w:spacing w:beforeLines="40" w:before="96" w:after="0" w:line="22" w:lineRule="atLeast"/>
        <w:rPr>
          <w:rFonts w:eastAsia="MS Mincho"/>
          <w:noProof/>
        </w:rPr>
      </w:pPr>
      <w:r>
        <w:rPr>
          <w:noProof/>
        </w:rPr>
        <w:t>Πρόταση χρηματοδοτικού (ή δημοσιονομικού) μέσου για μέτρα ενεργειακής απόδοσης ειδικά για τα νοικοκυριά που αντιμετωπίζουν ενεργειακή φτώχεια·</w:t>
      </w:r>
    </w:p>
    <w:p w14:paraId="771F2604" w14:textId="77777777" w:rsidR="00154AD2" w:rsidRDefault="007F6BF3">
      <w:pPr>
        <w:pStyle w:val="ListParagraph"/>
        <w:keepNext w:val="0"/>
        <w:numPr>
          <w:ilvl w:val="0"/>
          <w:numId w:val="86"/>
        </w:numPr>
        <w:spacing w:beforeLines="40" w:before="96" w:after="0" w:line="22" w:lineRule="atLeast"/>
        <w:rPr>
          <w:rFonts w:eastAsia="MS Mincho"/>
          <w:noProof/>
        </w:rPr>
      </w:pPr>
      <w:r>
        <w:rPr>
          <w:noProof/>
        </w:rPr>
        <w:t>Ανάπτυξη υλικού και εκστρατειών για την αύξηση του ενεργειακού γραμματισμού ανάλογα με το προφίλ των νοικοκυριών που αντιμετωπίζουν ενεργειακή φτώχεια·</w:t>
      </w:r>
    </w:p>
    <w:p w14:paraId="010262B7" w14:textId="77777777" w:rsidR="00154AD2" w:rsidRDefault="007F6BF3">
      <w:pPr>
        <w:pStyle w:val="ListParagraph"/>
        <w:keepNext w:val="0"/>
        <w:numPr>
          <w:ilvl w:val="0"/>
          <w:numId w:val="86"/>
        </w:numPr>
        <w:spacing w:beforeLines="40" w:before="96" w:after="0" w:line="22" w:lineRule="atLeast"/>
        <w:rPr>
          <w:rFonts w:eastAsia="MS Mincho"/>
          <w:noProof/>
        </w:rPr>
      </w:pPr>
      <w:r>
        <w:rPr>
          <w:noProof/>
        </w:rPr>
        <w:t xml:space="preserve">Προώθηση και διάδοση των εργασιών που σχετίζονται με το φαινόμενο της ενεργειακής φτώχειας, συμπεριλαμβανομένης της δημιουργίας δικτύου οντοτήτων και ενδιαφερόμενων φορέων με στόχο την αντιμετώπιση του ζητήματος. </w:t>
      </w:r>
    </w:p>
    <w:p w14:paraId="5391B250" w14:textId="270C4ECC" w:rsidR="00154AD2" w:rsidRDefault="007F6BF3">
      <w:pPr>
        <w:pStyle w:val="P68B1DB1-Normal4"/>
        <w:spacing w:beforeLines="40" w:before="96" w:after="0" w:line="22" w:lineRule="atLeast"/>
        <w:jc w:val="both"/>
        <w:rPr>
          <w:rFonts w:eastAsia="@MS Mincho" w:cs="Times New Roman"/>
          <w:noProof/>
        </w:rPr>
      </w:pPr>
      <w:r>
        <w:rPr>
          <w:noProof/>
        </w:rPr>
        <w:t xml:space="preserve">Το ONPE περιλαμβάνει στη δομή διακυβέρνησής του i) διαχειριστική μονάδα, η οποία είναι υπεύθυνη για τη λειτουργική διαχείριση του ONPE, ii) στρατηγική επιτροπή, επικεφαλής της οποίας είναι το Υπουργείο Περιβάλλοντος και Δράσης για το Κλίμα και περιλαμβάνει μέλη από τους σχετικούς κυβερνητικούς τομείς (όπως η στέγαση, η κοινωνική ασφάλιση, η υγεία, τα οικονομικά, η εκπαίδευση, η εδαφική συνοχή) και iii) μια συμβουλευτική επιτροπή, συμπεριλαμβανομένων καθιερωμένων ενδιαφερόμενων μερών, όπως πανεπιστήμια, δήμοι, τοπικοί οργανισμοί ενέργειας, μη κυβερνητικές οργανώσεις που συμμετέχουν σε δράσεις για την εξάλειψη της ενεργειακής φτώχειας, φορείς εκμετάλλευσης ενεργειακών δικτύων, καταναλωτές και ενώσεις ακινήτων, τομεακές ενώσεις και οντότητες ιδιωτικής χρηματοδότησης. Η μεταρρύθμιση διασφαλίζει ότι τα εν λόγω όργανα συνεργάζονται και έχουν σαφείς ρόλους για την επίτευξη των στόχων που ορίζονται στην εντολή της ONPE. Για τη συλλογή δεδομένων διασφαλίζεται η συνεργασία μεταξύ του ONPE και των πορτογαλικών στατιστικών φορέων. </w:t>
      </w:r>
    </w:p>
    <w:p w14:paraId="17728ADF" w14:textId="315EB82E" w:rsidR="00154AD2" w:rsidRDefault="007F6BF3">
      <w:pPr>
        <w:pStyle w:val="P68B1DB1-Normal4"/>
        <w:spacing w:beforeLines="40" w:before="96" w:after="0" w:line="22" w:lineRule="atLeast"/>
        <w:jc w:val="both"/>
        <w:rPr>
          <w:rFonts w:cs="Times New Roman"/>
          <w:noProof/>
        </w:rPr>
      </w:pPr>
      <w:r>
        <w:rPr>
          <w:noProof/>
        </w:rPr>
        <w:t>Η μεταρρύθμιση διασφαλίζει επίσης τη θέσπιση χρηματοδοτικού μέσου για μέτρα ενεργειακής απόδοσης στον οικιακό τομέα με σκοπό την αντιμετώπιση της ενεργειακής φτώχειας για τα προσδιορισμένα προφίλ νοικοκυριών, το οποίο θα εγκριθεί μέσω της έναρξης ισχύος νόμου ή της έκδοσης απόφασης από σχετικό χρηματοπιστωτικό ίδρυμα.</w:t>
      </w:r>
    </w:p>
    <w:p w14:paraId="204649DB" w14:textId="77777777" w:rsidR="00154AD2" w:rsidRDefault="007F6BF3">
      <w:pPr>
        <w:pStyle w:val="P68B1DB1-Normal4"/>
        <w:spacing w:beforeLines="40" w:before="96" w:after="0" w:line="22" w:lineRule="atLeast"/>
        <w:jc w:val="both"/>
        <w:rPr>
          <w:rFonts w:cs="Times New Roman"/>
          <w:noProof/>
        </w:rPr>
      </w:pPr>
      <w:r>
        <w:rPr>
          <w:noProof/>
        </w:rPr>
        <w:t xml:space="preserve">Η εφαρμογή της μεταρρύθμισης αυτής θα ολοκληρωθεί έως τις 31 Μαρτίου 2025.  </w:t>
      </w:r>
    </w:p>
    <w:p w14:paraId="6F25AA6D" w14:textId="339B7EBE" w:rsidR="00154AD2" w:rsidRDefault="007F6BF3">
      <w:pPr>
        <w:pStyle w:val="P68B1DB1-Normal5"/>
        <w:keepNext/>
        <w:spacing w:before="240" w:after="0" w:line="259" w:lineRule="auto"/>
        <w:ind w:left="851"/>
        <w:jc w:val="both"/>
        <w:outlineLvl w:val="2"/>
        <w:rPr>
          <w:rFonts w:eastAsiaTheme="minorEastAsia" w:cs="Times New Roman"/>
          <w:noProof/>
        </w:rPr>
      </w:pPr>
      <w:bookmarkStart w:id="39" w:name="_Toc137472482"/>
      <w:r>
        <w:rPr>
          <w:noProof/>
        </w:rPr>
        <w:t xml:space="preserve">Μεταρρύθμιση RP-C21-r44: Ανάπτυξη υπηρεσιών μίας στάσης για την ενεργειακή απόδοση για τους πολίτες (Χώροι Ενέργειας Πολιτών) </w:t>
      </w:r>
      <w:bookmarkEnd w:id="39"/>
    </w:p>
    <w:p w14:paraId="13080FDC" w14:textId="77777777" w:rsidR="00154AD2" w:rsidRDefault="007F6BF3">
      <w:pPr>
        <w:pStyle w:val="P68B1DB1-Normal4"/>
        <w:spacing w:beforeLines="40" w:before="96" w:after="0" w:line="22" w:lineRule="atLeast"/>
        <w:jc w:val="both"/>
        <w:rPr>
          <w:rFonts w:cs="Times New Roman"/>
          <w:noProof/>
        </w:rPr>
      </w:pPr>
      <w:r>
        <w:rPr>
          <w:noProof/>
        </w:rPr>
        <w:t xml:space="preserve">Στόχος της μεταρρύθμισης αυτής είναι να στηρίξει τους πολίτες στην προετοιμασία και την εφαρμογή μέτρων για την ενεργειακή απόδοση και τις ανανεώσιμες πηγές ενέργειας και να υιοθετήσει βιώσιμες συμπεριφορές όσον αφορά τη χρήση της ενέργειας, μέσω αυξημένου ενεργειακού γραμματισμού. </w:t>
      </w:r>
    </w:p>
    <w:p w14:paraId="375532EE" w14:textId="046F8E8A" w:rsidR="00154AD2" w:rsidRDefault="007F6BF3">
      <w:pPr>
        <w:pStyle w:val="P68B1DB1-Normal4"/>
        <w:spacing w:beforeLines="40" w:before="96" w:after="0" w:line="22" w:lineRule="atLeast"/>
        <w:jc w:val="both"/>
        <w:rPr>
          <w:rFonts w:cs="Times New Roman"/>
          <w:noProof/>
        </w:rPr>
      </w:pPr>
      <w:r>
        <w:rPr>
          <w:noProof/>
        </w:rPr>
        <w:t>Με βάση το πιλοτικό πρόγραμμα που αναπτύχθηκε στο πλαίσιο των επενδύσεων TC-C13-I01.01, η μεταρρύθμιση θα δημιουργήσει μονοαπευθυντικές θυρίδες ενεργειακής απόδοσης για τους πολίτες (Ενεργειακοί Χώροι Πολιτών</w:t>
      </w:r>
      <w:r>
        <w:rPr>
          <w:i/>
          <w:noProof/>
        </w:rPr>
        <w:t xml:space="preserve"> </w:t>
      </w:r>
      <w:r>
        <w:rPr>
          <w:noProof/>
        </w:rPr>
        <w:t xml:space="preserve">— </w:t>
      </w:r>
      <w:r>
        <w:rPr>
          <w:i/>
          <w:noProof/>
        </w:rPr>
        <w:t>Espaços Cidadão Energia</w:t>
      </w:r>
      <w:r>
        <w:rPr>
          <w:noProof/>
        </w:rPr>
        <w:t>) που θα δημιουργηθούν από τοπικές ή περιφερειακές αρχές ή άλλους τοπικούς φορείς, οι οποίες θα συμπεριληφθούν στα δημοτικά σχέδια δράσης για το κλίμα σύμφωνα με τον νόμο αριθ. 98/2021 και θα προσφέρουν ένα φάσμα υπηρεσιών στους κατοίκους, όπως:</w:t>
      </w:r>
    </w:p>
    <w:p w14:paraId="5A8F9D4A" w14:textId="77777777" w:rsidR="00154AD2" w:rsidRDefault="007F6BF3">
      <w:pPr>
        <w:pStyle w:val="ListParagraph"/>
        <w:keepNext w:val="0"/>
        <w:numPr>
          <w:ilvl w:val="0"/>
          <w:numId w:val="87"/>
        </w:numPr>
        <w:spacing w:beforeLines="40" w:before="96" w:after="0" w:line="22" w:lineRule="atLeast"/>
        <w:rPr>
          <w:noProof/>
        </w:rPr>
      </w:pPr>
      <w:r>
        <w:rPr>
          <w:noProof/>
        </w:rPr>
        <w:t>Παροχή πληροφοριών και τεχνικής υποστήριξης, από την ερμηνεία των λογαριασμών ενέργειας έως τη βιώσιμη χρήση της ενέργειας και τα δικαιώματα των καταναλωτών·</w:t>
      </w:r>
    </w:p>
    <w:p w14:paraId="52920F00" w14:textId="77777777" w:rsidR="00154AD2" w:rsidRDefault="007F6BF3">
      <w:pPr>
        <w:pStyle w:val="ListParagraph"/>
        <w:keepNext w:val="0"/>
        <w:numPr>
          <w:ilvl w:val="0"/>
          <w:numId w:val="87"/>
        </w:numPr>
        <w:spacing w:beforeLines="40" w:before="96" w:after="0" w:line="22" w:lineRule="atLeast"/>
        <w:rPr>
          <w:noProof/>
        </w:rPr>
      </w:pPr>
      <w:r>
        <w:rPr>
          <w:noProof/>
        </w:rPr>
        <w:t>Συμβουλές, μεταξύ άλλων για την προμήθεια ενέργειας, την αγορά εξοπλισμού, την επιλογή λύσεων ενεργειακής απόδοσης και ανανεώσιμων πηγών ενέργειας, την επιλογή εμπορικών προσφορών για την εφαρμογή λύσεων·</w:t>
      </w:r>
    </w:p>
    <w:p w14:paraId="48565B26" w14:textId="77777777" w:rsidR="00154AD2" w:rsidRDefault="007F6BF3">
      <w:pPr>
        <w:pStyle w:val="ListParagraph"/>
        <w:keepNext w:val="0"/>
        <w:numPr>
          <w:ilvl w:val="0"/>
          <w:numId w:val="87"/>
        </w:numPr>
        <w:spacing w:beforeLines="40" w:before="96" w:after="0" w:line="22" w:lineRule="atLeast"/>
        <w:rPr>
          <w:noProof/>
        </w:rPr>
      </w:pPr>
      <w:r>
        <w:rPr>
          <w:noProof/>
        </w:rPr>
        <w:t>Ενεργειακή αξιολόγηση των κατοικιών και προτάσεις επενδύσεων με σκοπό την αύξηση της θερμικής άνεσης και τη μείωση των λογαριασμών ενέργειας·</w:t>
      </w:r>
    </w:p>
    <w:p w14:paraId="33F3AD14" w14:textId="77777777" w:rsidR="00154AD2" w:rsidRDefault="007F6BF3">
      <w:pPr>
        <w:pStyle w:val="ListParagraph"/>
        <w:keepNext w:val="0"/>
        <w:numPr>
          <w:ilvl w:val="0"/>
          <w:numId w:val="87"/>
        </w:numPr>
        <w:spacing w:beforeLines="40" w:before="96" w:after="0" w:line="22" w:lineRule="atLeast"/>
        <w:rPr>
          <w:noProof/>
        </w:rPr>
      </w:pPr>
      <w:r>
        <w:rPr>
          <w:noProof/>
        </w:rPr>
        <w:t>Συμβουλές σχετικά με την πρόσβαση σε κίνητρα και χρηματοδοτικά μέσα, δημόσια και ιδιωτικά, εθνικά και τοπικά·</w:t>
      </w:r>
    </w:p>
    <w:p w14:paraId="26439DCD" w14:textId="77777777" w:rsidR="00154AD2" w:rsidRDefault="007F6BF3">
      <w:pPr>
        <w:pStyle w:val="ListParagraph"/>
        <w:keepNext w:val="0"/>
        <w:numPr>
          <w:ilvl w:val="0"/>
          <w:numId w:val="87"/>
        </w:numPr>
        <w:spacing w:beforeLines="40" w:before="96" w:after="0" w:line="22" w:lineRule="atLeast"/>
        <w:rPr>
          <w:noProof/>
        </w:rPr>
      </w:pPr>
      <w:r>
        <w:rPr>
          <w:noProof/>
        </w:rPr>
        <w:t>Συλλογή δεδομένων σχετικά με τους χρήστες που θα κοινοποιηθούν στο Εθνικό Παρατηρητήριο Ενεργειακής Φτώχειας.</w:t>
      </w:r>
    </w:p>
    <w:p w14:paraId="0B098A88" w14:textId="214DA97F" w:rsidR="00154AD2" w:rsidRDefault="007F6BF3">
      <w:pPr>
        <w:pStyle w:val="P68B1DB1-Normal4"/>
        <w:spacing w:beforeLines="40" w:before="96" w:after="0" w:line="22" w:lineRule="atLeast"/>
        <w:jc w:val="both"/>
        <w:rPr>
          <w:rFonts w:cs="Times New Roman"/>
          <w:i/>
          <w:noProof/>
        </w:rPr>
      </w:pPr>
      <w:r>
        <w:rPr>
          <w:noProof/>
        </w:rPr>
        <w:t>Αναλαμβάνονται δράσεις ανάπτυξης ικανοτήτων προκειμένου να διασφαλιστεί ότι τουλάχιστον τριακόσιοι άνθρωποι εκπαιδεύονται για τη λειτουργία των ενεργειακών χώρων των πολιτών</w:t>
      </w:r>
      <w:r>
        <w:rPr>
          <w:i/>
          <w:noProof/>
        </w:rPr>
        <w:t>.</w:t>
      </w:r>
    </w:p>
    <w:p w14:paraId="08143AB5" w14:textId="77777777" w:rsidR="00154AD2" w:rsidRDefault="007F6BF3">
      <w:pPr>
        <w:pStyle w:val="P68B1DB1-Normal4"/>
        <w:spacing w:beforeLines="40" w:before="96" w:after="0" w:line="22" w:lineRule="atLeast"/>
        <w:jc w:val="both"/>
        <w:rPr>
          <w:rFonts w:cs="Times New Roman"/>
          <w:noProof/>
        </w:rPr>
      </w:pPr>
      <w:r>
        <w:rPr>
          <w:noProof/>
        </w:rPr>
        <w:t xml:space="preserve">Η εφαρμογή της μεταρρύθμισης αυτής θα ολοκληρωθεί έως τις 31 Μαρτίου 2025. </w:t>
      </w:r>
    </w:p>
    <w:p w14:paraId="52B18F1E" w14:textId="4BD6F41C" w:rsidR="00154AD2" w:rsidRDefault="007F6BF3">
      <w:pPr>
        <w:pStyle w:val="P68B1DB1-Normal5"/>
        <w:keepNext/>
        <w:spacing w:before="240" w:after="0" w:line="259" w:lineRule="auto"/>
        <w:ind w:left="851"/>
        <w:jc w:val="both"/>
        <w:outlineLvl w:val="2"/>
        <w:rPr>
          <w:rFonts w:eastAsiaTheme="minorEastAsia" w:cs="Times New Roman"/>
          <w:noProof/>
        </w:rPr>
      </w:pPr>
      <w:bookmarkStart w:id="40" w:name="_Toc137472487"/>
      <w:r>
        <w:rPr>
          <w:noProof/>
        </w:rPr>
        <w:t>Επενδύσεις RP-C21-i05: Στήριξη της ανάπτυξης της πράσινης βιομηχανίας</w:t>
      </w:r>
    </w:p>
    <w:bookmarkEnd w:id="40"/>
    <w:p w14:paraId="00CC59FA" w14:textId="4B5BBB1D" w:rsidR="00154AD2" w:rsidRDefault="007F6BF3">
      <w:pPr>
        <w:pStyle w:val="P68B1DB1-Normal4"/>
        <w:spacing w:beforeLines="40" w:before="96" w:after="0" w:line="22" w:lineRule="atLeast"/>
        <w:jc w:val="both"/>
        <w:rPr>
          <w:rFonts w:cs="Times New Roman"/>
          <w:noProof/>
          <w:highlight w:val="yellow"/>
        </w:rPr>
      </w:pPr>
      <w:r>
        <w:rPr>
          <w:noProof/>
        </w:rPr>
        <w:t>Στόχος της επένδυσης αυτής, που απευθύνεται σε επιχειρήσεις, είναι η αύξηση της παραγωγικής ικανότητας των τεχνολογιών για τις ανανεώσιμες πηγές ενέργειας, την απαλλαγή από τις ανθρακούχες εκπομπές και την ενεργειακή απόδοση, σύμφωνα με τους στόχους του ΕΣΕΚ για το 2030 και τους στόχους του βιομηχανικού σχεδίου της Ευρωπαϊκής Πράσινης Συμφωνίας [COM (2023) 62 final].</w:t>
      </w:r>
    </w:p>
    <w:p w14:paraId="556C247F" w14:textId="1E2A984E" w:rsidR="00154AD2" w:rsidRDefault="007F6BF3">
      <w:pPr>
        <w:pStyle w:val="P68B1DB1-Normal4"/>
        <w:spacing w:beforeLines="40" w:before="96" w:after="0" w:line="22" w:lineRule="atLeast"/>
        <w:jc w:val="both"/>
        <w:rPr>
          <w:rFonts w:cs="Times New Roman"/>
          <w:noProof/>
        </w:rPr>
      </w:pPr>
      <w:r>
        <w:rPr>
          <w:noProof/>
        </w:rPr>
        <w:t xml:space="preserve">Η επένδυση συνίσταται σε επιχορηγήσεις που απευθύνονται σε μεμονωμένες εταιρείες ή έργα και στηρίζει βιομηχανικές επενδύσεις στην παραγωγή στρατηγικών τεχνολογιών για την κλιματική μετάβαση, οι οποίες συνδέονται άμεσα με ηλιακά φωτοβολταϊκά και ηλιακά θερμικά συστήματα, ηλεκτρολυτικές κυψέλες και κυψέλες καυσίμου, χερσαίες αιολικές και υπεράκτιες ανανεώσιμες πηγές ενέργειας, βιώσιμο βιοαέριο/βιομεθάνιο, μπαταρίες και αποθήκευση άνθρακα, αντλίες θερμότητας, ενεργειακή απόδοση, γεωθερμική ενέργεια ή λύσεις δικτύου.  </w:t>
      </w:r>
    </w:p>
    <w:p w14:paraId="30C0F048" w14:textId="78A9077F" w:rsidR="00154AD2" w:rsidRDefault="007F6BF3">
      <w:pPr>
        <w:pStyle w:val="P68B1DB1-Normal4"/>
        <w:spacing w:beforeLines="40" w:before="96" w:after="0" w:line="22" w:lineRule="atLeast"/>
        <w:jc w:val="both"/>
        <w:rPr>
          <w:rFonts w:cs="Times New Roman"/>
          <w:noProof/>
        </w:rPr>
      </w:pPr>
      <w:r>
        <w:rPr>
          <w:noProof/>
        </w:rPr>
        <w:t>Προκειμένου να διασφαλιστεί ότι το μέτρο συμμορφώνεται με την αρχή της «μη πρόκλησης σημαντικής βλάβης» στο πλαίσιο του μηχανισμού ανάκαμψης και ανθεκτικότητας, όπως ορίζεται στις τεχνικές κατευθυντήριες γραμμές για την «μη πρόκληση σημαντικής βλάβης» (2021/C58/01), τα κριτήρια επιλεξιμότητας που περιλαμβάνονται στους όρους αναφοράς για επικείμενες προσκλήσεις υποβολής έργων:</w:t>
      </w:r>
    </w:p>
    <w:p w14:paraId="74CED351" w14:textId="01F86180" w:rsidR="00154AD2" w:rsidRDefault="007F6BF3">
      <w:pPr>
        <w:pStyle w:val="ListParagraph"/>
        <w:keepNext w:val="0"/>
        <w:numPr>
          <w:ilvl w:val="0"/>
          <w:numId w:val="118"/>
        </w:numPr>
        <w:spacing w:line="240" w:lineRule="auto"/>
        <w:rPr>
          <w:noProof/>
        </w:rPr>
      </w:pPr>
      <w:r>
        <w:rPr>
          <w:noProof/>
        </w:rPr>
        <w:t>εξαιρεί από την επιλεξιμότητα τον ακόλουθο κατάλογο δραστηριοτήτων και περιουσιακών στοιχείων: I) δραστηριότητες και στοιχεία ενεργητικού που σχετίζονται με ορυκτά καύσιμα, συμπεριλαμβανομένης της μεταγενέστερης χρήσης</w:t>
      </w:r>
      <w:r>
        <w:rPr>
          <w:rStyle w:val="FootnoteReference"/>
          <w:noProof/>
        </w:rPr>
        <w:footnoteReference w:id="78"/>
      </w:r>
      <w:r>
        <w:rPr>
          <w:noProof/>
        </w:rPr>
        <w:t>· II) δραστηριότητες και στοιχεία ενεργητικού στο πλαίσιο του συστήματος εμπορίας δικαιωμάτων εκπομπής (ΣΕΔΕ) της ΕΕ που επιτυγχάνουν προβλεπόμενες εκπομπές αερίων του θερμοκηπίου που δεν είναι χαμηλότερες από τους σχετικούς δείκτες αναφοράς</w:t>
      </w:r>
      <w:r>
        <w:rPr>
          <w:rStyle w:val="FootnoteReference"/>
          <w:noProof/>
        </w:rPr>
        <w:footnoteReference w:id="79"/>
      </w:r>
      <w:r>
        <w:rPr>
          <w:noProof/>
        </w:rPr>
        <w:t xml:space="preserve"> και μονάδες μηχανικής βιολογικής επεξεργασίας</w:t>
      </w:r>
      <w:r>
        <w:rPr>
          <w:rStyle w:val="FootnoteReference"/>
          <w:noProof/>
        </w:rPr>
        <w:footnoteReference w:id="80"/>
      </w:r>
      <w:r>
        <w:rPr>
          <w:noProof/>
        </w:rPr>
        <w:t>· III) δραστηριότητες και περιουσιακά στοιχεία που σχετίζονται με χώρους υγειονομικής ταφής αποβλήτων, αποτεφρωτήρες</w:t>
      </w:r>
      <w:r>
        <w:rPr>
          <w:rStyle w:val="FootnoteReference"/>
          <w:noProof/>
        </w:rPr>
        <w:footnoteReference w:id="81"/>
      </w:r>
      <w:r>
        <w:rPr>
          <w:noProof/>
        </w:rPr>
        <w:t xml:space="preserve"> και μονάδες μηχανικής βιολογικής επεξεργασίας</w:t>
      </w:r>
      <w:r>
        <w:rPr>
          <w:rStyle w:val="FootnoteReference"/>
          <w:noProof/>
        </w:rPr>
        <w:footnoteReference w:id="82"/>
      </w:r>
      <w:r>
        <w:rPr>
          <w:noProof/>
        </w:rPr>
        <w:t xml:space="preserve">· και </w:t>
      </w:r>
    </w:p>
    <w:p w14:paraId="3D8DD079" w14:textId="77777777" w:rsidR="00154AD2" w:rsidRDefault="007F6BF3">
      <w:pPr>
        <w:pStyle w:val="ListParagraph"/>
        <w:numPr>
          <w:ilvl w:val="0"/>
          <w:numId w:val="74"/>
        </w:numPr>
        <w:spacing w:beforeLines="40" w:before="96" w:after="0" w:line="240" w:lineRule="auto"/>
        <w:rPr>
          <w:noProof/>
        </w:rPr>
      </w:pPr>
      <w:r>
        <w:rPr>
          <w:noProof/>
        </w:rPr>
        <w:t>απαίτηση συμμόρφωσης με τη σχετική ενωσιακή και εθνική περιβαλλοντική νομοθεσία του αποδέκτη.</w:t>
      </w:r>
    </w:p>
    <w:p w14:paraId="04838A27" w14:textId="77777777" w:rsidR="00154AD2" w:rsidRDefault="007F6BF3">
      <w:pPr>
        <w:pStyle w:val="P68B1DB1-Normal4"/>
        <w:spacing w:beforeLines="40" w:before="96" w:after="0" w:line="22" w:lineRule="atLeast"/>
        <w:jc w:val="both"/>
        <w:rPr>
          <w:rFonts w:eastAsia="MS Mincho" w:cs="Times New Roman"/>
          <w:noProof/>
        </w:rPr>
      </w:pPr>
      <w:r>
        <w:rPr>
          <w:noProof/>
        </w:rPr>
        <w:t xml:space="preserve">Η υλοποίηση της επένδυσης αυτής ολοκληρώνεται έως τις 30 Ιουνίου 2026.  </w:t>
      </w:r>
    </w:p>
    <w:p w14:paraId="2F9D54F1" w14:textId="2C2676E2"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Μεταρρύθμιση RP-C21-r45: Πράσινες δεξιότητες</w:t>
      </w:r>
    </w:p>
    <w:p w14:paraId="41D07A31" w14:textId="03311566" w:rsidR="00154AD2" w:rsidRDefault="007F6BF3">
      <w:pPr>
        <w:pStyle w:val="P68B1DB1-Normal4"/>
        <w:spacing w:beforeLines="40" w:before="96" w:after="0" w:line="22" w:lineRule="atLeast"/>
        <w:jc w:val="both"/>
        <w:rPr>
          <w:rFonts w:cs="Times New Roman"/>
          <w:noProof/>
        </w:rPr>
      </w:pPr>
      <w:r>
        <w:rPr>
          <w:noProof/>
        </w:rPr>
        <w:t xml:space="preserve">Στόχος αυτής της μεταρρύθμισης είναι η δημιουργία μακροπρόθεσμης προσφοράς επαγγελματικής κατάρτισης για την ανάπτυξη, την αναγνώριση, την επικύρωση και την πιστοποίηση πράσινων δεξιοτήτων με στόχο την πρόληψη του κινδύνου ανεργίας, την προώθηση της διατήρησης θέσεων εργασίας και την τόνωση της δημιουργίας νέων θέσεων εργασίας. </w:t>
      </w:r>
    </w:p>
    <w:p w14:paraId="75EC7F11" w14:textId="0661E934" w:rsidR="00154AD2" w:rsidRDefault="007F6BF3">
      <w:pPr>
        <w:pStyle w:val="P68B1DB1-Normal4"/>
        <w:spacing w:beforeLines="40" w:before="96" w:after="0" w:line="22" w:lineRule="atLeast"/>
        <w:jc w:val="both"/>
        <w:rPr>
          <w:rFonts w:cs="Times New Roman"/>
          <w:noProof/>
        </w:rPr>
      </w:pPr>
      <w:r>
        <w:rPr>
          <w:noProof/>
        </w:rPr>
        <w:t>Η μεταρρύθμιση συνίσταται στα εξής:</w:t>
      </w:r>
    </w:p>
    <w:p w14:paraId="0CD3A424" w14:textId="41E7B03D" w:rsidR="00154AD2" w:rsidRDefault="007F6BF3">
      <w:pPr>
        <w:pStyle w:val="ListParagraph"/>
        <w:keepNext w:val="0"/>
        <w:numPr>
          <w:ilvl w:val="0"/>
          <w:numId w:val="88"/>
        </w:numPr>
        <w:spacing w:beforeLines="40" w:before="96" w:after="0" w:line="22" w:lineRule="atLeast"/>
        <w:rPr>
          <w:noProof/>
        </w:rPr>
      </w:pPr>
      <w:r>
        <w:rPr>
          <w:noProof/>
        </w:rPr>
        <w:t>Το πρόγραμμα «Πράσινες Εργασίες και Δεξιότητες»: να παρέχουν επαγγελματική κατάρτιση και επανειδίκευση σε 12 500 εργαζομένους που συμμετέχουν στις διαδικασίες ενεργειακής μετάβασης των εργοδοτών τους, σε εργαζομένους που διατρέχουν κίνδυνο ανεργίας λόγω του κλεισίματος των βιομηχανιών ορυκτών καυσίμων, καθώς και σε ανέργους. Υλοποιείται από το Ινστιτούτο Απασχόλησης και Επαγγελματικής Κατάρτισης μέσω προγραμμάτων κατάρτισης μικρής και μεσαίας διάρκειας και θα πρέπει να επικεντρώνεται στην ανάπτυξη πράσινων δεξιοτήτων.</w:t>
      </w:r>
    </w:p>
    <w:p w14:paraId="480A983D" w14:textId="34B135A1" w:rsidR="00154AD2" w:rsidRDefault="007F6BF3">
      <w:pPr>
        <w:pStyle w:val="ListParagraph"/>
        <w:keepNext w:val="0"/>
        <w:numPr>
          <w:ilvl w:val="0"/>
          <w:numId w:val="88"/>
        </w:numPr>
        <w:spacing w:beforeLines="40" w:before="96" w:after="0" w:line="22" w:lineRule="atLeast"/>
        <w:rPr>
          <w:noProof/>
        </w:rPr>
      </w:pPr>
      <w:r>
        <w:rPr>
          <w:noProof/>
        </w:rPr>
        <w:t xml:space="preserve">Μαθήματα στο Κέντρο Κατάρτισης για την Ενεργειακή Μετάβαση: παροχή μακροπρόθεσμης κατάρτισης επιπλέον 12 500 ατόμων στους τομείς της ενεργειακής μετάβασης και της δράσης για το κλίμα, συμπεριλαμβανομένων των ανανεώσιμων πηγών ενέργειας, του πράσινου υδρογόνου, των συνθετικών μη βιολογικών καυσίμων και της ενεργειακής απόδοσης. </w:t>
      </w:r>
    </w:p>
    <w:p w14:paraId="492E8053" w14:textId="095C1539" w:rsidR="00154AD2" w:rsidRDefault="007F6BF3">
      <w:pPr>
        <w:pStyle w:val="P68B1DB1-Normal4"/>
        <w:spacing w:beforeLines="40" w:before="96" w:after="0" w:line="22" w:lineRule="atLeast"/>
        <w:jc w:val="both"/>
        <w:rPr>
          <w:noProof/>
        </w:rPr>
      </w:pPr>
      <w:r>
        <w:rPr>
          <w:noProof/>
        </w:rPr>
        <w:t xml:space="preserve">Εκτός από τους δικαιούχους του προγράμματος πράσινης εργασίας και δεξιοτήτων, δίνεται προτεραιότητα στους δικαιούχους που είναι πρόθυμοι να αποκτήσουν δεξιότητες που προσδιορίζονται ως ζωτικής σημασίας για την εκτέλεση έργων ανανεώσιμων πηγών ενέργειας (συμπεριλαμβανομένου του υδρογόνου) και ενεργειακής απόδοσης. </w:t>
      </w:r>
    </w:p>
    <w:p w14:paraId="2E4CC163" w14:textId="3B761BEC" w:rsidR="00154AD2" w:rsidRDefault="007F6BF3">
      <w:pPr>
        <w:pStyle w:val="P68B1DB1-Normal4"/>
        <w:spacing w:beforeLines="40" w:before="96" w:after="0" w:line="22" w:lineRule="atLeast"/>
        <w:jc w:val="both"/>
        <w:rPr>
          <w:rFonts w:eastAsiaTheme="minorEastAsia" w:cs="Times New Roman"/>
          <w:noProof/>
        </w:rPr>
      </w:pPr>
      <w:r>
        <w:rPr>
          <w:noProof/>
        </w:rPr>
        <w:t xml:space="preserve">Οι διαδρομές κατάρτισης αναπτύσσονται σύμφωνα με τις ανάγκες που προσδιορίζονται από τις ενώσεις της αγοράς και του κλάδου. Οι παράγοντες που δραστηριοποιούνται στον τομέα των ανανεώσιμων πηγών ενέργειας και της ενεργειακής απόδοσης προσδιορίζουν ποιες δεξιότητες θεωρούνται ζωτικής σημασίας με βάση τη ζήτηση στην αγορά εργασίας. Το περιεχόμενο της κατάρτισης αντικατοπτρίζει τις ανάγκες αυτές. Η προσφορά κατάρτισης αναπτύσσεται από το Κέντρο Κατάρτισης για την Ενεργειακή Μετάβαση. </w:t>
      </w:r>
      <w:bookmarkStart w:id="41" w:name="_Int_OV5GmRrb"/>
      <w:bookmarkStart w:id="42" w:name="_Int_knsy2AsN"/>
      <w:bookmarkEnd w:id="41"/>
      <w:bookmarkEnd w:id="42"/>
    </w:p>
    <w:p w14:paraId="1A64A2BF" w14:textId="77777777" w:rsidR="00154AD2" w:rsidRDefault="007F6BF3">
      <w:pPr>
        <w:pStyle w:val="P68B1DB1-Normal4"/>
        <w:spacing w:beforeLines="40" w:before="96" w:after="0" w:line="22" w:lineRule="atLeast"/>
        <w:jc w:val="both"/>
        <w:rPr>
          <w:rFonts w:cs="Times New Roman"/>
          <w:noProof/>
        </w:rPr>
      </w:pPr>
      <w:r>
        <w:rPr>
          <w:noProof/>
        </w:rPr>
        <w:t xml:space="preserve">Η εφαρμογή της μεταρρύθμισης ολοκληρώνεται έως τις 31 Δεκεμβρίου 2025.  </w:t>
      </w:r>
    </w:p>
    <w:p w14:paraId="52BA1BAC" w14:textId="753C1FAF"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Μεταρρύθμιση RP-C21-r46: Κανονιστικό πλαίσιο για το ανανεώσιμο υδρογόνο</w:t>
      </w:r>
    </w:p>
    <w:p w14:paraId="48C489B3" w14:textId="77777777" w:rsidR="00154AD2" w:rsidRDefault="007F6BF3">
      <w:pPr>
        <w:pStyle w:val="P68B1DB1-Normal4"/>
        <w:spacing w:before="40" w:after="0" w:line="259" w:lineRule="auto"/>
        <w:jc w:val="both"/>
        <w:rPr>
          <w:rFonts w:cs="Times New Roman"/>
          <w:noProof/>
        </w:rPr>
      </w:pPr>
      <w:r>
        <w:rPr>
          <w:noProof/>
        </w:rPr>
        <w:t>Στόχος της μεταρρύθμισης αυτής είναι να ενθαρρυνθεί η προώθηση του ανανεώσιμου υδρογόνου στο πλαίσιο μιας πιο ολοκληρωμένης στρατηγικής μετάβασης προς μια οικονομία απαλλαγμένη από τις ανθρακούχες εκπομπές. Η μεταρρύθμιση αυτή αποσκοπεί επίσης στη δημιουργία των προϋποθέσεων για την απαλλαγή του δικτύου φυσικού αερίου από τις ανθρακούχες εκπομπές και στη συμβολή στην ανάπτυξη της αξιακής αλυσίδας του ανανεώσιμου υδρογόνου.</w:t>
      </w:r>
    </w:p>
    <w:p w14:paraId="36E3674D" w14:textId="1E98692D" w:rsidR="00154AD2" w:rsidRDefault="007F6BF3">
      <w:pPr>
        <w:pStyle w:val="P68B1DB1-Normal4"/>
        <w:spacing w:before="40" w:after="0" w:line="259" w:lineRule="auto"/>
        <w:jc w:val="both"/>
        <w:rPr>
          <w:rFonts w:cs="Times New Roman"/>
          <w:noProof/>
        </w:rPr>
      </w:pPr>
      <w:r>
        <w:rPr>
          <w:noProof/>
        </w:rPr>
        <w:t xml:space="preserve">Η μεταρρύθμιση συνίσταται στην αναθεώρηση του κανονισμού για τα εθνικά δίκτυα μεταφοράς φυσικού αερίου και του κανονισμού για το εθνικό δίκτυο διανομής φυσικού αερίου, που θα εγκριθούν από τη Γενική Διεύθυνση Ενέργειας και Γεωλογίας (δηλαδή το διάταγμα αριθ. 806-B/2022 και το διάταγμα αριθ. 806-C/2022). Οι δύο τροποποιημένοι κανονισμοί καθορίζουν τα τεχνικά κριτήρια και τις επιχειρησιακές πτυχές για την παραγωγή, την πιστοποίηση, τη μεταφορά, την αποθήκευση, την αποφυγή διαρροών και, κατά περίπτωση, για έγχυση στο δίκτυο αερίου, ορίζουν την οντότητα που είναι υπεύθυνη για τη διαχείριση της έγχυσης και καθορίζουν κριτήρια για τη μη υπέρβαση της μέγιστης επιτρεπόμενης συγκέντρωσης υδρογόνου στο δίκτυο αερίου (σύμφωνα με την αναθεωρημένη εθνική στρατηγική της Πορτογαλίας για το υδρογόνο). Καθορίζουν επίσης τους τελικούς χρήστες του ανανεώσιμου υδρογόνου σύμφωνα με τη στρατηγική της ΕΕ για το υδρογόνο, στοχεύοντας σε εφαρμογές που είναι δύσκολο να απαλλαγούν από τις ανθρακούχες εκπομπές στους τομείς της βιομηχανίας και των μεταφορών, και κανόνες για τη διασφάλιση της διαφάνειας σχετικά με το σύστημα τιμολόγησης, τη δυναμικότητα θέρμανσης και την ποιότητα του αερίου (όπως η ακαθάριστη θερμογόνος δύναμη (GCV), ο δείκτης Wobbe (δείκτης ποιότητας της καύσης) και η παρουσία πρόσθετων κατασκευαστικών στοιχείων (όπως CO2, υδρογονάνθρακες, H2O, θείο κ.λπ.).  </w:t>
      </w:r>
    </w:p>
    <w:p w14:paraId="4CFED58E" w14:textId="3EFE5584" w:rsidR="00154AD2" w:rsidRDefault="007F6BF3">
      <w:pPr>
        <w:pStyle w:val="P68B1DB1-Normal4"/>
        <w:spacing w:before="40" w:after="0" w:line="259" w:lineRule="auto"/>
        <w:jc w:val="both"/>
        <w:rPr>
          <w:rFonts w:cs="Times New Roman"/>
          <w:noProof/>
        </w:rPr>
      </w:pPr>
      <w:r>
        <w:rPr>
          <w:noProof/>
        </w:rPr>
        <w:t>Επιπλέον, μια διοικητική ή νομική πράξη δημοσιεύεται στην Επίσημη Εφημερίδα — Diário da República και τίθεται σε ισχύ, διευκρινίζοντας ότι μόνο οι βιομηχανικές μονάδες που συμμορφώνονται με τις απαιτήσεις της οδηγίας για τις ανανεώσιμες πηγές ενέργειας και των κατ’ εξουσιοδότηση πράξεών της (2018/2001/ΕΕ) θεωρούνται εγκαταστάσεις παραγωγής ανανεώσιμου υδρογόνου. Η πράξη καθορίζει επίσης τη διαδικασία που πρέπει να ακολουθούν οι αιτούντες άδεια παραγωγής αερίων ανανεώσιμης προέλευσης, απαιτώντας από όσους υποβάλλουν αίτηση για άδεια να υποβάλουν δήλωση ανάληψης δέσμευσης για την εκπλήρωση των απαιτήσεων για τη χρήση ενέργειας από ανανεώσιμες πηγές, όπως ορίζονται στην οδηγία για τις ανανεώσιμες πηγές ενέργειας και στις κατ’ εξουσιοδότηση πράξεις της (2018/2001/ΕΕ) και να διασφαλίσουν την ανανεώσιμη προέλευση του παραγόμενου υδρογόνου.</w:t>
      </w:r>
    </w:p>
    <w:p w14:paraId="67538798" w14:textId="16C7329E" w:rsidR="00154AD2" w:rsidRDefault="007F6BF3">
      <w:pPr>
        <w:pStyle w:val="P68B1DB1-Normal4"/>
        <w:spacing w:before="40" w:after="0" w:line="259" w:lineRule="auto"/>
        <w:jc w:val="both"/>
        <w:rPr>
          <w:rFonts w:cs="Times New Roman"/>
          <w:noProof/>
        </w:rPr>
      </w:pPr>
      <w:r>
        <w:rPr>
          <w:noProof/>
        </w:rPr>
        <w:t>Η προαναφερόμενη διοικητική ή νομική πράξη απαιτεί επίσης από τον αιτούντα, πριν από την έναρξη της παραγωγής ανανεώσιμου υδρογόνου, προκειμένου να λάβει την «άδεια εγκατάστασης και λειτουργίας της βιομηχανικής μονάδας», να υποβάλει, κατά περίπτωση, την τελική σύμβαση για την αγορά της ανανεώσιμης ενέργειας που καταναλώνει κατά τη διαδικασία παραγωγής, καθώς και τις πληροφορίες που απαιτούνται για να αποδειχθεί ότι έχουν τηρηθεί οι δεσμεύσεις που περιλαμβάνονται στη δήλωση.</w:t>
      </w:r>
    </w:p>
    <w:p w14:paraId="0A85B859" w14:textId="77777777" w:rsidR="00154AD2" w:rsidRDefault="007F6BF3">
      <w:pPr>
        <w:pStyle w:val="P68B1DB1-Normal4"/>
        <w:spacing w:before="40" w:after="0" w:line="259" w:lineRule="auto"/>
        <w:jc w:val="both"/>
        <w:rPr>
          <w:rFonts w:eastAsiaTheme="minorEastAsia" w:cs="Times New Roman"/>
          <w:noProof/>
        </w:rPr>
      </w:pPr>
      <w:r>
        <w:rPr>
          <w:noProof/>
        </w:rPr>
        <w:t>Η εφαρμογή της μεταρρύθμισης ολοκληρώνεται έως τις 30 Ιουνίου 2024.</w:t>
      </w:r>
    </w:p>
    <w:p w14:paraId="6FC4D499" w14:textId="16F151BF" w:rsidR="00154AD2" w:rsidRDefault="007F6BF3">
      <w:pPr>
        <w:pStyle w:val="P68B1DB1-Normal5"/>
        <w:keepNext/>
        <w:spacing w:before="240" w:after="0" w:line="259" w:lineRule="auto"/>
        <w:ind w:left="851"/>
        <w:jc w:val="both"/>
        <w:outlineLvl w:val="2"/>
        <w:rPr>
          <w:rFonts w:eastAsiaTheme="minorEastAsia"/>
          <w:noProof/>
        </w:rPr>
      </w:pPr>
      <w:bookmarkStart w:id="43" w:name="bookmark30"/>
      <w:r>
        <w:rPr>
          <w:noProof/>
        </w:rPr>
        <w:t>Μεταρρύθμιση RP-C21-r47: Πρώτη δημοπρασία για βιώσιμο βιομεθάνιο</w:t>
      </w:r>
      <w:bookmarkEnd w:id="43"/>
      <w:r>
        <w:rPr>
          <w:noProof/>
        </w:rPr>
        <w:t xml:space="preserve"> και βιομεθάνιο</w:t>
      </w:r>
    </w:p>
    <w:p w14:paraId="6D1CD5D5" w14:textId="1350F59D" w:rsidR="00154AD2" w:rsidRDefault="007F6BF3">
      <w:pPr>
        <w:pStyle w:val="P68B1DB1-Normal4"/>
        <w:spacing w:before="40" w:after="0" w:line="259" w:lineRule="auto"/>
        <w:jc w:val="both"/>
        <w:rPr>
          <w:rFonts w:cs="Times New Roman"/>
          <w:noProof/>
        </w:rPr>
      </w:pPr>
      <w:r>
        <w:rPr>
          <w:noProof/>
        </w:rPr>
        <w:t xml:space="preserve">Στόχος της μεταρρύθμισης αυτής είναι η προώθηση και η τόνωση της παραγωγής και της κατανάλωσης βιώσιμου βιομεθανίου, δημιουργώντας τις απαραίτητες συνθήκες για την ανάπτυξη μιας οικονομίας βιομεθανίου στην Πορτογαλία. </w:t>
      </w:r>
    </w:p>
    <w:p w14:paraId="06444E15" w14:textId="479A0C14" w:rsidR="00154AD2" w:rsidRDefault="007F6BF3">
      <w:pPr>
        <w:pStyle w:val="P68B1DB1-Normal4"/>
        <w:spacing w:before="40" w:after="0" w:line="259" w:lineRule="auto"/>
        <w:jc w:val="both"/>
        <w:rPr>
          <w:rFonts w:cs="Times New Roman"/>
          <w:noProof/>
        </w:rPr>
      </w:pPr>
      <w:r>
        <w:rPr>
          <w:noProof/>
        </w:rPr>
        <w:t>Η μεταρρύθμιση συνεπάγεται την έναρξη της πρώτης δημοπρασίας για την κεντρική αγορά βιώσιμου βιομεθανίου από τον χονδρικό λιμάνι (CURg) σύμφωνα με το κυβερνητικό διάταγμα αριθ. 15/2023 της 4 Ιανουαρίου. Η δημοπρασία αποσκοπεί στην αγορά 150 GWh/έτος βιομεθανίου για έγχυση στο εθνικό δίκτυο αερίου. Η μεταρρύθμιση συνεπάγεται επίσης την έγκριση του σχεδίου δράσης για το βιομεθάνιο, το οποίο καθορίζει στρατηγική για την ανάπτυξη του βιομεθανίου στην Πορτογαλία. Το σχέδιο δράσης προτείνει δράσεις για τη διασφάλιση ευνοϊκού κανονιστικού πλαισίου, σε συνδυασμό με ένα σύνολο δημόσιων πολιτικών που στηρίζουν τη δημιουργία εσωτερικής αγοράς βιομεθανίου, τόσο για τη στήριξη της παραγωγής όσο και για την ενθάρρυνση της κατανάλωσης.</w:t>
      </w:r>
    </w:p>
    <w:p w14:paraId="05743F4B" w14:textId="77777777" w:rsidR="00154AD2" w:rsidRDefault="007F6BF3">
      <w:pPr>
        <w:pStyle w:val="P68B1DB1-Normal4"/>
        <w:spacing w:before="40" w:after="0" w:line="259" w:lineRule="auto"/>
        <w:jc w:val="both"/>
        <w:rPr>
          <w:rFonts w:eastAsiaTheme="minorEastAsia" w:cs="Times New Roman"/>
          <w:noProof/>
        </w:rPr>
      </w:pPr>
      <w:r>
        <w:rPr>
          <w:noProof/>
        </w:rPr>
        <w:t>Η εφαρμογή της μεταρρύθμισης ολοκληρώνεται έως τις 31 Μαρτίου 2024.</w:t>
      </w:r>
    </w:p>
    <w:p w14:paraId="69A70CF0" w14:textId="37012EB1"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Μεταρρύθμιση RP-C21-r48: Απλούστευση του νομικού και κανονιστικού πλαισίου που εφαρμόζεται στα έργα ανανεώσιμων πηγών ενέργειας</w:t>
      </w:r>
    </w:p>
    <w:p w14:paraId="48A84454" w14:textId="77777777" w:rsidR="00154AD2" w:rsidRDefault="007F6BF3">
      <w:pPr>
        <w:pStyle w:val="P68B1DB1-Bodytext2020"/>
        <w:spacing w:before="40" w:after="0" w:line="259" w:lineRule="auto"/>
        <w:ind w:firstLine="0"/>
        <w:jc w:val="both"/>
        <w:rPr>
          <w:rFonts w:cs="Times New Roman"/>
          <w:b/>
          <w:noProof/>
        </w:rPr>
      </w:pPr>
      <w:r>
        <w:rPr>
          <w:noProof/>
        </w:rPr>
        <w:t xml:space="preserve">Στόχος της μεταρρύθμισης αυτής είναι η προώθηση έργων ανανεώσιμων πηγών ενέργειας μέσω της απλούστευσης του νομικού και κανονιστικού πλαισίου σχετικά με την αδειοδότηση των ανανεώσιμων πηγών ενέργειας και την κατάρτιση όσων ασχολούνται με την αδειοδότηση και το σχετικό ψηφιακό εργαλείο. </w:t>
      </w:r>
    </w:p>
    <w:p w14:paraId="7A522EFE" w14:textId="77777777" w:rsidR="00154AD2" w:rsidRDefault="007F6BF3">
      <w:pPr>
        <w:pStyle w:val="P68B1DB1-Bodytext2020"/>
        <w:spacing w:before="40" w:after="0" w:line="259" w:lineRule="auto"/>
        <w:ind w:firstLine="0"/>
        <w:jc w:val="both"/>
        <w:rPr>
          <w:rFonts w:cs="Times New Roman"/>
          <w:b/>
          <w:noProof/>
        </w:rPr>
      </w:pPr>
      <w:r>
        <w:rPr>
          <w:noProof/>
        </w:rPr>
        <w:t>Η μεταρρύθμιση περιλαμβάνει:</w:t>
      </w:r>
    </w:p>
    <w:p w14:paraId="3DE1B65E" w14:textId="44219824" w:rsidR="00154AD2" w:rsidRDefault="007F6BF3">
      <w:pPr>
        <w:pStyle w:val="ListParagraph"/>
        <w:keepNext w:val="0"/>
        <w:numPr>
          <w:ilvl w:val="0"/>
          <w:numId w:val="89"/>
        </w:numPr>
        <w:spacing w:before="40" w:after="0" w:line="259" w:lineRule="auto"/>
        <w:rPr>
          <w:noProof/>
        </w:rPr>
      </w:pPr>
      <w:r>
        <w:rPr>
          <w:noProof/>
        </w:rPr>
        <w:t>Την έναρξη ισχύος της νομοθετικής πράξης για τη σύσταση της μονάδας αποστολής για την αδειοδότηση έργων ανανεώσιμων πηγών ενέργειας 2030 (απαρίθμηση 2030). Μεταξύ άλλων, τα καθήκοντα της ομάδας 2030 είναι τα εξής:</w:t>
      </w:r>
    </w:p>
    <w:p w14:paraId="171E03CD" w14:textId="77777777" w:rsidR="00154AD2" w:rsidRDefault="007F6BF3">
      <w:pPr>
        <w:pStyle w:val="ListParagraph"/>
        <w:keepNext w:val="0"/>
        <w:numPr>
          <w:ilvl w:val="1"/>
          <w:numId w:val="89"/>
        </w:numPr>
        <w:spacing w:before="40" w:after="0" w:line="259" w:lineRule="auto"/>
        <w:rPr>
          <w:noProof/>
        </w:rPr>
      </w:pPr>
      <w:r>
        <w:rPr>
          <w:noProof/>
        </w:rPr>
        <w:t>Να διασφαλίσει την επίτευξη των στόχων του αναθεωρημένου εθνικού σχεδίου για την ενέργεια και το κλίμα για το 2030 και να επιταχύνει την υλοποίηση έργων ανανεώσιμων πηγών ενέργειας στην Πορτογαλία·</w:t>
      </w:r>
    </w:p>
    <w:p w14:paraId="7584862B" w14:textId="77777777" w:rsidR="00154AD2" w:rsidRDefault="007F6BF3">
      <w:pPr>
        <w:pStyle w:val="ListParagraph"/>
        <w:keepNext w:val="0"/>
        <w:numPr>
          <w:ilvl w:val="1"/>
          <w:numId w:val="89"/>
        </w:numPr>
        <w:spacing w:before="40" w:after="0" w:line="259" w:lineRule="auto"/>
        <w:rPr>
          <w:noProof/>
        </w:rPr>
      </w:pPr>
      <w:r>
        <w:rPr>
          <w:noProof/>
        </w:rPr>
        <w:t xml:space="preserve">Ανάπτυξη εγχειριδίου διαδικασιών για την υποστήριξη και την απλούστευση της διαδικασίας αδειοδότησης για την αυτοκατανάλωση και τις κοινότητες ανανεώσιμων πηγών ενέργειας· </w:t>
      </w:r>
    </w:p>
    <w:p w14:paraId="781C1063" w14:textId="77777777" w:rsidR="00154AD2" w:rsidRDefault="007F6BF3">
      <w:pPr>
        <w:pStyle w:val="ListParagraph"/>
        <w:keepNext w:val="0"/>
        <w:numPr>
          <w:ilvl w:val="1"/>
          <w:numId w:val="89"/>
        </w:numPr>
        <w:spacing w:before="40" w:after="0" w:line="259" w:lineRule="auto"/>
        <w:rPr>
          <w:noProof/>
        </w:rPr>
      </w:pPr>
      <w:r>
        <w:rPr>
          <w:noProof/>
        </w:rPr>
        <w:t xml:space="preserve">Ανάπτυξη, εφαρμογή και διαχείριση της </w:t>
      </w:r>
      <w:r>
        <w:rPr>
          <w:i/>
          <w:noProof/>
        </w:rPr>
        <w:t>μονοαπευθυντικής θυρίδας</w:t>
      </w:r>
      <w:r>
        <w:rPr>
          <w:noProof/>
        </w:rPr>
        <w:t xml:space="preserve"> για την αδειοδότηση και παρακολούθηση έργων ανανεώσιμων πηγών ενέργειας (RP-C14-i02)·</w:t>
      </w:r>
    </w:p>
    <w:p w14:paraId="67AD8E0A" w14:textId="77777777" w:rsidR="00154AD2" w:rsidRDefault="007F6BF3">
      <w:pPr>
        <w:pStyle w:val="ListParagraph"/>
        <w:keepNext w:val="0"/>
        <w:numPr>
          <w:ilvl w:val="1"/>
          <w:numId w:val="89"/>
        </w:numPr>
        <w:spacing w:before="40" w:after="0" w:line="259" w:lineRule="auto"/>
        <w:rPr>
          <w:noProof/>
        </w:rPr>
      </w:pPr>
      <w:r>
        <w:rPr>
          <w:noProof/>
        </w:rPr>
        <w:t>Να εκπονήσει πρόταση για τομεακό πρόγραμμα για τις περιοχές πρώτης επιλογής για ανανεώσιμες πηγές ενέργειας·</w:t>
      </w:r>
    </w:p>
    <w:p w14:paraId="082EFB04" w14:textId="77777777" w:rsidR="00154AD2" w:rsidRDefault="007F6BF3">
      <w:pPr>
        <w:pStyle w:val="ListParagraph"/>
        <w:keepNext w:val="0"/>
        <w:numPr>
          <w:ilvl w:val="1"/>
          <w:numId w:val="89"/>
        </w:numPr>
        <w:spacing w:before="40" w:after="0" w:line="259" w:lineRule="auto"/>
        <w:rPr>
          <w:noProof/>
        </w:rPr>
      </w:pPr>
      <w:r>
        <w:rPr>
          <w:noProof/>
        </w:rPr>
        <w:t>Παγίωση του νομικού και κανονιστικού πλαισίου που ισχύει για την ηλεκτρολογική και περιβαλλοντική αδειοδότηση έργων ανανεώσιμων πηγών ενέργειας και αποθήκευσης.</w:t>
      </w:r>
    </w:p>
    <w:p w14:paraId="0D6072B7" w14:textId="77777777" w:rsidR="00154AD2" w:rsidRDefault="007F6BF3">
      <w:pPr>
        <w:pStyle w:val="P68B1DB1-Bodytext2020"/>
        <w:widowControl/>
        <w:numPr>
          <w:ilvl w:val="0"/>
          <w:numId w:val="89"/>
        </w:numPr>
        <w:shd w:val="clear" w:color="auto" w:fill="auto"/>
        <w:spacing w:before="40" w:after="0" w:line="259" w:lineRule="auto"/>
        <w:jc w:val="both"/>
        <w:rPr>
          <w:rFonts w:eastAsiaTheme="minorEastAsia" w:cs="Times New Roman"/>
          <w:b/>
          <w:noProof/>
        </w:rPr>
      </w:pPr>
      <w:r>
        <w:rPr>
          <w:noProof/>
        </w:rPr>
        <w:t>Η μεταρρύθμιση συνεπάγεται επίσης τη θέσπιση κανονισμού για τη δημοτική αδειοδότηση έργων ανανεώσιμης ενέργειας και αποθήκευσης με την τροποποίηση της υπουργικής απόφασης 113/2015, η οποία καθορίζει τα σχετικά στοιχεία που πρέπει να υποβάλλονται για τη δημοτική διαδικασία αδειοδότησης έργων ανανεώσιμης ενέργειας.</w:t>
      </w:r>
    </w:p>
    <w:p w14:paraId="481D9B0A" w14:textId="77777777" w:rsidR="00154AD2" w:rsidRDefault="007F6BF3">
      <w:pPr>
        <w:pStyle w:val="P68B1DB1-Bodytext2020"/>
        <w:widowControl/>
        <w:numPr>
          <w:ilvl w:val="0"/>
          <w:numId w:val="89"/>
        </w:numPr>
        <w:shd w:val="clear" w:color="auto" w:fill="auto"/>
        <w:spacing w:before="40" w:after="0" w:line="259" w:lineRule="auto"/>
        <w:jc w:val="both"/>
        <w:rPr>
          <w:rFonts w:cs="Times New Roman"/>
          <w:b/>
          <w:noProof/>
        </w:rPr>
      </w:pPr>
      <w:r>
        <w:rPr>
          <w:noProof/>
        </w:rPr>
        <w:t>Η μεταρρύθμιση παρέχει επίσης χρονοδιάγραμμα για την κατανομή νέας δυναμικότητας παραγωγής ενέργειας από ανανεώσιμες πηγές, με ιδιαίτερη έμφαση στις γεωγραφικές περιοχές που προκύπτουν από το τομεακό πρόγραμμα «ανανεώσιμες πηγές ενέργειας».</w:t>
      </w:r>
    </w:p>
    <w:p w14:paraId="32D1B031" w14:textId="77777777" w:rsidR="00154AD2" w:rsidRDefault="007F6BF3">
      <w:pPr>
        <w:pStyle w:val="P68B1DB1-Bodytext2020"/>
        <w:widowControl/>
        <w:numPr>
          <w:ilvl w:val="0"/>
          <w:numId w:val="89"/>
        </w:numPr>
        <w:shd w:val="clear" w:color="auto" w:fill="auto"/>
        <w:spacing w:before="40" w:after="0" w:line="259" w:lineRule="auto"/>
        <w:jc w:val="both"/>
        <w:rPr>
          <w:rFonts w:cs="Times New Roman"/>
          <w:b/>
          <w:noProof/>
        </w:rPr>
      </w:pPr>
      <w:r>
        <w:rPr>
          <w:noProof/>
        </w:rPr>
        <w:t xml:space="preserve">Η μεταρρύθμιση συνεπάγεται επίσης την κατάρτιση 500 διευθυντών και τεχνικών της κεντρικής, περιφερειακής και τοπικής δημόσιας διοίκησης σχετικά με τις διαδικασίες αδειοδότησης για έργα ανανεώσιμης ενέργειας και αποθήκευσης ενέργειας. </w:t>
      </w:r>
    </w:p>
    <w:p w14:paraId="31610E4F" w14:textId="77777777" w:rsidR="00154AD2" w:rsidRDefault="007F6BF3">
      <w:pPr>
        <w:pStyle w:val="P68B1DB1-Normal4"/>
        <w:spacing w:before="40" w:after="0" w:line="259" w:lineRule="auto"/>
        <w:jc w:val="both"/>
        <w:rPr>
          <w:rFonts w:cs="Times New Roman"/>
          <w:noProof/>
        </w:rPr>
      </w:pPr>
      <w:r>
        <w:rPr>
          <w:noProof/>
        </w:rPr>
        <w:t>Η εφαρμογή της μεταρρύθμισης ολοκληρώνεται έως τις 30 Ιουνίου 2024.</w:t>
      </w:r>
    </w:p>
    <w:p w14:paraId="2D61E7C0" w14:textId="436900C9" w:rsidR="00154AD2" w:rsidRDefault="007F6BF3">
      <w:pPr>
        <w:pStyle w:val="P68B1DB1-Normal5"/>
        <w:keepNext/>
        <w:spacing w:before="240" w:after="0" w:line="259" w:lineRule="auto"/>
        <w:ind w:left="851"/>
        <w:jc w:val="both"/>
        <w:outlineLvl w:val="2"/>
        <w:rPr>
          <w:rFonts w:eastAsiaTheme="minorEastAsia" w:cs="Times New Roman"/>
          <w:noProof/>
        </w:rPr>
      </w:pPr>
      <w:bookmarkStart w:id="44" w:name="_Hlk140157845"/>
      <w:r>
        <w:rPr>
          <w:noProof/>
        </w:rPr>
        <w:t xml:space="preserve">Μέτρο επέκτασης των </w:t>
      </w:r>
      <w:bookmarkEnd w:id="44"/>
      <w:r>
        <w:rPr>
          <w:noProof/>
        </w:rPr>
        <w:t>επενδύσεων RP-C21-i06: Υδρογόνο και ανανεώσιμα αέρια</w:t>
      </w:r>
    </w:p>
    <w:p w14:paraId="20046906" w14:textId="77777777" w:rsidR="00154AD2" w:rsidRDefault="007F6BF3">
      <w:pPr>
        <w:pStyle w:val="P68B1DB1-Normal4"/>
        <w:spacing w:before="40" w:after="0" w:line="259" w:lineRule="auto"/>
        <w:jc w:val="both"/>
        <w:rPr>
          <w:rFonts w:cs="Times New Roman"/>
          <w:noProof/>
        </w:rPr>
      </w:pPr>
      <w:r>
        <w:rPr>
          <w:noProof/>
        </w:rPr>
        <w:t xml:space="preserve">Στόχος της επένδυσης αυτής είναι η κλιμάκωση των υφιστάμενων επενδύσεων </w:t>
      </w:r>
      <w:r>
        <w:rPr>
          <w:i/>
          <w:noProof/>
        </w:rPr>
        <w:t xml:space="preserve">C14-I01: Υδρογόνο και ανανεώσιμα αέρια </w:t>
      </w:r>
      <w:r>
        <w:rPr>
          <w:noProof/>
        </w:rPr>
        <w:t>στο πλαίσιο της συνιστώσας 14.</w:t>
      </w:r>
    </w:p>
    <w:p w14:paraId="643DCE77" w14:textId="77777777" w:rsidR="00154AD2" w:rsidRDefault="007F6BF3">
      <w:pPr>
        <w:pStyle w:val="P68B1DB1-Bodytext2020"/>
        <w:spacing w:before="40" w:after="0" w:line="259" w:lineRule="auto"/>
        <w:ind w:firstLine="0"/>
        <w:jc w:val="both"/>
        <w:rPr>
          <w:rFonts w:eastAsiaTheme="minorEastAsia" w:cs="Times New Roman"/>
          <w:b/>
          <w:noProof/>
        </w:rPr>
      </w:pPr>
      <w:r>
        <w:rPr>
          <w:noProof/>
        </w:rPr>
        <w:t>Το κλιμακούμενο μέρος του μέτρου αυξάνει την ικανότητα παραγωγής ανανεώσιμου υδρογόνου και ανανεώσιμου αερίου. Το μέτρο συνίσταται σε δράσεις που ευνοούν την παραγωγή, την αποθήκευση, τη μεταφορά και τη διανομή ανανεώσιμων αερίων με στόχο την αύξηση της συμβολής των ανανεώσιμων αερίων στην κατανάλωση ενέργειας, τη μείωση των εκπομπών αερίων του θερμοκηπίου, τη μείωση της ενεργειακής εξάρτησης και τη βελτίωση της ασφάλειας του ενεργειακού εφοδιασμού.</w:t>
      </w:r>
    </w:p>
    <w:p w14:paraId="3226896B" w14:textId="77777777" w:rsidR="00154AD2" w:rsidRDefault="007F6BF3">
      <w:pPr>
        <w:pStyle w:val="P68B1DB1-Bodytext2020"/>
        <w:spacing w:before="40" w:after="0" w:line="259" w:lineRule="auto"/>
        <w:ind w:firstLine="0"/>
        <w:jc w:val="both"/>
        <w:rPr>
          <w:rFonts w:eastAsiaTheme="minorEastAsia" w:cs="Times New Roman"/>
          <w:b/>
          <w:noProof/>
        </w:rPr>
      </w:pPr>
      <w:r>
        <w:rPr>
          <w:noProof/>
        </w:rPr>
        <w:t xml:space="preserve">Υποστηρίζονται διάφορες εφαρμογές, όπως η χρήση ανανεώσιμων αερίων για τις μεταφορές και η έγχυση ανανεώσιμων αερίων στο δίκτυο φυσικού αερίου. </w:t>
      </w:r>
    </w:p>
    <w:p w14:paraId="0B728DB7" w14:textId="77777777" w:rsidR="00154AD2" w:rsidRDefault="007F6BF3">
      <w:pPr>
        <w:pStyle w:val="P68B1DB1-Bodytext2020"/>
        <w:spacing w:before="40" w:after="0" w:line="259" w:lineRule="auto"/>
        <w:ind w:firstLine="0"/>
        <w:jc w:val="both"/>
        <w:rPr>
          <w:rFonts w:eastAsiaTheme="minorEastAsia" w:cs="Times New Roman"/>
          <w:b/>
          <w:noProof/>
        </w:rPr>
      </w:pPr>
      <w:r>
        <w:rPr>
          <w:noProof/>
        </w:rPr>
        <w:t xml:space="preserve">Για την παραγωγή ανανεώσιμου υδρογόνου χρησιμοποιείται μόνο ηλεκτρόλυση. </w:t>
      </w:r>
    </w:p>
    <w:p w14:paraId="44B34FAA" w14:textId="77777777" w:rsidR="00154AD2" w:rsidRDefault="007F6BF3">
      <w:pPr>
        <w:pStyle w:val="P68B1DB1-Bodytext2020"/>
        <w:spacing w:before="40" w:after="0" w:line="259" w:lineRule="auto"/>
        <w:ind w:firstLine="0"/>
        <w:jc w:val="both"/>
        <w:rPr>
          <w:rFonts w:eastAsiaTheme="minorEastAsia" w:cs="Times New Roman"/>
          <w:b/>
          <w:noProof/>
        </w:rPr>
      </w:pPr>
      <w:r>
        <w:rPr>
          <w:noProof/>
        </w:rPr>
        <w:t xml:space="preserve">Για την παραγωγή άλλων αερίων από ανανεώσιμες πηγές χρησιμοποιούνται άλλες τεχνολογίες: θερμοχημικές και υδροθερμικές διεργασίες (αποκλειστικά για την παραγωγή βιώσιμου βιομεθανίου)· βιολογικές διεργασίες (βιοφωτοόλυση και ζύμωση)· γ) ο εμπλουτισμός βιοαερίου από αναερόβια χώνευση υλικών βιομάζας χρησιμοποιείται αποκλειστικά για την παραγωγή βιώσιμου βιομεθανίου (η παραγωγή βιοαερίου θα μπορούσε να υποστηριχθεί εάν περιλαμβάνει επίσης την αναβάθμιση του βιοαερίου σε βιώσιμο βιομεθάνιο)· και δ) η μεθανιοποίηση παράγεται μόνο από βιολογικά απόβλητα. </w:t>
      </w:r>
    </w:p>
    <w:p w14:paraId="2E0410B7" w14:textId="77C7C6FA" w:rsidR="00154AD2" w:rsidRDefault="007F6BF3">
      <w:pPr>
        <w:pStyle w:val="P68B1DB1-Bodytext2020"/>
        <w:spacing w:before="40" w:after="0" w:line="259" w:lineRule="auto"/>
        <w:ind w:firstLine="0"/>
        <w:jc w:val="both"/>
        <w:rPr>
          <w:rFonts w:eastAsiaTheme="minorEastAsia" w:cs="Times New Roman"/>
          <w:b/>
          <w:noProof/>
        </w:rPr>
      </w:pPr>
      <w:r>
        <w:rPr>
          <w:noProof/>
        </w:rPr>
        <w:t xml:space="preserve">Η παραγωγή ανανεώσιμου υδρογόνου άλλων αερίων ανανεώσιμης προέλευσης πρέπει να συμμορφώνεται με την οδηγία για τις ανανεώσιμες πηγές ενέργειας και τις κατ’ εξουσιοδότηση πράξεις της (2018/2001/ΕΕ). </w:t>
      </w:r>
    </w:p>
    <w:p w14:paraId="6D01FBCB" w14:textId="34B7C01C" w:rsidR="00154AD2" w:rsidRDefault="007F6BF3">
      <w:pPr>
        <w:pStyle w:val="P68B1DB1-Bodytext2020"/>
        <w:spacing w:before="40" w:after="0" w:line="259" w:lineRule="auto"/>
        <w:ind w:firstLine="0"/>
        <w:jc w:val="both"/>
        <w:rPr>
          <w:rFonts w:eastAsiaTheme="minorEastAsia" w:cs="Times New Roman"/>
          <w:b/>
          <w:noProof/>
        </w:rPr>
      </w:pPr>
      <w:r>
        <w:rPr>
          <w:noProof/>
        </w:rPr>
        <w:t xml:space="preserve">Οι επενδύσεις εστιάζουν σε πολύ συγκεκριμένο βαθμό και αποσκοπούν στην αύξηση της εγκατεστημένης δυναμικότητας για την παραγωγή ανανεώσιμου υδρογόνου και άλλων ανανεώσιμων αερίων, συμπεριλαμβανομένης της εγκατεστημένης δυναμικότητας σε ηλεκτρολυτικές κυψέλες για την παραγωγή ανανεώσιμου υδρογόνου. Το έργο υλοποιείται μέσω ανοικτών προσκλήσεων υποβολής προσφορών με στόχο τη στήριξη έργων με ανώτατο όριο τα 15 000 000 EUR ανά έργο. </w:t>
      </w:r>
    </w:p>
    <w:p w14:paraId="0025873F" w14:textId="77777777" w:rsidR="00154AD2" w:rsidRDefault="007F6BF3">
      <w:pPr>
        <w:pStyle w:val="P68B1DB1-Bodytext2020"/>
        <w:spacing w:before="40" w:after="0" w:line="259" w:lineRule="auto"/>
        <w:ind w:firstLine="0"/>
        <w:jc w:val="both"/>
        <w:rPr>
          <w:rFonts w:eastAsiaTheme="minorEastAsia" w:cs="Times New Roman"/>
          <w:b/>
          <w:noProof/>
        </w:rPr>
      </w:pPr>
      <w:r>
        <w:rPr>
          <w:noProof/>
        </w:rPr>
        <w:t>Το μέτρο αυτό στηρίζει ώριμες τεχνολογίες (TRL &gt; 8), ενθαρρύνοντας όχι μόνο την παραγωγή ανανεώσιμου υδρογόνου, αλλά και την παραγωγή άλλων ανανεώσιμων αερίων μέσω της ανάκτησης ενέργειας της οργανικής συνιστώσας των αστικών αποβλήτων, της ιλύος από εγκαταστάσεις επεξεργασίας λυμάτων, των γεωργικών και βιομηχανικών λυμάτων, μεταξύ άλλων (εξαιρουμένων των πλαστικών αποβλήτων). Η παραγωγή καυσίμων ανακυκλωμένου άνθρακα δεν προβλέπεται στο πλαίσιο αυτής της επένδυσης.</w:t>
      </w:r>
    </w:p>
    <w:p w14:paraId="46B6D36C" w14:textId="77777777" w:rsidR="00154AD2" w:rsidRDefault="007F6BF3">
      <w:pPr>
        <w:pStyle w:val="P68B1DB1-Bodytext2020"/>
        <w:spacing w:before="40" w:after="0" w:line="259" w:lineRule="auto"/>
        <w:ind w:firstLine="0"/>
        <w:jc w:val="both"/>
        <w:rPr>
          <w:rFonts w:eastAsiaTheme="minorEastAsia" w:cs="Times New Roman"/>
          <w:b/>
          <w:noProof/>
        </w:rPr>
      </w:pPr>
      <w:r>
        <w:rPr>
          <w:noProof/>
        </w:rPr>
        <w:t>Η υλοποίηση της επένδυσης θα ολοκληρωθεί έως τις 30 Ιουνίου 2026.</w:t>
      </w:r>
    </w:p>
    <w:p w14:paraId="1D5BE002" w14:textId="08876800" w:rsidR="00154AD2" w:rsidRDefault="007F6BF3">
      <w:pPr>
        <w:pStyle w:val="P68B1DB1-Normal5"/>
        <w:keepNext/>
        <w:spacing w:before="240" w:after="0" w:line="259" w:lineRule="auto"/>
        <w:ind w:left="851"/>
        <w:jc w:val="both"/>
        <w:outlineLvl w:val="2"/>
        <w:rPr>
          <w:rFonts w:eastAsiaTheme="minorEastAsia" w:cs="Times New Roman"/>
          <w:noProof/>
        </w:rPr>
      </w:pPr>
      <w:bookmarkStart w:id="45" w:name="bookmark45"/>
      <w:r>
        <w:rPr>
          <w:noProof/>
        </w:rPr>
        <w:t>Επενδύσεις RP-C21-i07: Τεχνικές μελέτες για το υπεράκτιο ενεργειακό δυναμικό</w:t>
      </w:r>
      <w:bookmarkEnd w:id="45"/>
    </w:p>
    <w:p w14:paraId="68AD5D6E" w14:textId="77777777" w:rsidR="00154AD2" w:rsidRDefault="007F6BF3">
      <w:pPr>
        <w:pStyle w:val="P68B1DB1-Bodytext2020"/>
        <w:spacing w:before="40" w:after="0" w:line="259" w:lineRule="auto"/>
        <w:ind w:firstLine="0"/>
        <w:jc w:val="both"/>
        <w:rPr>
          <w:rFonts w:eastAsiaTheme="minorEastAsia" w:cs="Times New Roman"/>
          <w:noProof/>
        </w:rPr>
      </w:pPr>
      <w:bookmarkStart w:id="46" w:name="_Hlk137476371"/>
      <w:r>
        <w:rPr>
          <w:noProof/>
        </w:rPr>
        <w:t xml:space="preserve">Στόχος της επένδυσης αυτής είναι να δοθεί στο πορτογαλικό κράτος η δυνατότητα να διεξαγάγει διαγωνισμούς για την εγκατάσταση πλωτών υπεράκτιων εγκαταστάσεων αιολικής ενέργειας. </w:t>
      </w:r>
    </w:p>
    <w:p w14:paraId="023D26BD" w14:textId="77777777" w:rsidR="00154AD2" w:rsidRDefault="007F6BF3">
      <w:pPr>
        <w:pStyle w:val="P68B1DB1-Bodytext2020"/>
        <w:spacing w:before="40" w:after="0" w:line="259" w:lineRule="auto"/>
        <w:ind w:firstLine="0"/>
        <w:jc w:val="both"/>
        <w:rPr>
          <w:rFonts w:eastAsiaTheme="minorEastAsia" w:cs="Times New Roman"/>
          <w:noProof/>
        </w:rPr>
      </w:pPr>
      <w:r>
        <w:rPr>
          <w:noProof/>
        </w:rPr>
        <w:t xml:space="preserve">Η επένδυση συνίσταται στην ανάπτυξη γεωφυσικών, γεωτεχνικών, αιολικών, κυματικών και τρεχουσών μελετών υψηλής ευκρίνειας σε έκταση τουλάχιστον 2 000 km² στον Ατλαντικό Ωκεανό. Οι μελέτες, μετά την ολοκλήρωσή τους, χρησιμεύουν ως βάση για την έναρξη επακόλουθων δημοπρασιών για τις υπεράκτιες περιοχές που περιλαμβάνονται στο Εθνικό Σχέδιο Κατάστασης Θαλάσσιου Χωροταξικού Σχεδιασμού (PSOEM). </w:t>
      </w:r>
    </w:p>
    <w:p w14:paraId="609A2BBF" w14:textId="28DEB11B" w:rsidR="00154AD2" w:rsidRDefault="007F6BF3">
      <w:pPr>
        <w:pStyle w:val="P68B1DB1-Bodytext2020"/>
        <w:spacing w:before="40" w:after="0" w:line="259" w:lineRule="auto"/>
        <w:ind w:firstLine="0"/>
        <w:jc w:val="both"/>
        <w:rPr>
          <w:rFonts w:eastAsiaTheme="minorEastAsia" w:cs="Times New Roman"/>
          <w:noProof/>
        </w:rPr>
      </w:pPr>
      <w:r>
        <w:rPr>
          <w:noProof/>
        </w:rPr>
        <w:t xml:space="preserve">Η υλοποίηση της επένδυσης θα ολοκληρωθεί έως τις 30 Ιουνίου 2026. </w:t>
      </w:r>
    </w:p>
    <w:bookmarkEnd w:id="46"/>
    <w:p w14:paraId="42F0CC47" w14:textId="36768B60"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Επενδύσεις RP-C21-i08: Ευελιξία δικτύου και αποθήκευση</w:t>
      </w:r>
    </w:p>
    <w:p w14:paraId="2AD9942A" w14:textId="77777777" w:rsidR="00154AD2" w:rsidRDefault="007F6BF3">
      <w:pPr>
        <w:pStyle w:val="P68B1DB1-Bodytext2020"/>
        <w:spacing w:before="40" w:after="0" w:line="259" w:lineRule="auto"/>
        <w:ind w:firstLine="0"/>
        <w:jc w:val="both"/>
        <w:rPr>
          <w:rFonts w:eastAsiaTheme="minorEastAsia" w:cs="Times New Roman"/>
          <w:noProof/>
        </w:rPr>
      </w:pPr>
      <w:r>
        <w:rPr>
          <w:noProof/>
        </w:rPr>
        <w:t xml:space="preserve">Στόχος αυτής της επένδυσης είναι να αυξηθεί η ευελιξία στο δημόσιο δίκτυο ηλεκτρικής ενέργειας, επιτρέποντας τη βελτιστοποίηση και την ευέλικτη διαχείριση του συστήματος ηλεκτρικής ενέργειας, λαμβανομένης επίσης υπόψη της αναμενόμενης αύξησης της παραγωγής και κατανάλωσης ηλεκτρικής ενέργειας από ανανεώσιμες πηγές. </w:t>
      </w:r>
    </w:p>
    <w:p w14:paraId="7815D6F6" w14:textId="0347E7C2" w:rsidR="00154AD2" w:rsidRDefault="007F6BF3">
      <w:pPr>
        <w:pStyle w:val="P68B1DB1-Bodytext2020"/>
        <w:spacing w:before="40" w:after="0" w:line="259" w:lineRule="auto"/>
        <w:ind w:firstLine="0"/>
        <w:jc w:val="both"/>
        <w:rPr>
          <w:rFonts w:eastAsiaTheme="minorEastAsia" w:cs="Times New Roman"/>
          <w:noProof/>
        </w:rPr>
      </w:pPr>
      <w:r>
        <w:rPr>
          <w:noProof/>
        </w:rPr>
        <w:t>Η επένδυση περιλαμβάνει στήριξη για την εγκατάσταση δυναμικότητας αποθήκευσης ενέργειας τουλάχιστον 500 MW στο δίκτυο ηλεκτρικής ενέργειας (τόσο σε επίπεδο μεταφοράς όσο και σε επίπεδο διανομής). Η δυναμικότητα αποθήκευσης κατανέμεται με βάση τον προπροσδιορισμό των περιοχών που έχουν μεγαλύτερη ανάγκη, όπως εκείνες με τους περισσότερους περιορισμούς δικτύου ή με τη μεγαλύτερη διείσδυση ενέργειας από ανανεώσιμες πηγές. Τα έργα λαμβάνουν στήριξη έως και για το 20 % των επιλέξιμων δαπανών.</w:t>
      </w:r>
    </w:p>
    <w:p w14:paraId="78E4950C" w14:textId="77777777" w:rsidR="00154AD2" w:rsidRDefault="007F6BF3">
      <w:pPr>
        <w:pStyle w:val="P68B1DB1-Bodytext2020"/>
        <w:spacing w:before="40" w:after="0" w:line="259" w:lineRule="auto"/>
        <w:ind w:firstLine="0"/>
        <w:jc w:val="both"/>
        <w:rPr>
          <w:rFonts w:eastAsiaTheme="minorEastAsia" w:cs="Times New Roman"/>
          <w:noProof/>
        </w:rPr>
      </w:pPr>
      <w:r>
        <w:rPr>
          <w:noProof/>
        </w:rPr>
        <w:t>Η υλοποίηση της επένδυσης αυτής ολοκληρώνεται έως τις 31 Δεκεμβρίου 2025.</w:t>
      </w:r>
    </w:p>
    <w:p w14:paraId="60EBD781" w14:textId="7CCDA1C9" w:rsidR="00154AD2" w:rsidRDefault="007F6BF3">
      <w:pPr>
        <w:pStyle w:val="P68B1DB1-Normal5"/>
        <w:keepNext/>
        <w:spacing w:before="240" w:after="0" w:line="259" w:lineRule="auto"/>
        <w:ind w:left="851"/>
        <w:jc w:val="both"/>
        <w:outlineLvl w:val="2"/>
        <w:rPr>
          <w:rFonts w:eastAsiaTheme="minorEastAsia" w:cs="Times New Roman"/>
          <w:noProof/>
        </w:rPr>
      </w:pPr>
      <w:bookmarkStart w:id="47" w:name="_Toc137472488"/>
      <w:r>
        <w:rPr>
          <w:noProof/>
        </w:rPr>
        <w:t xml:space="preserve">Επενδύσεις RP-C21-i09: Υπηρεσία μίας στάσης για την αδειοδότηση και την παρακολούθηση έργων ανανεώσιμης </w:t>
      </w:r>
      <w:bookmarkEnd w:id="47"/>
      <w:r>
        <w:rPr>
          <w:noProof/>
        </w:rPr>
        <w:t>ενέργειας</w:t>
      </w:r>
    </w:p>
    <w:p w14:paraId="52B75311" w14:textId="7CBD5A8C" w:rsidR="00154AD2" w:rsidRDefault="007F6BF3">
      <w:pPr>
        <w:pStyle w:val="P68B1DB1-Normal4"/>
        <w:spacing w:beforeLines="40" w:before="96" w:after="0" w:line="22" w:lineRule="atLeast"/>
        <w:jc w:val="both"/>
        <w:rPr>
          <w:rFonts w:cs="Times New Roman"/>
          <w:noProof/>
        </w:rPr>
      </w:pPr>
      <w:r>
        <w:rPr>
          <w:noProof/>
        </w:rPr>
        <w:t xml:space="preserve">Στόχος της επένδυσης αυτής είναι να διευκολύνει την ανάπτυξη έργων ανανεώσιμων πηγών ενέργειας με την ανάπτυξη μιας ψηφιακής πλατφόρμας μίας στάσης για την αδειοδότηση και την παρακολούθηση έργων ανανεώσιμης ενέργειας. </w:t>
      </w:r>
    </w:p>
    <w:p w14:paraId="5DFA9FE5" w14:textId="6B59B56A" w:rsidR="00154AD2" w:rsidRDefault="007F6BF3">
      <w:pPr>
        <w:pStyle w:val="P68B1DB1-Normal4"/>
        <w:spacing w:beforeLines="40" w:before="96" w:after="0" w:line="22" w:lineRule="atLeast"/>
        <w:jc w:val="both"/>
        <w:rPr>
          <w:rFonts w:cs="Times New Roman"/>
          <w:noProof/>
        </w:rPr>
      </w:pPr>
      <w:r>
        <w:rPr>
          <w:noProof/>
        </w:rPr>
        <w:t>Η επένδυση συνίσταται στην ανάπτυξη και τη δρομολόγηση της ψηφιακής πλατφόρμας μίας στάσης. Η πλατφόρμα περιλαμβάνει τις ακόλουθες λειτουργίες:</w:t>
      </w:r>
    </w:p>
    <w:p w14:paraId="72D50388" w14:textId="364D295F" w:rsidR="00154AD2" w:rsidRDefault="007F6BF3">
      <w:pPr>
        <w:pStyle w:val="ListParagraph"/>
        <w:keepNext w:val="0"/>
        <w:numPr>
          <w:ilvl w:val="0"/>
          <w:numId w:val="91"/>
        </w:numPr>
        <w:spacing w:beforeLines="40" w:before="96" w:after="0" w:line="22" w:lineRule="atLeast"/>
        <w:rPr>
          <w:rFonts w:eastAsia="MS Mincho"/>
          <w:noProof/>
        </w:rPr>
      </w:pPr>
      <w:r>
        <w:rPr>
          <w:noProof/>
        </w:rPr>
        <w:t>Ενότητα αδειοδότησης για έργα αυτοκατανάλωσης και κοινότητες ανανεώσιμων πηγών ενέργειας, καθώς και για αποθήκευση σε συστήματα «πίσω από τον μετρητή»·</w:t>
      </w:r>
    </w:p>
    <w:p w14:paraId="70F57575" w14:textId="53348937" w:rsidR="00154AD2" w:rsidRDefault="007F6BF3">
      <w:pPr>
        <w:pStyle w:val="ListParagraph"/>
        <w:keepNext w:val="0"/>
        <w:numPr>
          <w:ilvl w:val="0"/>
          <w:numId w:val="91"/>
        </w:numPr>
        <w:spacing w:beforeLines="40" w:before="96" w:after="0" w:line="22" w:lineRule="atLeast"/>
        <w:rPr>
          <w:rFonts w:eastAsia="MS Mincho"/>
          <w:noProof/>
        </w:rPr>
      </w:pPr>
      <w:r>
        <w:rPr>
          <w:noProof/>
        </w:rPr>
        <w:t>Ενότητα αδειοδότησης για κεντρικά έργα ανανεώσιμης ενέργειας μόνο δικτύου και για αποθήκευση σε συστήματα «πίσω από τον μετρητή»·</w:t>
      </w:r>
    </w:p>
    <w:p w14:paraId="13A80FDA" w14:textId="77777777" w:rsidR="00154AD2" w:rsidRDefault="007F6BF3">
      <w:pPr>
        <w:pStyle w:val="ListParagraph"/>
        <w:keepNext w:val="0"/>
        <w:numPr>
          <w:ilvl w:val="0"/>
          <w:numId w:val="91"/>
        </w:numPr>
        <w:spacing w:beforeLines="40" w:before="96" w:after="0" w:line="22" w:lineRule="atLeast"/>
        <w:rPr>
          <w:rFonts w:eastAsia="MS Mincho"/>
          <w:noProof/>
        </w:rPr>
      </w:pPr>
      <w:r>
        <w:rPr>
          <w:noProof/>
        </w:rPr>
        <w:t xml:space="preserve">Ενότητα αδειοδότησης για έργα που αφορούν αποκλειστικά αποθήκευση· </w:t>
      </w:r>
    </w:p>
    <w:p w14:paraId="3174EBE6" w14:textId="31F04ED3" w:rsidR="00154AD2" w:rsidRDefault="007F6BF3">
      <w:pPr>
        <w:pStyle w:val="ListParagraph"/>
        <w:keepNext w:val="0"/>
        <w:numPr>
          <w:ilvl w:val="0"/>
          <w:numId w:val="91"/>
        </w:numPr>
        <w:spacing w:beforeLines="40" w:before="96" w:after="0" w:line="22" w:lineRule="atLeast"/>
        <w:rPr>
          <w:rFonts w:eastAsia="MS Mincho"/>
          <w:noProof/>
        </w:rPr>
      </w:pPr>
      <w:r>
        <w:rPr>
          <w:noProof/>
        </w:rPr>
        <w:t>Ενότητα παρατηρησιμότητας και στατιστικής για έργα ανανεώσιμων πηγών ενέργειας.</w:t>
      </w:r>
    </w:p>
    <w:p w14:paraId="6D8A97E4" w14:textId="33FAB76E" w:rsidR="00154AD2" w:rsidRDefault="007F6BF3">
      <w:pPr>
        <w:pStyle w:val="P68B1DB1-Normal4"/>
        <w:spacing w:beforeLines="40" w:before="96" w:after="0" w:line="22" w:lineRule="atLeast"/>
        <w:jc w:val="both"/>
        <w:rPr>
          <w:rFonts w:eastAsia="MS Mincho" w:cs="Times New Roman"/>
          <w:noProof/>
        </w:rPr>
      </w:pPr>
      <w:r>
        <w:rPr>
          <w:noProof/>
        </w:rPr>
        <w:t xml:space="preserve">Η υπηρεσία μίας στάσης αναπτύσσεται σε δύο φάσεις: </w:t>
      </w:r>
    </w:p>
    <w:p w14:paraId="78F1EEA6" w14:textId="77777777" w:rsidR="00154AD2" w:rsidRDefault="007F6BF3">
      <w:pPr>
        <w:pStyle w:val="ListParagraph"/>
        <w:keepNext w:val="0"/>
        <w:numPr>
          <w:ilvl w:val="0"/>
          <w:numId w:val="92"/>
        </w:numPr>
        <w:spacing w:beforeLines="40" w:before="96" w:after="0" w:line="22" w:lineRule="atLeast"/>
        <w:rPr>
          <w:rFonts w:eastAsia="MS Mincho"/>
          <w:noProof/>
        </w:rPr>
      </w:pPr>
      <w:r>
        <w:rPr>
          <w:noProof/>
        </w:rPr>
        <w:t xml:space="preserve">Κατά την πρώτη φάση, η ψηφιακή πλατφόρμα διαθέτει τις τρεις ενότητες αδειοδότησης σε λειτουργία, επιτρέποντας στους χρήστες να παρακολουθούν τα διάφορα στάδια της διαδικασίας αδειοδότησης (συμπεριλαμβανομένων των φάσεων ανάπτυξης, θέσης σε λειτουργία, δοκιμής και έναρξης). Η πλατφόρμα παρουσιάζει τις απαιτήσεις και τις προθεσμίες που σχετίζονται με την αδειοδότηση έργων που σχετίζονται με τις ανανεώσιμες πηγές ενέργειας. </w:t>
      </w:r>
    </w:p>
    <w:p w14:paraId="745D5B00" w14:textId="77777777" w:rsidR="00154AD2" w:rsidRDefault="007F6BF3">
      <w:pPr>
        <w:pStyle w:val="ListParagraph"/>
        <w:keepNext w:val="0"/>
        <w:numPr>
          <w:ilvl w:val="0"/>
          <w:numId w:val="92"/>
        </w:numPr>
        <w:spacing w:beforeLines="40" w:before="96" w:after="0" w:line="22" w:lineRule="atLeast"/>
        <w:rPr>
          <w:noProof/>
        </w:rPr>
      </w:pPr>
      <w:r>
        <w:rPr>
          <w:noProof/>
        </w:rPr>
        <w:t xml:space="preserve">Κατά τη δεύτερη φάση, η ψηφιακή πλατφόρμα διαθέτει επίσης λειτουργικές ενότητες παρατηρησιμότητας και στατιστικής, οι οποίες επιτρέπουν στους χρήστες να εισάγουν δεδομένα και να ανταλλάσσουν έγγραφα σχετικά με τις διαδικασίες αδειοδότησης, καθώς και με την υλοποίηση του αδειοδοτημένου έργου. Η πλατφόρμα περιλαμβάνει χαρακτηριστικά εξ αποστάσεως παρατήρησης (δορυφορική απεικόνιση) για τη βελτίωση της παρακολούθησης της υλοποίησης των έργων από τις δημόσιες αρχές. </w:t>
      </w:r>
    </w:p>
    <w:p w14:paraId="3C790337" w14:textId="0383A6A5" w:rsidR="00154AD2" w:rsidRDefault="007F6BF3">
      <w:pPr>
        <w:pStyle w:val="P68B1DB1-Normal4"/>
        <w:spacing w:beforeLines="40" w:before="96" w:after="0" w:line="22" w:lineRule="atLeast"/>
        <w:jc w:val="both"/>
        <w:rPr>
          <w:rFonts w:eastAsiaTheme="minorEastAsia" w:cs="Times New Roman"/>
          <w:noProof/>
        </w:rPr>
      </w:pPr>
      <w:r>
        <w:rPr>
          <w:noProof/>
        </w:rPr>
        <w:t xml:space="preserve">Επιπλέον, η επένδυση περιλαμβάνει την αποϋλοποίηση (ψηφιοποίηση, αρχειοθέτηση και διάθεση) υφιστάμενων αδειοδοτικών εγγράφων, όπως αυτά καθορίζονται από τη Γενική Διεύθυνση Ενέργειας και Γεωλογίας. </w:t>
      </w:r>
    </w:p>
    <w:p w14:paraId="097D2455" w14:textId="77777777" w:rsidR="00154AD2" w:rsidRDefault="007F6BF3">
      <w:pPr>
        <w:pStyle w:val="P68B1DB1-Normal4"/>
        <w:spacing w:beforeLines="40" w:before="96" w:after="0" w:line="22" w:lineRule="atLeast"/>
        <w:jc w:val="both"/>
        <w:rPr>
          <w:rFonts w:eastAsia="MS Mincho" w:cs="Times New Roman"/>
          <w:noProof/>
        </w:rPr>
      </w:pPr>
      <w:r>
        <w:rPr>
          <w:noProof/>
        </w:rPr>
        <w:t>Η υπηρεσία μίας στάσης συμμορφώνεται με τον «Ευρωπαϊκό κώδικα δεοντολογίας για την ενεργειακή απόδοση των κέντρων δεδομένων».</w:t>
      </w:r>
    </w:p>
    <w:p w14:paraId="20E79212" w14:textId="77777777" w:rsidR="00154AD2" w:rsidRDefault="007F6BF3">
      <w:pPr>
        <w:pStyle w:val="P68B1DB1-Normal4"/>
        <w:spacing w:beforeLines="40" w:before="96" w:after="0" w:line="22" w:lineRule="atLeast"/>
        <w:jc w:val="both"/>
        <w:rPr>
          <w:rFonts w:cs="Times New Roman"/>
          <w:noProof/>
        </w:rPr>
      </w:pPr>
      <w:r>
        <w:rPr>
          <w:noProof/>
        </w:rPr>
        <w:t xml:space="preserve">Η υλοποίηση της επένδυσης αυτής ολοκληρώνεται έως τις 30 Ιουνίου 2025.    </w:t>
      </w:r>
    </w:p>
    <w:p w14:paraId="359C93E7" w14:textId="1F1F1DB0"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Επένδυση RP-C21-i10-RAA: Σύστημα κινήτρων για την αγορά και εγκατάσταση συστημάτων αποθήκευσης ενέργειας από ανανεώσιμες πηγές στις Αζόρες</w:t>
      </w:r>
    </w:p>
    <w:p w14:paraId="52E2CCD9" w14:textId="77777777" w:rsidR="00154AD2" w:rsidRDefault="007F6BF3">
      <w:pPr>
        <w:pStyle w:val="P68B1DB1-Normal4"/>
        <w:spacing w:before="40" w:after="0" w:line="259" w:lineRule="auto"/>
        <w:jc w:val="both"/>
        <w:rPr>
          <w:rFonts w:cs="Times New Roman"/>
          <w:noProof/>
        </w:rPr>
      </w:pPr>
      <w:r>
        <w:rPr>
          <w:noProof/>
        </w:rPr>
        <w:t xml:space="preserve">Στόχος της επένδυσης αυτής είναι η προώθηση της ενεργειακής μετάβασης στις Αζόρες, συμβάλλοντας στην αύξηση της ενεργειακής ανεξαρτησίας του αρχιπελάγους. </w:t>
      </w:r>
    </w:p>
    <w:p w14:paraId="61D9890E" w14:textId="77777777" w:rsidR="00154AD2" w:rsidRDefault="007F6BF3">
      <w:pPr>
        <w:pStyle w:val="P68B1DB1-Normal4"/>
        <w:spacing w:before="40" w:after="0" w:line="259" w:lineRule="auto"/>
        <w:jc w:val="both"/>
        <w:rPr>
          <w:rFonts w:cs="Times New Roman"/>
          <w:noProof/>
        </w:rPr>
      </w:pPr>
      <w:r>
        <w:rPr>
          <w:noProof/>
        </w:rPr>
        <w:t xml:space="preserve">Η επένδυση συνίσταται σε ένα σύστημα παροχής κινήτρων για την αγορά και εγκατάσταση συστημάτων αποθήκευσης με στόχο την αποθήκευση ηλεκτρικής ενέργειας από ανανεώσιμες πηγές για αυτοκατανάλωση από νοικοκυριά, επιχειρήσεις, συνεταιρισμούς, μη κερδοσκοπικούς οργανισμούς και φιλανθρωπικά ιδρύματα. Η επένδυση συνάδει με το περιφερειακό νομοθετικό διάταγμα 12/2023/A, με το οποίο θεσπίστηκε κίνητρο έως και 85 % για την αγορά και εγκατάσταση συστημάτων αποθήκευσης ενέργειας, όταν αυτά προορίζονται να συμπληρώσουν τα φωτοβολταϊκά συστήματα που αγοράζονται στο πλαίσιο του προγράμματος SOLENERGE, ενός προγράμματος παροχής κινήτρων που χρηματοδοτείται από το ΣΑΑ (C14-i03-RAA). </w:t>
      </w:r>
    </w:p>
    <w:p w14:paraId="716BD153" w14:textId="77777777" w:rsidR="00154AD2" w:rsidRDefault="007F6BF3">
      <w:pPr>
        <w:pStyle w:val="P68B1DB1-Normal4"/>
        <w:spacing w:before="40" w:after="0" w:line="259" w:lineRule="auto"/>
        <w:jc w:val="both"/>
        <w:rPr>
          <w:rFonts w:cs="Times New Roman"/>
          <w:noProof/>
        </w:rPr>
      </w:pPr>
      <w:r>
        <w:rPr>
          <w:noProof/>
        </w:rPr>
        <w:t xml:space="preserve">Η υλοποίηση της επένδυσης αυτής ολοκληρώνεται έως τις 31 Δεκεμβρίου 2025.  </w:t>
      </w:r>
    </w:p>
    <w:p w14:paraId="47B7A438" w14:textId="07C2A7E2"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Επένδυση RP-C21-i11-RAM: Σύστημα κινήτρων για την παραγωγή και αποθήκευση ενέργειας από ανανεώσιμες πηγές στη Μαδέρα και στο Porto Santo</w:t>
      </w:r>
    </w:p>
    <w:p w14:paraId="6B23E104" w14:textId="3138E54B" w:rsidR="00154AD2" w:rsidRDefault="007F6BF3">
      <w:pPr>
        <w:pStyle w:val="P68B1DB1-Normal4"/>
        <w:spacing w:before="40" w:after="0" w:line="259" w:lineRule="auto"/>
        <w:jc w:val="both"/>
        <w:rPr>
          <w:rFonts w:cs="Times New Roman"/>
          <w:noProof/>
        </w:rPr>
      </w:pPr>
      <w:r>
        <w:rPr>
          <w:noProof/>
        </w:rPr>
        <w:t xml:space="preserve">Στόχος της επένδυσης αυτής είναι η προώθηση της ενεργειακής μετάβασης στην αυτόνομη περιφέρεια της Μαδέρας, συμπεριλαμβανομένης της νήσου Porto Santo, συμβάλλοντας στην αύξηση της ενεργειακής ανεξαρτησίας της. </w:t>
      </w:r>
    </w:p>
    <w:p w14:paraId="5A7C4D23" w14:textId="2D9E8807" w:rsidR="00154AD2" w:rsidRDefault="007F6BF3">
      <w:pPr>
        <w:pStyle w:val="P68B1DB1-Normal4"/>
        <w:spacing w:before="40" w:after="0" w:line="259" w:lineRule="auto"/>
        <w:jc w:val="both"/>
        <w:rPr>
          <w:rFonts w:cs="Times New Roman"/>
          <w:noProof/>
        </w:rPr>
      </w:pPr>
      <w:r>
        <w:rPr>
          <w:noProof/>
        </w:rPr>
        <w:t>Η επένδυση συνίσταται σε ένα σύστημα κινήτρων για την αγορά και εγκατάσταση συστημάτων παραγωγής και αποθήκευσης ηλεκτρικής ενέργειας από ανανεώσιμες πηγές για αυτοκατανάλωση, καθώς και για την αγορά και εγκατάσταση εξοπλισμού για την παραγωγή ζεστού νερού και θερμότητας με τη χρήση ανανεώσιμων πηγών ενέργειας, από νοικοκυριά, πολύ μικρές, μικρές και μεσαίες επιχειρήσεις και μη κερδοσκοπικά ιδρύματα.</w:t>
      </w:r>
    </w:p>
    <w:p w14:paraId="6DA82D20" w14:textId="77777777" w:rsidR="00154AD2" w:rsidRDefault="007F6BF3">
      <w:pPr>
        <w:pStyle w:val="P68B1DB1-Normal4"/>
        <w:spacing w:before="40" w:after="0" w:line="259" w:lineRule="auto"/>
        <w:jc w:val="both"/>
        <w:rPr>
          <w:rFonts w:cs="Times New Roman"/>
          <w:noProof/>
        </w:rPr>
      </w:pPr>
      <w:r>
        <w:rPr>
          <w:noProof/>
        </w:rPr>
        <w:t>Όλα τα φυσικά και νομικά πρόσωπα που κατέχουν κτίριο εντός της Αυτόνομης Περιφέρειας της Μαδέρας, εκτός από την Αυτόνομη Περιφερειακή Διοίκηση, την Τοπική Αυτοδιοίκηση και την άμεση διοίκηση του Κράτους, είναι επιλέξιμα για τη χορήγηση μη επιστρεπτέων επιχορηγήσεων.</w:t>
      </w:r>
    </w:p>
    <w:p w14:paraId="67D816AA" w14:textId="77777777" w:rsidR="00154AD2" w:rsidRDefault="007F6BF3">
      <w:pPr>
        <w:pStyle w:val="P68B1DB1-Normal4"/>
        <w:spacing w:before="40" w:after="0" w:line="259" w:lineRule="auto"/>
        <w:jc w:val="both"/>
        <w:rPr>
          <w:rFonts w:cs="Times New Roman"/>
          <w:noProof/>
        </w:rPr>
      </w:pPr>
      <w:r>
        <w:rPr>
          <w:noProof/>
        </w:rPr>
        <w:t xml:space="preserve">Η υλοποίηση της επένδυσης αυτής ολοκληρώνεται έως τις 31 Μαρτίου 2026.  </w:t>
      </w:r>
    </w:p>
    <w:p w14:paraId="28B947D6" w14:textId="51AF2C64" w:rsidR="00154AD2" w:rsidRDefault="007F6BF3">
      <w:pPr>
        <w:pStyle w:val="P68B1DB1-Normal5"/>
        <w:keepNext/>
        <w:spacing w:before="240" w:after="0" w:line="259" w:lineRule="auto"/>
        <w:ind w:left="851"/>
        <w:jc w:val="both"/>
        <w:outlineLvl w:val="2"/>
        <w:rPr>
          <w:rFonts w:eastAsiaTheme="minorEastAsia" w:cs="Times New Roman"/>
          <w:noProof/>
        </w:rPr>
      </w:pPr>
      <w:bookmarkStart w:id="48" w:name="_Toc137472490"/>
      <w:r>
        <w:rPr>
          <w:noProof/>
        </w:rPr>
        <w:t>Επενδύσεις RP-C21-i12: Κλιμακούμενο μέτρο: Απαλλαγή των δημόσιων μεταφορών από τις ανθρακούχες εκπομπές</w:t>
      </w:r>
      <w:bookmarkEnd w:id="48"/>
    </w:p>
    <w:p w14:paraId="6705B588" w14:textId="77777777" w:rsidR="00154AD2" w:rsidRDefault="007F6BF3">
      <w:pPr>
        <w:pStyle w:val="P68B1DB1-Normal4"/>
        <w:spacing w:before="40" w:after="0" w:line="259" w:lineRule="auto"/>
        <w:jc w:val="both"/>
        <w:rPr>
          <w:rFonts w:cs="Times New Roman"/>
          <w:noProof/>
        </w:rPr>
      </w:pPr>
      <w:r>
        <w:rPr>
          <w:noProof/>
        </w:rPr>
        <w:t>Στόχος της επένδυσης είναι η κλιμάκωση της TC-C15-I05: Απαλλαγή των δημόσιων μεταφορών από τις ανθρακούχες εκπομπές στο πλαίσιο της συνιστώσας 15.</w:t>
      </w:r>
    </w:p>
    <w:p w14:paraId="6112059C" w14:textId="168CF149" w:rsidR="00154AD2" w:rsidRDefault="007F6BF3">
      <w:pPr>
        <w:pStyle w:val="P68B1DB1-Normal4"/>
        <w:spacing w:before="40" w:after="0" w:line="259" w:lineRule="auto"/>
        <w:jc w:val="both"/>
        <w:rPr>
          <w:rFonts w:cs="Times New Roman"/>
          <w:noProof/>
        </w:rPr>
      </w:pPr>
      <w:r>
        <w:rPr>
          <w:noProof/>
        </w:rPr>
        <w:t>Το κλιμακούμενο μέρος του μέτρου αυξάνει τον αριθμό των νέων λεωφορείων μηδενικών εκπομπών που χρησιμοποιούνται για τις δημόσιες μεταφορές. Το πεδίο εφαρμογής της επένδυσης επεκτείνεται από τις μητροπολιτικές περιοχές της Λισαβόνας και του Πόρτο σε ολόκληρη την ηπειρωτική πορτογαλική επικράτεια και περιλαμβάνει επίσης την εγκατάσταση σταθμών επαναφόρτισης ή ανεφοδιασμού.</w:t>
      </w:r>
    </w:p>
    <w:p w14:paraId="6ED94F94" w14:textId="381133EB" w:rsidR="00154AD2" w:rsidRDefault="007F6BF3">
      <w:pPr>
        <w:pStyle w:val="P68B1DB1-Normal5"/>
        <w:keepNext/>
        <w:spacing w:before="240" w:after="0" w:line="259" w:lineRule="auto"/>
        <w:ind w:left="851"/>
        <w:jc w:val="both"/>
        <w:outlineLvl w:val="2"/>
        <w:rPr>
          <w:rFonts w:eastAsiaTheme="minorEastAsia" w:cs="Times New Roman"/>
          <w:noProof/>
        </w:rPr>
      </w:pPr>
      <w:bookmarkStart w:id="49" w:name="_Toc137472491"/>
      <w:r>
        <w:rPr>
          <w:noProof/>
        </w:rPr>
        <w:t>Επένδυση RP-C21-i13-RAM: Απαλλαγή των μεταφορών από τις ανθρακούχες εκπομπές</w:t>
      </w:r>
      <w:bookmarkEnd w:id="49"/>
    </w:p>
    <w:p w14:paraId="21CED56E" w14:textId="77777777" w:rsidR="00154AD2" w:rsidRDefault="007F6BF3">
      <w:pPr>
        <w:pStyle w:val="P68B1DB1-Normal4"/>
        <w:spacing w:before="40" w:after="0" w:line="259" w:lineRule="auto"/>
        <w:jc w:val="both"/>
        <w:rPr>
          <w:rFonts w:cs="Times New Roman"/>
          <w:noProof/>
        </w:rPr>
      </w:pPr>
      <w:r>
        <w:rPr>
          <w:noProof/>
        </w:rPr>
        <w:t xml:space="preserve">Στόχος του μέτρου αυτού είναι η προώθηση της απαλλαγής των μεταφορών από τις ανθρακούχες εκπομπές στην αυτόνομη περιφέρεια της Μαδέρας. </w:t>
      </w:r>
    </w:p>
    <w:p w14:paraId="16DEAFC2" w14:textId="77777777" w:rsidR="00154AD2" w:rsidRDefault="007F6BF3">
      <w:pPr>
        <w:pStyle w:val="P68B1DB1-Normal4"/>
        <w:spacing w:before="40" w:after="0" w:line="259" w:lineRule="auto"/>
        <w:jc w:val="both"/>
        <w:rPr>
          <w:rFonts w:cs="Times New Roman"/>
          <w:noProof/>
        </w:rPr>
      </w:pPr>
      <w:r>
        <w:rPr>
          <w:noProof/>
        </w:rPr>
        <w:t>Η επένδυση περιλαμβάνει:</w:t>
      </w:r>
    </w:p>
    <w:p w14:paraId="7809744C" w14:textId="065D66D6" w:rsidR="00154AD2" w:rsidRDefault="007F6BF3">
      <w:pPr>
        <w:pStyle w:val="P68B1DB1-Normal4"/>
        <w:spacing w:before="40" w:after="0" w:line="259" w:lineRule="auto"/>
        <w:jc w:val="both"/>
        <w:rPr>
          <w:rFonts w:cs="Times New Roman"/>
          <w:noProof/>
        </w:rPr>
      </w:pPr>
      <w:r>
        <w:rPr>
          <w:noProof/>
        </w:rPr>
        <w:t>I) Αγορά 26 λεωφορείων μηδενικών εκπομπών (ηλεκτρικών ή υδρογονοκίνητων) για δημόσιες επιβατικές μεταφορές και τουριστικές υπηρεσίες.</w:t>
      </w:r>
    </w:p>
    <w:p w14:paraId="1DBF8B1C" w14:textId="53E2B8FF" w:rsidR="00154AD2" w:rsidRDefault="007F6BF3">
      <w:pPr>
        <w:pStyle w:val="P68B1DB1-Normal4"/>
        <w:spacing w:before="40" w:after="0" w:line="259" w:lineRule="auto"/>
        <w:jc w:val="both"/>
        <w:rPr>
          <w:rFonts w:cs="Times New Roman"/>
          <w:noProof/>
        </w:rPr>
      </w:pPr>
      <w:r>
        <w:rPr>
          <w:noProof/>
        </w:rPr>
        <w:t xml:space="preserve">II) Την εγκατάσταση σημείων επαναφόρτισης που απαιτούνται για τη λειτουργία των λεωφορείων. </w:t>
      </w:r>
    </w:p>
    <w:p w14:paraId="5848829E" w14:textId="7927C66D" w:rsidR="00154AD2" w:rsidRDefault="007F6BF3">
      <w:pPr>
        <w:pStyle w:val="P68B1DB1-Normal4"/>
        <w:spacing w:before="40" w:after="0" w:line="259" w:lineRule="auto"/>
        <w:jc w:val="both"/>
        <w:rPr>
          <w:rFonts w:cs="Times New Roman"/>
          <w:noProof/>
        </w:rPr>
      </w:pPr>
      <w:r>
        <w:rPr>
          <w:noProof/>
        </w:rPr>
        <w:t xml:space="preserve">III) Πρόγραμμα διάλυσης οχημάτων, υπό την προϋπόθεση ότι αντικαθίστανται από την αγορά ηλεκτρικών οχημάτων, με μέγιστη χρηματοδοτική συνεισφορά 6 000 EUR ανά διαλυμένο όχημα και κίνητρα ανάλογα με τις διάφορες κοινωνικοοικονομικές κατηγορίες. </w:t>
      </w:r>
    </w:p>
    <w:p w14:paraId="70C7D23E" w14:textId="77777777" w:rsidR="00154AD2" w:rsidRDefault="007F6BF3">
      <w:pPr>
        <w:pStyle w:val="P68B1DB1-Normal4"/>
        <w:spacing w:before="40" w:after="0" w:line="259" w:lineRule="auto"/>
        <w:jc w:val="both"/>
        <w:rPr>
          <w:rFonts w:cs="Times New Roman"/>
          <w:noProof/>
        </w:rPr>
      </w:pPr>
      <w:r>
        <w:rPr>
          <w:noProof/>
        </w:rPr>
        <w:t xml:space="preserve">Η υλοποίηση της επένδυσης αυτής ολοκληρώνεται έως τις 31 Μαρτίου 2026.  </w:t>
      </w:r>
    </w:p>
    <w:p w14:paraId="1AA9D1E2" w14:textId="05F4472D"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 xml:space="preserve">Επενδύσεις RP-C21-i14: Λεωφορείο Rapid Transit Braga </w:t>
      </w:r>
    </w:p>
    <w:p w14:paraId="7FE597E6" w14:textId="77777777" w:rsidR="00154AD2" w:rsidRDefault="007F6BF3">
      <w:pPr>
        <w:pStyle w:val="P68B1DB1-Normal4"/>
        <w:spacing w:before="40" w:after="0" w:line="259" w:lineRule="auto"/>
        <w:jc w:val="both"/>
        <w:rPr>
          <w:rFonts w:cs="Times New Roman"/>
          <w:noProof/>
        </w:rPr>
      </w:pPr>
      <w:r>
        <w:rPr>
          <w:noProof/>
        </w:rPr>
        <w:t>Η επένδυση αυτή αποσκοπεί στη βελτίωση των βιώσιμων δημόσιων μεταφορών στην Braga.</w:t>
      </w:r>
    </w:p>
    <w:p w14:paraId="260159BA" w14:textId="08272C53" w:rsidR="00154AD2" w:rsidRDefault="007F6BF3">
      <w:pPr>
        <w:pStyle w:val="P68B1DB1-Normal4"/>
        <w:spacing w:before="40" w:after="0" w:line="259" w:lineRule="auto"/>
        <w:jc w:val="both"/>
        <w:rPr>
          <w:rFonts w:cs="Times New Roman"/>
          <w:noProof/>
        </w:rPr>
      </w:pPr>
      <w:r>
        <w:rPr>
          <w:noProof/>
        </w:rPr>
        <w:t>Η επένδυση συνίσταται στη δημιουργία ενός νέου συστήματος ταχείας διέλευσης λεωφορείων στην πόλη Braga. Το σύστημα λειτουργεί κυρίως σε ειδικές λωρίδες και μόνο με λεωφορεία μηδενικών εκπομπών (ηλεκτρικά ή υδρογονοκίνητα). Κατασκευάζονται δύο γραμμές: η κίτρινη γραμμή μεταξύ του σιδηροδρομικού σταθμού και της Avenida Robert Smith και της κόκκινης γραμμής, μεταξύ του σιδηροδρομικού σταθμού και του νοσοκομείου Braga.</w:t>
      </w:r>
    </w:p>
    <w:p w14:paraId="1CDC0220" w14:textId="36D380BF" w:rsidR="00154AD2" w:rsidRDefault="007F6BF3">
      <w:pPr>
        <w:pStyle w:val="P68B1DB1-Normal4"/>
        <w:spacing w:before="40" w:after="0" w:line="259" w:lineRule="auto"/>
        <w:jc w:val="both"/>
        <w:rPr>
          <w:rFonts w:cs="Times New Roman"/>
          <w:noProof/>
        </w:rPr>
      </w:pPr>
      <w:r>
        <w:rPr>
          <w:noProof/>
        </w:rPr>
        <w:t xml:space="preserve">Η επένδυση περιλαμβάνει επίσης την αγορά δέκα λεωφορείων μηδενικών εκπομπών, συμπεριλαμβανομένων των αναγκαίων σταθμών φόρτισης για τη λειτουργία των γραμμών.  </w:t>
      </w:r>
    </w:p>
    <w:p w14:paraId="3F4A3907" w14:textId="77777777" w:rsidR="00154AD2" w:rsidRDefault="007F6BF3">
      <w:pPr>
        <w:pStyle w:val="P68B1DB1-Normal4"/>
        <w:spacing w:before="40" w:after="0" w:line="259" w:lineRule="auto"/>
        <w:jc w:val="both"/>
        <w:rPr>
          <w:rFonts w:cs="Times New Roman"/>
          <w:noProof/>
        </w:rPr>
      </w:pPr>
      <w:r>
        <w:rPr>
          <w:noProof/>
        </w:rPr>
        <w:t xml:space="preserve">Η υλοποίηση της επένδυσης αυτής ολοκληρώνεται έως τις 30 Ιουνίου 2026.  </w:t>
      </w:r>
    </w:p>
    <w:p w14:paraId="39CFA3B4" w14:textId="075B3B54" w:rsidR="00154AD2" w:rsidRDefault="007F6BF3">
      <w:pPr>
        <w:pStyle w:val="P68B1DB1-Normal5"/>
        <w:keepNext/>
        <w:spacing w:before="240" w:after="0" w:line="259" w:lineRule="auto"/>
        <w:ind w:left="851"/>
        <w:jc w:val="both"/>
        <w:outlineLvl w:val="2"/>
        <w:rPr>
          <w:rFonts w:eastAsiaTheme="minorEastAsia" w:cs="Times New Roman"/>
          <w:noProof/>
        </w:rPr>
      </w:pPr>
      <w:bookmarkStart w:id="50" w:name="_Toc137472492"/>
      <w:r>
        <w:rPr>
          <w:noProof/>
        </w:rPr>
        <w:t xml:space="preserve">Επένδυση RP-C21-i15-RAA: Αγορά δύο ηλεκτρικών </w:t>
      </w:r>
      <w:bookmarkEnd w:id="50"/>
      <w:r>
        <w:rPr>
          <w:noProof/>
        </w:rPr>
        <w:t>πορθμείων</w:t>
      </w:r>
    </w:p>
    <w:p w14:paraId="6DC814CB" w14:textId="77777777" w:rsidR="00154AD2" w:rsidRDefault="007F6BF3">
      <w:pPr>
        <w:pStyle w:val="P68B1DB1-Normal4"/>
        <w:spacing w:before="40" w:after="0" w:line="259" w:lineRule="auto"/>
        <w:jc w:val="both"/>
        <w:rPr>
          <w:rFonts w:cs="Times New Roman"/>
          <w:noProof/>
        </w:rPr>
      </w:pPr>
      <w:r>
        <w:rPr>
          <w:noProof/>
        </w:rPr>
        <w:t xml:space="preserve">Η επένδυση αυτή αποσκοπεί στην ενίσχυση της απαλλαγής των μεταφορών από τις ανθρακούχες εκπομπές και της εσωτερικής κινητικότητας στην αυτόνομη περιφέρεια των Αζορών. </w:t>
      </w:r>
    </w:p>
    <w:p w14:paraId="2FD2AFE0" w14:textId="487179FD" w:rsidR="00154AD2" w:rsidRDefault="007F6BF3">
      <w:pPr>
        <w:pStyle w:val="P68B1DB1-Normal4"/>
        <w:spacing w:before="40" w:after="0" w:line="259" w:lineRule="auto"/>
        <w:jc w:val="both"/>
        <w:rPr>
          <w:rFonts w:cs="Times New Roman"/>
          <w:noProof/>
        </w:rPr>
      </w:pPr>
      <w:r>
        <w:rPr>
          <w:noProof/>
        </w:rPr>
        <w:t>Η επένδυση συνίσταται στην αγορά δύο ηλεκτρικών πορθμείων για τη δημόσια εταιρεία Atlanticoline S.A. για τη μεταφορά επιβατών και οχημάτων μεταξύ των νήσων Pico, Faial και São Jorge. Τα οχηματαγωγά έχουν ελάχιστη χωρητικότητα 200 και 100 επιβατών.</w:t>
      </w:r>
    </w:p>
    <w:p w14:paraId="40B1EF3B" w14:textId="77777777" w:rsidR="00154AD2" w:rsidRDefault="007F6BF3">
      <w:pPr>
        <w:pStyle w:val="P68B1DB1-Normal4"/>
        <w:spacing w:before="40" w:after="0" w:line="259" w:lineRule="auto"/>
        <w:jc w:val="both"/>
        <w:rPr>
          <w:rFonts w:cs="Times New Roman"/>
          <w:noProof/>
        </w:rPr>
      </w:pPr>
      <w:r>
        <w:rPr>
          <w:noProof/>
        </w:rPr>
        <w:t xml:space="preserve">Η υλοποίηση της επένδυσης αυτής ολοκληρώνεται έως τις 31 Δεκεμβρίου 2025. </w:t>
      </w:r>
    </w:p>
    <w:p w14:paraId="72E1DF93" w14:textId="6FEAFE37"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Επενδύσεις RP-C21-i16: Nazaré Funicular</w:t>
      </w:r>
    </w:p>
    <w:p w14:paraId="5E4AFA32" w14:textId="77777777" w:rsidR="00154AD2" w:rsidRDefault="007F6BF3">
      <w:pPr>
        <w:pStyle w:val="P68B1DB1-Normal4"/>
        <w:spacing w:before="40" w:after="0" w:line="259" w:lineRule="auto"/>
        <w:jc w:val="both"/>
        <w:rPr>
          <w:rFonts w:cs="Times New Roman"/>
          <w:noProof/>
        </w:rPr>
      </w:pPr>
      <w:r>
        <w:rPr>
          <w:noProof/>
        </w:rPr>
        <w:t xml:space="preserve">Η επένδυση αυτή αποσκοπεί στην παροχή βιώσιμων δημόσιων μεταφορών στο Ναζαρέ. </w:t>
      </w:r>
    </w:p>
    <w:p w14:paraId="7D6D2A4D" w14:textId="77777777" w:rsidR="00154AD2" w:rsidRDefault="007F6BF3">
      <w:pPr>
        <w:pStyle w:val="P68B1DB1-Normal4"/>
        <w:spacing w:before="40" w:after="0" w:line="259" w:lineRule="auto"/>
        <w:jc w:val="both"/>
        <w:rPr>
          <w:rFonts w:cs="Times New Roman"/>
          <w:noProof/>
        </w:rPr>
      </w:pPr>
      <w:r>
        <w:rPr>
          <w:noProof/>
        </w:rPr>
        <w:t>Η επένδυση περιλαμβάνει την εφαρμογή μηχανικής λύσης μεταφοράς (σιδηρόδρομος) μήκους περίπου 200 μέτρων μεταξύ της Praia και της περιοχής Pedreneira. Ο σιδηρόδρομος ενσωματώνεται στο δίκτυο δημόσιων μεταφορών και είναι προσβάσιμος σε ποδήλατα και άτομα με μειωμένη κινητικότητα.</w:t>
      </w:r>
    </w:p>
    <w:p w14:paraId="39B86464" w14:textId="77777777" w:rsidR="00154AD2" w:rsidRDefault="007F6BF3">
      <w:pPr>
        <w:pStyle w:val="P68B1DB1-Normal4"/>
        <w:spacing w:before="40" w:after="0" w:line="259" w:lineRule="auto"/>
        <w:jc w:val="both"/>
        <w:rPr>
          <w:rFonts w:cs="Times New Roman"/>
          <w:noProof/>
        </w:rPr>
        <w:sectPr w:rsidR="00154AD2" w:rsidSect="00E00EDD">
          <w:headerReference w:type="even" r:id="rId368"/>
          <w:headerReference w:type="default" r:id="rId369"/>
          <w:footerReference w:type="even" r:id="rId370"/>
          <w:footerReference w:type="default" r:id="rId371"/>
          <w:headerReference w:type="first" r:id="rId372"/>
          <w:footerReference w:type="first" r:id="rId373"/>
          <w:pgSz w:w="11906" w:h="16838"/>
          <w:pgMar w:top="1134" w:right="1134" w:bottom="1134" w:left="1134" w:header="567" w:footer="567" w:gutter="0"/>
          <w:cols w:space="708"/>
          <w:docGrid w:linePitch="360"/>
        </w:sectPr>
      </w:pPr>
      <w:r>
        <w:rPr>
          <w:noProof/>
        </w:rPr>
        <w:t>Η υλοποίηση της επένδυσης αυτής ολοκληρώνεται έως τις 31 Μαρτίου 2026.</w:t>
      </w:r>
    </w:p>
    <w:p w14:paraId="0274D0A2" w14:textId="267B412C" w:rsidR="00154AD2" w:rsidRDefault="007F6BF3">
      <w:pPr>
        <w:pStyle w:val="P68B1DB1-Normal3"/>
        <w:keepNext/>
        <w:spacing w:before="40" w:after="0" w:line="259" w:lineRule="auto"/>
        <w:ind w:left="130" w:firstLine="720"/>
        <w:jc w:val="both"/>
        <w:outlineLvl w:val="1"/>
        <w:rPr>
          <w:rFonts w:eastAsiaTheme="minorEastAsia" w:cs="Times New Roman"/>
          <w:noProof/>
        </w:rPr>
      </w:pPr>
      <w:r>
        <w:rPr>
          <w:noProof/>
        </w:rPr>
        <w:t>U.2. Ορόσημα, στόχοι, δείκτες και χρονοδιάγραμμα για την παρακολούθηση και την υλοποίηση της μη επιστρεπτέας χρηματοδοτικής στήριξης</w:t>
      </w:r>
    </w:p>
    <w:p w14:paraId="7DFE2BC4" w14:textId="77777777" w:rsidR="00154AD2" w:rsidRDefault="00154AD2">
      <w:pPr>
        <w:spacing w:after="0"/>
        <w:jc w:val="both"/>
        <w:rPr>
          <w:rFonts w:ascii="Times New Roman" w:hAnsi="Times New Roman" w:cs="Times New Roman"/>
          <w:noProof/>
          <w:sz w:val="24"/>
        </w:rPr>
      </w:pPr>
    </w:p>
    <w:tbl>
      <w:tblPr>
        <w:tblW w:w="147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992"/>
        <w:gridCol w:w="567"/>
        <w:gridCol w:w="708"/>
        <w:gridCol w:w="3969"/>
      </w:tblGrid>
      <w:tr w:rsidR="00154AD2" w14:paraId="2FB90E61" w14:textId="77777777">
        <w:trPr>
          <w:trHeight w:val="910"/>
          <w:tblHeader/>
        </w:trPr>
        <w:tc>
          <w:tcPr>
            <w:tcW w:w="1135" w:type="dxa"/>
            <w:vMerge w:val="restart"/>
            <w:shd w:val="clear" w:color="auto" w:fill="BDD6EE"/>
            <w:vAlign w:val="center"/>
            <w:hideMark/>
          </w:tcPr>
          <w:p w14:paraId="6370AB5A" w14:textId="77777777" w:rsidR="00154AD2" w:rsidRDefault="007F6BF3">
            <w:pPr>
              <w:pStyle w:val="P68B1DB1-Normal6"/>
              <w:spacing w:after="0" w:line="240" w:lineRule="auto"/>
              <w:jc w:val="center"/>
              <w:rPr>
                <w:rFonts w:eastAsia="Times New Roman" w:cs="Times New Roman"/>
                <w:noProof/>
              </w:rPr>
            </w:pPr>
            <w:r>
              <w:rPr>
                <w:noProof/>
              </w:rPr>
              <w:t>Αύξων αριθμός</w:t>
            </w:r>
          </w:p>
        </w:tc>
        <w:tc>
          <w:tcPr>
            <w:tcW w:w="1276" w:type="dxa"/>
            <w:vMerge w:val="restart"/>
            <w:shd w:val="clear" w:color="auto" w:fill="BDD6EE"/>
            <w:vAlign w:val="center"/>
            <w:hideMark/>
          </w:tcPr>
          <w:p w14:paraId="746A88F0" w14:textId="77777777" w:rsidR="00154AD2" w:rsidRDefault="007F6BF3">
            <w:pPr>
              <w:pStyle w:val="P68B1DB1-Normal6"/>
              <w:spacing w:after="0" w:line="240" w:lineRule="auto"/>
              <w:jc w:val="center"/>
              <w:rPr>
                <w:rFonts w:eastAsia="Times New Roman" w:cs="Times New Roman"/>
                <w:noProof/>
              </w:rPr>
            </w:pPr>
            <w:r>
              <w:rPr>
                <w:noProof/>
              </w:rPr>
              <w:t>Μέτρο (Μεταρρύθμιση ή Επενδύσεις)</w:t>
            </w:r>
          </w:p>
        </w:tc>
        <w:tc>
          <w:tcPr>
            <w:tcW w:w="1134" w:type="dxa"/>
            <w:vMerge w:val="restart"/>
            <w:shd w:val="clear" w:color="auto" w:fill="BDD6EE"/>
            <w:vAlign w:val="center"/>
            <w:hideMark/>
          </w:tcPr>
          <w:p w14:paraId="361458F2" w14:textId="77777777" w:rsidR="00154AD2" w:rsidRDefault="007F6BF3">
            <w:pPr>
              <w:pStyle w:val="P68B1DB1-Normal6"/>
              <w:spacing w:after="0" w:line="240" w:lineRule="auto"/>
              <w:jc w:val="center"/>
              <w:rPr>
                <w:rFonts w:eastAsia="Times New Roman" w:cs="Times New Roman"/>
                <w:noProof/>
              </w:rPr>
            </w:pPr>
            <w:r>
              <w:rPr>
                <w:noProof/>
              </w:rPr>
              <w:t>Ορόσημο/Στόχος</w:t>
            </w:r>
          </w:p>
        </w:tc>
        <w:tc>
          <w:tcPr>
            <w:tcW w:w="1701" w:type="dxa"/>
            <w:vMerge w:val="restart"/>
            <w:shd w:val="clear" w:color="auto" w:fill="BDD6EE"/>
            <w:vAlign w:val="center"/>
            <w:hideMark/>
          </w:tcPr>
          <w:p w14:paraId="45A51C32" w14:textId="77777777" w:rsidR="00154AD2" w:rsidRDefault="007F6BF3">
            <w:pPr>
              <w:pStyle w:val="P68B1DB1-Normal6"/>
              <w:spacing w:after="0" w:line="240" w:lineRule="auto"/>
              <w:jc w:val="center"/>
              <w:rPr>
                <w:rFonts w:eastAsia="Times New Roman" w:cs="Times New Roman"/>
                <w:noProof/>
              </w:rPr>
            </w:pPr>
            <w:r>
              <w:rPr>
                <w:noProof/>
              </w:rPr>
              <w:t>Όνομα</w:t>
            </w:r>
          </w:p>
        </w:tc>
        <w:tc>
          <w:tcPr>
            <w:tcW w:w="1275" w:type="dxa"/>
            <w:vMerge w:val="restart"/>
            <w:shd w:val="clear" w:color="auto" w:fill="BDD6EE"/>
            <w:vAlign w:val="center"/>
            <w:hideMark/>
          </w:tcPr>
          <w:p w14:paraId="6A3793A9" w14:textId="77777777" w:rsidR="00154AD2" w:rsidRDefault="007F6BF3">
            <w:pPr>
              <w:pStyle w:val="P68B1DB1-Normal6"/>
              <w:spacing w:after="0" w:line="240" w:lineRule="auto"/>
              <w:jc w:val="center"/>
              <w:rPr>
                <w:rFonts w:eastAsia="Times New Roman" w:cs="Times New Roman"/>
                <w:noProof/>
              </w:rPr>
            </w:pPr>
            <w:r>
              <w:rPr>
                <w:noProof/>
              </w:rPr>
              <w:t>Ποιοτικοί δείκτες (για τα ορόσημα)</w:t>
            </w:r>
          </w:p>
        </w:tc>
        <w:tc>
          <w:tcPr>
            <w:tcW w:w="2977" w:type="dxa"/>
            <w:gridSpan w:val="3"/>
            <w:shd w:val="clear" w:color="auto" w:fill="BDD6EE"/>
            <w:vAlign w:val="center"/>
            <w:hideMark/>
          </w:tcPr>
          <w:p w14:paraId="7128B101" w14:textId="77777777" w:rsidR="00154AD2" w:rsidRDefault="007F6BF3">
            <w:pPr>
              <w:pStyle w:val="P68B1DB1-Normal6"/>
              <w:spacing w:after="0" w:line="240" w:lineRule="auto"/>
              <w:jc w:val="center"/>
              <w:rPr>
                <w:rFonts w:eastAsia="Times New Roman" w:cs="Times New Roman"/>
                <w:noProof/>
              </w:rPr>
            </w:pPr>
            <w:r>
              <w:rPr>
                <w:noProof/>
              </w:rPr>
              <w:t>Ποσοτικοί δείκτες (για τους στόχους)</w:t>
            </w:r>
          </w:p>
        </w:tc>
        <w:tc>
          <w:tcPr>
            <w:tcW w:w="1275" w:type="dxa"/>
            <w:gridSpan w:val="2"/>
            <w:shd w:val="clear" w:color="auto" w:fill="BDD6EE"/>
            <w:vAlign w:val="center"/>
            <w:hideMark/>
          </w:tcPr>
          <w:p w14:paraId="411B61CF" w14:textId="77777777" w:rsidR="00154AD2" w:rsidRDefault="007F6BF3">
            <w:pPr>
              <w:pStyle w:val="P68B1DB1-Normal6"/>
              <w:spacing w:after="0" w:line="240" w:lineRule="auto"/>
              <w:jc w:val="center"/>
              <w:rPr>
                <w:rFonts w:eastAsia="Times New Roman" w:cs="Times New Roman"/>
                <w:noProof/>
              </w:rPr>
            </w:pPr>
            <w:r>
              <w:rPr>
                <w:noProof/>
              </w:rPr>
              <w:t>Ενδεικτικό χρονοδιάγραμμα ολοκλήρωσης</w:t>
            </w:r>
          </w:p>
        </w:tc>
        <w:tc>
          <w:tcPr>
            <w:tcW w:w="3969" w:type="dxa"/>
            <w:vMerge w:val="restart"/>
            <w:shd w:val="clear" w:color="auto" w:fill="BDD6EE"/>
            <w:vAlign w:val="center"/>
            <w:hideMark/>
          </w:tcPr>
          <w:p w14:paraId="52841226" w14:textId="77777777" w:rsidR="00154AD2" w:rsidRDefault="007F6BF3">
            <w:pPr>
              <w:pStyle w:val="P68B1DB1-Normal6"/>
              <w:spacing w:after="0" w:line="240" w:lineRule="auto"/>
              <w:jc w:val="center"/>
              <w:rPr>
                <w:rFonts w:eastAsia="Times New Roman" w:cs="Times New Roman"/>
                <w:noProof/>
              </w:rPr>
            </w:pPr>
            <w:r>
              <w:rPr>
                <w:noProof/>
              </w:rPr>
              <w:t>Περιγραφή και σαφής ορισμός κάθε ορόσημου και στόχου</w:t>
            </w:r>
          </w:p>
        </w:tc>
      </w:tr>
      <w:tr w:rsidR="00154AD2" w14:paraId="1758BE16" w14:textId="77777777">
        <w:trPr>
          <w:trHeight w:val="470"/>
          <w:tblHeader/>
        </w:trPr>
        <w:tc>
          <w:tcPr>
            <w:tcW w:w="1135" w:type="dxa"/>
            <w:vMerge/>
            <w:vAlign w:val="center"/>
            <w:hideMark/>
          </w:tcPr>
          <w:p w14:paraId="69695928" w14:textId="77777777" w:rsidR="00154AD2" w:rsidRDefault="00154AD2">
            <w:pPr>
              <w:spacing w:after="0" w:line="240" w:lineRule="auto"/>
              <w:rPr>
                <w:rFonts w:ascii="Times New Roman" w:eastAsia="Times New Roman" w:hAnsi="Times New Roman" w:cs="Times New Roman"/>
                <w:b/>
                <w:noProof/>
                <w:sz w:val="18"/>
              </w:rPr>
            </w:pPr>
          </w:p>
        </w:tc>
        <w:tc>
          <w:tcPr>
            <w:tcW w:w="1276" w:type="dxa"/>
            <w:vMerge/>
            <w:vAlign w:val="center"/>
            <w:hideMark/>
          </w:tcPr>
          <w:p w14:paraId="098E3D09" w14:textId="77777777" w:rsidR="00154AD2" w:rsidRDefault="00154AD2">
            <w:pPr>
              <w:spacing w:after="0" w:line="240" w:lineRule="auto"/>
              <w:rPr>
                <w:rFonts w:ascii="Times New Roman" w:eastAsia="Times New Roman" w:hAnsi="Times New Roman" w:cs="Times New Roman"/>
                <w:b/>
                <w:noProof/>
                <w:sz w:val="18"/>
              </w:rPr>
            </w:pPr>
          </w:p>
        </w:tc>
        <w:tc>
          <w:tcPr>
            <w:tcW w:w="1134" w:type="dxa"/>
            <w:vMerge/>
            <w:vAlign w:val="center"/>
            <w:hideMark/>
          </w:tcPr>
          <w:p w14:paraId="30C82C28" w14:textId="77777777" w:rsidR="00154AD2" w:rsidRDefault="00154AD2">
            <w:pPr>
              <w:spacing w:after="0" w:line="240" w:lineRule="auto"/>
              <w:jc w:val="center"/>
              <w:rPr>
                <w:rFonts w:ascii="Times New Roman" w:eastAsia="Times New Roman" w:hAnsi="Times New Roman" w:cs="Times New Roman"/>
                <w:b/>
                <w:noProof/>
                <w:sz w:val="18"/>
              </w:rPr>
            </w:pPr>
          </w:p>
        </w:tc>
        <w:tc>
          <w:tcPr>
            <w:tcW w:w="1701" w:type="dxa"/>
            <w:vMerge/>
            <w:vAlign w:val="center"/>
            <w:hideMark/>
          </w:tcPr>
          <w:p w14:paraId="0A52C29E" w14:textId="77777777" w:rsidR="00154AD2" w:rsidRDefault="00154AD2">
            <w:pPr>
              <w:spacing w:after="0" w:line="240" w:lineRule="auto"/>
              <w:jc w:val="center"/>
              <w:rPr>
                <w:rFonts w:ascii="Times New Roman" w:eastAsia="Times New Roman" w:hAnsi="Times New Roman" w:cs="Times New Roman"/>
                <w:b/>
                <w:noProof/>
                <w:sz w:val="18"/>
              </w:rPr>
            </w:pPr>
          </w:p>
        </w:tc>
        <w:tc>
          <w:tcPr>
            <w:tcW w:w="1275" w:type="dxa"/>
            <w:vMerge/>
            <w:vAlign w:val="center"/>
            <w:hideMark/>
          </w:tcPr>
          <w:p w14:paraId="2400D0D6" w14:textId="77777777" w:rsidR="00154AD2" w:rsidRDefault="00154AD2">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4E586660" w14:textId="77777777" w:rsidR="00154AD2" w:rsidRDefault="007F6BF3">
            <w:pPr>
              <w:pStyle w:val="P68B1DB1-Normal6"/>
              <w:spacing w:after="0" w:line="240" w:lineRule="auto"/>
              <w:jc w:val="center"/>
              <w:rPr>
                <w:rFonts w:eastAsia="Times New Roman" w:cs="Times New Roman"/>
                <w:noProof/>
              </w:rPr>
            </w:pPr>
            <w:r>
              <w:rPr>
                <w:noProof/>
              </w:rPr>
              <w:t>Μονάδα μέτρησης</w:t>
            </w:r>
          </w:p>
        </w:tc>
        <w:tc>
          <w:tcPr>
            <w:tcW w:w="992" w:type="dxa"/>
            <w:shd w:val="clear" w:color="auto" w:fill="BDD6EE"/>
            <w:vAlign w:val="center"/>
            <w:hideMark/>
          </w:tcPr>
          <w:p w14:paraId="305C5967" w14:textId="77777777" w:rsidR="00154AD2" w:rsidRDefault="007F6BF3">
            <w:pPr>
              <w:pStyle w:val="P68B1DB1-Normal6"/>
              <w:spacing w:after="0" w:line="240" w:lineRule="auto"/>
              <w:jc w:val="center"/>
              <w:rPr>
                <w:rFonts w:eastAsia="Times New Roman" w:cs="Times New Roman"/>
                <w:noProof/>
              </w:rPr>
            </w:pPr>
            <w:r>
              <w:rPr>
                <w:noProof/>
              </w:rPr>
              <w:t>Γραμμή βάσης</w:t>
            </w:r>
          </w:p>
        </w:tc>
        <w:tc>
          <w:tcPr>
            <w:tcW w:w="992" w:type="dxa"/>
            <w:shd w:val="clear" w:color="auto" w:fill="BDD6EE"/>
            <w:vAlign w:val="center"/>
            <w:hideMark/>
          </w:tcPr>
          <w:p w14:paraId="61DE86CD" w14:textId="77777777" w:rsidR="00154AD2" w:rsidRDefault="007F6BF3">
            <w:pPr>
              <w:pStyle w:val="P68B1DB1-Normal6"/>
              <w:spacing w:after="0" w:line="240" w:lineRule="auto"/>
              <w:jc w:val="center"/>
              <w:rPr>
                <w:rFonts w:eastAsia="Times New Roman" w:cs="Times New Roman"/>
                <w:noProof/>
              </w:rPr>
            </w:pPr>
            <w:r>
              <w:rPr>
                <w:noProof/>
              </w:rPr>
              <w:t>Στόχοι</w:t>
            </w:r>
          </w:p>
        </w:tc>
        <w:tc>
          <w:tcPr>
            <w:tcW w:w="567" w:type="dxa"/>
            <w:shd w:val="clear" w:color="auto" w:fill="BDD6EE"/>
            <w:vAlign w:val="center"/>
            <w:hideMark/>
          </w:tcPr>
          <w:p w14:paraId="30E66421" w14:textId="77777777" w:rsidR="00154AD2" w:rsidRDefault="007F6BF3">
            <w:pPr>
              <w:pStyle w:val="P68B1DB1-Normal6"/>
              <w:spacing w:after="0" w:line="240" w:lineRule="auto"/>
              <w:jc w:val="center"/>
              <w:rPr>
                <w:rFonts w:eastAsia="Times New Roman" w:cs="Times New Roman"/>
                <w:noProof/>
              </w:rPr>
            </w:pPr>
            <w:r>
              <w:rPr>
                <w:noProof/>
              </w:rPr>
              <w:t>Ε</w:t>
            </w:r>
          </w:p>
        </w:tc>
        <w:tc>
          <w:tcPr>
            <w:tcW w:w="708" w:type="dxa"/>
            <w:shd w:val="clear" w:color="auto" w:fill="BDD6EE"/>
            <w:vAlign w:val="center"/>
            <w:hideMark/>
          </w:tcPr>
          <w:p w14:paraId="119C10EB" w14:textId="77777777" w:rsidR="00154AD2" w:rsidRDefault="007F6BF3">
            <w:pPr>
              <w:pStyle w:val="P68B1DB1-Normal6"/>
              <w:spacing w:after="0" w:line="240" w:lineRule="auto"/>
              <w:jc w:val="center"/>
              <w:rPr>
                <w:rFonts w:eastAsia="Times New Roman" w:cs="Times New Roman"/>
                <w:noProof/>
              </w:rPr>
            </w:pPr>
            <w:r>
              <w:rPr>
                <w:noProof/>
              </w:rPr>
              <w:t>Έτος</w:t>
            </w:r>
          </w:p>
        </w:tc>
        <w:tc>
          <w:tcPr>
            <w:tcW w:w="3969" w:type="dxa"/>
            <w:vMerge/>
            <w:vAlign w:val="center"/>
            <w:hideMark/>
          </w:tcPr>
          <w:p w14:paraId="2B41D36D" w14:textId="77777777" w:rsidR="00154AD2" w:rsidRDefault="00154AD2">
            <w:pPr>
              <w:spacing w:after="0" w:line="240" w:lineRule="auto"/>
              <w:jc w:val="both"/>
              <w:rPr>
                <w:rFonts w:ascii="Times New Roman" w:eastAsia="Times New Roman" w:hAnsi="Times New Roman" w:cs="Times New Roman"/>
                <w:b/>
                <w:noProof/>
                <w:sz w:val="18"/>
              </w:rPr>
            </w:pPr>
          </w:p>
        </w:tc>
      </w:tr>
      <w:tr w:rsidR="00154AD2" w14:paraId="1B415B45" w14:textId="77777777">
        <w:trPr>
          <w:trHeight w:val="430"/>
        </w:trPr>
        <w:tc>
          <w:tcPr>
            <w:tcW w:w="1135" w:type="dxa"/>
            <w:shd w:val="clear" w:color="auto" w:fill="C4EFCE"/>
            <w:vAlign w:val="center"/>
          </w:tcPr>
          <w:p w14:paraId="42812264" w14:textId="024AEF5D" w:rsidR="00154AD2" w:rsidRDefault="007F6BF3">
            <w:pPr>
              <w:pStyle w:val="P68B1DB1-Normal11"/>
              <w:spacing w:after="0" w:line="240" w:lineRule="auto"/>
              <w:jc w:val="center"/>
              <w:rPr>
                <w:rFonts w:eastAsia="Times New Roman" w:cstheme="minorHAnsi"/>
                <w:noProof/>
              </w:rPr>
            </w:pPr>
            <w:r>
              <w:rPr>
                <w:noProof/>
              </w:rPr>
              <w:t>21.1</w:t>
            </w:r>
          </w:p>
        </w:tc>
        <w:tc>
          <w:tcPr>
            <w:tcW w:w="1276" w:type="dxa"/>
            <w:shd w:val="clear" w:color="auto" w:fill="C4EFCE"/>
            <w:noWrap/>
            <w:vAlign w:val="center"/>
          </w:tcPr>
          <w:p w14:paraId="6F112C58" w14:textId="0FCD6E79" w:rsidR="00154AD2" w:rsidRDefault="007F6BF3">
            <w:pPr>
              <w:pStyle w:val="P68B1DB1-Normal12"/>
              <w:spacing w:after="0" w:line="240" w:lineRule="auto"/>
              <w:jc w:val="center"/>
              <w:rPr>
                <w:rFonts w:eastAsia="Times New Roman" w:cstheme="minorHAnsi"/>
                <w:noProof/>
              </w:rPr>
            </w:pPr>
            <w:r>
              <w:rPr>
                <w:noProof/>
              </w:rPr>
              <w:t>RP-C21-i01</w:t>
            </w:r>
          </w:p>
        </w:tc>
        <w:tc>
          <w:tcPr>
            <w:tcW w:w="1134" w:type="dxa"/>
            <w:shd w:val="clear" w:color="auto" w:fill="C4EFCE"/>
            <w:noWrap/>
            <w:vAlign w:val="center"/>
          </w:tcPr>
          <w:p w14:paraId="00DF19E5" w14:textId="5713C776" w:rsidR="00154AD2" w:rsidRDefault="007F6BF3">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09F1054A" w14:textId="2CD7F0DB" w:rsidR="00154AD2" w:rsidRDefault="007F6BF3">
            <w:pPr>
              <w:pStyle w:val="P68B1DB1-Normal12"/>
              <w:spacing w:after="0" w:line="240" w:lineRule="auto"/>
              <w:jc w:val="center"/>
              <w:rPr>
                <w:rFonts w:eastAsia="Times New Roman" w:cstheme="minorHAnsi"/>
                <w:noProof/>
              </w:rPr>
            </w:pPr>
            <w:r>
              <w:rPr>
                <w:noProof/>
              </w:rPr>
              <w:t>Χρηματοδοτική στήριξη για απλουστευμένα έργα απαλλαγής της βιομηχανίας από τις ανθρακούχες εκπομπές</w:t>
            </w:r>
          </w:p>
        </w:tc>
        <w:tc>
          <w:tcPr>
            <w:tcW w:w="1275" w:type="dxa"/>
            <w:shd w:val="clear" w:color="auto" w:fill="C4EFCE"/>
            <w:noWrap/>
            <w:vAlign w:val="center"/>
          </w:tcPr>
          <w:p w14:paraId="7E64A9F8" w14:textId="7B347046" w:rsidR="00154AD2" w:rsidRDefault="00154AD2">
            <w:pPr>
              <w:spacing w:after="0" w:line="240" w:lineRule="auto"/>
              <w:jc w:val="center"/>
              <w:rPr>
                <w:rFonts w:eastAsia="Times New Roman" w:cstheme="minorHAnsi"/>
                <w:noProof/>
                <w:sz w:val="16"/>
              </w:rPr>
            </w:pPr>
          </w:p>
        </w:tc>
        <w:tc>
          <w:tcPr>
            <w:tcW w:w="993" w:type="dxa"/>
            <w:shd w:val="clear" w:color="auto" w:fill="C4EFCE"/>
            <w:noWrap/>
            <w:vAlign w:val="center"/>
          </w:tcPr>
          <w:p w14:paraId="76D97C60" w14:textId="733FC61D" w:rsidR="00154AD2" w:rsidRDefault="007F6BF3">
            <w:pPr>
              <w:pStyle w:val="P68B1DB1-Normal12"/>
              <w:spacing w:after="0" w:line="240" w:lineRule="auto"/>
              <w:jc w:val="center"/>
              <w:rPr>
                <w:rFonts w:eastAsia="Times New Roman" w:cstheme="minorHAnsi"/>
                <w:noProof/>
              </w:rPr>
            </w:pPr>
            <w:r>
              <w:rPr>
                <w:noProof/>
              </w:rPr>
              <w:t>Αριθμός</w:t>
            </w:r>
          </w:p>
        </w:tc>
        <w:tc>
          <w:tcPr>
            <w:tcW w:w="992" w:type="dxa"/>
            <w:shd w:val="clear" w:color="auto" w:fill="C4EFCE"/>
            <w:noWrap/>
            <w:vAlign w:val="center"/>
          </w:tcPr>
          <w:p w14:paraId="1085590D" w14:textId="21F3462D" w:rsidR="00154AD2" w:rsidRDefault="007F6BF3">
            <w:pPr>
              <w:pStyle w:val="P68B1DB1-Normal12"/>
              <w:spacing w:after="0" w:line="240" w:lineRule="auto"/>
              <w:jc w:val="center"/>
              <w:rPr>
                <w:rFonts w:eastAsia="Times New Roman" w:cstheme="minorHAnsi"/>
                <w:noProof/>
              </w:rPr>
            </w:pPr>
            <w:r>
              <w:rPr>
                <w:noProof/>
              </w:rPr>
              <w:t>310</w:t>
            </w:r>
          </w:p>
        </w:tc>
        <w:tc>
          <w:tcPr>
            <w:tcW w:w="992" w:type="dxa"/>
            <w:shd w:val="clear" w:color="auto" w:fill="C4EFCE"/>
            <w:noWrap/>
            <w:vAlign w:val="center"/>
          </w:tcPr>
          <w:p w14:paraId="66B60A08" w14:textId="70EBD20F" w:rsidR="00154AD2" w:rsidRDefault="007F6BF3">
            <w:pPr>
              <w:pStyle w:val="P68B1DB1-Normal12"/>
              <w:spacing w:after="0" w:line="240" w:lineRule="auto"/>
              <w:jc w:val="center"/>
              <w:rPr>
                <w:rFonts w:eastAsia="Times New Roman" w:cstheme="minorHAnsi"/>
                <w:noProof/>
              </w:rPr>
            </w:pPr>
            <w:r>
              <w:rPr>
                <w:noProof/>
              </w:rPr>
              <w:t>810</w:t>
            </w:r>
          </w:p>
        </w:tc>
        <w:tc>
          <w:tcPr>
            <w:tcW w:w="567" w:type="dxa"/>
            <w:shd w:val="clear" w:color="auto" w:fill="C4EFCE"/>
            <w:noWrap/>
            <w:vAlign w:val="center"/>
          </w:tcPr>
          <w:p w14:paraId="70ABCB97" w14:textId="6E42FAD2" w:rsidR="00154AD2" w:rsidRDefault="007F6BF3">
            <w:pPr>
              <w:pStyle w:val="P68B1DB1-Normal12"/>
              <w:spacing w:after="0" w:line="240" w:lineRule="auto"/>
              <w:jc w:val="center"/>
              <w:rPr>
                <w:rFonts w:eastAsia="Times New Roman" w:cstheme="minorHAnsi"/>
                <w:noProof/>
              </w:rPr>
            </w:pPr>
            <w:r>
              <w:rPr>
                <w:noProof/>
              </w:rPr>
              <w:t>ΤΡΊΜΗΝΟ 2</w:t>
            </w:r>
          </w:p>
        </w:tc>
        <w:tc>
          <w:tcPr>
            <w:tcW w:w="708" w:type="dxa"/>
            <w:shd w:val="clear" w:color="auto" w:fill="C4EFCE"/>
            <w:noWrap/>
            <w:vAlign w:val="center"/>
          </w:tcPr>
          <w:p w14:paraId="09AE5546" w14:textId="1A9D3DD5" w:rsidR="00154AD2" w:rsidRDefault="007F6BF3">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000A03D3" w14:textId="05550CD8" w:rsidR="00154AD2" w:rsidRDefault="007F6BF3">
            <w:pPr>
              <w:pStyle w:val="P68B1DB1-Normal12"/>
              <w:spacing w:after="0" w:line="240" w:lineRule="auto"/>
              <w:jc w:val="both"/>
              <w:rPr>
                <w:rFonts w:eastAsia="Times New Roman" w:cstheme="minorHAnsi"/>
                <w:noProof/>
              </w:rPr>
            </w:pPr>
            <w:r>
              <w:rPr>
                <w:noProof/>
              </w:rPr>
              <w:t>Αριθμός έργων που έλαβαν χρηματοδοτική στήριξη για την απαλλαγή της βιομηχανίας από τις ανθρακούχες εκπομπές και αφορούν τουλάχιστον έναν από τους ακόλουθους τομείς: διεργασίες και τεχνολογίες χαμηλών ανθρακούχων εκπομπών· θέσπιση μέτρων ενεργειακής απόδοσης· και ενσωμάτωση ανανεώσιμων πηγών ενέργειας και αποθήκευσης ενέργειας. Για τις υποστηριζόμενες βιομηχανικές εγκαταστάσεις διασφαλίζεται μείωση κατά μέσο όρο 30 % των άμεσων και έμμεσων εκπομπών αερίων του θερμοκηπίου για έργα που αντιστοιχούν στο πεδίο παρέμβασης 024β, και συμμόρφωση με τις τεχνικές κατευθυντήριες γραμμές για την εφαρμογή της αρχής της «μη πρόκλησης σημαντικής βλάβης» (2021/C58/01), μεταξύ άλλων για τις εγκαταστάσεις που καλύπτονται από το σύστημα εμπορίας δικαιωμάτων εκπομπής της ΕΕ, ώστε να διασφαλιστεί ότι οι υποστηριζόμενες εγκαταστάσεις επιτυγχάνουν τις προβλεπόμενες εκπομπές αερίων του θερμοκηπίου που είναι χαμηλότερες από τον δείκτη αναφοράς που καθορίζεται για τη δωρεάν κατανομή, όπως ορίζεται στον εκτελεστικό κανονισμό (ΕΕ) 2021/447 της Επιτροπής.</w:t>
            </w:r>
          </w:p>
        </w:tc>
      </w:tr>
      <w:tr w:rsidR="00154AD2" w14:paraId="2C3FFB3B" w14:textId="77777777">
        <w:trPr>
          <w:trHeight w:val="430"/>
        </w:trPr>
        <w:tc>
          <w:tcPr>
            <w:tcW w:w="1135" w:type="dxa"/>
            <w:shd w:val="clear" w:color="auto" w:fill="C4EFCE"/>
            <w:vAlign w:val="center"/>
          </w:tcPr>
          <w:p w14:paraId="0747785A" w14:textId="48735E30" w:rsidR="00154AD2" w:rsidRDefault="007F6BF3">
            <w:pPr>
              <w:pStyle w:val="P68B1DB1-Normal11"/>
              <w:spacing w:after="0" w:line="240" w:lineRule="auto"/>
              <w:jc w:val="center"/>
              <w:rPr>
                <w:rFonts w:eastAsia="Times New Roman" w:cstheme="minorHAnsi"/>
                <w:noProof/>
              </w:rPr>
            </w:pPr>
            <w:r>
              <w:rPr>
                <w:noProof/>
              </w:rPr>
              <w:t>21.2</w:t>
            </w:r>
          </w:p>
        </w:tc>
        <w:tc>
          <w:tcPr>
            <w:tcW w:w="1276" w:type="dxa"/>
            <w:shd w:val="clear" w:color="auto" w:fill="C4EFCE"/>
            <w:noWrap/>
            <w:vAlign w:val="center"/>
          </w:tcPr>
          <w:p w14:paraId="5BE0D3A2" w14:textId="6FC836BB" w:rsidR="00154AD2" w:rsidRDefault="007F6BF3">
            <w:pPr>
              <w:pStyle w:val="P68B1DB1-Normal12"/>
              <w:spacing w:after="0" w:line="240" w:lineRule="auto"/>
              <w:jc w:val="center"/>
              <w:rPr>
                <w:rFonts w:eastAsia="Times New Roman"/>
                <w:noProof/>
              </w:rPr>
            </w:pPr>
            <w:r>
              <w:rPr>
                <w:noProof/>
              </w:rPr>
              <w:t>RP-C21-i02</w:t>
            </w:r>
          </w:p>
        </w:tc>
        <w:tc>
          <w:tcPr>
            <w:tcW w:w="1134" w:type="dxa"/>
            <w:shd w:val="clear" w:color="auto" w:fill="C4EFCE"/>
            <w:noWrap/>
            <w:vAlign w:val="center"/>
          </w:tcPr>
          <w:p w14:paraId="5B23DDDE" w14:textId="3F052B9B" w:rsidR="00154AD2" w:rsidRDefault="007F6BF3">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0A037CB2" w14:textId="4466B745" w:rsidR="00154AD2" w:rsidRDefault="007F6BF3">
            <w:pPr>
              <w:pStyle w:val="P68B1DB1-Normal12"/>
              <w:spacing w:after="0" w:line="240" w:lineRule="auto"/>
              <w:jc w:val="center"/>
              <w:rPr>
                <w:rFonts w:eastAsia="Times New Roman" w:cstheme="minorHAnsi"/>
                <w:noProof/>
              </w:rPr>
            </w:pPr>
            <w:r>
              <w:rPr>
                <w:noProof/>
              </w:rPr>
              <w:t>Ενεργειακή απόδοση ανακαινίσεων ιδιωτικών οικιστικών κτιρίων</w:t>
            </w:r>
          </w:p>
        </w:tc>
        <w:tc>
          <w:tcPr>
            <w:tcW w:w="1275" w:type="dxa"/>
            <w:shd w:val="clear" w:color="auto" w:fill="C4EFCE"/>
            <w:noWrap/>
            <w:vAlign w:val="center"/>
          </w:tcPr>
          <w:p w14:paraId="42D3737C" w14:textId="3391A35D" w:rsidR="00154AD2" w:rsidRDefault="007F6BF3">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45022613" w14:textId="753503B1" w:rsidR="00154AD2" w:rsidRDefault="007F6BF3">
            <w:pPr>
              <w:pStyle w:val="P68B1DB1-Normal12"/>
              <w:spacing w:after="0" w:line="240" w:lineRule="auto"/>
              <w:jc w:val="center"/>
              <w:rPr>
                <w:rFonts w:eastAsia="Times New Roman" w:cstheme="minorHAnsi"/>
                <w:noProof/>
              </w:rPr>
            </w:pPr>
            <w:r>
              <w:rPr>
                <w:noProof/>
              </w:rPr>
              <w:t>m²</w:t>
            </w:r>
          </w:p>
        </w:tc>
        <w:tc>
          <w:tcPr>
            <w:tcW w:w="992" w:type="dxa"/>
            <w:shd w:val="clear" w:color="auto" w:fill="C4EFCE"/>
            <w:noWrap/>
            <w:vAlign w:val="center"/>
          </w:tcPr>
          <w:p w14:paraId="7E7B926C" w14:textId="0DDBA67F" w:rsidR="00154AD2" w:rsidRDefault="007F6BF3">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65AD2C2C" w14:textId="1AD9FE5B" w:rsidR="00154AD2" w:rsidRDefault="007F6BF3">
            <w:pPr>
              <w:pStyle w:val="P68B1DB1-Normal12"/>
              <w:spacing w:after="0" w:line="240" w:lineRule="auto"/>
              <w:jc w:val="center"/>
              <w:rPr>
                <w:rFonts w:eastAsia="Times New Roman" w:cstheme="minorHAnsi"/>
                <w:noProof/>
              </w:rPr>
            </w:pPr>
            <w:r>
              <w:rPr>
                <w:noProof/>
              </w:rPr>
              <w:t>6 588 000</w:t>
            </w:r>
          </w:p>
        </w:tc>
        <w:tc>
          <w:tcPr>
            <w:tcW w:w="567" w:type="dxa"/>
            <w:shd w:val="clear" w:color="auto" w:fill="C4EFCE"/>
            <w:noWrap/>
            <w:vAlign w:val="center"/>
          </w:tcPr>
          <w:p w14:paraId="3F848666" w14:textId="13CEF6EA" w:rsidR="00154AD2" w:rsidRDefault="007F6BF3">
            <w:pPr>
              <w:pStyle w:val="P68B1DB1-Normal12"/>
              <w:spacing w:after="0" w:line="240" w:lineRule="auto"/>
              <w:jc w:val="center"/>
              <w:rPr>
                <w:rFonts w:eastAsia="Times New Roman" w:cstheme="minorHAnsi"/>
                <w:noProof/>
              </w:rPr>
            </w:pPr>
            <w:r>
              <w:rPr>
                <w:noProof/>
              </w:rPr>
              <w:t>ΤΡΊΜΗΝΟ 3</w:t>
            </w:r>
          </w:p>
        </w:tc>
        <w:tc>
          <w:tcPr>
            <w:tcW w:w="708" w:type="dxa"/>
            <w:shd w:val="clear" w:color="auto" w:fill="C4EFCE"/>
            <w:noWrap/>
            <w:vAlign w:val="center"/>
          </w:tcPr>
          <w:p w14:paraId="5A24DEE7" w14:textId="05E31959" w:rsidR="00154AD2" w:rsidRDefault="007F6BF3">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7450107E" w14:textId="77777777" w:rsidR="00154AD2" w:rsidRDefault="007F6BF3">
            <w:pPr>
              <w:pStyle w:val="P68B1DB1-Bodytext1013"/>
              <w:spacing w:after="0" w:line="240" w:lineRule="auto"/>
              <w:jc w:val="both"/>
              <w:rPr>
                <w:rFonts w:cstheme="minorBidi"/>
                <w:noProof/>
              </w:rPr>
            </w:pPr>
            <w:r>
              <w:rPr>
                <w:noProof/>
              </w:rPr>
              <w:t>Έκταση ανακαινισμένων ιδιωτικών οικιστικών κτιρίων. Οι ανακαινίσεις ενεργειακής απόδοσης επιτυγχάνουν, κατά μέσο όρο, τουλάχιστον μεσαίας κλίμακας ανακαίνιση, όπως ορίζεται στη σύσταση της Επιτροπής για την ανακαίνιση κτιρίων (ΕΕ) 2019/786.</w:t>
            </w:r>
          </w:p>
          <w:p w14:paraId="53883AAE" w14:textId="07B5302D" w:rsidR="00154AD2" w:rsidRDefault="007F6BF3">
            <w:pPr>
              <w:pStyle w:val="P68B1DB1-Normal12"/>
              <w:spacing w:after="0" w:line="240" w:lineRule="auto"/>
              <w:jc w:val="both"/>
              <w:rPr>
                <w:rFonts w:eastAsia="Times New Roman"/>
                <w:noProof/>
              </w:rPr>
            </w:pPr>
            <w:r>
              <w:rPr>
                <w:noProof/>
              </w:rPr>
              <w:t>Το 60 % του εμβαδού δαπέδου που ανακαινίζεται στο πλαίσιο της παρούσας επένδυσης θα βρίσκεται σε πολυκατοικίες</w:t>
            </w:r>
          </w:p>
        </w:tc>
      </w:tr>
      <w:tr w:rsidR="00154AD2" w14:paraId="43A42DC3" w14:textId="77777777">
        <w:trPr>
          <w:trHeight w:val="430"/>
        </w:trPr>
        <w:tc>
          <w:tcPr>
            <w:tcW w:w="1135" w:type="dxa"/>
            <w:shd w:val="clear" w:color="auto" w:fill="C4EFCE"/>
            <w:vAlign w:val="center"/>
          </w:tcPr>
          <w:p w14:paraId="212EC2F2" w14:textId="10638F5D" w:rsidR="00154AD2" w:rsidRDefault="007F6BF3">
            <w:pPr>
              <w:pStyle w:val="P68B1DB1-Normal11"/>
              <w:spacing w:after="0" w:line="240" w:lineRule="auto"/>
              <w:jc w:val="center"/>
              <w:rPr>
                <w:rFonts w:eastAsia="Times New Roman" w:cstheme="minorHAnsi"/>
                <w:noProof/>
              </w:rPr>
            </w:pPr>
            <w:r>
              <w:rPr>
                <w:noProof/>
              </w:rPr>
              <w:t>21.3</w:t>
            </w:r>
          </w:p>
        </w:tc>
        <w:tc>
          <w:tcPr>
            <w:tcW w:w="1276" w:type="dxa"/>
            <w:shd w:val="clear" w:color="auto" w:fill="C4EFCE"/>
            <w:noWrap/>
            <w:vAlign w:val="center"/>
          </w:tcPr>
          <w:p w14:paraId="19F97C7B" w14:textId="567F96C9" w:rsidR="00154AD2" w:rsidRDefault="007F6BF3">
            <w:pPr>
              <w:pStyle w:val="P68B1DB1-Normal12"/>
              <w:spacing w:after="0" w:line="240" w:lineRule="auto"/>
              <w:jc w:val="center"/>
              <w:rPr>
                <w:rFonts w:eastAsia="Times New Roman" w:cstheme="minorHAnsi"/>
                <w:noProof/>
              </w:rPr>
            </w:pPr>
            <w:r>
              <w:rPr>
                <w:noProof/>
              </w:rPr>
              <w:t>RP-C21-i02</w:t>
            </w:r>
          </w:p>
        </w:tc>
        <w:tc>
          <w:tcPr>
            <w:tcW w:w="1134" w:type="dxa"/>
            <w:shd w:val="clear" w:color="auto" w:fill="C4EFCE"/>
            <w:noWrap/>
            <w:vAlign w:val="center"/>
          </w:tcPr>
          <w:p w14:paraId="132947DD" w14:textId="77C8791A" w:rsidR="00154AD2" w:rsidRDefault="007F6BF3">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31B6A035" w14:textId="694C7A54" w:rsidR="00154AD2" w:rsidRDefault="007F6BF3">
            <w:pPr>
              <w:pStyle w:val="P68B1DB1-Normal12"/>
              <w:spacing w:after="0" w:line="240" w:lineRule="auto"/>
              <w:jc w:val="center"/>
              <w:rPr>
                <w:rFonts w:eastAsia="Times New Roman" w:cstheme="minorHAnsi"/>
                <w:noProof/>
              </w:rPr>
            </w:pPr>
            <w:r>
              <w:rPr>
                <w:noProof/>
              </w:rPr>
              <w:t>Πρόσθετη ικανότητα παραγωγής ενέργειας από ανανεώσιμες πηγές για αυτοκατανάλωση και για χρήση στον ιδιωτικό οικιστικό τομέα</w:t>
            </w:r>
          </w:p>
        </w:tc>
        <w:tc>
          <w:tcPr>
            <w:tcW w:w="1275" w:type="dxa"/>
            <w:shd w:val="clear" w:color="auto" w:fill="C4EFCE"/>
            <w:noWrap/>
            <w:vAlign w:val="center"/>
          </w:tcPr>
          <w:p w14:paraId="462CF090" w14:textId="485EB454" w:rsidR="00154AD2" w:rsidRDefault="007F6BF3">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45159FF3" w14:textId="7438D3FA" w:rsidR="00154AD2" w:rsidRDefault="007F6BF3">
            <w:pPr>
              <w:pStyle w:val="P68B1DB1-Normal12"/>
              <w:spacing w:after="0" w:line="240" w:lineRule="auto"/>
              <w:jc w:val="center"/>
              <w:rPr>
                <w:rFonts w:eastAsia="Times New Roman" w:cstheme="minorHAnsi"/>
                <w:noProof/>
              </w:rPr>
            </w:pPr>
            <w:r>
              <w:rPr>
                <w:noProof/>
              </w:rPr>
              <w:t>MW</w:t>
            </w:r>
          </w:p>
        </w:tc>
        <w:tc>
          <w:tcPr>
            <w:tcW w:w="992" w:type="dxa"/>
            <w:shd w:val="clear" w:color="auto" w:fill="C4EFCE"/>
            <w:noWrap/>
            <w:vAlign w:val="center"/>
          </w:tcPr>
          <w:p w14:paraId="69A60CBC" w14:textId="43291961" w:rsidR="00154AD2" w:rsidRDefault="007F6BF3">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224371DF" w14:textId="1ABF65F2" w:rsidR="00154AD2" w:rsidRDefault="007F6BF3">
            <w:pPr>
              <w:pStyle w:val="P68B1DB1-Normal12"/>
              <w:spacing w:after="0" w:line="240" w:lineRule="auto"/>
              <w:jc w:val="center"/>
              <w:rPr>
                <w:rFonts w:eastAsia="Times New Roman" w:cstheme="minorHAnsi"/>
                <w:noProof/>
              </w:rPr>
            </w:pPr>
            <w:r>
              <w:rPr>
                <w:noProof/>
              </w:rPr>
              <w:t>10</w:t>
            </w:r>
          </w:p>
        </w:tc>
        <w:tc>
          <w:tcPr>
            <w:tcW w:w="567" w:type="dxa"/>
            <w:shd w:val="clear" w:color="auto" w:fill="C4EFCE"/>
            <w:noWrap/>
            <w:vAlign w:val="center"/>
          </w:tcPr>
          <w:p w14:paraId="10744F3B" w14:textId="3BB6C83C" w:rsidR="00154AD2" w:rsidRDefault="007F6BF3">
            <w:pPr>
              <w:pStyle w:val="P68B1DB1-Normal12"/>
              <w:spacing w:after="0" w:line="240" w:lineRule="auto"/>
              <w:jc w:val="center"/>
              <w:rPr>
                <w:rFonts w:eastAsia="Times New Roman" w:cstheme="minorHAnsi"/>
                <w:noProof/>
              </w:rPr>
            </w:pPr>
            <w:r>
              <w:rPr>
                <w:noProof/>
              </w:rPr>
              <w:t>ΤΡΊΜΗΝΟ 3</w:t>
            </w:r>
          </w:p>
        </w:tc>
        <w:tc>
          <w:tcPr>
            <w:tcW w:w="708" w:type="dxa"/>
            <w:shd w:val="clear" w:color="auto" w:fill="C4EFCE"/>
            <w:noWrap/>
            <w:vAlign w:val="center"/>
          </w:tcPr>
          <w:p w14:paraId="59104E64" w14:textId="6E2C7F09" w:rsidR="00154AD2" w:rsidRDefault="007F6BF3">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3C1262EC" w14:textId="61BF6995" w:rsidR="00154AD2" w:rsidRDefault="007F6BF3">
            <w:pPr>
              <w:pStyle w:val="P68B1DB1-Bodytext1013"/>
              <w:spacing w:after="0" w:line="240" w:lineRule="auto"/>
              <w:jc w:val="both"/>
              <w:rPr>
                <w:rFonts w:cstheme="minorBidi"/>
                <w:noProof/>
              </w:rPr>
            </w:pPr>
            <w:r>
              <w:rPr>
                <w:noProof/>
              </w:rPr>
              <w:t>Πρόσθετη ικανότητα παραγωγής ενέργειας από ανανεώσιμες πηγές (όπως φωτοβολταϊκά πάνελ και συσσωρευτές όπως ωριμάζει αυτή η τεχνολογία) εγκατεστημένη για αυτοκατανάλωση και για χρήση στον ιδιωτικό οικιστικό τομέα.</w:t>
            </w:r>
          </w:p>
          <w:p w14:paraId="619C48DD" w14:textId="545238A6" w:rsidR="00154AD2" w:rsidRDefault="00154AD2">
            <w:pPr>
              <w:spacing w:after="0" w:line="240" w:lineRule="auto"/>
              <w:jc w:val="both"/>
              <w:rPr>
                <w:rFonts w:eastAsia="Times New Roman"/>
                <w:noProof/>
                <w:sz w:val="16"/>
              </w:rPr>
            </w:pPr>
          </w:p>
        </w:tc>
      </w:tr>
      <w:tr w:rsidR="00154AD2" w14:paraId="73882A16" w14:textId="77777777">
        <w:trPr>
          <w:trHeight w:val="430"/>
        </w:trPr>
        <w:tc>
          <w:tcPr>
            <w:tcW w:w="1135" w:type="dxa"/>
            <w:shd w:val="clear" w:color="auto" w:fill="C4EFCE"/>
            <w:vAlign w:val="center"/>
          </w:tcPr>
          <w:p w14:paraId="15BBD858" w14:textId="5C3A7649" w:rsidR="00154AD2" w:rsidRDefault="007F6BF3">
            <w:pPr>
              <w:pStyle w:val="P68B1DB1-Normal11"/>
              <w:spacing w:after="0" w:line="240" w:lineRule="auto"/>
              <w:jc w:val="center"/>
              <w:rPr>
                <w:rFonts w:eastAsia="Times New Roman" w:cstheme="minorHAnsi"/>
                <w:noProof/>
              </w:rPr>
            </w:pPr>
            <w:r>
              <w:rPr>
                <w:noProof/>
              </w:rPr>
              <w:t>21.4</w:t>
            </w:r>
          </w:p>
        </w:tc>
        <w:tc>
          <w:tcPr>
            <w:tcW w:w="1276" w:type="dxa"/>
            <w:shd w:val="clear" w:color="auto" w:fill="C4EFCE"/>
            <w:noWrap/>
            <w:vAlign w:val="center"/>
          </w:tcPr>
          <w:p w14:paraId="62676A47" w14:textId="49D8AEF4" w:rsidR="00154AD2" w:rsidRDefault="007F6BF3">
            <w:pPr>
              <w:pStyle w:val="P68B1DB1-Normal12"/>
              <w:spacing w:after="0" w:line="240" w:lineRule="auto"/>
              <w:jc w:val="center"/>
              <w:rPr>
                <w:rFonts w:eastAsia="Times New Roman" w:cstheme="minorHAnsi"/>
                <w:noProof/>
              </w:rPr>
            </w:pPr>
            <w:r>
              <w:rPr>
                <w:noProof/>
              </w:rPr>
              <w:t>RP-C21-i03</w:t>
            </w:r>
          </w:p>
        </w:tc>
        <w:tc>
          <w:tcPr>
            <w:tcW w:w="1134" w:type="dxa"/>
            <w:shd w:val="clear" w:color="auto" w:fill="C4EFCE"/>
            <w:noWrap/>
            <w:vAlign w:val="center"/>
          </w:tcPr>
          <w:p w14:paraId="34651C7B" w14:textId="18BC97B7" w:rsidR="00154AD2" w:rsidRDefault="007F6BF3">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260269BC" w14:textId="16150F7D" w:rsidR="00154AD2" w:rsidRDefault="007F6BF3">
            <w:pPr>
              <w:pStyle w:val="P68B1DB1-Normal12"/>
              <w:spacing w:after="0" w:line="240" w:lineRule="auto"/>
              <w:jc w:val="center"/>
              <w:rPr>
                <w:rFonts w:eastAsia="Times New Roman" w:cstheme="minorHAnsi"/>
                <w:noProof/>
              </w:rPr>
            </w:pPr>
            <w:r>
              <w:rPr>
                <w:noProof/>
              </w:rPr>
              <w:t>Ενεργειακή απόδοση ανακαινίσεων κτιρίων υπηρεσιών</w:t>
            </w:r>
          </w:p>
        </w:tc>
        <w:tc>
          <w:tcPr>
            <w:tcW w:w="1275" w:type="dxa"/>
            <w:shd w:val="clear" w:color="auto" w:fill="C4EFCE"/>
            <w:noWrap/>
            <w:vAlign w:val="center"/>
          </w:tcPr>
          <w:p w14:paraId="459F1CF9" w14:textId="40FFF73E" w:rsidR="00154AD2" w:rsidRDefault="007F6BF3">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042767D5" w14:textId="36BCCE48" w:rsidR="00154AD2" w:rsidRDefault="007F6BF3">
            <w:pPr>
              <w:pStyle w:val="P68B1DB1-Normal12"/>
              <w:spacing w:after="0" w:line="240" w:lineRule="auto"/>
              <w:jc w:val="center"/>
              <w:rPr>
                <w:rFonts w:eastAsia="Times New Roman" w:cstheme="minorHAnsi"/>
                <w:noProof/>
              </w:rPr>
            </w:pPr>
            <w:r>
              <w:rPr>
                <w:noProof/>
              </w:rPr>
              <w:t>m²</w:t>
            </w:r>
          </w:p>
        </w:tc>
        <w:tc>
          <w:tcPr>
            <w:tcW w:w="992" w:type="dxa"/>
            <w:shd w:val="clear" w:color="auto" w:fill="C4EFCE"/>
            <w:noWrap/>
            <w:vAlign w:val="center"/>
          </w:tcPr>
          <w:p w14:paraId="76C71504" w14:textId="4B820CEF" w:rsidR="00154AD2" w:rsidRDefault="007F6BF3">
            <w:pPr>
              <w:pStyle w:val="P68B1DB1-Normal12"/>
              <w:spacing w:after="0" w:line="240" w:lineRule="auto"/>
              <w:jc w:val="center"/>
              <w:rPr>
                <w:rFonts w:eastAsia="Times New Roman"/>
                <w:noProof/>
              </w:rPr>
            </w:pPr>
            <w:r>
              <w:rPr>
                <w:noProof/>
              </w:rPr>
              <w:t>360,000</w:t>
            </w:r>
          </w:p>
        </w:tc>
        <w:tc>
          <w:tcPr>
            <w:tcW w:w="992" w:type="dxa"/>
            <w:shd w:val="clear" w:color="auto" w:fill="C4EFCE"/>
            <w:noWrap/>
            <w:vAlign w:val="center"/>
          </w:tcPr>
          <w:p w14:paraId="4E7E34F6" w14:textId="24377808" w:rsidR="00154AD2" w:rsidRDefault="007F6BF3">
            <w:pPr>
              <w:pStyle w:val="P68B1DB1-Normal12"/>
              <w:spacing w:after="0" w:line="240" w:lineRule="auto"/>
              <w:jc w:val="center"/>
              <w:rPr>
                <w:rFonts w:eastAsia="Times New Roman"/>
                <w:noProof/>
              </w:rPr>
            </w:pPr>
            <w:r>
              <w:rPr>
                <w:noProof/>
              </w:rPr>
              <w:t>1 060 000</w:t>
            </w:r>
          </w:p>
        </w:tc>
        <w:tc>
          <w:tcPr>
            <w:tcW w:w="567" w:type="dxa"/>
            <w:shd w:val="clear" w:color="auto" w:fill="C4EFCE"/>
            <w:noWrap/>
            <w:vAlign w:val="center"/>
          </w:tcPr>
          <w:p w14:paraId="5AC29A9B" w14:textId="18572D01" w:rsidR="00154AD2" w:rsidRDefault="007F6BF3">
            <w:pPr>
              <w:pStyle w:val="P68B1DB1-Normal12"/>
              <w:spacing w:after="0" w:line="240" w:lineRule="auto"/>
              <w:jc w:val="center"/>
              <w:rPr>
                <w:rFonts w:eastAsia="Times New Roman" w:cstheme="minorHAnsi"/>
                <w:noProof/>
              </w:rPr>
            </w:pPr>
            <w:r>
              <w:rPr>
                <w:noProof/>
              </w:rPr>
              <w:t>ΤΡΊΜΗΝΟ 2</w:t>
            </w:r>
          </w:p>
        </w:tc>
        <w:tc>
          <w:tcPr>
            <w:tcW w:w="708" w:type="dxa"/>
            <w:shd w:val="clear" w:color="auto" w:fill="C4EFCE"/>
            <w:noWrap/>
            <w:vAlign w:val="center"/>
          </w:tcPr>
          <w:p w14:paraId="76B212F5" w14:textId="63663A41" w:rsidR="00154AD2" w:rsidRDefault="007F6BF3">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63D5C6F9" w14:textId="23A297C7" w:rsidR="00154AD2" w:rsidRDefault="007F6BF3">
            <w:pPr>
              <w:pStyle w:val="P68B1DB1-Bodytext1013"/>
              <w:spacing w:after="0" w:line="240" w:lineRule="auto"/>
              <w:jc w:val="both"/>
              <w:rPr>
                <w:rFonts w:cstheme="minorBidi"/>
                <w:noProof/>
              </w:rPr>
            </w:pPr>
            <w:r>
              <w:rPr>
                <w:noProof/>
              </w:rPr>
              <w:t>Συνολική έκταση κτιρίων που χρησιμοποιούνται από τον τομέα των υπηρεσιών και υποβάλλονται σε ανακαινίσεις ενεργειακής απόδοσης.</w:t>
            </w:r>
          </w:p>
          <w:p w14:paraId="288E3B5D" w14:textId="3DBE8827" w:rsidR="00154AD2" w:rsidRDefault="007F6BF3">
            <w:pPr>
              <w:pStyle w:val="P68B1DB1-Normal12"/>
              <w:spacing w:after="0" w:line="240" w:lineRule="auto"/>
              <w:jc w:val="both"/>
              <w:rPr>
                <w:rFonts w:eastAsia="Times New Roman" w:cstheme="minorHAnsi"/>
                <w:noProof/>
              </w:rPr>
            </w:pPr>
            <w:r>
              <w:rPr>
                <w:noProof/>
              </w:rPr>
              <w:t>Οι ανακαινίσεις ενεργειακής απόδοσης επιτυγχάνουν, κατά μέσο όρο, τουλάχιστον μεσαίας κλίμακας ανακαίνιση, όπως ορίζεται στη σύσταση της Επιτροπής για την ανακαίνιση κτιρίων (ΕΕ) 2019/786.</w:t>
            </w:r>
          </w:p>
        </w:tc>
      </w:tr>
      <w:tr w:rsidR="00154AD2" w14:paraId="51B258CA" w14:textId="77777777">
        <w:trPr>
          <w:trHeight w:val="430"/>
        </w:trPr>
        <w:tc>
          <w:tcPr>
            <w:tcW w:w="1135" w:type="dxa"/>
            <w:shd w:val="clear" w:color="auto" w:fill="C4EFCE"/>
            <w:vAlign w:val="center"/>
          </w:tcPr>
          <w:p w14:paraId="2644F217" w14:textId="22F80D52" w:rsidR="00154AD2" w:rsidRDefault="007F6BF3">
            <w:pPr>
              <w:pStyle w:val="P68B1DB1-Normal11"/>
              <w:spacing w:after="0" w:line="240" w:lineRule="auto"/>
              <w:jc w:val="center"/>
              <w:rPr>
                <w:rFonts w:eastAsia="Times New Roman" w:cstheme="minorHAnsi"/>
                <w:noProof/>
              </w:rPr>
            </w:pPr>
            <w:r>
              <w:rPr>
                <w:noProof/>
              </w:rPr>
              <w:t>21.5</w:t>
            </w:r>
          </w:p>
        </w:tc>
        <w:tc>
          <w:tcPr>
            <w:tcW w:w="1276" w:type="dxa"/>
            <w:shd w:val="clear" w:color="auto" w:fill="C4EFCE"/>
            <w:noWrap/>
            <w:vAlign w:val="center"/>
          </w:tcPr>
          <w:p w14:paraId="3E081706" w14:textId="65AC1B46" w:rsidR="00154AD2" w:rsidRDefault="007F6BF3">
            <w:pPr>
              <w:pStyle w:val="P68B1DB1-Bodytext1013"/>
              <w:rPr>
                <w:rFonts w:cstheme="minorHAnsi"/>
                <w:noProof/>
              </w:rPr>
            </w:pPr>
            <w:r>
              <w:rPr>
                <w:noProof/>
              </w:rPr>
              <w:t>RP-21-i04-RAM</w:t>
            </w:r>
          </w:p>
        </w:tc>
        <w:tc>
          <w:tcPr>
            <w:tcW w:w="1134" w:type="dxa"/>
            <w:shd w:val="clear" w:color="auto" w:fill="C4EFCE"/>
            <w:noWrap/>
            <w:vAlign w:val="center"/>
          </w:tcPr>
          <w:p w14:paraId="576823A2" w14:textId="761EF1D1" w:rsidR="00154AD2" w:rsidRDefault="007F6BF3">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512BF19D" w14:textId="12ED4A50" w:rsidR="00154AD2" w:rsidRDefault="007F6BF3">
            <w:pPr>
              <w:pStyle w:val="P68B1DB1-Normal12"/>
              <w:spacing w:after="0" w:line="240" w:lineRule="auto"/>
              <w:jc w:val="center"/>
              <w:rPr>
                <w:rFonts w:eastAsia="Times New Roman"/>
                <w:noProof/>
              </w:rPr>
            </w:pPr>
            <w:r>
              <w:rPr>
                <w:noProof/>
              </w:rPr>
              <w:t>Πρόσθετη ικανότητα παραγωγής ενέργειας από ανανεώσιμες πηγές για αυτοκατανάλωση και χρήση ενέργειας από ανανεώσιμες πηγές σε ανακαινισμένα δημόσια κτίρια</w:t>
            </w:r>
          </w:p>
        </w:tc>
        <w:tc>
          <w:tcPr>
            <w:tcW w:w="1275" w:type="dxa"/>
            <w:shd w:val="clear" w:color="auto" w:fill="C4EFCE"/>
            <w:noWrap/>
            <w:vAlign w:val="center"/>
          </w:tcPr>
          <w:p w14:paraId="1DE1063A" w14:textId="66359CB1" w:rsidR="00154AD2" w:rsidRDefault="007F6BF3">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5CB8B204" w14:textId="31C920AC" w:rsidR="00154AD2" w:rsidRDefault="007F6BF3">
            <w:pPr>
              <w:pStyle w:val="P68B1DB1-Normal12"/>
              <w:spacing w:after="0" w:line="240" w:lineRule="auto"/>
              <w:jc w:val="center"/>
              <w:rPr>
                <w:rFonts w:eastAsia="Times New Roman" w:cstheme="minorHAnsi"/>
                <w:noProof/>
              </w:rPr>
            </w:pPr>
            <w:r>
              <w:rPr>
                <w:noProof/>
              </w:rPr>
              <w:t>MW</w:t>
            </w:r>
          </w:p>
        </w:tc>
        <w:tc>
          <w:tcPr>
            <w:tcW w:w="992" w:type="dxa"/>
            <w:shd w:val="clear" w:color="auto" w:fill="C4EFCE"/>
            <w:noWrap/>
            <w:vAlign w:val="center"/>
          </w:tcPr>
          <w:p w14:paraId="34922037" w14:textId="7CAC268A" w:rsidR="00154AD2" w:rsidRDefault="007F6BF3">
            <w:pPr>
              <w:pStyle w:val="P68B1DB1-Normal12"/>
              <w:spacing w:after="0" w:line="240" w:lineRule="auto"/>
              <w:jc w:val="center"/>
              <w:rPr>
                <w:noProof/>
              </w:rPr>
            </w:pPr>
            <w:r>
              <w:rPr>
                <w:noProof/>
              </w:rPr>
              <w:t xml:space="preserve"> 0</w:t>
            </w:r>
          </w:p>
        </w:tc>
        <w:tc>
          <w:tcPr>
            <w:tcW w:w="992" w:type="dxa"/>
            <w:shd w:val="clear" w:color="auto" w:fill="C4EFCE"/>
            <w:noWrap/>
            <w:vAlign w:val="center"/>
          </w:tcPr>
          <w:p w14:paraId="64EAB2DF" w14:textId="7012C39E" w:rsidR="00154AD2" w:rsidRDefault="007F6BF3">
            <w:pPr>
              <w:pStyle w:val="P68B1DB1-Normal12"/>
              <w:spacing w:after="0" w:line="240" w:lineRule="auto"/>
              <w:jc w:val="center"/>
              <w:rPr>
                <w:rFonts w:eastAsia="Times New Roman" w:cstheme="minorHAnsi"/>
                <w:noProof/>
              </w:rPr>
            </w:pPr>
            <w:r>
              <w:rPr>
                <w:noProof/>
              </w:rPr>
              <w:t>1.3</w:t>
            </w:r>
          </w:p>
        </w:tc>
        <w:tc>
          <w:tcPr>
            <w:tcW w:w="567" w:type="dxa"/>
            <w:shd w:val="clear" w:color="auto" w:fill="C4EFCE"/>
            <w:noWrap/>
            <w:vAlign w:val="center"/>
          </w:tcPr>
          <w:p w14:paraId="1ADD0D80" w14:textId="19F06FDD" w:rsidR="00154AD2" w:rsidRDefault="007F6BF3">
            <w:pPr>
              <w:pStyle w:val="P68B1DB1-Normal12"/>
              <w:spacing w:after="0" w:line="240" w:lineRule="auto"/>
              <w:jc w:val="center"/>
              <w:rPr>
                <w:rFonts w:eastAsia="Times New Roman" w:cstheme="minorHAnsi"/>
                <w:noProof/>
              </w:rPr>
            </w:pPr>
            <w:r>
              <w:rPr>
                <w:noProof/>
              </w:rPr>
              <w:t>ΤΡΊΜΗΝΟ 4</w:t>
            </w:r>
          </w:p>
        </w:tc>
        <w:tc>
          <w:tcPr>
            <w:tcW w:w="708" w:type="dxa"/>
            <w:shd w:val="clear" w:color="auto" w:fill="C4EFCE"/>
            <w:noWrap/>
            <w:vAlign w:val="center"/>
          </w:tcPr>
          <w:p w14:paraId="2D5B9DF9" w14:textId="38003732" w:rsidR="00154AD2" w:rsidRDefault="007F6BF3">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2EC83552" w14:textId="34489AEE" w:rsidR="00154AD2" w:rsidRDefault="007F6BF3">
            <w:pPr>
              <w:pStyle w:val="P68B1DB1-Bodytext1013"/>
              <w:spacing w:after="0" w:line="240" w:lineRule="auto"/>
              <w:jc w:val="both"/>
              <w:rPr>
                <w:rFonts w:cstheme="minorBidi"/>
                <w:noProof/>
              </w:rPr>
            </w:pPr>
            <w:r>
              <w:rPr>
                <w:noProof/>
              </w:rPr>
              <w:t>Πρόσθετη ικανότητα παραγωγής ενέργειας από ανανεώσιμες πηγές για αυτοκατανάλωση σε δημόσια κτίρια.</w:t>
            </w:r>
          </w:p>
        </w:tc>
      </w:tr>
      <w:tr w:rsidR="00154AD2" w14:paraId="468840B8" w14:textId="77777777">
        <w:trPr>
          <w:trHeight w:val="1519"/>
        </w:trPr>
        <w:tc>
          <w:tcPr>
            <w:tcW w:w="1135" w:type="dxa"/>
            <w:shd w:val="clear" w:color="auto" w:fill="C4EFCE"/>
            <w:vAlign w:val="center"/>
          </w:tcPr>
          <w:p w14:paraId="48117054" w14:textId="0841057E" w:rsidR="00154AD2" w:rsidRDefault="007F6BF3">
            <w:pPr>
              <w:pStyle w:val="P68B1DB1-Normal11"/>
              <w:spacing w:after="0" w:line="240" w:lineRule="auto"/>
              <w:jc w:val="center"/>
              <w:rPr>
                <w:rFonts w:eastAsia="Times New Roman" w:cstheme="minorHAnsi"/>
                <w:noProof/>
              </w:rPr>
            </w:pPr>
            <w:r>
              <w:rPr>
                <w:noProof/>
              </w:rPr>
              <w:t>21.6</w:t>
            </w:r>
          </w:p>
        </w:tc>
        <w:tc>
          <w:tcPr>
            <w:tcW w:w="1276" w:type="dxa"/>
            <w:shd w:val="clear" w:color="auto" w:fill="C4EFCE"/>
            <w:noWrap/>
            <w:vAlign w:val="center"/>
          </w:tcPr>
          <w:p w14:paraId="600F3363" w14:textId="417C60DB" w:rsidR="00154AD2" w:rsidRDefault="007F6BF3">
            <w:pPr>
              <w:pStyle w:val="P68B1DB1-Normal12"/>
              <w:spacing w:after="0" w:line="240" w:lineRule="auto"/>
              <w:jc w:val="center"/>
              <w:rPr>
                <w:rFonts w:eastAsia="Times New Roman" w:cstheme="minorHAnsi"/>
                <w:noProof/>
              </w:rPr>
            </w:pPr>
            <w:r>
              <w:rPr>
                <w:noProof/>
              </w:rPr>
              <w:t>RP-21-i04-RAM</w:t>
            </w:r>
          </w:p>
        </w:tc>
        <w:tc>
          <w:tcPr>
            <w:tcW w:w="1134" w:type="dxa"/>
            <w:shd w:val="clear" w:color="auto" w:fill="C4EFCE"/>
            <w:noWrap/>
            <w:vAlign w:val="center"/>
          </w:tcPr>
          <w:p w14:paraId="423333E2" w14:textId="5B9C803B" w:rsidR="00154AD2" w:rsidRDefault="007F6BF3">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415A338D" w14:textId="1DF04D00" w:rsidR="00154AD2" w:rsidRDefault="007F6BF3">
            <w:pPr>
              <w:pStyle w:val="P68B1DB1-Normal12"/>
              <w:spacing w:after="0" w:line="240" w:lineRule="auto"/>
              <w:jc w:val="center"/>
              <w:rPr>
                <w:rFonts w:eastAsia="Times New Roman" w:cstheme="minorHAnsi"/>
                <w:noProof/>
              </w:rPr>
            </w:pPr>
            <w:r>
              <w:rPr>
                <w:noProof/>
              </w:rPr>
              <w:t>Ανακαίνιση ενεργειακής απόδοσης σε κτίρια δημόσιων υπηρεσιών</w:t>
            </w:r>
          </w:p>
        </w:tc>
        <w:tc>
          <w:tcPr>
            <w:tcW w:w="1275" w:type="dxa"/>
            <w:shd w:val="clear" w:color="auto" w:fill="C4EFCE"/>
            <w:noWrap/>
            <w:vAlign w:val="center"/>
          </w:tcPr>
          <w:p w14:paraId="3C7888E1" w14:textId="26C6AC41" w:rsidR="00154AD2" w:rsidRDefault="007F6BF3">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772805B6" w14:textId="2ECAF662" w:rsidR="00154AD2" w:rsidRDefault="007F6BF3">
            <w:pPr>
              <w:pStyle w:val="P68B1DB1-Normal12"/>
              <w:spacing w:after="0" w:line="240" w:lineRule="auto"/>
              <w:jc w:val="center"/>
              <w:rPr>
                <w:rFonts w:eastAsia="Times New Roman" w:cstheme="minorHAnsi"/>
                <w:noProof/>
              </w:rPr>
            </w:pPr>
            <w:r>
              <w:rPr>
                <w:noProof/>
              </w:rPr>
              <w:t>μ</w:t>
            </w:r>
            <w:r>
              <w:rPr>
                <w:noProof/>
                <w:vertAlign w:val="superscript"/>
              </w:rPr>
              <w:t>2</w:t>
            </w:r>
          </w:p>
        </w:tc>
        <w:tc>
          <w:tcPr>
            <w:tcW w:w="992" w:type="dxa"/>
            <w:shd w:val="clear" w:color="auto" w:fill="C4EFCE"/>
            <w:noWrap/>
            <w:vAlign w:val="center"/>
          </w:tcPr>
          <w:p w14:paraId="55701F7C" w14:textId="5FDE8DB7" w:rsidR="00154AD2" w:rsidRDefault="007F6BF3">
            <w:pPr>
              <w:pStyle w:val="P68B1DB1-Normal12"/>
              <w:spacing w:after="0" w:line="240" w:lineRule="auto"/>
              <w:jc w:val="center"/>
              <w:rPr>
                <w:noProof/>
              </w:rPr>
            </w:pPr>
            <w:r>
              <w:rPr>
                <w:noProof/>
              </w:rPr>
              <w:t xml:space="preserve"> 0</w:t>
            </w:r>
          </w:p>
        </w:tc>
        <w:tc>
          <w:tcPr>
            <w:tcW w:w="992" w:type="dxa"/>
            <w:shd w:val="clear" w:color="auto" w:fill="C4EFCE"/>
            <w:noWrap/>
            <w:vAlign w:val="center"/>
          </w:tcPr>
          <w:p w14:paraId="4974C85D" w14:textId="02953CA5" w:rsidR="00154AD2" w:rsidRDefault="007F6BF3">
            <w:pPr>
              <w:pStyle w:val="P68B1DB1-Normal12"/>
              <w:spacing w:after="0" w:line="240" w:lineRule="auto"/>
              <w:jc w:val="center"/>
              <w:rPr>
                <w:rFonts w:eastAsia="Times New Roman" w:cstheme="minorHAnsi"/>
                <w:noProof/>
              </w:rPr>
            </w:pPr>
            <w:r>
              <w:rPr>
                <w:noProof/>
              </w:rPr>
              <w:t xml:space="preserve">105 000 </w:t>
            </w:r>
          </w:p>
        </w:tc>
        <w:tc>
          <w:tcPr>
            <w:tcW w:w="567" w:type="dxa"/>
            <w:shd w:val="clear" w:color="auto" w:fill="C4EFCE"/>
            <w:noWrap/>
            <w:vAlign w:val="center"/>
          </w:tcPr>
          <w:p w14:paraId="20377C57" w14:textId="6049AE31" w:rsidR="00154AD2" w:rsidRDefault="007F6BF3">
            <w:pPr>
              <w:pStyle w:val="P68B1DB1-Normal12"/>
              <w:spacing w:after="0" w:line="240" w:lineRule="auto"/>
              <w:jc w:val="center"/>
              <w:rPr>
                <w:rFonts w:eastAsia="Times New Roman" w:cstheme="minorHAnsi"/>
                <w:noProof/>
              </w:rPr>
            </w:pPr>
            <w:r>
              <w:rPr>
                <w:noProof/>
              </w:rPr>
              <w:t>ΤΡΊΜΗΝΟ 4</w:t>
            </w:r>
          </w:p>
        </w:tc>
        <w:tc>
          <w:tcPr>
            <w:tcW w:w="708" w:type="dxa"/>
            <w:shd w:val="clear" w:color="auto" w:fill="C4EFCE"/>
            <w:noWrap/>
            <w:vAlign w:val="center"/>
          </w:tcPr>
          <w:p w14:paraId="0BA9E64F" w14:textId="05AC713C" w:rsidR="00154AD2" w:rsidRDefault="007F6BF3">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4380BFB2" w14:textId="453CB997" w:rsidR="00154AD2" w:rsidRDefault="007F6BF3">
            <w:pPr>
              <w:pStyle w:val="P68B1DB1-CommentText21"/>
              <w:spacing w:line="240" w:lineRule="auto"/>
              <w:rPr>
                <w:rFonts w:cstheme="minorBidi"/>
                <w:noProof/>
              </w:rPr>
            </w:pPr>
            <w:r>
              <w:rPr>
                <w:noProof/>
              </w:rPr>
              <w:t>Συνολική έκταση 105 000 τετραγωνικών μέτρων εντός των δημόσιων κτιρίων υποβάλλονται σε ανακαινίσεις ενεργειακής απόδοσης.</w:t>
            </w:r>
          </w:p>
          <w:p w14:paraId="0FF509DE" w14:textId="5DF839FB" w:rsidR="00154AD2" w:rsidRDefault="007F6BF3">
            <w:pPr>
              <w:pStyle w:val="P68B1DB1-Bodytext1013"/>
              <w:spacing w:after="0" w:line="240" w:lineRule="auto"/>
              <w:jc w:val="both"/>
              <w:rPr>
                <w:rFonts w:cstheme="minorBidi"/>
                <w:noProof/>
              </w:rPr>
            </w:pPr>
            <w:r>
              <w:rPr>
                <w:noProof/>
              </w:rPr>
              <w:t>Οι ανακαινίσεις ενεργειακής απόδοσης επιτυγχάνουν, κατά μέσο όρο, τουλάχιστον μεσαίας κλίμακας ανακαίνιση, όπως ορίζεται στη σύσταση της Επιτροπής για την ανακαίνιση κτιρίων (ΕΕ) 2019/786.</w:t>
            </w:r>
          </w:p>
        </w:tc>
      </w:tr>
      <w:tr w:rsidR="00154AD2" w14:paraId="58D7856D" w14:textId="77777777">
        <w:trPr>
          <w:trHeight w:val="430"/>
        </w:trPr>
        <w:tc>
          <w:tcPr>
            <w:tcW w:w="1135" w:type="dxa"/>
            <w:shd w:val="clear" w:color="auto" w:fill="C4EFCE"/>
            <w:vAlign w:val="center"/>
          </w:tcPr>
          <w:p w14:paraId="2251B7BA" w14:textId="61C2CEA5" w:rsidR="00154AD2" w:rsidRDefault="007F6BF3">
            <w:pPr>
              <w:pStyle w:val="P68B1DB1-Normal11"/>
              <w:spacing w:after="0" w:line="240" w:lineRule="auto"/>
              <w:jc w:val="center"/>
              <w:rPr>
                <w:rFonts w:eastAsia="Times New Roman" w:cstheme="minorHAnsi"/>
                <w:noProof/>
              </w:rPr>
            </w:pPr>
            <w:r>
              <w:rPr>
                <w:noProof/>
              </w:rPr>
              <w:t>21.7</w:t>
            </w:r>
          </w:p>
        </w:tc>
        <w:tc>
          <w:tcPr>
            <w:tcW w:w="1276" w:type="dxa"/>
            <w:shd w:val="clear" w:color="auto" w:fill="C4EFCE"/>
            <w:noWrap/>
            <w:vAlign w:val="center"/>
          </w:tcPr>
          <w:p w14:paraId="34021876" w14:textId="08C5790C" w:rsidR="00154AD2" w:rsidRDefault="007F6BF3">
            <w:pPr>
              <w:pStyle w:val="P68B1DB1-Bodytext1013"/>
              <w:rPr>
                <w:rFonts w:eastAsia="Times New Roman félkövér" w:cstheme="minorHAnsi"/>
                <w:noProof/>
              </w:rPr>
            </w:pPr>
            <w:r>
              <w:rPr>
                <w:noProof/>
              </w:rPr>
              <w:t>RP-C21-r43</w:t>
            </w:r>
          </w:p>
        </w:tc>
        <w:tc>
          <w:tcPr>
            <w:tcW w:w="1134" w:type="dxa"/>
            <w:shd w:val="clear" w:color="auto" w:fill="C4EFCE"/>
            <w:noWrap/>
            <w:vAlign w:val="center"/>
          </w:tcPr>
          <w:p w14:paraId="4F71420E" w14:textId="56F3F28B" w:rsidR="00154AD2" w:rsidRDefault="007F6BF3">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46FFEF19" w14:textId="67ACAB84" w:rsidR="00154AD2" w:rsidRDefault="007F6BF3">
            <w:pPr>
              <w:pStyle w:val="P68B1DB1-Normal12"/>
              <w:spacing w:after="0" w:line="240" w:lineRule="auto"/>
              <w:jc w:val="center"/>
              <w:rPr>
                <w:rFonts w:eastAsia="Times New Roman" w:cstheme="minorHAnsi"/>
                <w:noProof/>
              </w:rPr>
            </w:pPr>
            <w:r>
              <w:rPr>
                <w:noProof/>
              </w:rPr>
              <w:t>Έναρξη ισχύος της νομοθεσίας για την ίδρυση του Εθνικού Παρατηρητηρίου Ενεργειακής Φτώχειας (ONPE)</w:t>
            </w:r>
          </w:p>
        </w:tc>
        <w:tc>
          <w:tcPr>
            <w:tcW w:w="1275" w:type="dxa"/>
            <w:shd w:val="clear" w:color="auto" w:fill="C4EFCE"/>
            <w:noWrap/>
            <w:vAlign w:val="center"/>
          </w:tcPr>
          <w:p w14:paraId="63846E04" w14:textId="72701C97" w:rsidR="00154AD2" w:rsidRDefault="007F6BF3">
            <w:pPr>
              <w:pStyle w:val="P68B1DB1-Normal12"/>
              <w:spacing w:after="0" w:line="240" w:lineRule="auto"/>
              <w:jc w:val="center"/>
              <w:rPr>
                <w:noProof/>
              </w:rPr>
            </w:pPr>
            <w:r>
              <w:rPr>
                <w:noProof/>
              </w:rPr>
              <w:t xml:space="preserve">Διάταξη της νομοθετικής πράξης που αναφέρει την έναρξη ισχύος της νομοθεσίας </w:t>
            </w:r>
          </w:p>
        </w:tc>
        <w:tc>
          <w:tcPr>
            <w:tcW w:w="993" w:type="dxa"/>
            <w:shd w:val="clear" w:color="auto" w:fill="C4EFCE"/>
            <w:noWrap/>
            <w:vAlign w:val="center"/>
          </w:tcPr>
          <w:p w14:paraId="6A7D8AC8"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6D421A1B" w14:textId="45638A68" w:rsidR="00154AD2" w:rsidRDefault="007F6BF3">
            <w:pPr>
              <w:pStyle w:val="P68B1DB1-Normal12"/>
              <w:spacing w:after="0" w:line="240" w:lineRule="auto"/>
              <w:jc w:val="center"/>
              <w:rPr>
                <w:rFonts w:eastAsia="Times New Roman" w:cstheme="minorHAnsi"/>
                <w:noProof/>
              </w:rPr>
            </w:pPr>
            <w:r>
              <w:rPr>
                <w:noProof/>
              </w:rPr>
              <w:t xml:space="preserve"> </w:t>
            </w:r>
          </w:p>
        </w:tc>
        <w:tc>
          <w:tcPr>
            <w:tcW w:w="992" w:type="dxa"/>
            <w:shd w:val="clear" w:color="auto" w:fill="C4EFCE"/>
            <w:noWrap/>
            <w:vAlign w:val="center"/>
          </w:tcPr>
          <w:p w14:paraId="1BF07CE4" w14:textId="77777777" w:rsidR="00154AD2" w:rsidRDefault="00154AD2">
            <w:pPr>
              <w:spacing w:after="0" w:line="240" w:lineRule="auto"/>
              <w:jc w:val="center"/>
              <w:rPr>
                <w:rFonts w:eastAsia="Times New Roman" w:cstheme="minorHAnsi"/>
                <w:noProof/>
                <w:sz w:val="16"/>
              </w:rPr>
            </w:pPr>
          </w:p>
        </w:tc>
        <w:tc>
          <w:tcPr>
            <w:tcW w:w="567" w:type="dxa"/>
            <w:shd w:val="clear" w:color="auto" w:fill="C4EFCE"/>
            <w:noWrap/>
            <w:vAlign w:val="center"/>
          </w:tcPr>
          <w:p w14:paraId="73F3ECB3" w14:textId="16C19931" w:rsidR="00154AD2" w:rsidRDefault="007F6BF3">
            <w:pPr>
              <w:pStyle w:val="P68B1DB1-Normal12"/>
              <w:spacing w:after="0" w:line="240" w:lineRule="auto"/>
              <w:jc w:val="center"/>
              <w:rPr>
                <w:rFonts w:eastAsia="Times New Roman" w:cstheme="minorHAnsi"/>
                <w:noProof/>
              </w:rPr>
            </w:pPr>
            <w:r>
              <w:rPr>
                <w:noProof/>
              </w:rPr>
              <w:t>ΤΡΊΜΗΝΟ 3</w:t>
            </w:r>
          </w:p>
        </w:tc>
        <w:tc>
          <w:tcPr>
            <w:tcW w:w="708" w:type="dxa"/>
            <w:shd w:val="clear" w:color="auto" w:fill="C4EFCE"/>
            <w:noWrap/>
            <w:vAlign w:val="center"/>
          </w:tcPr>
          <w:p w14:paraId="6FCC7FDE" w14:textId="1C1EA560" w:rsidR="00154AD2" w:rsidRDefault="007F6BF3">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135256C5" w14:textId="58D90D2E" w:rsidR="00154AD2" w:rsidRDefault="007F6BF3">
            <w:pPr>
              <w:pStyle w:val="P68B1DB1-Normal12"/>
              <w:spacing w:after="0" w:line="240" w:lineRule="auto"/>
              <w:jc w:val="both"/>
              <w:rPr>
                <w:rFonts w:eastAsia="Times New Roman"/>
                <w:noProof/>
              </w:rPr>
            </w:pPr>
            <w:r>
              <w:rPr>
                <w:noProof/>
              </w:rPr>
              <w:t>Έναρξη ισχύος της νομοθεσίας για τη σύσταση του Εθνικού Παρατηρητηρίου Ενεργειακής Φτώχειας (ONPE), συμπεριλαμβανομένου του ορισμού της διακυβέρνησης, των αρμοδιοτήτων και των σκοπών, όπως προσδιορίζονται στην περιγραφή του μέτρου.</w:t>
            </w:r>
          </w:p>
        </w:tc>
      </w:tr>
      <w:tr w:rsidR="00154AD2" w14:paraId="516DA8F8" w14:textId="77777777">
        <w:trPr>
          <w:trHeight w:val="430"/>
        </w:trPr>
        <w:tc>
          <w:tcPr>
            <w:tcW w:w="1135" w:type="dxa"/>
            <w:shd w:val="clear" w:color="auto" w:fill="C4EFCE"/>
            <w:vAlign w:val="center"/>
          </w:tcPr>
          <w:p w14:paraId="34B69183" w14:textId="15D64060" w:rsidR="00154AD2" w:rsidRDefault="007F6BF3">
            <w:pPr>
              <w:pStyle w:val="P68B1DB1-Normal11"/>
              <w:spacing w:after="0" w:line="240" w:lineRule="auto"/>
              <w:jc w:val="center"/>
              <w:rPr>
                <w:rFonts w:eastAsia="Times New Roman" w:cstheme="minorHAnsi"/>
                <w:noProof/>
              </w:rPr>
            </w:pPr>
            <w:r>
              <w:rPr>
                <w:noProof/>
              </w:rPr>
              <w:t>21.8</w:t>
            </w:r>
          </w:p>
        </w:tc>
        <w:tc>
          <w:tcPr>
            <w:tcW w:w="1276" w:type="dxa"/>
            <w:shd w:val="clear" w:color="auto" w:fill="C4EFCE"/>
            <w:noWrap/>
            <w:vAlign w:val="center"/>
          </w:tcPr>
          <w:p w14:paraId="5AF91C70" w14:textId="57FF3B22" w:rsidR="00154AD2" w:rsidRDefault="007F6BF3">
            <w:pPr>
              <w:pStyle w:val="P68B1DB1-Normal12"/>
              <w:spacing w:after="0" w:line="240" w:lineRule="auto"/>
              <w:jc w:val="center"/>
              <w:rPr>
                <w:rFonts w:eastAsia="Times New Roman" w:cstheme="minorHAnsi"/>
                <w:noProof/>
              </w:rPr>
            </w:pPr>
            <w:r>
              <w:rPr>
                <w:noProof/>
              </w:rPr>
              <w:t>RP-C21-r43</w:t>
            </w:r>
          </w:p>
        </w:tc>
        <w:tc>
          <w:tcPr>
            <w:tcW w:w="1134" w:type="dxa"/>
            <w:shd w:val="clear" w:color="auto" w:fill="C4EFCE"/>
            <w:noWrap/>
            <w:vAlign w:val="center"/>
          </w:tcPr>
          <w:p w14:paraId="21C4EA54" w14:textId="0E98EABF" w:rsidR="00154AD2" w:rsidRDefault="007F6BF3">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1A5E52BD" w14:textId="730B2BA6" w:rsidR="00154AD2" w:rsidRDefault="007F6BF3">
            <w:pPr>
              <w:pStyle w:val="P68B1DB1-Normal12"/>
              <w:spacing w:after="0" w:line="240" w:lineRule="auto"/>
              <w:jc w:val="center"/>
              <w:rPr>
                <w:rFonts w:eastAsia="Times New Roman"/>
                <w:noProof/>
              </w:rPr>
            </w:pPr>
            <w:r>
              <w:rPr>
                <w:noProof/>
              </w:rPr>
              <w:t>Δρομολόγηση του χρηματοδοτικού μέσου για την αντιμετώπιση της ενεργειακής φτώχειας</w:t>
            </w:r>
          </w:p>
        </w:tc>
        <w:tc>
          <w:tcPr>
            <w:tcW w:w="1275" w:type="dxa"/>
            <w:shd w:val="clear" w:color="auto" w:fill="C4EFCE"/>
            <w:noWrap/>
            <w:vAlign w:val="center"/>
          </w:tcPr>
          <w:p w14:paraId="2F98D54F" w14:textId="6858B98B" w:rsidR="00154AD2" w:rsidRDefault="007F6BF3">
            <w:pPr>
              <w:pStyle w:val="P68B1DB1-Normal12"/>
              <w:spacing w:after="0" w:line="240" w:lineRule="auto"/>
              <w:jc w:val="center"/>
              <w:rPr>
                <w:noProof/>
              </w:rPr>
            </w:pPr>
            <w:r>
              <w:rPr>
                <w:noProof/>
              </w:rPr>
              <w:t>Δρομολόγηση του χρηματοδοτικού μέσου για την αντιμετώπιση της ενεργειακής φτώχειας</w:t>
            </w:r>
          </w:p>
        </w:tc>
        <w:tc>
          <w:tcPr>
            <w:tcW w:w="993" w:type="dxa"/>
            <w:shd w:val="clear" w:color="auto" w:fill="C4EFCE"/>
            <w:noWrap/>
            <w:vAlign w:val="center"/>
          </w:tcPr>
          <w:p w14:paraId="153BF777"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389159D0"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3B2F4246" w14:textId="77777777" w:rsidR="00154AD2" w:rsidRDefault="00154AD2">
            <w:pPr>
              <w:spacing w:after="0" w:line="240" w:lineRule="auto"/>
              <w:jc w:val="center"/>
              <w:rPr>
                <w:rFonts w:eastAsia="Times New Roman" w:cstheme="minorHAnsi"/>
                <w:noProof/>
                <w:sz w:val="16"/>
              </w:rPr>
            </w:pPr>
          </w:p>
        </w:tc>
        <w:tc>
          <w:tcPr>
            <w:tcW w:w="567" w:type="dxa"/>
            <w:shd w:val="clear" w:color="auto" w:fill="C4EFCE"/>
            <w:noWrap/>
            <w:vAlign w:val="center"/>
          </w:tcPr>
          <w:p w14:paraId="1F0E5CBC" w14:textId="5963C01D" w:rsidR="00154AD2" w:rsidRDefault="007F6BF3">
            <w:pPr>
              <w:pStyle w:val="P68B1DB1-Normal12"/>
              <w:spacing w:after="0" w:line="240" w:lineRule="auto"/>
              <w:jc w:val="center"/>
              <w:rPr>
                <w:rFonts w:eastAsia="Times New Roman" w:cstheme="minorHAnsi"/>
                <w:noProof/>
              </w:rPr>
            </w:pPr>
            <w:r>
              <w:rPr>
                <w:noProof/>
              </w:rPr>
              <w:t>ΤΡΊΜΗΝΟ 1</w:t>
            </w:r>
          </w:p>
        </w:tc>
        <w:tc>
          <w:tcPr>
            <w:tcW w:w="708" w:type="dxa"/>
            <w:shd w:val="clear" w:color="auto" w:fill="C4EFCE"/>
            <w:noWrap/>
            <w:vAlign w:val="center"/>
          </w:tcPr>
          <w:p w14:paraId="050861F5" w14:textId="62CDF1FF" w:rsidR="00154AD2" w:rsidRDefault="007F6BF3">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2DA29653" w14:textId="4B8FCA14" w:rsidR="00154AD2" w:rsidRDefault="007F6BF3">
            <w:pPr>
              <w:pStyle w:val="P68B1DB1-Normal12"/>
              <w:spacing w:after="0" w:line="240" w:lineRule="auto"/>
              <w:jc w:val="both"/>
              <w:rPr>
                <w:rFonts w:eastAsia="Times New Roman"/>
                <w:noProof/>
              </w:rPr>
            </w:pPr>
            <w:r>
              <w:rPr>
                <w:noProof/>
              </w:rPr>
              <w:t>Δρομολόγηση χρηματοδοτικού μέσου για μέτρα ενεργειακής απόδοσης στον οικιακό τομέα με σκοπό την αντιμετώπιση της ενεργειακής φτώχειας για τα προσδιορισμένα προφίλ νοικοκυριών. Αυτό εγκρίνεται είτε με την έναρξη ισχύος της σχετικής νομοθεσίας είτε με την έκδοση απόφασης από χρηματοπιστωτικό ίδρυμα.</w:t>
            </w:r>
          </w:p>
        </w:tc>
      </w:tr>
      <w:tr w:rsidR="00154AD2" w14:paraId="76ADC491" w14:textId="77777777">
        <w:trPr>
          <w:trHeight w:val="430"/>
        </w:trPr>
        <w:tc>
          <w:tcPr>
            <w:tcW w:w="1135" w:type="dxa"/>
            <w:shd w:val="clear" w:color="auto" w:fill="C4EFCE"/>
            <w:vAlign w:val="center"/>
          </w:tcPr>
          <w:p w14:paraId="624C6CC1" w14:textId="2FA7289B" w:rsidR="00154AD2" w:rsidRDefault="007F6BF3">
            <w:pPr>
              <w:pStyle w:val="P68B1DB1-Normal11"/>
              <w:spacing w:after="0" w:line="240" w:lineRule="auto"/>
              <w:jc w:val="center"/>
              <w:rPr>
                <w:rFonts w:eastAsia="Times New Roman" w:cstheme="minorHAnsi"/>
                <w:noProof/>
              </w:rPr>
            </w:pPr>
            <w:r>
              <w:rPr>
                <w:noProof/>
              </w:rPr>
              <w:t>21.9</w:t>
            </w:r>
          </w:p>
        </w:tc>
        <w:tc>
          <w:tcPr>
            <w:tcW w:w="1276" w:type="dxa"/>
            <w:shd w:val="clear" w:color="auto" w:fill="C4EFCE"/>
            <w:noWrap/>
            <w:vAlign w:val="center"/>
          </w:tcPr>
          <w:p w14:paraId="28F5253F" w14:textId="3B061D31" w:rsidR="00154AD2" w:rsidRDefault="007F6BF3">
            <w:pPr>
              <w:pStyle w:val="P68B1DB1-Normal12"/>
              <w:spacing w:after="0" w:line="240" w:lineRule="auto"/>
              <w:jc w:val="center"/>
              <w:rPr>
                <w:rFonts w:eastAsia="Times New Roman" w:cstheme="minorHAnsi"/>
                <w:noProof/>
              </w:rPr>
            </w:pPr>
            <w:r>
              <w:rPr>
                <w:noProof/>
              </w:rPr>
              <w:t>RP-C21-r44</w:t>
            </w:r>
          </w:p>
        </w:tc>
        <w:tc>
          <w:tcPr>
            <w:tcW w:w="1134" w:type="dxa"/>
            <w:shd w:val="clear" w:color="auto" w:fill="C4EFCE"/>
            <w:noWrap/>
            <w:vAlign w:val="center"/>
          </w:tcPr>
          <w:p w14:paraId="5FA2A266" w14:textId="7A8ACAE4" w:rsidR="00154AD2" w:rsidRDefault="007F6BF3">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7D3D0BF3" w14:textId="399683E4" w:rsidR="00154AD2" w:rsidRDefault="007F6BF3">
            <w:pPr>
              <w:pStyle w:val="P68B1DB1-Normal12"/>
              <w:spacing w:after="0" w:line="240" w:lineRule="auto"/>
              <w:jc w:val="center"/>
              <w:rPr>
                <w:rFonts w:eastAsia="Times New Roman" w:cstheme="minorHAnsi"/>
                <w:noProof/>
              </w:rPr>
            </w:pPr>
            <w:r>
              <w:rPr>
                <w:noProof/>
              </w:rPr>
              <w:t>Υπογραφή πρωτοκόλλου συνεργασίας</w:t>
            </w:r>
          </w:p>
        </w:tc>
        <w:tc>
          <w:tcPr>
            <w:tcW w:w="1275" w:type="dxa"/>
            <w:shd w:val="clear" w:color="auto" w:fill="C4EFCE"/>
            <w:noWrap/>
            <w:vAlign w:val="center"/>
          </w:tcPr>
          <w:p w14:paraId="2A0074DF" w14:textId="5E4E8D6E" w:rsidR="00154AD2" w:rsidRDefault="007F6BF3">
            <w:pPr>
              <w:pStyle w:val="P68B1DB1-Normal12"/>
              <w:spacing w:after="0" w:line="240" w:lineRule="auto"/>
              <w:jc w:val="center"/>
              <w:rPr>
                <w:rFonts w:eastAsia="Times New Roman" w:cstheme="minorHAnsi"/>
                <w:noProof/>
              </w:rPr>
            </w:pPr>
            <w:r>
              <w:rPr>
                <w:noProof/>
              </w:rPr>
              <w:t>Υπογραφή πρωτοκόλλου συνεργασίας</w:t>
            </w:r>
          </w:p>
        </w:tc>
        <w:tc>
          <w:tcPr>
            <w:tcW w:w="993" w:type="dxa"/>
            <w:shd w:val="clear" w:color="auto" w:fill="C4EFCE"/>
            <w:noWrap/>
            <w:vAlign w:val="center"/>
          </w:tcPr>
          <w:p w14:paraId="6E9051C5"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319DECB3" w14:textId="0694995E" w:rsidR="00154AD2" w:rsidRDefault="007F6BF3">
            <w:pPr>
              <w:pStyle w:val="P68B1DB1-Normal12"/>
              <w:spacing w:after="0" w:line="240" w:lineRule="auto"/>
              <w:jc w:val="center"/>
              <w:rPr>
                <w:rFonts w:eastAsia="Times New Roman" w:cstheme="minorHAnsi"/>
                <w:noProof/>
              </w:rPr>
            </w:pPr>
            <w:r>
              <w:rPr>
                <w:noProof/>
              </w:rPr>
              <w:t xml:space="preserve"> </w:t>
            </w:r>
          </w:p>
        </w:tc>
        <w:tc>
          <w:tcPr>
            <w:tcW w:w="992" w:type="dxa"/>
            <w:shd w:val="clear" w:color="auto" w:fill="C4EFCE"/>
            <w:noWrap/>
            <w:vAlign w:val="center"/>
          </w:tcPr>
          <w:p w14:paraId="128E6BDE" w14:textId="77777777" w:rsidR="00154AD2" w:rsidRDefault="00154AD2">
            <w:pPr>
              <w:spacing w:after="0" w:line="240" w:lineRule="auto"/>
              <w:jc w:val="center"/>
              <w:rPr>
                <w:rFonts w:eastAsia="Times New Roman" w:cstheme="minorHAnsi"/>
                <w:noProof/>
                <w:sz w:val="16"/>
              </w:rPr>
            </w:pPr>
          </w:p>
        </w:tc>
        <w:tc>
          <w:tcPr>
            <w:tcW w:w="567" w:type="dxa"/>
            <w:shd w:val="clear" w:color="auto" w:fill="C4EFCE"/>
            <w:noWrap/>
            <w:vAlign w:val="center"/>
          </w:tcPr>
          <w:p w14:paraId="7CCCD925" w14:textId="0DCC6DEA" w:rsidR="00154AD2" w:rsidRDefault="007F6BF3">
            <w:pPr>
              <w:pStyle w:val="P68B1DB1-Normal12"/>
              <w:spacing w:after="0" w:line="240" w:lineRule="auto"/>
              <w:jc w:val="center"/>
              <w:rPr>
                <w:rFonts w:eastAsia="Times New Roman" w:cstheme="minorHAnsi"/>
                <w:noProof/>
              </w:rPr>
            </w:pPr>
            <w:r>
              <w:rPr>
                <w:noProof/>
              </w:rPr>
              <w:t>ΤΡΊΜΗΝΟ 4</w:t>
            </w:r>
          </w:p>
        </w:tc>
        <w:tc>
          <w:tcPr>
            <w:tcW w:w="708" w:type="dxa"/>
            <w:shd w:val="clear" w:color="auto" w:fill="C4EFCE"/>
            <w:noWrap/>
            <w:vAlign w:val="center"/>
          </w:tcPr>
          <w:p w14:paraId="59B354CE" w14:textId="76A15769" w:rsidR="00154AD2" w:rsidRDefault="007F6BF3">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4FC9401F" w14:textId="75CF6D2B" w:rsidR="00154AD2" w:rsidRDefault="007F6BF3">
            <w:pPr>
              <w:pStyle w:val="P68B1DB1-Normal12"/>
              <w:spacing w:after="0" w:line="240" w:lineRule="auto"/>
              <w:jc w:val="both"/>
              <w:rPr>
                <w:rFonts w:eastAsia="Times New Roman"/>
                <w:noProof/>
              </w:rPr>
            </w:pPr>
            <w:r>
              <w:rPr>
                <w:noProof/>
              </w:rPr>
              <w:t xml:space="preserve">Υπογραφή πρωτοκόλλου συνεργασίας μεταξύ της Agência para a Energia (ADENE), της Associação Nacional de Freguesias (Anafre) και της Rede Nacional de Agências de Energia (RNAE), της Associação Nacional de Municípios (ANMP) και της Confederação Nacional de Instituições de Solidariedade (CNIS) για τη δημιουργία του </w:t>
            </w:r>
            <w:r>
              <w:rPr>
                <w:i/>
                <w:noProof/>
              </w:rPr>
              <w:t>Espaços Cidadão Energia</w:t>
            </w:r>
            <w:r>
              <w:rPr>
                <w:noProof/>
              </w:rPr>
              <w:t xml:space="preserve">, και προσδιορισμός των καθηκόντων τους, της διακυβέρνησης και της δομής χρηματοδότησης. </w:t>
            </w:r>
          </w:p>
        </w:tc>
      </w:tr>
      <w:tr w:rsidR="00154AD2" w14:paraId="4405AF92" w14:textId="77777777">
        <w:trPr>
          <w:trHeight w:val="430"/>
        </w:trPr>
        <w:tc>
          <w:tcPr>
            <w:tcW w:w="1135" w:type="dxa"/>
            <w:shd w:val="clear" w:color="auto" w:fill="C4EFCE"/>
            <w:vAlign w:val="center"/>
          </w:tcPr>
          <w:p w14:paraId="6F3D3865" w14:textId="0376A8B8" w:rsidR="00154AD2" w:rsidRDefault="007F6BF3">
            <w:pPr>
              <w:pStyle w:val="P68B1DB1-Normal11"/>
              <w:spacing w:after="0" w:line="240" w:lineRule="auto"/>
              <w:jc w:val="center"/>
              <w:rPr>
                <w:rFonts w:eastAsia="Times New Roman" w:cstheme="minorHAnsi"/>
                <w:noProof/>
              </w:rPr>
            </w:pPr>
            <w:r>
              <w:rPr>
                <w:noProof/>
              </w:rPr>
              <w:t>21.10</w:t>
            </w:r>
          </w:p>
        </w:tc>
        <w:tc>
          <w:tcPr>
            <w:tcW w:w="1276" w:type="dxa"/>
            <w:shd w:val="clear" w:color="auto" w:fill="C4EFCE"/>
            <w:noWrap/>
            <w:vAlign w:val="center"/>
          </w:tcPr>
          <w:p w14:paraId="1AA96F0F" w14:textId="1A78FB1D" w:rsidR="00154AD2" w:rsidRDefault="007F6BF3">
            <w:pPr>
              <w:pStyle w:val="P68B1DB1-Normal12"/>
              <w:spacing w:after="0" w:line="240" w:lineRule="auto"/>
              <w:jc w:val="center"/>
              <w:rPr>
                <w:rFonts w:eastAsia="Times New Roman" w:cstheme="minorHAnsi"/>
                <w:noProof/>
              </w:rPr>
            </w:pPr>
            <w:r>
              <w:rPr>
                <w:noProof/>
              </w:rPr>
              <w:t>RP-C21-r44</w:t>
            </w:r>
          </w:p>
        </w:tc>
        <w:tc>
          <w:tcPr>
            <w:tcW w:w="1134" w:type="dxa"/>
            <w:shd w:val="clear" w:color="auto" w:fill="C4EFCE"/>
            <w:noWrap/>
            <w:vAlign w:val="center"/>
          </w:tcPr>
          <w:p w14:paraId="7116495E" w14:textId="1A4294A4" w:rsidR="00154AD2" w:rsidRDefault="007F6BF3">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7F09A0D1" w14:textId="2A3C94D4" w:rsidR="00154AD2" w:rsidRDefault="007F6BF3">
            <w:pPr>
              <w:pStyle w:val="P68B1DB1-Normal12"/>
              <w:spacing w:after="0" w:line="240" w:lineRule="auto"/>
              <w:jc w:val="center"/>
              <w:rPr>
                <w:rFonts w:eastAsia="Times New Roman" w:cstheme="minorHAnsi"/>
                <w:noProof/>
              </w:rPr>
            </w:pPr>
            <w:r>
              <w:rPr>
                <w:noProof/>
              </w:rPr>
              <w:t>Δράσεις ανάπτυξης ικανοτήτων</w:t>
            </w:r>
          </w:p>
        </w:tc>
        <w:tc>
          <w:tcPr>
            <w:tcW w:w="1275" w:type="dxa"/>
            <w:shd w:val="clear" w:color="auto" w:fill="C4EFCE"/>
            <w:noWrap/>
            <w:vAlign w:val="center"/>
          </w:tcPr>
          <w:p w14:paraId="2F6B73ED" w14:textId="32E45BCB" w:rsidR="00154AD2" w:rsidRDefault="007F6BF3">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484B2AA2" w14:textId="7DA23D0E" w:rsidR="00154AD2" w:rsidRDefault="007F6BF3">
            <w:pPr>
              <w:pStyle w:val="P68B1DB1-Normal12"/>
              <w:spacing w:after="0" w:line="240" w:lineRule="auto"/>
              <w:jc w:val="center"/>
              <w:rPr>
                <w:rFonts w:eastAsia="Times New Roman" w:cstheme="minorHAnsi"/>
                <w:noProof/>
              </w:rPr>
            </w:pPr>
            <w:r>
              <w:rPr>
                <w:noProof/>
              </w:rPr>
              <w:t>Αριθμός</w:t>
            </w:r>
          </w:p>
        </w:tc>
        <w:tc>
          <w:tcPr>
            <w:tcW w:w="992" w:type="dxa"/>
            <w:shd w:val="clear" w:color="auto" w:fill="C4EFCE"/>
            <w:noWrap/>
            <w:vAlign w:val="center"/>
          </w:tcPr>
          <w:p w14:paraId="06AF5309" w14:textId="540D38C5" w:rsidR="00154AD2" w:rsidRDefault="007F6BF3">
            <w:pPr>
              <w:pStyle w:val="P68B1DB1-Normal12"/>
              <w:spacing w:after="0" w:line="240" w:lineRule="auto"/>
              <w:jc w:val="center"/>
              <w:rPr>
                <w:rFonts w:eastAsia="Times New Roman" w:cstheme="minorHAnsi"/>
                <w:noProof/>
              </w:rPr>
            </w:pPr>
            <w:r>
              <w:rPr>
                <w:noProof/>
              </w:rPr>
              <w:t xml:space="preserve"> 0</w:t>
            </w:r>
          </w:p>
        </w:tc>
        <w:tc>
          <w:tcPr>
            <w:tcW w:w="992" w:type="dxa"/>
            <w:shd w:val="clear" w:color="auto" w:fill="C4EFCE"/>
            <w:noWrap/>
            <w:vAlign w:val="center"/>
          </w:tcPr>
          <w:p w14:paraId="0F112D01" w14:textId="1A47D2FB" w:rsidR="00154AD2" w:rsidRDefault="007F6BF3">
            <w:pPr>
              <w:pStyle w:val="P68B1DB1-Normal12"/>
              <w:spacing w:after="0" w:line="240" w:lineRule="auto"/>
              <w:jc w:val="center"/>
              <w:rPr>
                <w:rFonts w:eastAsia="Times New Roman" w:cstheme="minorHAnsi"/>
                <w:noProof/>
              </w:rPr>
            </w:pPr>
            <w:r>
              <w:rPr>
                <w:noProof/>
              </w:rPr>
              <w:t xml:space="preserve">300 </w:t>
            </w:r>
          </w:p>
        </w:tc>
        <w:tc>
          <w:tcPr>
            <w:tcW w:w="567" w:type="dxa"/>
            <w:shd w:val="clear" w:color="auto" w:fill="C4EFCE"/>
            <w:noWrap/>
            <w:vAlign w:val="center"/>
          </w:tcPr>
          <w:p w14:paraId="20F843B3" w14:textId="5075B2DC" w:rsidR="00154AD2" w:rsidRDefault="007F6BF3">
            <w:pPr>
              <w:pStyle w:val="P68B1DB1-Normal12"/>
              <w:spacing w:after="0" w:line="240" w:lineRule="auto"/>
              <w:jc w:val="center"/>
              <w:rPr>
                <w:rFonts w:eastAsia="Times New Roman" w:cstheme="minorHAnsi"/>
                <w:noProof/>
              </w:rPr>
            </w:pPr>
            <w:r>
              <w:rPr>
                <w:noProof/>
              </w:rPr>
              <w:t>ΤΡΊΜΗΝΟ 4</w:t>
            </w:r>
          </w:p>
        </w:tc>
        <w:tc>
          <w:tcPr>
            <w:tcW w:w="708" w:type="dxa"/>
            <w:shd w:val="clear" w:color="auto" w:fill="C4EFCE"/>
            <w:noWrap/>
            <w:vAlign w:val="center"/>
          </w:tcPr>
          <w:p w14:paraId="6F49F6AD" w14:textId="4E5B8D4B" w:rsidR="00154AD2" w:rsidRDefault="007F6BF3">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03894416" w14:textId="77ACECBF" w:rsidR="00154AD2" w:rsidRDefault="007F6BF3">
            <w:pPr>
              <w:pStyle w:val="P68B1DB1-Normal12"/>
              <w:spacing w:after="0" w:line="240" w:lineRule="auto"/>
              <w:jc w:val="both"/>
              <w:rPr>
                <w:rFonts w:eastAsia="Times New Roman"/>
                <w:noProof/>
              </w:rPr>
            </w:pPr>
            <w:r>
              <w:rPr>
                <w:noProof/>
              </w:rPr>
              <w:t xml:space="preserve">Στην </w:t>
            </w:r>
            <w:r>
              <w:rPr>
                <w:i/>
                <w:noProof/>
              </w:rPr>
              <w:t>Espaços Cidadão Energia</w:t>
            </w:r>
            <w:r>
              <w:rPr>
                <w:noProof/>
              </w:rPr>
              <w:t xml:space="preserve"> θα εκπαιδευτούν 300 ειδικευμένοι επαγγελματίες.</w:t>
            </w:r>
          </w:p>
        </w:tc>
      </w:tr>
      <w:tr w:rsidR="00154AD2" w14:paraId="44C003C4" w14:textId="77777777">
        <w:trPr>
          <w:trHeight w:val="430"/>
        </w:trPr>
        <w:tc>
          <w:tcPr>
            <w:tcW w:w="1135" w:type="dxa"/>
            <w:shd w:val="clear" w:color="auto" w:fill="C4EFCE"/>
            <w:vAlign w:val="center"/>
          </w:tcPr>
          <w:p w14:paraId="115B339E" w14:textId="18B4AA3F" w:rsidR="00154AD2" w:rsidRDefault="007F6BF3">
            <w:pPr>
              <w:pStyle w:val="P68B1DB1-Normal11"/>
              <w:spacing w:after="0" w:line="240" w:lineRule="auto"/>
              <w:jc w:val="center"/>
              <w:rPr>
                <w:rFonts w:eastAsia="Times New Roman" w:cstheme="minorHAnsi"/>
                <w:noProof/>
              </w:rPr>
            </w:pPr>
            <w:r>
              <w:rPr>
                <w:noProof/>
              </w:rPr>
              <w:t>21.11</w:t>
            </w:r>
          </w:p>
        </w:tc>
        <w:tc>
          <w:tcPr>
            <w:tcW w:w="1276" w:type="dxa"/>
            <w:shd w:val="clear" w:color="auto" w:fill="C4EFCE"/>
            <w:noWrap/>
            <w:vAlign w:val="center"/>
          </w:tcPr>
          <w:p w14:paraId="72D7DD9B" w14:textId="75022C6C" w:rsidR="00154AD2" w:rsidRDefault="007F6BF3">
            <w:pPr>
              <w:pStyle w:val="P68B1DB1-Normal12"/>
              <w:spacing w:after="0" w:line="240" w:lineRule="auto"/>
              <w:jc w:val="center"/>
              <w:rPr>
                <w:rFonts w:eastAsia="Times New Roman" w:cstheme="minorHAnsi"/>
                <w:noProof/>
              </w:rPr>
            </w:pPr>
            <w:r>
              <w:rPr>
                <w:noProof/>
              </w:rPr>
              <w:t>RP-C21-r44</w:t>
            </w:r>
          </w:p>
        </w:tc>
        <w:tc>
          <w:tcPr>
            <w:tcW w:w="1134" w:type="dxa"/>
            <w:shd w:val="clear" w:color="auto" w:fill="C4EFCE"/>
            <w:noWrap/>
            <w:vAlign w:val="center"/>
          </w:tcPr>
          <w:p w14:paraId="5E5D7FC3" w14:textId="589740CC" w:rsidR="00154AD2" w:rsidRDefault="007F6BF3">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43FB50CE" w14:textId="3D9DC0A1" w:rsidR="00154AD2" w:rsidRDefault="007F6BF3">
            <w:pPr>
              <w:pStyle w:val="P68B1DB1-Normal12"/>
              <w:spacing w:after="0" w:line="240" w:lineRule="auto"/>
              <w:jc w:val="center"/>
              <w:rPr>
                <w:rFonts w:eastAsia="Times New Roman" w:cstheme="minorHAnsi"/>
                <w:noProof/>
              </w:rPr>
            </w:pPr>
            <w:r>
              <w:rPr>
                <w:noProof/>
              </w:rPr>
              <w:t>Έναρξη λειτουργίας του Espaços Cidadão Energia</w:t>
            </w:r>
          </w:p>
        </w:tc>
        <w:tc>
          <w:tcPr>
            <w:tcW w:w="1275" w:type="dxa"/>
            <w:shd w:val="clear" w:color="auto" w:fill="C4EFCE"/>
            <w:noWrap/>
            <w:vAlign w:val="center"/>
          </w:tcPr>
          <w:p w14:paraId="1B57B712" w14:textId="77777777" w:rsidR="00154AD2" w:rsidRDefault="00154AD2">
            <w:pPr>
              <w:spacing w:after="0" w:line="240" w:lineRule="auto"/>
              <w:jc w:val="center"/>
              <w:rPr>
                <w:rFonts w:eastAsia="Times New Roman" w:cstheme="minorHAnsi"/>
                <w:noProof/>
                <w:sz w:val="16"/>
              </w:rPr>
            </w:pPr>
          </w:p>
        </w:tc>
        <w:tc>
          <w:tcPr>
            <w:tcW w:w="993" w:type="dxa"/>
            <w:shd w:val="clear" w:color="auto" w:fill="C4EFCE"/>
            <w:noWrap/>
            <w:vAlign w:val="center"/>
          </w:tcPr>
          <w:p w14:paraId="0F16E4EA" w14:textId="67F3B741" w:rsidR="00154AD2" w:rsidRDefault="007F6BF3">
            <w:pPr>
              <w:pStyle w:val="P68B1DB1-Normal12"/>
              <w:spacing w:after="0" w:line="240" w:lineRule="auto"/>
              <w:jc w:val="center"/>
              <w:rPr>
                <w:rFonts w:eastAsia="Times New Roman" w:cstheme="minorHAnsi"/>
                <w:noProof/>
              </w:rPr>
            </w:pPr>
            <w:r>
              <w:rPr>
                <w:noProof/>
              </w:rPr>
              <w:t>Αριθμός</w:t>
            </w:r>
          </w:p>
        </w:tc>
        <w:tc>
          <w:tcPr>
            <w:tcW w:w="992" w:type="dxa"/>
            <w:shd w:val="clear" w:color="auto" w:fill="C4EFCE"/>
            <w:noWrap/>
            <w:vAlign w:val="center"/>
          </w:tcPr>
          <w:p w14:paraId="7C58A166" w14:textId="0BCA1F7E" w:rsidR="00154AD2" w:rsidRDefault="007F6BF3">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6F34AF54" w14:textId="6426E74F" w:rsidR="00154AD2" w:rsidRDefault="007F6BF3">
            <w:pPr>
              <w:pStyle w:val="P68B1DB1-Normal12"/>
              <w:spacing w:after="0" w:line="240" w:lineRule="auto"/>
              <w:jc w:val="center"/>
              <w:rPr>
                <w:rFonts w:eastAsia="Times New Roman" w:cstheme="minorHAnsi"/>
                <w:noProof/>
              </w:rPr>
            </w:pPr>
            <w:r>
              <w:rPr>
                <w:noProof/>
              </w:rPr>
              <w:t>50</w:t>
            </w:r>
          </w:p>
        </w:tc>
        <w:tc>
          <w:tcPr>
            <w:tcW w:w="567" w:type="dxa"/>
            <w:shd w:val="clear" w:color="auto" w:fill="C4EFCE"/>
            <w:noWrap/>
            <w:vAlign w:val="center"/>
          </w:tcPr>
          <w:p w14:paraId="53370B4C" w14:textId="4384A6ED" w:rsidR="00154AD2" w:rsidRDefault="007F6BF3">
            <w:pPr>
              <w:pStyle w:val="P68B1DB1-Normal12"/>
              <w:spacing w:after="0" w:line="240" w:lineRule="auto"/>
              <w:jc w:val="center"/>
              <w:rPr>
                <w:rFonts w:eastAsia="Times New Roman" w:cstheme="minorHAnsi"/>
                <w:noProof/>
              </w:rPr>
            </w:pPr>
            <w:r>
              <w:rPr>
                <w:noProof/>
              </w:rPr>
              <w:t>ΤΡΊΜΗΝΟ 1</w:t>
            </w:r>
          </w:p>
        </w:tc>
        <w:tc>
          <w:tcPr>
            <w:tcW w:w="708" w:type="dxa"/>
            <w:shd w:val="clear" w:color="auto" w:fill="C4EFCE"/>
            <w:noWrap/>
            <w:vAlign w:val="center"/>
          </w:tcPr>
          <w:p w14:paraId="01B93E1A" w14:textId="5304BB25" w:rsidR="00154AD2" w:rsidRDefault="007F6BF3">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3A90169B" w14:textId="4CB3EEB6" w:rsidR="00154AD2" w:rsidRDefault="007F6BF3">
            <w:pPr>
              <w:pStyle w:val="P68B1DB1-Bodytext1013"/>
              <w:spacing w:after="0" w:line="240" w:lineRule="auto"/>
              <w:jc w:val="both"/>
              <w:rPr>
                <w:rFonts w:cstheme="minorBidi"/>
                <w:noProof/>
              </w:rPr>
            </w:pPr>
            <w:r>
              <w:rPr>
                <w:noProof/>
              </w:rPr>
              <w:t xml:space="preserve">50 η φυσική </w:t>
            </w:r>
            <w:r>
              <w:rPr>
                <w:i/>
                <w:noProof/>
              </w:rPr>
              <w:t xml:space="preserve">Espaços Cidadão Energia </w:t>
            </w:r>
            <w:r>
              <w:rPr>
                <w:noProof/>
              </w:rPr>
              <w:t>θα είναι επιχειρησιακή και ανοικτή στους πολίτες.</w:t>
            </w:r>
          </w:p>
        </w:tc>
      </w:tr>
      <w:tr w:rsidR="00154AD2" w14:paraId="7A001E81" w14:textId="77777777">
        <w:trPr>
          <w:trHeight w:val="430"/>
        </w:trPr>
        <w:tc>
          <w:tcPr>
            <w:tcW w:w="1135" w:type="dxa"/>
            <w:shd w:val="clear" w:color="auto" w:fill="C4EFCE"/>
            <w:vAlign w:val="center"/>
          </w:tcPr>
          <w:p w14:paraId="02453CBA" w14:textId="7EC4B509" w:rsidR="00154AD2" w:rsidRDefault="007F6BF3">
            <w:pPr>
              <w:pStyle w:val="P68B1DB1-Normal11"/>
              <w:spacing w:after="0" w:line="240" w:lineRule="auto"/>
              <w:jc w:val="center"/>
              <w:rPr>
                <w:rFonts w:eastAsia="Times New Roman" w:cstheme="minorHAnsi"/>
                <w:noProof/>
              </w:rPr>
            </w:pPr>
            <w:r>
              <w:rPr>
                <w:noProof/>
              </w:rPr>
              <w:t>21.12</w:t>
            </w:r>
          </w:p>
        </w:tc>
        <w:tc>
          <w:tcPr>
            <w:tcW w:w="1276" w:type="dxa"/>
            <w:shd w:val="clear" w:color="auto" w:fill="C4EFCE"/>
            <w:noWrap/>
            <w:vAlign w:val="center"/>
          </w:tcPr>
          <w:p w14:paraId="35376737" w14:textId="5B6224D0" w:rsidR="00154AD2" w:rsidRDefault="007F6BF3">
            <w:pPr>
              <w:pStyle w:val="P68B1DB1-Normal12"/>
              <w:spacing w:after="0" w:line="240" w:lineRule="auto"/>
              <w:jc w:val="center"/>
              <w:rPr>
                <w:rFonts w:eastAsia="Times New Roman" w:cstheme="minorHAnsi"/>
                <w:noProof/>
              </w:rPr>
            </w:pPr>
            <w:r>
              <w:rPr>
                <w:noProof/>
              </w:rPr>
              <w:t>RP-C21-i05</w:t>
            </w:r>
          </w:p>
        </w:tc>
        <w:tc>
          <w:tcPr>
            <w:tcW w:w="1134" w:type="dxa"/>
            <w:shd w:val="clear" w:color="auto" w:fill="C4EFCE"/>
            <w:noWrap/>
            <w:vAlign w:val="center"/>
          </w:tcPr>
          <w:p w14:paraId="297F72F0" w14:textId="5F2B13DB" w:rsidR="00154AD2" w:rsidRDefault="007F6BF3">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19693662" w14:textId="12A59FAA" w:rsidR="00154AD2" w:rsidRDefault="007F6BF3">
            <w:pPr>
              <w:pStyle w:val="P68B1DB1-Normal12"/>
              <w:spacing w:after="0" w:line="240" w:lineRule="auto"/>
              <w:jc w:val="center"/>
              <w:rPr>
                <w:rFonts w:eastAsia="Times New Roman" w:cstheme="minorHAnsi"/>
                <w:noProof/>
              </w:rPr>
            </w:pPr>
            <w:r>
              <w:rPr>
                <w:noProof/>
              </w:rPr>
              <w:t>Υπογραφή όρων αποδοχής για την υλοποίηση βιομηχανικών έργων</w:t>
            </w:r>
          </w:p>
        </w:tc>
        <w:tc>
          <w:tcPr>
            <w:tcW w:w="1275" w:type="dxa"/>
            <w:shd w:val="clear" w:color="auto" w:fill="C4EFCE"/>
            <w:noWrap/>
            <w:vAlign w:val="center"/>
          </w:tcPr>
          <w:p w14:paraId="7458153B" w14:textId="76EAEDD5" w:rsidR="00154AD2" w:rsidRDefault="007F6BF3">
            <w:pPr>
              <w:pStyle w:val="P68B1DB1-Normal12"/>
              <w:spacing w:after="0" w:line="240" w:lineRule="auto"/>
              <w:jc w:val="center"/>
              <w:rPr>
                <w:rFonts w:eastAsia="Times New Roman" w:cstheme="minorHAnsi"/>
                <w:noProof/>
              </w:rPr>
            </w:pPr>
            <w:r>
              <w:rPr>
                <w:noProof/>
              </w:rPr>
              <w:t>Υπογραφή όρων αποδοχής για την υλοποίηση βιομηχανικών έργων.</w:t>
            </w:r>
          </w:p>
        </w:tc>
        <w:tc>
          <w:tcPr>
            <w:tcW w:w="993" w:type="dxa"/>
            <w:shd w:val="clear" w:color="auto" w:fill="C4EFCE"/>
            <w:noWrap/>
            <w:vAlign w:val="center"/>
          </w:tcPr>
          <w:p w14:paraId="72336B25"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39A26E3E" w14:textId="2DB3039C" w:rsidR="00154AD2" w:rsidRDefault="007F6BF3">
            <w:pPr>
              <w:pStyle w:val="P68B1DB1-Normal12"/>
              <w:spacing w:after="0" w:line="240" w:lineRule="auto"/>
              <w:jc w:val="center"/>
              <w:rPr>
                <w:rFonts w:eastAsia="Times New Roman" w:cstheme="minorHAnsi"/>
                <w:noProof/>
              </w:rPr>
            </w:pPr>
            <w:r>
              <w:rPr>
                <w:noProof/>
              </w:rPr>
              <w:t xml:space="preserve"> </w:t>
            </w:r>
          </w:p>
        </w:tc>
        <w:tc>
          <w:tcPr>
            <w:tcW w:w="992" w:type="dxa"/>
            <w:shd w:val="clear" w:color="auto" w:fill="C4EFCE"/>
            <w:noWrap/>
            <w:vAlign w:val="center"/>
          </w:tcPr>
          <w:p w14:paraId="276C077B" w14:textId="77777777" w:rsidR="00154AD2" w:rsidRDefault="00154AD2">
            <w:pPr>
              <w:spacing w:after="0" w:line="240" w:lineRule="auto"/>
              <w:jc w:val="center"/>
              <w:rPr>
                <w:rFonts w:eastAsia="Times New Roman" w:cstheme="minorHAnsi"/>
                <w:noProof/>
                <w:sz w:val="16"/>
              </w:rPr>
            </w:pPr>
          </w:p>
        </w:tc>
        <w:tc>
          <w:tcPr>
            <w:tcW w:w="567" w:type="dxa"/>
            <w:shd w:val="clear" w:color="auto" w:fill="C4EFCE"/>
            <w:noWrap/>
            <w:vAlign w:val="center"/>
          </w:tcPr>
          <w:p w14:paraId="7667D40B" w14:textId="479E3BA2" w:rsidR="00154AD2" w:rsidRDefault="007F6BF3">
            <w:pPr>
              <w:pStyle w:val="P68B1DB1-Normal12"/>
              <w:spacing w:after="0" w:line="240" w:lineRule="auto"/>
              <w:jc w:val="center"/>
              <w:rPr>
                <w:rFonts w:eastAsia="Times New Roman" w:cstheme="minorHAnsi"/>
                <w:noProof/>
              </w:rPr>
            </w:pPr>
            <w:r>
              <w:rPr>
                <w:noProof/>
              </w:rPr>
              <w:t>ΤΡΊΜΗΝΟ 2</w:t>
            </w:r>
          </w:p>
        </w:tc>
        <w:tc>
          <w:tcPr>
            <w:tcW w:w="708" w:type="dxa"/>
            <w:shd w:val="clear" w:color="auto" w:fill="C4EFCE"/>
            <w:noWrap/>
            <w:vAlign w:val="center"/>
          </w:tcPr>
          <w:p w14:paraId="083EAC73" w14:textId="1C628607" w:rsidR="00154AD2" w:rsidRDefault="007F6BF3">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7BE0AFF3" w14:textId="19DB74A1" w:rsidR="00154AD2" w:rsidRDefault="007F6BF3">
            <w:pPr>
              <w:pStyle w:val="P68B1DB1-Bodytext1013"/>
              <w:spacing w:after="0" w:line="240" w:lineRule="auto"/>
              <w:jc w:val="both"/>
              <w:rPr>
                <w:rFonts w:cstheme="minorBidi"/>
                <w:noProof/>
              </w:rPr>
            </w:pPr>
            <w:r>
              <w:rPr>
                <w:noProof/>
              </w:rPr>
              <w:t>Οι όροι αποδοχής υπογράφονται για την υλοποίηση βιομηχανικών έργων, τα οποία επιλέγονται μέσω ανταγωνιστικών προσκλήσεων υποβολής προτάσεων, που σχετίζονται με στρατηγικές τεχνολογίες για την κλιματική μετάβαση, όπως ορίζεται στην περιγραφή του μέτρου.</w:t>
            </w:r>
          </w:p>
          <w:p w14:paraId="676A7464" w14:textId="75CAE7E6" w:rsidR="00154AD2" w:rsidRDefault="007F6BF3">
            <w:pPr>
              <w:pStyle w:val="P68B1DB1-Normal12"/>
              <w:spacing w:after="0" w:line="240" w:lineRule="auto"/>
              <w:jc w:val="both"/>
              <w:rPr>
                <w:rFonts w:eastAsia="Times New Roman" w:cstheme="minorHAnsi"/>
                <w:noProof/>
              </w:rPr>
            </w:pPr>
            <w:r>
              <w:rPr>
                <w:noProof/>
              </w:rPr>
              <w:t>Οι όροι αποδοχής διασφαλίζουν τη συμμόρφωση με την τεχνική καθοδήγηση για την εφαρμογή της αρχής της «μη πρόκλησης σημαντικής βλάβης» (2021/C58/01) των υποστηριζόμενων συναλλαγών στο πλαίσιο του παρόντος μέτρου μέσω της χρήσης καταλόγου αποκλεισμού και την απαίτηση συμμόρφωσης με τη σχετική ενωσιακή και εθνική περιβαλλοντική νομοθεσία.</w:t>
            </w:r>
          </w:p>
        </w:tc>
      </w:tr>
      <w:tr w:rsidR="00154AD2" w14:paraId="38C0F350" w14:textId="77777777">
        <w:trPr>
          <w:trHeight w:val="430"/>
        </w:trPr>
        <w:tc>
          <w:tcPr>
            <w:tcW w:w="1135" w:type="dxa"/>
            <w:shd w:val="clear" w:color="auto" w:fill="C4EFCE"/>
            <w:vAlign w:val="center"/>
          </w:tcPr>
          <w:p w14:paraId="2822A641" w14:textId="17EAD665" w:rsidR="00154AD2" w:rsidRDefault="007F6BF3">
            <w:pPr>
              <w:pStyle w:val="P68B1DB1-Normal11"/>
              <w:spacing w:after="0" w:line="240" w:lineRule="auto"/>
              <w:jc w:val="center"/>
              <w:rPr>
                <w:rFonts w:eastAsia="Times New Roman" w:cstheme="minorHAnsi"/>
                <w:noProof/>
              </w:rPr>
            </w:pPr>
            <w:r>
              <w:rPr>
                <w:noProof/>
              </w:rPr>
              <w:t>21.13</w:t>
            </w:r>
          </w:p>
        </w:tc>
        <w:tc>
          <w:tcPr>
            <w:tcW w:w="1276" w:type="dxa"/>
            <w:shd w:val="clear" w:color="auto" w:fill="C4EFCE"/>
            <w:noWrap/>
            <w:vAlign w:val="center"/>
          </w:tcPr>
          <w:p w14:paraId="5450DE1C" w14:textId="272FA70D" w:rsidR="00154AD2" w:rsidRDefault="007F6BF3">
            <w:pPr>
              <w:pStyle w:val="P68B1DB1-Normal12"/>
              <w:spacing w:after="0" w:line="240" w:lineRule="auto"/>
              <w:jc w:val="center"/>
              <w:rPr>
                <w:rFonts w:eastAsia="Times New Roman" w:cstheme="minorHAnsi"/>
                <w:noProof/>
              </w:rPr>
            </w:pPr>
            <w:r>
              <w:rPr>
                <w:noProof/>
              </w:rPr>
              <w:t>RP-C21-i05</w:t>
            </w:r>
          </w:p>
        </w:tc>
        <w:tc>
          <w:tcPr>
            <w:tcW w:w="1134" w:type="dxa"/>
            <w:shd w:val="clear" w:color="auto" w:fill="C4EFCE"/>
            <w:noWrap/>
            <w:vAlign w:val="center"/>
          </w:tcPr>
          <w:p w14:paraId="3D65B17D" w14:textId="6A2866B3" w:rsidR="00154AD2" w:rsidRDefault="007F6BF3">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0156CFAC" w14:textId="2AF8DE16" w:rsidR="00154AD2" w:rsidRDefault="007F6BF3">
            <w:pPr>
              <w:pStyle w:val="P68B1DB1-Normal12"/>
              <w:spacing w:after="0" w:line="240" w:lineRule="auto"/>
              <w:jc w:val="center"/>
              <w:rPr>
                <w:rFonts w:eastAsia="Times New Roman" w:cstheme="minorHAnsi"/>
                <w:noProof/>
              </w:rPr>
            </w:pPr>
            <w:r>
              <w:rPr>
                <w:noProof/>
              </w:rPr>
              <w:t>Ολοκλήρωση 5 βιομηχανικών έργων σε στρατηγικές τεχνολογίες για την κλιματική μετάβαση</w:t>
            </w:r>
          </w:p>
        </w:tc>
        <w:tc>
          <w:tcPr>
            <w:tcW w:w="1275" w:type="dxa"/>
            <w:shd w:val="clear" w:color="auto" w:fill="C4EFCE"/>
            <w:noWrap/>
            <w:vAlign w:val="center"/>
          </w:tcPr>
          <w:p w14:paraId="7A69A2FE" w14:textId="77777777" w:rsidR="00154AD2" w:rsidRDefault="00154AD2">
            <w:pPr>
              <w:spacing w:after="0" w:line="240" w:lineRule="auto"/>
              <w:jc w:val="center"/>
              <w:rPr>
                <w:rFonts w:eastAsia="Times New Roman" w:cstheme="minorHAnsi"/>
                <w:noProof/>
                <w:sz w:val="16"/>
              </w:rPr>
            </w:pPr>
          </w:p>
        </w:tc>
        <w:tc>
          <w:tcPr>
            <w:tcW w:w="993" w:type="dxa"/>
            <w:shd w:val="clear" w:color="auto" w:fill="C4EFCE"/>
            <w:noWrap/>
            <w:vAlign w:val="center"/>
          </w:tcPr>
          <w:p w14:paraId="419EDC3E" w14:textId="286CAB8A" w:rsidR="00154AD2" w:rsidRDefault="007F6BF3">
            <w:pPr>
              <w:pStyle w:val="P68B1DB1-Normal12"/>
              <w:spacing w:after="0" w:line="240" w:lineRule="auto"/>
              <w:jc w:val="center"/>
              <w:rPr>
                <w:rFonts w:eastAsia="Times New Roman" w:cstheme="minorHAnsi"/>
                <w:noProof/>
              </w:rPr>
            </w:pPr>
            <w:r>
              <w:rPr>
                <w:noProof/>
              </w:rPr>
              <w:t>Αριθμός</w:t>
            </w:r>
          </w:p>
        </w:tc>
        <w:tc>
          <w:tcPr>
            <w:tcW w:w="992" w:type="dxa"/>
            <w:shd w:val="clear" w:color="auto" w:fill="C4EFCE"/>
            <w:noWrap/>
            <w:vAlign w:val="center"/>
          </w:tcPr>
          <w:p w14:paraId="0674002F" w14:textId="6BFD93CA" w:rsidR="00154AD2" w:rsidRDefault="007F6BF3">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2B37AD65" w14:textId="7A1B913C" w:rsidR="00154AD2" w:rsidRDefault="007F6BF3">
            <w:pPr>
              <w:pStyle w:val="P68B1DB1-Normal12"/>
              <w:spacing w:after="0" w:line="240" w:lineRule="auto"/>
              <w:jc w:val="center"/>
              <w:rPr>
                <w:rFonts w:eastAsia="Times New Roman" w:cstheme="minorHAnsi"/>
                <w:noProof/>
              </w:rPr>
            </w:pPr>
            <w:r>
              <w:rPr>
                <w:noProof/>
              </w:rPr>
              <w:t>5</w:t>
            </w:r>
          </w:p>
        </w:tc>
        <w:tc>
          <w:tcPr>
            <w:tcW w:w="567" w:type="dxa"/>
            <w:shd w:val="clear" w:color="auto" w:fill="C4EFCE"/>
            <w:noWrap/>
            <w:vAlign w:val="center"/>
          </w:tcPr>
          <w:p w14:paraId="1203B683" w14:textId="0E9F9785" w:rsidR="00154AD2" w:rsidRDefault="007F6BF3">
            <w:pPr>
              <w:pStyle w:val="P68B1DB1-Normal12"/>
              <w:spacing w:after="0" w:line="240" w:lineRule="auto"/>
              <w:jc w:val="center"/>
              <w:rPr>
                <w:rFonts w:eastAsia="Times New Roman" w:cstheme="minorHAnsi"/>
                <w:noProof/>
              </w:rPr>
            </w:pPr>
            <w:r>
              <w:rPr>
                <w:noProof/>
              </w:rPr>
              <w:t>ΤΡΊΜΗΝΟ 2</w:t>
            </w:r>
          </w:p>
        </w:tc>
        <w:tc>
          <w:tcPr>
            <w:tcW w:w="708" w:type="dxa"/>
            <w:shd w:val="clear" w:color="auto" w:fill="C4EFCE"/>
            <w:noWrap/>
            <w:vAlign w:val="center"/>
          </w:tcPr>
          <w:p w14:paraId="337D899F" w14:textId="1B849260" w:rsidR="00154AD2" w:rsidRDefault="007F6BF3">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72155DEB" w14:textId="7B97BD38" w:rsidR="00154AD2" w:rsidRDefault="007F6BF3">
            <w:pPr>
              <w:pStyle w:val="P68B1DB1-Normal12"/>
              <w:spacing w:after="0" w:line="240" w:lineRule="auto"/>
              <w:jc w:val="both"/>
              <w:rPr>
                <w:rFonts w:eastAsia="Times New Roman"/>
                <w:noProof/>
              </w:rPr>
            </w:pPr>
            <w:r>
              <w:rPr>
                <w:noProof/>
              </w:rPr>
              <w:t>Ολοκλήρωση τουλάχιστον πέντε έργων βιομηχανικής τεχνολογίας, με επίπεδο τεχνολογικής ετοιμότητας ίσο ή μεγαλύτερο του επτά, που σχετίζονται με στρατηγικές τεχνολογίες για την κλιματική μετάβαση, όπως ορίζεται στην περιγραφή του μέτρου.</w:t>
            </w:r>
          </w:p>
        </w:tc>
      </w:tr>
      <w:tr w:rsidR="00154AD2" w14:paraId="5A219778" w14:textId="77777777">
        <w:trPr>
          <w:trHeight w:val="430"/>
        </w:trPr>
        <w:tc>
          <w:tcPr>
            <w:tcW w:w="1135" w:type="dxa"/>
            <w:shd w:val="clear" w:color="auto" w:fill="C4EFCE"/>
            <w:vAlign w:val="center"/>
          </w:tcPr>
          <w:p w14:paraId="748E9E6F" w14:textId="3FC7C9E1" w:rsidR="00154AD2" w:rsidRDefault="007F6BF3">
            <w:pPr>
              <w:pStyle w:val="P68B1DB1-Normal11"/>
              <w:spacing w:after="0" w:line="240" w:lineRule="auto"/>
              <w:jc w:val="center"/>
              <w:rPr>
                <w:rFonts w:eastAsia="Times New Roman" w:cstheme="minorHAnsi"/>
                <w:noProof/>
              </w:rPr>
            </w:pPr>
            <w:r>
              <w:rPr>
                <w:noProof/>
              </w:rPr>
              <w:t>21.14</w:t>
            </w:r>
          </w:p>
        </w:tc>
        <w:tc>
          <w:tcPr>
            <w:tcW w:w="1276" w:type="dxa"/>
            <w:shd w:val="clear" w:color="auto" w:fill="C4EFCE"/>
            <w:noWrap/>
            <w:vAlign w:val="center"/>
          </w:tcPr>
          <w:p w14:paraId="1E60F546" w14:textId="66482F0A" w:rsidR="00154AD2" w:rsidRDefault="007F6BF3">
            <w:pPr>
              <w:pStyle w:val="P68B1DB1-Normal12"/>
              <w:spacing w:after="0" w:line="240" w:lineRule="auto"/>
              <w:jc w:val="center"/>
              <w:rPr>
                <w:rFonts w:eastAsia="Times New Roman"/>
                <w:noProof/>
              </w:rPr>
            </w:pPr>
            <w:r>
              <w:rPr>
                <w:noProof/>
              </w:rPr>
              <w:t xml:space="preserve"> RP-C21-r45</w:t>
            </w:r>
          </w:p>
        </w:tc>
        <w:tc>
          <w:tcPr>
            <w:tcW w:w="1134" w:type="dxa"/>
            <w:shd w:val="clear" w:color="auto" w:fill="C4EFCE"/>
            <w:noWrap/>
            <w:vAlign w:val="center"/>
          </w:tcPr>
          <w:p w14:paraId="08AE361B" w14:textId="6D1DB139" w:rsidR="00154AD2" w:rsidRDefault="007F6BF3">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1E5E5BB7" w14:textId="2724C1E2" w:rsidR="00154AD2" w:rsidRDefault="007F6BF3">
            <w:pPr>
              <w:pStyle w:val="P68B1DB1-Normal12"/>
              <w:spacing w:after="0" w:line="240" w:lineRule="auto"/>
              <w:jc w:val="center"/>
              <w:rPr>
                <w:rFonts w:eastAsia="Times New Roman" w:cstheme="minorHAnsi"/>
                <w:noProof/>
              </w:rPr>
            </w:pPr>
            <w:r>
              <w:rPr>
                <w:noProof/>
              </w:rPr>
              <w:t>Δράσεις κατάρτισης για τις πράσινες δεξιότητες</w:t>
            </w:r>
          </w:p>
        </w:tc>
        <w:tc>
          <w:tcPr>
            <w:tcW w:w="1275" w:type="dxa"/>
            <w:shd w:val="clear" w:color="auto" w:fill="C4EFCE"/>
            <w:noWrap/>
            <w:vAlign w:val="center"/>
          </w:tcPr>
          <w:p w14:paraId="24F12DE9" w14:textId="77777777" w:rsidR="00154AD2" w:rsidRDefault="00154AD2">
            <w:pPr>
              <w:spacing w:after="0" w:line="240" w:lineRule="auto"/>
              <w:jc w:val="center"/>
              <w:rPr>
                <w:rFonts w:eastAsia="Times New Roman" w:cstheme="minorHAnsi"/>
                <w:noProof/>
                <w:sz w:val="16"/>
              </w:rPr>
            </w:pPr>
          </w:p>
        </w:tc>
        <w:tc>
          <w:tcPr>
            <w:tcW w:w="993" w:type="dxa"/>
            <w:shd w:val="clear" w:color="auto" w:fill="C4EFCE"/>
            <w:noWrap/>
            <w:vAlign w:val="center"/>
          </w:tcPr>
          <w:p w14:paraId="537B007C" w14:textId="482EBD6A" w:rsidR="00154AD2" w:rsidRDefault="007F6BF3">
            <w:pPr>
              <w:pStyle w:val="P68B1DB1-Normal12"/>
              <w:spacing w:after="0" w:line="240" w:lineRule="auto"/>
              <w:jc w:val="center"/>
              <w:rPr>
                <w:rFonts w:eastAsia="Times New Roman" w:cstheme="minorHAnsi"/>
                <w:noProof/>
              </w:rPr>
            </w:pPr>
            <w:r>
              <w:rPr>
                <w:noProof/>
              </w:rPr>
              <w:t>Αριθμός</w:t>
            </w:r>
          </w:p>
        </w:tc>
        <w:tc>
          <w:tcPr>
            <w:tcW w:w="992" w:type="dxa"/>
            <w:shd w:val="clear" w:color="auto" w:fill="C4EFCE"/>
            <w:noWrap/>
            <w:vAlign w:val="center"/>
          </w:tcPr>
          <w:p w14:paraId="30CE81C5" w14:textId="44255BD5" w:rsidR="00154AD2" w:rsidRDefault="007F6BF3">
            <w:pPr>
              <w:pStyle w:val="P68B1DB1-Normal12"/>
              <w:spacing w:after="0" w:line="240" w:lineRule="auto"/>
              <w:jc w:val="center"/>
              <w:rPr>
                <w:rFonts w:eastAsia="Times New Roman" w:cstheme="minorHAnsi"/>
                <w:noProof/>
              </w:rPr>
            </w:pPr>
            <w:r>
              <w:rPr>
                <w:noProof/>
              </w:rPr>
              <w:t xml:space="preserve"> 0</w:t>
            </w:r>
          </w:p>
        </w:tc>
        <w:tc>
          <w:tcPr>
            <w:tcW w:w="992" w:type="dxa"/>
            <w:shd w:val="clear" w:color="auto" w:fill="C4EFCE"/>
            <w:noWrap/>
            <w:vAlign w:val="center"/>
          </w:tcPr>
          <w:p w14:paraId="7D552B8B" w14:textId="6840C96D" w:rsidR="00154AD2" w:rsidRDefault="007F6BF3">
            <w:pPr>
              <w:pStyle w:val="P68B1DB1-Normal12"/>
              <w:spacing w:after="0" w:line="240" w:lineRule="auto"/>
              <w:jc w:val="center"/>
              <w:rPr>
                <w:rFonts w:eastAsia="Times New Roman" w:cstheme="minorHAnsi"/>
                <w:noProof/>
              </w:rPr>
            </w:pPr>
            <w:r>
              <w:rPr>
                <w:noProof/>
              </w:rPr>
              <w:t>12 500</w:t>
            </w:r>
          </w:p>
        </w:tc>
        <w:tc>
          <w:tcPr>
            <w:tcW w:w="567" w:type="dxa"/>
            <w:shd w:val="clear" w:color="auto" w:fill="C4EFCE"/>
            <w:noWrap/>
            <w:vAlign w:val="center"/>
          </w:tcPr>
          <w:p w14:paraId="4774708D" w14:textId="187C4CA4" w:rsidR="00154AD2" w:rsidRDefault="007F6BF3">
            <w:pPr>
              <w:pStyle w:val="P68B1DB1-Normal12"/>
              <w:spacing w:after="0" w:line="240" w:lineRule="auto"/>
              <w:jc w:val="center"/>
              <w:rPr>
                <w:rFonts w:eastAsia="Times New Roman" w:cstheme="minorHAnsi"/>
                <w:noProof/>
              </w:rPr>
            </w:pPr>
            <w:r>
              <w:rPr>
                <w:noProof/>
              </w:rPr>
              <w:t>ΤΡΊΜΗΝΟ 4</w:t>
            </w:r>
          </w:p>
        </w:tc>
        <w:tc>
          <w:tcPr>
            <w:tcW w:w="708" w:type="dxa"/>
            <w:shd w:val="clear" w:color="auto" w:fill="C4EFCE"/>
            <w:noWrap/>
            <w:vAlign w:val="center"/>
          </w:tcPr>
          <w:p w14:paraId="590EB134" w14:textId="7394F496" w:rsidR="00154AD2" w:rsidRDefault="007F6BF3">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23B10BE2" w14:textId="3478037F" w:rsidR="00154AD2" w:rsidRDefault="007F6BF3">
            <w:pPr>
              <w:pStyle w:val="P68B1DB1-Normal12"/>
              <w:spacing w:after="0" w:line="240" w:lineRule="auto"/>
              <w:jc w:val="both"/>
              <w:rPr>
                <w:rFonts w:eastAsia="Times New Roman" w:cstheme="minorHAnsi"/>
                <w:noProof/>
              </w:rPr>
            </w:pPr>
            <w:r>
              <w:rPr>
                <w:noProof/>
              </w:rPr>
              <w:t xml:space="preserve">Αριθμός εκπαιδευμένων ατόμων είτε στο πρόγραμμα πράσινων εργασιών και δεξιοτήτων είτε σε μαθήματα στο Κέντρο Κατάρτισης για την Ενεργειακή Μετάβαση.   </w:t>
            </w:r>
          </w:p>
        </w:tc>
      </w:tr>
      <w:tr w:rsidR="00154AD2" w14:paraId="6B1F2C06" w14:textId="77777777">
        <w:trPr>
          <w:trHeight w:val="430"/>
        </w:trPr>
        <w:tc>
          <w:tcPr>
            <w:tcW w:w="1135" w:type="dxa"/>
            <w:shd w:val="clear" w:color="auto" w:fill="C4EFCE"/>
            <w:vAlign w:val="center"/>
          </w:tcPr>
          <w:p w14:paraId="01B3604D" w14:textId="7B2AF347" w:rsidR="00154AD2" w:rsidRDefault="007F6BF3">
            <w:pPr>
              <w:pStyle w:val="P68B1DB1-Normal11"/>
              <w:spacing w:after="0" w:line="240" w:lineRule="auto"/>
              <w:jc w:val="center"/>
              <w:rPr>
                <w:rFonts w:eastAsia="Times New Roman" w:cstheme="minorHAnsi"/>
                <w:noProof/>
              </w:rPr>
            </w:pPr>
            <w:r>
              <w:rPr>
                <w:noProof/>
              </w:rPr>
              <w:t>21.15</w:t>
            </w:r>
          </w:p>
        </w:tc>
        <w:tc>
          <w:tcPr>
            <w:tcW w:w="1276" w:type="dxa"/>
            <w:shd w:val="clear" w:color="auto" w:fill="C4EFCE"/>
            <w:noWrap/>
            <w:vAlign w:val="center"/>
          </w:tcPr>
          <w:p w14:paraId="59821F78" w14:textId="3E0A4BAD" w:rsidR="00154AD2" w:rsidRDefault="007F6BF3">
            <w:pPr>
              <w:pStyle w:val="P68B1DB1-Normal12"/>
              <w:spacing w:after="0" w:line="240" w:lineRule="auto"/>
              <w:jc w:val="center"/>
              <w:rPr>
                <w:rFonts w:eastAsia="Times New Roman"/>
                <w:noProof/>
              </w:rPr>
            </w:pPr>
            <w:r>
              <w:rPr>
                <w:noProof/>
              </w:rPr>
              <w:t xml:space="preserve"> RP-C21-r45</w:t>
            </w:r>
          </w:p>
        </w:tc>
        <w:tc>
          <w:tcPr>
            <w:tcW w:w="1134" w:type="dxa"/>
            <w:shd w:val="clear" w:color="auto" w:fill="C4EFCE"/>
            <w:noWrap/>
            <w:vAlign w:val="center"/>
          </w:tcPr>
          <w:p w14:paraId="6FFE32F5" w14:textId="2C012BA0" w:rsidR="00154AD2" w:rsidRDefault="007F6BF3">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05F5D539" w14:textId="43F358D0" w:rsidR="00154AD2" w:rsidRDefault="007F6BF3">
            <w:pPr>
              <w:pStyle w:val="P68B1DB1-Normal12"/>
              <w:spacing w:after="0" w:line="240" w:lineRule="auto"/>
              <w:jc w:val="center"/>
              <w:rPr>
                <w:rFonts w:eastAsia="Times New Roman" w:cstheme="minorHAnsi"/>
                <w:noProof/>
              </w:rPr>
            </w:pPr>
            <w:r>
              <w:rPr>
                <w:noProof/>
              </w:rPr>
              <w:t>Δράσεις κατάρτισης για τις πράσινες δεξιότητες</w:t>
            </w:r>
          </w:p>
        </w:tc>
        <w:tc>
          <w:tcPr>
            <w:tcW w:w="1275" w:type="dxa"/>
            <w:shd w:val="clear" w:color="auto" w:fill="C4EFCE"/>
            <w:noWrap/>
            <w:vAlign w:val="center"/>
          </w:tcPr>
          <w:p w14:paraId="430194B1" w14:textId="77777777" w:rsidR="00154AD2" w:rsidRDefault="00154AD2">
            <w:pPr>
              <w:spacing w:after="0" w:line="240" w:lineRule="auto"/>
              <w:jc w:val="center"/>
              <w:rPr>
                <w:rFonts w:eastAsia="Times New Roman" w:cstheme="minorHAnsi"/>
                <w:noProof/>
                <w:sz w:val="16"/>
              </w:rPr>
            </w:pPr>
          </w:p>
        </w:tc>
        <w:tc>
          <w:tcPr>
            <w:tcW w:w="993" w:type="dxa"/>
            <w:shd w:val="clear" w:color="auto" w:fill="C4EFCE"/>
            <w:noWrap/>
            <w:vAlign w:val="center"/>
          </w:tcPr>
          <w:p w14:paraId="2EB231DA" w14:textId="69A30C89" w:rsidR="00154AD2" w:rsidRDefault="007F6BF3">
            <w:pPr>
              <w:pStyle w:val="P68B1DB1-Normal12"/>
              <w:spacing w:after="0" w:line="240" w:lineRule="auto"/>
              <w:jc w:val="center"/>
              <w:rPr>
                <w:rFonts w:eastAsia="Times New Roman" w:cstheme="minorHAnsi"/>
                <w:noProof/>
              </w:rPr>
            </w:pPr>
            <w:r>
              <w:rPr>
                <w:noProof/>
              </w:rPr>
              <w:t>Αριθμός</w:t>
            </w:r>
          </w:p>
        </w:tc>
        <w:tc>
          <w:tcPr>
            <w:tcW w:w="992" w:type="dxa"/>
            <w:shd w:val="clear" w:color="auto" w:fill="C4EFCE"/>
            <w:noWrap/>
            <w:vAlign w:val="center"/>
          </w:tcPr>
          <w:p w14:paraId="052F5316" w14:textId="2F24CFF8" w:rsidR="00154AD2" w:rsidRDefault="007F6BF3">
            <w:pPr>
              <w:pStyle w:val="P68B1DB1-Normal12"/>
              <w:spacing w:after="0" w:line="240" w:lineRule="auto"/>
              <w:jc w:val="center"/>
              <w:rPr>
                <w:rFonts w:eastAsia="Times New Roman" w:cstheme="minorHAnsi"/>
                <w:noProof/>
              </w:rPr>
            </w:pPr>
            <w:r>
              <w:rPr>
                <w:noProof/>
              </w:rPr>
              <w:t>12 500</w:t>
            </w:r>
          </w:p>
        </w:tc>
        <w:tc>
          <w:tcPr>
            <w:tcW w:w="992" w:type="dxa"/>
            <w:shd w:val="clear" w:color="auto" w:fill="C4EFCE"/>
            <w:noWrap/>
            <w:vAlign w:val="center"/>
          </w:tcPr>
          <w:p w14:paraId="03933323" w14:textId="324B1BA9" w:rsidR="00154AD2" w:rsidRDefault="007F6BF3">
            <w:pPr>
              <w:pStyle w:val="P68B1DB1-Normal12"/>
              <w:spacing w:after="0" w:line="240" w:lineRule="auto"/>
              <w:jc w:val="center"/>
              <w:rPr>
                <w:rFonts w:eastAsia="Times New Roman" w:cstheme="minorHAnsi"/>
                <w:noProof/>
              </w:rPr>
            </w:pPr>
            <w:r>
              <w:rPr>
                <w:noProof/>
              </w:rPr>
              <w:t>25 000</w:t>
            </w:r>
          </w:p>
        </w:tc>
        <w:tc>
          <w:tcPr>
            <w:tcW w:w="567" w:type="dxa"/>
            <w:shd w:val="clear" w:color="auto" w:fill="C4EFCE"/>
            <w:noWrap/>
            <w:vAlign w:val="center"/>
          </w:tcPr>
          <w:p w14:paraId="411D6569" w14:textId="0670EF93" w:rsidR="00154AD2" w:rsidRDefault="007F6BF3">
            <w:pPr>
              <w:pStyle w:val="P68B1DB1-Normal12"/>
              <w:spacing w:after="0" w:line="240" w:lineRule="auto"/>
              <w:jc w:val="center"/>
              <w:rPr>
                <w:rFonts w:eastAsia="Times New Roman" w:cstheme="minorHAnsi"/>
                <w:noProof/>
              </w:rPr>
            </w:pPr>
            <w:r>
              <w:rPr>
                <w:noProof/>
              </w:rPr>
              <w:t>ΤΡΊΜΗΝΟ 4</w:t>
            </w:r>
          </w:p>
        </w:tc>
        <w:tc>
          <w:tcPr>
            <w:tcW w:w="708" w:type="dxa"/>
            <w:shd w:val="clear" w:color="auto" w:fill="C4EFCE"/>
            <w:noWrap/>
            <w:vAlign w:val="center"/>
          </w:tcPr>
          <w:p w14:paraId="1FC8409E" w14:textId="35A39153" w:rsidR="00154AD2" w:rsidRDefault="007F6BF3">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6063AE36" w14:textId="5F0AFC76" w:rsidR="00154AD2" w:rsidRDefault="007F6BF3">
            <w:pPr>
              <w:pStyle w:val="P68B1DB1-Normal12"/>
              <w:spacing w:after="0" w:line="240" w:lineRule="auto"/>
              <w:jc w:val="both"/>
              <w:rPr>
                <w:rFonts w:eastAsia="Times New Roman" w:cstheme="minorHAnsi"/>
                <w:noProof/>
              </w:rPr>
            </w:pPr>
            <w:r>
              <w:rPr>
                <w:noProof/>
              </w:rPr>
              <w:t xml:space="preserve">Αριθμός εκπαιδευμένων ατόμων είτε στο πρόγραμμα πράσινων εργασιών και δεξιοτήτων είτε σε μαθήματα στο Κέντρο Κατάρτισης για την Ενεργειακή Μετάβαση. Τουλάχιστον 12 500 άτομα εκπαιδεύονται στο Κέντρο Κατάρτισης για την Ενεργειακή Μετάβαση. </w:t>
            </w:r>
          </w:p>
        </w:tc>
      </w:tr>
      <w:tr w:rsidR="00154AD2" w14:paraId="01B2B8AD" w14:textId="77777777">
        <w:trPr>
          <w:trHeight w:val="430"/>
        </w:trPr>
        <w:tc>
          <w:tcPr>
            <w:tcW w:w="1135" w:type="dxa"/>
            <w:shd w:val="clear" w:color="auto" w:fill="C4EFCE"/>
            <w:vAlign w:val="center"/>
          </w:tcPr>
          <w:p w14:paraId="56013C8B" w14:textId="37C588C6" w:rsidR="00154AD2" w:rsidRDefault="007F6BF3">
            <w:pPr>
              <w:pStyle w:val="P68B1DB1-Normal11"/>
              <w:spacing w:after="0" w:line="240" w:lineRule="auto"/>
              <w:jc w:val="center"/>
              <w:rPr>
                <w:rFonts w:eastAsia="Times New Roman" w:cstheme="minorHAnsi"/>
                <w:noProof/>
              </w:rPr>
            </w:pPr>
            <w:r>
              <w:rPr>
                <w:noProof/>
              </w:rPr>
              <w:t>21.16</w:t>
            </w:r>
          </w:p>
        </w:tc>
        <w:tc>
          <w:tcPr>
            <w:tcW w:w="1276" w:type="dxa"/>
            <w:shd w:val="clear" w:color="auto" w:fill="C4EFCE"/>
            <w:noWrap/>
            <w:vAlign w:val="center"/>
          </w:tcPr>
          <w:p w14:paraId="087C73AC" w14:textId="2C060A7C" w:rsidR="00154AD2" w:rsidRDefault="007F6BF3">
            <w:pPr>
              <w:pStyle w:val="P68B1DB1-Normal12"/>
              <w:spacing w:after="0" w:line="240" w:lineRule="auto"/>
              <w:jc w:val="center"/>
              <w:rPr>
                <w:rFonts w:eastAsia="Times New Roman"/>
                <w:noProof/>
              </w:rPr>
            </w:pPr>
            <w:r>
              <w:rPr>
                <w:noProof/>
              </w:rPr>
              <w:t>RP-C21-r46</w:t>
            </w:r>
          </w:p>
        </w:tc>
        <w:tc>
          <w:tcPr>
            <w:tcW w:w="1134" w:type="dxa"/>
            <w:shd w:val="clear" w:color="auto" w:fill="C4EFCE"/>
            <w:noWrap/>
            <w:vAlign w:val="center"/>
          </w:tcPr>
          <w:p w14:paraId="296E326D" w14:textId="5E900A9F" w:rsidR="00154AD2" w:rsidRDefault="007F6BF3">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03914822" w14:textId="4E6DAE08" w:rsidR="00154AD2" w:rsidRDefault="007F6BF3">
            <w:pPr>
              <w:pStyle w:val="P68B1DB1-Bodytext1013"/>
              <w:spacing w:line="240" w:lineRule="auto"/>
              <w:jc w:val="center"/>
              <w:rPr>
                <w:rFonts w:cstheme="minorHAnsi"/>
                <w:noProof/>
              </w:rPr>
            </w:pPr>
            <w:r>
              <w:rPr>
                <w:noProof/>
              </w:rPr>
              <w:t>Έναρξη ισχύος διοικητικής ή νομικής πράξης για το ανανεώσιμο υδρογόνο</w:t>
            </w:r>
          </w:p>
        </w:tc>
        <w:tc>
          <w:tcPr>
            <w:tcW w:w="1275" w:type="dxa"/>
            <w:shd w:val="clear" w:color="auto" w:fill="C4EFCE"/>
            <w:noWrap/>
            <w:vAlign w:val="center"/>
          </w:tcPr>
          <w:p w14:paraId="7788ED3B" w14:textId="253DA9A9" w:rsidR="00154AD2" w:rsidRDefault="007F6BF3">
            <w:pPr>
              <w:pStyle w:val="P68B1DB1-Normal12"/>
              <w:spacing w:after="0" w:line="240" w:lineRule="auto"/>
              <w:jc w:val="center"/>
              <w:rPr>
                <w:rFonts w:eastAsia="Times New Roman" w:cstheme="minorHAnsi"/>
                <w:noProof/>
              </w:rPr>
            </w:pPr>
            <w:r>
              <w:rPr>
                <w:noProof/>
              </w:rPr>
              <w:t>Διάταξη της διοικητικής ή νομικής πράξης που αναφέρει την έναρξη ισχύος της</w:t>
            </w:r>
          </w:p>
        </w:tc>
        <w:tc>
          <w:tcPr>
            <w:tcW w:w="993" w:type="dxa"/>
            <w:shd w:val="clear" w:color="auto" w:fill="C4EFCE"/>
            <w:noWrap/>
            <w:vAlign w:val="center"/>
          </w:tcPr>
          <w:p w14:paraId="5B01E911"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73571C18"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6FDDCCA3" w14:textId="77777777" w:rsidR="00154AD2" w:rsidRDefault="00154AD2">
            <w:pPr>
              <w:spacing w:after="0" w:line="240" w:lineRule="auto"/>
              <w:jc w:val="center"/>
              <w:rPr>
                <w:rFonts w:eastAsia="Times New Roman" w:cstheme="minorHAnsi"/>
                <w:noProof/>
                <w:sz w:val="16"/>
              </w:rPr>
            </w:pPr>
          </w:p>
        </w:tc>
        <w:tc>
          <w:tcPr>
            <w:tcW w:w="567" w:type="dxa"/>
            <w:shd w:val="clear" w:color="auto" w:fill="C4EFCE"/>
            <w:noWrap/>
            <w:vAlign w:val="center"/>
          </w:tcPr>
          <w:p w14:paraId="2B00763D" w14:textId="56911041" w:rsidR="00154AD2" w:rsidRDefault="007F6BF3">
            <w:pPr>
              <w:pStyle w:val="P68B1DB1-Normal12"/>
              <w:spacing w:after="0" w:line="240" w:lineRule="auto"/>
              <w:jc w:val="center"/>
              <w:rPr>
                <w:rFonts w:eastAsia="Times New Roman" w:cstheme="minorHAnsi"/>
                <w:noProof/>
              </w:rPr>
            </w:pPr>
            <w:r>
              <w:rPr>
                <w:noProof/>
              </w:rPr>
              <w:t>ΤΡΊΜΗΝΟ 3</w:t>
            </w:r>
          </w:p>
        </w:tc>
        <w:tc>
          <w:tcPr>
            <w:tcW w:w="708" w:type="dxa"/>
            <w:shd w:val="clear" w:color="auto" w:fill="C4EFCE"/>
            <w:noWrap/>
            <w:vAlign w:val="center"/>
          </w:tcPr>
          <w:p w14:paraId="4BC4C0BA" w14:textId="16296F8C" w:rsidR="00154AD2" w:rsidRDefault="007F6BF3">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56226CBF" w14:textId="2224A00D" w:rsidR="00154AD2" w:rsidRDefault="007F6BF3">
            <w:pPr>
              <w:pStyle w:val="P68B1DB1-Bodytext1013"/>
              <w:spacing w:after="0" w:line="240" w:lineRule="auto"/>
              <w:jc w:val="both"/>
              <w:rPr>
                <w:rFonts w:cstheme="minorHAnsi"/>
                <w:noProof/>
              </w:rPr>
            </w:pPr>
            <w:r>
              <w:rPr>
                <w:noProof/>
              </w:rPr>
              <w:t>Έναρξη ισχύος διοικητικής ή νομικής πράξης για το ανανεώσιμο υδρογόνο που ορίζει ότι μόνο οι εγκαταστάσεις που πληρούν τις απαιτήσεις που περιλαμβάνονται στην οδηγία για τις ανανεώσιμες πηγές ενέργειας και στις κατ’ εξουσιοδότηση πράξεις της (2018/2001/ΕΕ) θεωρούνται εγκαταστάσεις παραγωγής ανανεώσιμου υδρογόνου.</w:t>
            </w:r>
          </w:p>
        </w:tc>
      </w:tr>
      <w:tr w:rsidR="00154AD2" w14:paraId="7A0E7FBC" w14:textId="77777777">
        <w:trPr>
          <w:trHeight w:val="430"/>
        </w:trPr>
        <w:tc>
          <w:tcPr>
            <w:tcW w:w="1135" w:type="dxa"/>
            <w:shd w:val="clear" w:color="auto" w:fill="C4EFCE"/>
            <w:vAlign w:val="center"/>
          </w:tcPr>
          <w:p w14:paraId="3D1E7654" w14:textId="46F81725" w:rsidR="00154AD2" w:rsidRDefault="007F6BF3">
            <w:pPr>
              <w:pStyle w:val="P68B1DB1-Normal11"/>
              <w:spacing w:after="0" w:line="240" w:lineRule="auto"/>
              <w:jc w:val="center"/>
              <w:rPr>
                <w:rFonts w:eastAsia="Times New Roman" w:cstheme="minorHAnsi"/>
                <w:noProof/>
              </w:rPr>
            </w:pPr>
            <w:r>
              <w:rPr>
                <w:noProof/>
              </w:rPr>
              <w:t>21.17</w:t>
            </w:r>
          </w:p>
        </w:tc>
        <w:tc>
          <w:tcPr>
            <w:tcW w:w="1276" w:type="dxa"/>
            <w:shd w:val="clear" w:color="auto" w:fill="C4EFCE"/>
            <w:noWrap/>
            <w:vAlign w:val="center"/>
          </w:tcPr>
          <w:p w14:paraId="54AE443D" w14:textId="7ECCFA54" w:rsidR="00154AD2" w:rsidRDefault="007F6BF3">
            <w:pPr>
              <w:pStyle w:val="P68B1DB1-Normal12"/>
              <w:spacing w:after="0" w:line="240" w:lineRule="auto"/>
              <w:jc w:val="center"/>
              <w:rPr>
                <w:rFonts w:eastAsia="Times New Roman"/>
                <w:noProof/>
              </w:rPr>
            </w:pPr>
            <w:r>
              <w:rPr>
                <w:noProof/>
              </w:rPr>
              <w:t>RP-C21-r46</w:t>
            </w:r>
          </w:p>
        </w:tc>
        <w:tc>
          <w:tcPr>
            <w:tcW w:w="1134" w:type="dxa"/>
            <w:shd w:val="clear" w:color="auto" w:fill="C4EFCE"/>
            <w:noWrap/>
            <w:vAlign w:val="center"/>
          </w:tcPr>
          <w:p w14:paraId="3C7CBC31" w14:textId="351C4C41" w:rsidR="00154AD2" w:rsidRDefault="007F6BF3">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184C6A16" w14:textId="19A6254B" w:rsidR="00154AD2" w:rsidRDefault="007F6BF3">
            <w:pPr>
              <w:pStyle w:val="P68B1DB1-Normal12"/>
              <w:spacing w:after="0" w:line="240" w:lineRule="auto"/>
              <w:jc w:val="center"/>
              <w:rPr>
                <w:rFonts w:eastAsia="Times New Roman" w:cstheme="minorHAnsi"/>
                <w:noProof/>
              </w:rPr>
            </w:pPr>
            <w:r>
              <w:rPr>
                <w:noProof/>
              </w:rPr>
              <w:t>Έναρξη ισχύος του αναθεωρημένου κανονισμού για τα εθνικά δίκτυα μεταφοράς φυσικού αερίου και του κανονισμού για τα εθνικά δίκτυα διανομής φυσικού αερίου</w:t>
            </w:r>
          </w:p>
        </w:tc>
        <w:tc>
          <w:tcPr>
            <w:tcW w:w="1275" w:type="dxa"/>
            <w:shd w:val="clear" w:color="auto" w:fill="C4EFCE"/>
            <w:noWrap/>
            <w:vAlign w:val="center"/>
          </w:tcPr>
          <w:p w14:paraId="468E9001" w14:textId="5D32AEED" w:rsidR="00154AD2" w:rsidRDefault="007F6BF3">
            <w:pPr>
              <w:pStyle w:val="P68B1DB1-Normal12"/>
              <w:spacing w:after="0" w:line="240" w:lineRule="auto"/>
              <w:jc w:val="center"/>
              <w:rPr>
                <w:rFonts w:eastAsia="Times New Roman" w:cstheme="minorHAnsi"/>
                <w:noProof/>
              </w:rPr>
            </w:pPr>
            <w:r>
              <w:rPr>
                <w:noProof/>
              </w:rPr>
              <w:t xml:space="preserve">Διάταξη των κανονισμών που αναφέρει την έναρξη ισχύος του κανονισμού </w:t>
            </w:r>
          </w:p>
        </w:tc>
        <w:tc>
          <w:tcPr>
            <w:tcW w:w="993" w:type="dxa"/>
            <w:shd w:val="clear" w:color="auto" w:fill="C4EFCE"/>
            <w:noWrap/>
            <w:vAlign w:val="center"/>
          </w:tcPr>
          <w:p w14:paraId="6637512D"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73320AE1"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61D84A47" w14:textId="77777777" w:rsidR="00154AD2" w:rsidRDefault="00154AD2">
            <w:pPr>
              <w:spacing w:after="0" w:line="240" w:lineRule="auto"/>
              <w:jc w:val="center"/>
              <w:rPr>
                <w:rFonts w:eastAsia="Times New Roman" w:cstheme="minorHAnsi"/>
                <w:noProof/>
                <w:sz w:val="16"/>
              </w:rPr>
            </w:pPr>
          </w:p>
        </w:tc>
        <w:tc>
          <w:tcPr>
            <w:tcW w:w="567" w:type="dxa"/>
            <w:shd w:val="clear" w:color="auto" w:fill="C4EFCE"/>
            <w:noWrap/>
            <w:vAlign w:val="center"/>
          </w:tcPr>
          <w:p w14:paraId="41A67F67" w14:textId="6ADF699D" w:rsidR="00154AD2" w:rsidRDefault="007F6BF3">
            <w:pPr>
              <w:pStyle w:val="P68B1DB1-Normal12"/>
              <w:spacing w:after="0" w:line="240" w:lineRule="auto"/>
              <w:jc w:val="center"/>
              <w:rPr>
                <w:rFonts w:eastAsia="Times New Roman" w:cstheme="minorHAnsi"/>
                <w:noProof/>
              </w:rPr>
            </w:pPr>
            <w:r>
              <w:rPr>
                <w:noProof/>
              </w:rPr>
              <w:t>ΤΡΊΜΗΝΟ 2</w:t>
            </w:r>
          </w:p>
        </w:tc>
        <w:tc>
          <w:tcPr>
            <w:tcW w:w="708" w:type="dxa"/>
            <w:shd w:val="clear" w:color="auto" w:fill="C4EFCE"/>
            <w:noWrap/>
            <w:vAlign w:val="center"/>
          </w:tcPr>
          <w:p w14:paraId="2B7264B1" w14:textId="17E3A68C" w:rsidR="00154AD2" w:rsidRDefault="007F6BF3">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5E8D9EB5" w14:textId="1378FBBD" w:rsidR="00154AD2" w:rsidRDefault="007F6BF3">
            <w:pPr>
              <w:pStyle w:val="P68B1DB1-Normal12"/>
              <w:spacing w:after="0" w:line="240" w:lineRule="auto"/>
              <w:jc w:val="both"/>
              <w:rPr>
                <w:rFonts w:eastAsia="Times New Roman" w:cstheme="minorHAnsi"/>
                <w:noProof/>
              </w:rPr>
            </w:pPr>
            <w:r>
              <w:rPr>
                <w:noProof/>
              </w:rPr>
              <w:t>Έναρξη ισχύος του αναθεωρημένου κανονισμού για τα εθνικά δίκτυα μεταφοράς φυσικού αερίου και του κανονισμού για τα εθνικά δίκτυα διανομής φυσικού αερίου που προσδιορίζουν τα κριτήρια για την έγχυση ανανεώσιμου υδρογόνου στο δίκτυο αερίου.</w:t>
            </w:r>
          </w:p>
        </w:tc>
      </w:tr>
      <w:tr w:rsidR="00154AD2" w14:paraId="605D9DEB" w14:textId="77777777">
        <w:trPr>
          <w:trHeight w:val="430"/>
        </w:trPr>
        <w:tc>
          <w:tcPr>
            <w:tcW w:w="1135" w:type="dxa"/>
            <w:shd w:val="clear" w:color="auto" w:fill="C4EFCE"/>
            <w:vAlign w:val="center"/>
          </w:tcPr>
          <w:p w14:paraId="79442355" w14:textId="47ECB25B" w:rsidR="00154AD2" w:rsidRDefault="007F6BF3">
            <w:pPr>
              <w:pStyle w:val="P68B1DB1-Normal11"/>
              <w:spacing w:after="0" w:line="240" w:lineRule="auto"/>
              <w:jc w:val="center"/>
              <w:rPr>
                <w:rFonts w:eastAsia="Times New Roman" w:cstheme="minorHAnsi"/>
                <w:noProof/>
              </w:rPr>
            </w:pPr>
            <w:r>
              <w:rPr>
                <w:noProof/>
              </w:rPr>
              <w:t>21.18</w:t>
            </w:r>
          </w:p>
        </w:tc>
        <w:tc>
          <w:tcPr>
            <w:tcW w:w="1276" w:type="dxa"/>
            <w:shd w:val="clear" w:color="auto" w:fill="C4EFCE"/>
            <w:noWrap/>
            <w:vAlign w:val="center"/>
          </w:tcPr>
          <w:p w14:paraId="460C67CB" w14:textId="18AC6D11" w:rsidR="00154AD2" w:rsidRDefault="007F6BF3">
            <w:pPr>
              <w:pStyle w:val="P68B1DB1-Normal12"/>
              <w:spacing w:after="0" w:line="240" w:lineRule="auto"/>
              <w:jc w:val="center"/>
              <w:rPr>
                <w:rFonts w:eastAsia="Times New Roman"/>
                <w:noProof/>
              </w:rPr>
            </w:pPr>
            <w:r>
              <w:rPr>
                <w:noProof/>
              </w:rPr>
              <w:t>RP-C21-r47</w:t>
            </w:r>
          </w:p>
        </w:tc>
        <w:tc>
          <w:tcPr>
            <w:tcW w:w="1134" w:type="dxa"/>
            <w:shd w:val="clear" w:color="auto" w:fill="C4EFCE"/>
            <w:noWrap/>
            <w:vAlign w:val="center"/>
          </w:tcPr>
          <w:p w14:paraId="64F6B095" w14:textId="68DF9292" w:rsidR="00154AD2" w:rsidRDefault="007F6BF3">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66E13C29" w14:textId="6406C986" w:rsidR="00154AD2" w:rsidRDefault="007F6BF3">
            <w:pPr>
              <w:pStyle w:val="P68B1DB1-Normal12"/>
              <w:spacing w:after="0" w:line="240" w:lineRule="auto"/>
              <w:jc w:val="center"/>
              <w:rPr>
                <w:rFonts w:eastAsia="Times New Roman" w:cstheme="minorHAnsi"/>
                <w:noProof/>
              </w:rPr>
            </w:pPr>
            <w:r>
              <w:rPr>
                <w:noProof/>
              </w:rPr>
              <w:t>Έναρξη της πρώτης δημοπρασίας κεντρικής αγοράς βιώσιμου βιομεθανίου</w:t>
            </w:r>
          </w:p>
        </w:tc>
        <w:tc>
          <w:tcPr>
            <w:tcW w:w="1275" w:type="dxa"/>
            <w:shd w:val="clear" w:color="auto" w:fill="C4EFCE"/>
            <w:noWrap/>
            <w:vAlign w:val="center"/>
          </w:tcPr>
          <w:p w14:paraId="69CDF0A5" w14:textId="736DF564" w:rsidR="00154AD2" w:rsidRDefault="007F6BF3">
            <w:pPr>
              <w:pStyle w:val="P68B1DB1-Normal12"/>
              <w:spacing w:after="0" w:line="240" w:lineRule="auto"/>
              <w:jc w:val="center"/>
              <w:rPr>
                <w:rFonts w:eastAsia="Times New Roman" w:cstheme="minorHAnsi"/>
                <w:noProof/>
              </w:rPr>
            </w:pPr>
            <w:r>
              <w:rPr>
                <w:noProof/>
              </w:rPr>
              <w:t>Έναρξη της πρώτης δημοπρασίας κεντρικής αγοράς βιώσιμου βιομεθανίου</w:t>
            </w:r>
          </w:p>
        </w:tc>
        <w:tc>
          <w:tcPr>
            <w:tcW w:w="993" w:type="dxa"/>
            <w:shd w:val="clear" w:color="auto" w:fill="C4EFCE"/>
            <w:noWrap/>
            <w:vAlign w:val="center"/>
          </w:tcPr>
          <w:p w14:paraId="5C6BE3C1" w14:textId="77777777" w:rsidR="00154AD2" w:rsidRDefault="00154AD2">
            <w:pPr>
              <w:pStyle w:val="Bodytext10"/>
              <w:rPr>
                <w:rFonts w:asciiTheme="minorHAnsi" w:hAnsiTheme="minorHAnsi" w:cstheme="minorHAnsi"/>
                <w:noProof/>
                <w:sz w:val="16"/>
              </w:rPr>
            </w:pPr>
          </w:p>
          <w:p w14:paraId="1C95DE88"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3C86D329"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1B5F97E0" w14:textId="77777777" w:rsidR="00154AD2" w:rsidRDefault="00154AD2">
            <w:pPr>
              <w:spacing w:after="0" w:line="240" w:lineRule="auto"/>
              <w:jc w:val="center"/>
              <w:rPr>
                <w:rFonts w:eastAsia="Times New Roman" w:cstheme="minorHAnsi"/>
                <w:noProof/>
                <w:sz w:val="16"/>
              </w:rPr>
            </w:pPr>
          </w:p>
        </w:tc>
        <w:tc>
          <w:tcPr>
            <w:tcW w:w="567" w:type="dxa"/>
            <w:shd w:val="clear" w:color="auto" w:fill="C4EFCE"/>
            <w:noWrap/>
            <w:vAlign w:val="center"/>
          </w:tcPr>
          <w:p w14:paraId="3D5226E5" w14:textId="320D48A4" w:rsidR="00154AD2" w:rsidRDefault="007F6BF3">
            <w:pPr>
              <w:pStyle w:val="P68B1DB1-Normal12"/>
              <w:spacing w:after="0" w:line="240" w:lineRule="auto"/>
              <w:jc w:val="center"/>
              <w:rPr>
                <w:rFonts w:eastAsia="Times New Roman" w:cstheme="minorHAnsi"/>
                <w:noProof/>
              </w:rPr>
            </w:pPr>
            <w:r>
              <w:rPr>
                <w:noProof/>
              </w:rPr>
              <w:t>ΤΡΊΜΗΝΟ 3</w:t>
            </w:r>
          </w:p>
        </w:tc>
        <w:tc>
          <w:tcPr>
            <w:tcW w:w="708" w:type="dxa"/>
            <w:shd w:val="clear" w:color="auto" w:fill="C4EFCE"/>
            <w:noWrap/>
            <w:vAlign w:val="center"/>
          </w:tcPr>
          <w:p w14:paraId="13AAF3B7" w14:textId="42A89A23" w:rsidR="00154AD2" w:rsidRDefault="007F6BF3">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205462C3" w14:textId="592E1365" w:rsidR="00154AD2" w:rsidRDefault="007F6BF3">
            <w:pPr>
              <w:pStyle w:val="P68B1DB1-Normal12"/>
              <w:spacing w:after="0" w:line="240" w:lineRule="auto"/>
              <w:jc w:val="both"/>
              <w:rPr>
                <w:rFonts w:eastAsia="Times New Roman" w:cstheme="minorHAnsi"/>
                <w:noProof/>
              </w:rPr>
            </w:pPr>
            <w:r>
              <w:rPr>
                <w:noProof/>
              </w:rPr>
              <w:t>Έναρξη της πρώτης δημοπρασίας κεντρικής αγοράς βιώσιμου βιομεθανίου, σύμφωνα με τους κανόνες που ορίζονται στο κυβερνητικό διάταγμα 15/2023 της 4 Ιανουαρίου, με στόχο την αγορά 150 GWh/έτος βιομεθανίου για έγχυση στο εθνικό δίκτυο φυσικού αερίου.</w:t>
            </w:r>
          </w:p>
        </w:tc>
      </w:tr>
      <w:tr w:rsidR="00154AD2" w14:paraId="1C21BC20" w14:textId="77777777">
        <w:trPr>
          <w:trHeight w:val="430"/>
        </w:trPr>
        <w:tc>
          <w:tcPr>
            <w:tcW w:w="1135" w:type="dxa"/>
            <w:shd w:val="clear" w:color="auto" w:fill="C4EFCE"/>
            <w:vAlign w:val="center"/>
          </w:tcPr>
          <w:p w14:paraId="7BCD5805" w14:textId="57AAEBFF" w:rsidR="00154AD2" w:rsidRDefault="007F6BF3">
            <w:pPr>
              <w:pStyle w:val="P68B1DB1-Normal11"/>
              <w:spacing w:after="0" w:line="240" w:lineRule="auto"/>
              <w:jc w:val="center"/>
              <w:rPr>
                <w:rFonts w:eastAsia="Times New Roman" w:cstheme="minorHAnsi"/>
                <w:noProof/>
              </w:rPr>
            </w:pPr>
            <w:r>
              <w:rPr>
                <w:noProof/>
              </w:rPr>
              <w:t>21.19</w:t>
            </w:r>
          </w:p>
        </w:tc>
        <w:tc>
          <w:tcPr>
            <w:tcW w:w="1276" w:type="dxa"/>
            <w:shd w:val="clear" w:color="auto" w:fill="C4EFCE"/>
            <w:noWrap/>
            <w:vAlign w:val="center"/>
          </w:tcPr>
          <w:p w14:paraId="0FB6B493" w14:textId="29E0E517" w:rsidR="00154AD2" w:rsidRDefault="007F6BF3">
            <w:pPr>
              <w:pStyle w:val="P68B1DB1-Normal12"/>
              <w:spacing w:after="0" w:line="240" w:lineRule="auto"/>
              <w:jc w:val="center"/>
              <w:rPr>
                <w:rFonts w:eastAsia="Times New Roman"/>
                <w:noProof/>
              </w:rPr>
            </w:pPr>
            <w:r>
              <w:rPr>
                <w:noProof/>
              </w:rPr>
              <w:t>RP-C21-r47</w:t>
            </w:r>
          </w:p>
        </w:tc>
        <w:tc>
          <w:tcPr>
            <w:tcW w:w="1134" w:type="dxa"/>
            <w:shd w:val="clear" w:color="auto" w:fill="C4EFCE"/>
            <w:noWrap/>
            <w:vAlign w:val="center"/>
          </w:tcPr>
          <w:p w14:paraId="6F3A2F82" w14:textId="6C89584C" w:rsidR="00154AD2" w:rsidRDefault="007F6BF3">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263D92B4" w14:textId="6C0D542B" w:rsidR="00154AD2" w:rsidRDefault="007F6BF3">
            <w:pPr>
              <w:pStyle w:val="P68B1DB1-Normal12"/>
              <w:spacing w:after="0" w:line="240" w:lineRule="auto"/>
              <w:jc w:val="center"/>
              <w:rPr>
                <w:rFonts w:eastAsia="Times New Roman" w:cstheme="minorHAnsi"/>
                <w:noProof/>
              </w:rPr>
            </w:pPr>
            <w:r>
              <w:rPr>
                <w:noProof/>
              </w:rPr>
              <w:t>Έγκριση του σχεδίου δράσης για το βιομεθάνιο</w:t>
            </w:r>
          </w:p>
        </w:tc>
        <w:tc>
          <w:tcPr>
            <w:tcW w:w="1275" w:type="dxa"/>
            <w:shd w:val="clear" w:color="auto" w:fill="C4EFCE"/>
            <w:noWrap/>
            <w:vAlign w:val="center"/>
          </w:tcPr>
          <w:p w14:paraId="2331BC43" w14:textId="5662D980" w:rsidR="00154AD2" w:rsidRDefault="007F6BF3">
            <w:pPr>
              <w:pStyle w:val="P68B1DB1-Normal12"/>
              <w:spacing w:after="0" w:line="240" w:lineRule="auto"/>
              <w:jc w:val="center"/>
              <w:rPr>
                <w:rFonts w:eastAsia="Times New Roman" w:cstheme="minorHAnsi"/>
                <w:noProof/>
              </w:rPr>
            </w:pPr>
            <w:r>
              <w:rPr>
                <w:noProof/>
              </w:rPr>
              <w:t>Έγκριση του σχεδίου δράσης για το βιομεθάνιο</w:t>
            </w:r>
          </w:p>
        </w:tc>
        <w:tc>
          <w:tcPr>
            <w:tcW w:w="993" w:type="dxa"/>
            <w:shd w:val="clear" w:color="auto" w:fill="C4EFCE"/>
            <w:noWrap/>
            <w:vAlign w:val="center"/>
          </w:tcPr>
          <w:p w14:paraId="46102B02"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754ECF4E"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6B73CC88" w14:textId="77777777" w:rsidR="00154AD2" w:rsidRDefault="00154AD2">
            <w:pPr>
              <w:spacing w:after="0" w:line="240" w:lineRule="auto"/>
              <w:jc w:val="center"/>
              <w:rPr>
                <w:rFonts w:eastAsia="Times New Roman" w:cstheme="minorHAnsi"/>
                <w:noProof/>
                <w:sz w:val="16"/>
              </w:rPr>
            </w:pPr>
          </w:p>
        </w:tc>
        <w:tc>
          <w:tcPr>
            <w:tcW w:w="567" w:type="dxa"/>
            <w:shd w:val="clear" w:color="auto" w:fill="C4EFCE"/>
            <w:noWrap/>
            <w:vAlign w:val="center"/>
          </w:tcPr>
          <w:p w14:paraId="547A7E82" w14:textId="293EE249" w:rsidR="00154AD2" w:rsidRDefault="007F6BF3">
            <w:pPr>
              <w:pStyle w:val="P68B1DB1-Normal12"/>
              <w:spacing w:after="0" w:line="240" w:lineRule="auto"/>
              <w:jc w:val="center"/>
              <w:rPr>
                <w:rFonts w:eastAsia="Times New Roman" w:cstheme="minorHAnsi"/>
                <w:noProof/>
              </w:rPr>
            </w:pPr>
            <w:r>
              <w:rPr>
                <w:noProof/>
              </w:rPr>
              <w:t>ΤΡΊΜΗΝΟ 1</w:t>
            </w:r>
          </w:p>
        </w:tc>
        <w:tc>
          <w:tcPr>
            <w:tcW w:w="708" w:type="dxa"/>
            <w:shd w:val="clear" w:color="auto" w:fill="C4EFCE"/>
            <w:noWrap/>
            <w:vAlign w:val="center"/>
          </w:tcPr>
          <w:p w14:paraId="7A5419DD" w14:textId="6C7BDBBD" w:rsidR="00154AD2" w:rsidRDefault="007F6BF3">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07712EEC" w14:textId="66A9DDF7" w:rsidR="00154AD2" w:rsidRDefault="007F6BF3">
            <w:pPr>
              <w:pStyle w:val="P68B1DB1-Normal12"/>
              <w:spacing w:after="0" w:line="240" w:lineRule="auto"/>
              <w:jc w:val="both"/>
              <w:rPr>
                <w:rFonts w:eastAsia="Times New Roman" w:cstheme="minorHAnsi"/>
                <w:noProof/>
              </w:rPr>
            </w:pPr>
            <w:r>
              <w:rPr>
                <w:noProof/>
              </w:rPr>
              <w:t xml:space="preserve">Έγκριση του σχεδίου δράσης για το βιομεθάνιο, το οποίο θεσπίζει στρατηγική για την ανάπτυξη της αγοράς βιομεθανίου. </w:t>
            </w:r>
          </w:p>
        </w:tc>
      </w:tr>
      <w:tr w:rsidR="00154AD2" w14:paraId="418F63A0" w14:textId="77777777">
        <w:trPr>
          <w:trHeight w:val="430"/>
        </w:trPr>
        <w:tc>
          <w:tcPr>
            <w:tcW w:w="1135" w:type="dxa"/>
            <w:shd w:val="clear" w:color="auto" w:fill="C4EFCE"/>
            <w:vAlign w:val="center"/>
          </w:tcPr>
          <w:p w14:paraId="142F0F30" w14:textId="5290C99B" w:rsidR="00154AD2" w:rsidRDefault="007F6BF3">
            <w:pPr>
              <w:pStyle w:val="P68B1DB1-Normal11"/>
              <w:spacing w:after="0" w:line="240" w:lineRule="auto"/>
              <w:jc w:val="center"/>
              <w:rPr>
                <w:rFonts w:eastAsia="Times New Roman" w:cstheme="minorHAnsi"/>
                <w:noProof/>
              </w:rPr>
            </w:pPr>
            <w:r>
              <w:rPr>
                <w:noProof/>
              </w:rPr>
              <w:t>21.20</w:t>
            </w:r>
          </w:p>
        </w:tc>
        <w:tc>
          <w:tcPr>
            <w:tcW w:w="1276" w:type="dxa"/>
            <w:shd w:val="clear" w:color="auto" w:fill="C4EFCE"/>
            <w:noWrap/>
            <w:vAlign w:val="center"/>
          </w:tcPr>
          <w:p w14:paraId="6C665450" w14:textId="33C17ADF" w:rsidR="00154AD2" w:rsidRDefault="007F6BF3">
            <w:pPr>
              <w:pStyle w:val="P68B1DB1-Normal12"/>
              <w:spacing w:after="0" w:line="240" w:lineRule="auto"/>
              <w:jc w:val="center"/>
              <w:rPr>
                <w:rFonts w:eastAsia="Times New Roman"/>
                <w:noProof/>
              </w:rPr>
            </w:pPr>
            <w:r>
              <w:rPr>
                <w:noProof/>
              </w:rPr>
              <w:t>RP-C21-r48</w:t>
            </w:r>
          </w:p>
        </w:tc>
        <w:tc>
          <w:tcPr>
            <w:tcW w:w="1134" w:type="dxa"/>
            <w:shd w:val="clear" w:color="auto" w:fill="C4EFCE"/>
            <w:noWrap/>
            <w:vAlign w:val="center"/>
          </w:tcPr>
          <w:p w14:paraId="2CBD83E4" w14:textId="031B82C1" w:rsidR="00154AD2" w:rsidRDefault="007F6BF3">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7D797AFF" w14:textId="7C6D96EE" w:rsidR="00154AD2" w:rsidRDefault="007F6BF3">
            <w:pPr>
              <w:pStyle w:val="P68B1DB1-Normal12"/>
              <w:spacing w:after="0" w:line="240" w:lineRule="auto"/>
              <w:jc w:val="center"/>
              <w:rPr>
                <w:rFonts w:eastAsia="Times New Roman" w:cstheme="minorHAnsi"/>
                <w:noProof/>
              </w:rPr>
            </w:pPr>
            <w:r>
              <w:rPr>
                <w:noProof/>
              </w:rPr>
              <w:t>Εγκατάσταση του συνδυασμού 2030</w:t>
            </w:r>
          </w:p>
        </w:tc>
        <w:tc>
          <w:tcPr>
            <w:tcW w:w="1275" w:type="dxa"/>
            <w:shd w:val="clear" w:color="auto" w:fill="C4EFCE"/>
            <w:noWrap/>
            <w:vAlign w:val="center"/>
          </w:tcPr>
          <w:p w14:paraId="3870792E" w14:textId="39267017" w:rsidR="00154AD2" w:rsidRDefault="007F6BF3">
            <w:pPr>
              <w:pStyle w:val="P68B1DB1-Normal12"/>
              <w:spacing w:after="0" w:line="240" w:lineRule="auto"/>
              <w:jc w:val="center"/>
              <w:rPr>
                <w:rFonts w:eastAsia="Times New Roman" w:cstheme="minorHAnsi"/>
                <w:noProof/>
              </w:rPr>
            </w:pPr>
            <w:r>
              <w:rPr>
                <w:noProof/>
              </w:rPr>
              <w:t xml:space="preserve">Διάταξη της νομοθετικής πράξης που αναφέρει την έναρξη ισχύος της νομοθετικής πράξης </w:t>
            </w:r>
          </w:p>
        </w:tc>
        <w:tc>
          <w:tcPr>
            <w:tcW w:w="993" w:type="dxa"/>
            <w:shd w:val="clear" w:color="auto" w:fill="C4EFCE"/>
            <w:noWrap/>
            <w:vAlign w:val="center"/>
          </w:tcPr>
          <w:p w14:paraId="4DE5ACF5"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7F290546"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63BC3933" w14:textId="77777777" w:rsidR="00154AD2" w:rsidRDefault="00154AD2">
            <w:pPr>
              <w:spacing w:after="0" w:line="240" w:lineRule="auto"/>
              <w:jc w:val="center"/>
              <w:rPr>
                <w:rFonts w:eastAsia="Times New Roman" w:cstheme="minorHAnsi"/>
                <w:noProof/>
                <w:sz w:val="16"/>
              </w:rPr>
            </w:pPr>
          </w:p>
        </w:tc>
        <w:tc>
          <w:tcPr>
            <w:tcW w:w="567" w:type="dxa"/>
            <w:shd w:val="clear" w:color="auto" w:fill="C4EFCE"/>
            <w:noWrap/>
            <w:vAlign w:val="center"/>
          </w:tcPr>
          <w:p w14:paraId="46EB5396" w14:textId="2FD78DB8" w:rsidR="00154AD2" w:rsidRDefault="007F6BF3">
            <w:pPr>
              <w:pStyle w:val="P68B1DB1-Normal12"/>
              <w:spacing w:after="0" w:line="240" w:lineRule="auto"/>
              <w:jc w:val="center"/>
              <w:rPr>
                <w:rFonts w:eastAsia="Times New Roman" w:cstheme="minorHAnsi"/>
                <w:noProof/>
              </w:rPr>
            </w:pPr>
            <w:r>
              <w:rPr>
                <w:noProof/>
              </w:rPr>
              <w:t>ΤΡΊΜΗΝΟ 3</w:t>
            </w:r>
          </w:p>
        </w:tc>
        <w:tc>
          <w:tcPr>
            <w:tcW w:w="708" w:type="dxa"/>
            <w:shd w:val="clear" w:color="auto" w:fill="C4EFCE"/>
            <w:noWrap/>
            <w:vAlign w:val="center"/>
          </w:tcPr>
          <w:p w14:paraId="4CF27736" w14:textId="7B6485C3" w:rsidR="00154AD2" w:rsidRDefault="007F6BF3">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0CD424AB" w14:textId="0D91A0DB" w:rsidR="00154AD2" w:rsidRDefault="007F6BF3">
            <w:pPr>
              <w:pStyle w:val="P68B1DB1-Normal12"/>
              <w:spacing w:after="0" w:line="240" w:lineRule="auto"/>
              <w:jc w:val="both"/>
              <w:rPr>
                <w:rFonts w:eastAsia="Times New Roman" w:cstheme="minorHAnsi"/>
                <w:noProof/>
              </w:rPr>
            </w:pPr>
            <w:r>
              <w:rPr>
                <w:noProof/>
              </w:rPr>
              <w:t xml:space="preserve">Έναρξη ισχύος της σχετικής νομοθετικής πράξης για τη θέσπιση της παραγράφου 2030. Η νομοθετική πράξη καθορίζει τα καθήκοντα της 2030ης ομάδας, όπως προσδιορίζονται στην περιγραφή του μέτρου. </w:t>
            </w:r>
          </w:p>
        </w:tc>
      </w:tr>
      <w:tr w:rsidR="00154AD2" w14:paraId="3434404A" w14:textId="77777777">
        <w:trPr>
          <w:trHeight w:val="430"/>
        </w:trPr>
        <w:tc>
          <w:tcPr>
            <w:tcW w:w="1135" w:type="dxa"/>
            <w:shd w:val="clear" w:color="auto" w:fill="C4EFCE"/>
            <w:vAlign w:val="center"/>
          </w:tcPr>
          <w:p w14:paraId="37F09A11" w14:textId="7EBD0484" w:rsidR="00154AD2" w:rsidRDefault="007F6BF3">
            <w:pPr>
              <w:pStyle w:val="P68B1DB1-Normal11"/>
              <w:spacing w:after="0" w:line="240" w:lineRule="auto"/>
              <w:jc w:val="center"/>
              <w:rPr>
                <w:rFonts w:eastAsia="Times New Roman" w:cstheme="minorHAnsi"/>
                <w:noProof/>
              </w:rPr>
            </w:pPr>
            <w:r>
              <w:rPr>
                <w:noProof/>
              </w:rPr>
              <w:t>21.21</w:t>
            </w:r>
          </w:p>
        </w:tc>
        <w:tc>
          <w:tcPr>
            <w:tcW w:w="1276" w:type="dxa"/>
            <w:shd w:val="clear" w:color="auto" w:fill="C4EFCE"/>
            <w:noWrap/>
            <w:vAlign w:val="center"/>
          </w:tcPr>
          <w:p w14:paraId="24535339" w14:textId="20939CD9" w:rsidR="00154AD2" w:rsidRDefault="007F6BF3">
            <w:pPr>
              <w:pStyle w:val="P68B1DB1-Normal12"/>
              <w:spacing w:after="0" w:line="240" w:lineRule="auto"/>
              <w:jc w:val="center"/>
              <w:rPr>
                <w:rFonts w:eastAsia="Times New Roman"/>
                <w:noProof/>
              </w:rPr>
            </w:pPr>
            <w:r>
              <w:rPr>
                <w:noProof/>
              </w:rPr>
              <w:t>RP-C21-r48</w:t>
            </w:r>
          </w:p>
        </w:tc>
        <w:tc>
          <w:tcPr>
            <w:tcW w:w="1134" w:type="dxa"/>
            <w:shd w:val="clear" w:color="auto" w:fill="C4EFCE"/>
            <w:noWrap/>
            <w:vAlign w:val="center"/>
          </w:tcPr>
          <w:p w14:paraId="2BAC6B67" w14:textId="5DA5E0AC" w:rsidR="00154AD2" w:rsidRDefault="007F6BF3">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10A12304" w14:textId="3FA91FDE" w:rsidR="00154AD2" w:rsidRDefault="007F6BF3">
            <w:pPr>
              <w:pStyle w:val="P68B1DB1-Normal12"/>
              <w:spacing w:after="0" w:line="240" w:lineRule="auto"/>
              <w:jc w:val="center"/>
              <w:rPr>
                <w:rFonts w:eastAsia="Times New Roman" w:cstheme="minorHAnsi"/>
                <w:noProof/>
              </w:rPr>
            </w:pPr>
            <w:r>
              <w:rPr>
                <w:noProof/>
              </w:rPr>
              <w:t>Έναρξη ισχύος του κανονισμού για τη χορήγηση δημοτικών αδειών σε έργα ανανεώσιμης ενέργειας και αποθήκευσης</w:t>
            </w:r>
          </w:p>
        </w:tc>
        <w:tc>
          <w:tcPr>
            <w:tcW w:w="1275" w:type="dxa"/>
            <w:shd w:val="clear" w:color="auto" w:fill="C4EFCE"/>
            <w:noWrap/>
            <w:vAlign w:val="center"/>
          </w:tcPr>
          <w:p w14:paraId="10C906B4" w14:textId="27FE202E" w:rsidR="00154AD2" w:rsidRDefault="007F6BF3">
            <w:pPr>
              <w:pStyle w:val="P68B1DB1-Normal12"/>
              <w:spacing w:after="0" w:line="240" w:lineRule="auto"/>
              <w:jc w:val="center"/>
              <w:rPr>
                <w:rFonts w:eastAsia="Times New Roman" w:cstheme="minorHAnsi"/>
                <w:noProof/>
              </w:rPr>
            </w:pPr>
            <w:r>
              <w:rPr>
                <w:noProof/>
              </w:rPr>
              <w:t xml:space="preserve">Διάταξη του δημοτικού κανονισμού που αναφέρει την έναρξη ισχύος του δημοτικού κανονισμού </w:t>
            </w:r>
          </w:p>
        </w:tc>
        <w:tc>
          <w:tcPr>
            <w:tcW w:w="993" w:type="dxa"/>
            <w:shd w:val="clear" w:color="auto" w:fill="C4EFCE"/>
            <w:noWrap/>
            <w:vAlign w:val="center"/>
          </w:tcPr>
          <w:p w14:paraId="0B12EE5A"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704EA6B1"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145DD6C1" w14:textId="77777777" w:rsidR="00154AD2" w:rsidRDefault="00154AD2">
            <w:pPr>
              <w:spacing w:after="0" w:line="240" w:lineRule="auto"/>
              <w:jc w:val="center"/>
              <w:rPr>
                <w:rFonts w:eastAsia="Times New Roman" w:cstheme="minorHAnsi"/>
                <w:noProof/>
                <w:sz w:val="16"/>
              </w:rPr>
            </w:pPr>
          </w:p>
        </w:tc>
        <w:tc>
          <w:tcPr>
            <w:tcW w:w="567" w:type="dxa"/>
            <w:shd w:val="clear" w:color="auto" w:fill="C4EFCE"/>
            <w:noWrap/>
            <w:vAlign w:val="center"/>
          </w:tcPr>
          <w:p w14:paraId="6F0466BA" w14:textId="4D7C3903" w:rsidR="00154AD2" w:rsidRDefault="007F6BF3">
            <w:pPr>
              <w:pStyle w:val="P68B1DB1-Normal12"/>
              <w:spacing w:after="0" w:line="240" w:lineRule="auto"/>
              <w:jc w:val="center"/>
              <w:rPr>
                <w:rFonts w:eastAsia="Times New Roman" w:cstheme="minorHAnsi"/>
                <w:noProof/>
              </w:rPr>
            </w:pPr>
            <w:r>
              <w:rPr>
                <w:noProof/>
              </w:rPr>
              <w:t>ΤΡΊΜΗΝΟ 3</w:t>
            </w:r>
          </w:p>
        </w:tc>
        <w:tc>
          <w:tcPr>
            <w:tcW w:w="708" w:type="dxa"/>
            <w:shd w:val="clear" w:color="auto" w:fill="C4EFCE"/>
            <w:noWrap/>
            <w:vAlign w:val="center"/>
          </w:tcPr>
          <w:p w14:paraId="16E5EBC1" w14:textId="31A3FA96" w:rsidR="00154AD2" w:rsidRDefault="007F6BF3">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0D91FA19" w14:textId="7AD125CE" w:rsidR="00154AD2" w:rsidRDefault="007F6BF3">
            <w:pPr>
              <w:pStyle w:val="P68B1DB1-Normal12"/>
              <w:spacing w:after="0" w:line="240" w:lineRule="auto"/>
              <w:jc w:val="both"/>
              <w:rPr>
                <w:rFonts w:eastAsia="Times New Roman" w:cstheme="minorHAnsi"/>
                <w:noProof/>
              </w:rPr>
            </w:pPr>
            <w:r>
              <w:rPr>
                <w:noProof/>
              </w:rPr>
              <w:t>Δημοσίευση του ψηφίσματος του Υπουργικού Συμβουλίου για τη θέσπιση του κανονισμού για τη χορήγηση δημοτικών αδειών σε έργα ανανεώσιμης ενέργειας και αποθήκευσης.</w:t>
            </w:r>
          </w:p>
        </w:tc>
      </w:tr>
      <w:tr w:rsidR="00154AD2" w14:paraId="59D26DB7" w14:textId="77777777">
        <w:trPr>
          <w:trHeight w:val="430"/>
        </w:trPr>
        <w:tc>
          <w:tcPr>
            <w:tcW w:w="1135" w:type="dxa"/>
            <w:shd w:val="clear" w:color="auto" w:fill="C4EFCE"/>
            <w:vAlign w:val="center"/>
          </w:tcPr>
          <w:p w14:paraId="4648D13C" w14:textId="44A43D75" w:rsidR="00154AD2" w:rsidRDefault="007F6BF3">
            <w:pPr>
              <w:pStyle w:val="P68B1DB1-Normal11"/>
              <w:spacing w:after="0" w:line="240" w:lineRule="auto"/>
              <w:jc w:val="center"/>
              <w:rPr>
                <w:rFonts w:eastAsia="Times New Roman" w:cstheme="minorHAnsi"/>
                <w:noProof/>
              </w:rPr>
            </w:pPr>
            <w:r>
              <w:rPr>
                <w:noProof/>
              </w:rPr>
              <w:t>21.22</w:t>
            </w:r>
          </w:p>
        </w:tc>
        <w:tc>
          <w:tcPr>
            <w:tcW w:w="1276" w:type="dxa"/>
            <w:shd w:val="clear" w:color="auto" w:fill="C4EFCE"/>
            <w:noWrap/>
            <w:vAlign w:val="center"/>
          </w:tcPr>
          <w:p w14:paraId="728FC768" w14:textId="59F4F085" w:rsidR="00154AD2" w:rsidRDefault="007F6BF3">
            <w:pPr>
              <w:pStyle w:val="P68B1DB1-Normal12"/>
              <w:spacing w:after="0" w:line="240" w:lineRule="auto"/>
              <w:jc w:val="center"/>
              <w:rPr>
                <w:rFonts w:eastAsia="Times New Roman"/>
                <w:noProof/>
              </w:rPr>
            </w:pPr>
            <w:r>
              <w:rPr>
                <w:noProof/>
              </w:rPr>
              <w:t>RP-C21-r48</w:t>
            </w:r>
          </w:p>
        </w:tc>
        <w:tc>
          <w:tcPr>
            <w:tcW w:w="1134" w:type="dxa"/>
            <w:shd w:val="clear" w:color="auto" w:fill="C4EFCE"/>
            <w:noWrap/>
            <w:vAlign w:val="center"/>
          </w:tcPr>
          <w:p w14:paraId="10E1CE1B" w14:textId="1F3111B7" w:rsidR="00154AD2" w:rsidRDefault="007F6BF3">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41AC95E2" w14:textId="5B253EDB" w:rsidR="00154AD2" w:rsidRDefault="007F6BF3">
            <w:pPr>
              <w:pStyle w:val="P68B1DB1-Normal12"/>
              <w:spacing w:after="0" w:line="240" w:lineRule="auto"/>
              <w:jc w:val="center"/>
              <w:rPr>
                <w:rFonts w:eastAsia="Times New Roman" w:cstheme="minorHAnsi"/>
                <w:noProof/>
              </w:rPr>
            </w:pPr>
            <w:r>
              <w:rPr>
                <w:noProof/>
              </w:rPr>
              <w:t>Κατάρτιση του προσωπικού που συμμετέχει στην αδειοδότηση έργων ανανεώσιμων πηγών ενέργειας</w:t>
            </w:r>
          </w:p>
        </w:tc>
        <w:tc>
          <w:tcPr>
            <w:tcW w:w="1275" w:type="dxa"/>
            <w:shd w:val="clear" w:color="auto" w:fill="C4EFCE"/>
            <w:noWrap/>
            <w:vAlign w:val="center"/>
          </w:tcPr>
          <w:p w14:paraId="14FEE229" w14:textId="77777777" w:rsidR="00154AD2" w:rsidRDefault="00154AD2">
            <w:pPr>
              <w:spacing w:after="0" w:line="240" w:lineRule="auto"/>
              <w:jc w:val="center"/>
              <w:rPr>
                <w:rFonts w:eastAsia="Times New Roman" w:cstheme="minorHAnsi"/>
                <w:noProof/>
                <w:sz w:val="16"/>
              </w:rPr>
            </w:pPr>
          </w:p>
        </w:tc>
        <w:tc>
          <w:tcPr>
            <w:tcW w:w="993" w:type="dxa"/>
            <w:shd w:val="clear" w:color="auto" w:fill="C4EFCE"/>
            <w:noWrap/>
            <w:vAlign w:val="center"/>
          </w:tcPr>
          <w:p w14:paraId="1136F752" w14:textId="546F194B" w:rsidR="00154AD2" w:rsidRDefault="007F6BF3">
            <w:pPr>
              <w:pStyle w:val="P68B1DB1-Normal12"/>
              <w:spacing w:after="0" w:line="240" w:lineRule="auto"/>
              <w:jc w:val="center"/>
              <w:rPr>
                <w:rFonts w:eastAsia="Times New Roman" w:cstheme="minorHAnsi"/>
                <w:noProof/>
              </w:rPr>
            </w:pPr>
            <w:r>
              <w:rPr>
                <w:noProof/>
              </w:rPr>
              <w:t>Αριθμός</w:t>
            </w:r>
          </w:p>
        </w:tc>
        <w:tc>
          <w:tcPr>
            <w:tcW w:w="992" w:type="dxa"/>
            <w:shd w:val="clear" w:color="auto" w:fill="C4EFCE"/>
            <w:noWrap/>
            <w:vAlign w:val="center"/>
          </w:tcPr>
          <w:p w14:paraId="04BAAFA7" w14:textId="452A409E" w:rsidR="00154AD2" w:rsidRDefault="007F6BF3">
            <w:pPr>
              <w:pStyle w:val="P68B1DB1-Normal12"/>
              <w:spacing w:after="0" w:line="240" w:lineRule="auto"/>
              <w:jc w:val="center"/>
              <w:rPr>
                <w:rFonts w:eastAsia="Times New Roman" w:cstheme="minorHAnsi"/>
                <w:noProof/>
              </w:rPr>
            </w:pPr>
            <w:r>
              <w:rPr>
                <w:noProof/>
              </w:rPr>
              <w:t xml:space="preserve"> 0</w:t>
            </w:r>
          </w:p>
        </w:tc>
        <w:tc>
          <w:tcPr>
            <w:tcW w:w="992" w:type="dxa"/>
            <w:shd w:val="clear" w:color="auto" w:fill="C4EFCE"/>
            <w:noWrap/>
            <w:vAlign w:val="center"/>
          </w:tcPr>
          <w:p w14:paraId="08F14940" w14:textId="00FDB63C" w:rsidR="00154AD2" w:rsidRDefault="007F6BF3">
            <w:pPr>
              <w:pStyle w:val="P68B1DB1-Normal12"/>
              <w:spacing w:after="0" w:line="240" w:lineRule="auto"/>
              <w:jc w:val="center"/>
              <w:rPr>
                <w:rFonts w:eastAsia="Times New Roman" w:cstheme="minorHAnsi"/>
                <w:noProof/>
              </w:rPr>
            </w:pPr>
            <w:r>
              <w:rPr>
                <w:noProof/>
              </w:rPr>
              <w:t>500</w:t>
            </w:r>
          </w:p>
        </w:tc>
        <w:tc>
          <w:tcPr>
            <w:tcW w:w="567" w:type="dxa"/>
            <w:shd w:val="clear" w:color="auto" w:fill="C4EFCE"/>
            <w:noWrap/>
            <w:vAlign w:val="center"/>
          </w:tcPr>
          <w:p w14:paraId="2B93DCD7" w14:textId="2044BE31" w:rsidR="00154AD2" w:rsidRDefault="007F6BF3">
            <w:pPr>
              <w:pStyle w:val="P68B1DB1-Normal12"/>
              <w:spacing w:after="0" w:line="240" w:lineRule="auto"/>
              <w:jc w:val="center"/>
              <w:rPr>
                <w:rFonts w:eastAsia="Times New Roman" w:cstheme="minorHAnsi"/>
                <w:noProof/>
              </w:rPr>
            </w:pPr>
            <w:r>
              <w:rPr>
                <w:noProof/>
              </w:rPr>
              <w:t>ΤΡΊΜΗΝΟ 2</w:t>
            </w:r>
          </w:p>
        </w:tc>
        <w:tc>
          <w:tcPr>
            <w:tcW w:w="708" w:type="dxa"/>
            <w:shd w:val="clear" w:color="auto" w:fill="C4EFCE"/>
            <w:noWrap/>
            <w:vAlign w:val="center"/>
          </w:tcPr>
          <w:p w14:paraId="628BED9C" w14:textId="08411F98" w:rsidR="00154AD2" w:rsidRDefault="007F6BF3">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2D275AC8" w14:textId="3EE92F9A" w:rsidR="00154AD2" w:rsidRDefault="007F6BF3">
            <w:pPr>
              <w:pStyle w:val="P68B1DB1-Normal12"/>
              <w:spacing w:after="0" w:line="240" w:lineRule="auto"/>
              <w:jc w:val="both"/>
              <w:rPr>
                <w:rFonts w:eastAsia="Times New Roman" w:cstheme="minorHAnsi"/>
                <w:noProof/>
              </w:rPr>
            </w:pPr>
            <w:r>
              <w:rPr>
                <w:noProof/>
              </w:rPr>
              <w:t xml:space="preserve">500 διευθυντές και τεχνικοί της κεντρικής, περιφερειακής και τοπικής δημόσιας διοίκησης εκπαιδεύονται σε τομείς που σχετίζονται με τις διαδικασίες αδειοδότησης για έργα ανανεώσιμης ενέργειας και αποθήκευσης ενέργειας. </w:t>
            </w:r>
          </w:p>
        </w:tc>
      </w:tr>
      <w:tr w:rsidR="00154AD2" w14:paraId="36CE5503" w14:textId="77777777">
        <w:trPr>
          <w:trHeight w:val="430"/>
        </w:trPr>
        <w:tc>
          <w:tcPr>
            <w:tcW w:w="1135" w:type="dxa"/>
            <w:shd w:val="clear" w:color="auto" w:fill="C4EFCE"/>
            <w:vAlign w:val="center"/>
          </w:tcPr>
          <w:p w14:paraId="37D608B0" w14:textId="69E7C5E2" w:rsidR="00154AD2" w:rsidRDefault="007F6BF3">
            <w:pPr>
              <w:pStyle w:val="P68B1DB1-Normal11"/>
              <w:spacing w:after="0" w:line="240" w:lineRule="auto"/>
              <w:jc w:val="center"/>
              <w:rPr>
                <w:rFonts w:eastAsia="Times New Roman" w:cstheme="minorHAnsi"/>
                <w:noProof/>
              </w:rPr>
            </w:pPr>
            <w:r>
              <w:rPr>
                <w:noProof/>
              </w:rPr>
              <w:t>21.23</w:t>
            </w:r>
          </w:p>
        </w:tc>
        <w:tc>
          <w:tcPr>
            <w:tcW w:w="1276" w:type="dxa"/>
            <w:shd w:val="clear" w:color="auto" w:fill="C4EFCE"/>
            <w:noWrap/>
            <w:vAlign w:val="center"/>
          </w:tcPr>
          <w:p w14:paraId="29182886" w14:textId="24BC074B" w:rsidR="00154AD2" w:rsidRDefault="007F6BF3">
            <w:pPr>
              <w:pStyle w:val="P68B1DB1-Normal12"/>
              <w:spacing w:after="0" w:line="240" w:lineRule="auto"/>
              <w:jc w:val="center"/>
              <w:rPr>
                <w:rFonts w:eastAsia="Times New Roman"/>
                <w:noProof/>
              </w:rPr>
            </w:pPr>
            <w:r>
              <w:rPr>
                <w:noProof/>
              </w:rPr>
              <w:t>RP-C21-r48</w:t>
            </w:r>
          </w:p>
        </w:tc>
        <w:tc>
          <w:tcPr>
            <w:tcW w:w="1134" w:type="dxa"/>
            <w:shd w:val="clear" w:color="auto" w:fill="C4EFCE"/>
            <w:noWrap/>
            <w:vAlign w:val="center"/>
          </w:tcPr>
          <w:p w14:paraId="1ED75554" w14:textId="2C085155" w:rsidR="00154AD2" w:rsidRDefault="007F6BF3">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45F13748" w14:textId="5624F122" w:rsidR="00154AD2" w:rsidRDefault="007F6BF3">
            <w:pPr>
              <w:pStyle w:val="P68B1DB1-Normal12"/>
              <w:spacing w:after="0" w:line="240" w:lineRule="auto"/>
              <w:jc w:val="center"/>
              <w:rPr>
                <w:rFonts w:eastAsia="Times New Roman" w:cstheme="minorHAnsi"/>
                <w:noProof/>
              </w:rPr>
            </w:pPr>
            <w:r>
              <w:rPr>
                <w:noProof/>
              </w:rPr>
              <w:t>Έγκριση χρονοδιαγράμματος για την κατανομή νέας δυναμικότητας παραγωγής ενέργειας από ανανεώσιμες πηγές, με ιδιαίτερη έμφαση στις γεωγραφικές περιοχές που προκύπτουν από το τομεακό πρόγραμμα «ανανεώσιμες πηγές ενέργειας»</w:t>
            </w:r>
          </w:p>
        </w:tc>
        <w:tc>
          <w:tcPr>
            <w:tcW w:w="1275" w:type="dxa"/>
            <w:shd w:val="clear" w:color="auto" w:fill="C4EFCE"/>
            <w:noWrap/>
            <w:vAlign w:val="center"/>
          </w:tcPr>
          <w:p w14:paraId="51E28EBC" w14:textId="66E4B695" w:rsidR="00154AD2" w:rsidRDefault="007F6BF3">
            <w:pPr>
              <w:pStyle w:val="P68B1DB1-Normal12"/>
              <w:spacing w:after="0" w:line="240" w:lineRule="auto"/>
              <w:jc w:val="center"/>
              <w:rPr>
                <w:rFonts w:eastAsia="Times New Roman" w:cstheme="minorHAnsi"/>
                <w:noProof/>
              </w:rPr>
            </w:pPr>
            <w:r>
              <w:rPr>
                <w:noProof/>
              </w:rPr>
              <w:t xml:space="preserve">Έγκριση χρονοδιαγράμματος για την κατανομή νέας δυναμικότητας ΑΠΕ με βάση τις περιοχές πρώτης επιλογής </w:t>
            </w:r>
          </w:p>
        </w:tc>
        <w:tc>
          <w:tcPr>
            <w:tcW w:w="993" w:type="dxa"/>
            <w:shd w:val="clear" w:color="auto" w:fill="C4EFCE"/>
            <w:noWrap/>
            <w:vAlign w:val="center"/>
          </w:tcPr>
          <w:p w14:paraId="7B8AAA5E"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11B6E3D1"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304E9295" w14:textId="77777777" w:rsidR="00154AD2" w:rsidRDefault="00154AD2">
            <w:pPr>
              <w:spacing w:after="0" w:line="240" w:lineRule="auto"/>
              <w:jc w:val="center"/>
              <w:rPr>
                <w:rFonts w:eastAsia="Times New Roman" w:cstheme="minorHAnsi"/>
                <w:noProof/>
                <w:sz w:val="16"/>
              </w:rPr>
            </w:pPr>
          </w:p>
        </w:tc>
        <w:tc>
          <w:tcPr>
            <w:tcW w:w="567" w:type="dxa"/>
            <w:shd w:val="clear" w:color="auto" w:fill="C4EFCE"/>
            <w:noWrap/>
            <w:vAlign w:val="center"/>
          </w:tcPr>
          <w:p w14:paraId="515A26CF" w14:textId="56B4BB75" w:rsidR="00154AD2" w:rsidRDefault="007F6BF3">
            <w:pPr>
              <w:pStyle w:val="P68B1DB1-Normal12"/>
              <w:spacing w:after="0" w:line="240" w:lineRule="auto"/>
              <w:jc w:val="center"/>
              <w:rPr>
                <w:rFonts w:eastAsia="Times New Roman" w:cstheme="minorHAnsi"/>
                <w:noProof/>
              </w:rPr>
            </w:pPr>
            <w:r>
              <w:rPr>
                <w:noProof/>
              </w:rPr>
              <w:t>ΤΡΊΜΗΝΟ 2</w:t>
            </w:r>
          </w:p>
        </w:tc>
        <w:tc>
          <w:tcPr>
            <w:tcW w:w="708" w:type="dxa"/>
            <w:shd w:val="clear" w:color="auto" w:fill="C4EFCE"/>
            <w:noWrap/>
            <w:vAlign w:val="center"/>
          </w:tcPr>
          <w:p w14:paraId="0A8FB463" w14:textId="6E885BE8" w:rsidR="00154AD2" w:rsidRDefault="007F6BF3">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4607DDA1" w14:textId="4B0D2B85" w:rsidR="00154AD2" w:rsidRDefault="007F6BF3">
            <w:pPr>
              <w:pStyle w:val="P68B1DB1-Normal12"/>
              <w:spacing w:after="0" w:line="240" w:lineRule="auto"/>
              <w:jc w:val="both"/>
              <w:rPr>
                <w:rFonts w:eastAsia="Times New Roman" w:cstheme="minorHAnsi"/>
                <w:noProof/>
              </w:rPr>
            </w:pPr>
            <w:r>
              <w:rPr>
                <w:noProof/>
              </w:rPr>
              <w:t xml:space="preserve">Έγκριση χρονοδιαγράμματος για την κατανομή νέας ικανότητας παραγωγής ενέργειας από ανανεώσιμες πηγές για την ανάπτυξη έργων ανανεώσιμων πηγών ενέργειας (που προτείνεται από τον κατάλογο 2030), με ιδιαίτερη έμφαση στις γεωγραφικές περιοχές που προκύπτουν από το τομεακό πρόγραμμα «ανανεώσιμες πηγές ενέργειας», το οποίο θα δημοσιευθεί το 2024. </w:t>
            </w:r>
          </w:p>
        </w:tc>
      </w:tr>
      <w:tr w:rsidR="00154AD2" w14:paraId="41B1E0D5" w14:textId="77777777">
        <w:trPr>
          <w:trHeight w:val="430"/>
        </w:trPr>
        <w:tc>
          <w:tcPr>
            <w:tcW w:w="1135" w:type="dxa"/>
            <w:shd w:val="clear" w:color="auto" w:fill="C4EFCE"/>
            <w:vAlign w:val="center"/>
          </w:tcPr>
          <w:p w14:paraId="3CE0F6A4" w14:textId="7162E82F" w:rsidR="00154AD2" w:rsidRDefault="007F6BF3">
            <w:pPr>
              <w:pStyle w:val="P68B1DB1-Normal11"/>
              <w:spacing w:after="0" w:line="240" w:lineRule="auto"/>
              <w:jc w:val="center"/>
              <w:rPr>
                <w:rFonts w:eastAsia="Times New Roman" w:cstheme="minorHAnsi"/>
                <w:noProof/>
              </w:rPr>
            </w:pPr>
            <w:r>
              <w:rPr>
                <w:noProof/>
              </w:rPr>
              <w:t>21.24</w:t>
            </w:r>
          </w:p>
        </w:tc>
        <w:tc>
          <w:tcPr>
            <w:tcW w:w="1276" w:type="dxa"/>
            <w:shd w:val="clear" w:color="auto" w:fill="C4EFCE"/>
            <w:noWrap/>
            <w:vAlign w:val="center"/>
          </w:tcPr>
          <w:p w14:paraId="1D62C08E" w14:textId="5C708E14" w:rsidR="00154AD2" w:rsidRDefault="007F6BF3">
            <w:pPr>
              <w:pStyle w:val="P68B1DB1-Normal12"/>
              <w:spacing w:after="0" w:line="240" w:lineRule="auto"/>
              <w:jc w:val="center"/>
              <w:rPr>
                <w:rFonts w:eastAsia="Times New Roman"/>
                <w:noProof/>
              </w:rPr>
            </w:pPr>
            <w:r>
              <w:rPr>
                <w:noProof/>
              </w:rPr>
              <w:t>RP-C21-i06</w:t>
            </w:r>
          </w:p>
        </w:tc>
        <w:tc>
          <w:tcPr>
            <w:tcW w:w="1134" w:type="dxa"/>
            <w:shd w:val="clear" w:color="auto" w:fill="C4EFCE"/>
            <w:noWrap/>
            <w:vAlign w:val="center"/>
          </w:tcPr>
          <w:p w14:paraId="7081CC4B" w14:textId="0DFD479C" w:rsidR="00154AD2" w:rsidRDefault="007F6BF3">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3E8748BD" w14:textId="48B0F1BB" w:rsidR="00154AD2" w:rsidRDefault="007F6BF3">
            <w:pPr>
              <w:pStyle w:val="P68B1DB1-Normal12"/>
              <w:spacing w:after="0" w:line="240" w:lineRule="auto"/>
              <w:jc w:val="center"/>
              <w:rPr>
                <w:rFonts w:eastAsia="Times New Roman" w:cstheme="minorHAnsi"/>
                <w:noProof/>
              </w:rPr>
            </w:pPr>
            <w:r>
              <w:rPr>
                <w:noProof/>
              </w:rPr>
              <w:t>Πρόσκληση υποβολής προσφορών για έργα παραγωγής αερίου από ανανεώσιμες πηγές</w:t>
            </w:r>
          </w:p>
        </w:tc>
        <w:tc>
          <w:tcPr>
            <w:tcW w:w="1275" w:type="dxa"/>
            <w:shd w:val="clear" w:color="auto" w:fill="C4EFCE"/>
            <w:noWrap/>
            <w:vAlign w:val="center"/>
          </w:tcPr>
          <w:p w14:paraId="66FE5F49" w14:textId="6737AF70" w:rsidR="00154AD2" w:rsidRDefault="007F6BF3">
            <w:pPr>
              <w:pStyle w:val="P68B1DB1-Normal12"/>
              <w:spacing w:after="0" w:line="240" w:lineRule="auto"/>
              <w:jc w:val="center"/>
              <w:rPr>
                <w:rFonts w:eastAsia="Times New Roman" w:cstheme="minorHAnsi"/>
                <w:noProof/>
              </w:rPr>
            </w:pPr>
            <w:r>
              <w:rPr>
                <w:noProof/>
              </w:rPr>
              <w:t>Προκήρυξη πρόσκλησης υποβολής προσφορών</w:t>
            </w:r>
          </w:p>
        </w:tc>
        <w:tc>
          <w:tcPr>
            <w:tcW w:w="993" w:type="dxa"/>
            <w:shd w:val="clear" w:color="auto" w:fill="C4EFCE"/>
            <w:noWrap/>
            <w:vAlign w:val="center"/>
          </w:tcPr>
          <w:p w14:paraId="479A718C"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0B02F5A2"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0B95FF4D" w14:textId="77777777" w:rsidR="00154AD2" w:rsidRDefault="00154AD2">
            <w:pPr>
              <w:spacing w:after="0" w:line="240" w:lineRule="auto"/>
              <w:jc w:val="center"/>
              <w:rPr>
                <w:rFonts w:eastAsia="Times New Roman" w:cstheme="minorHAnsi"/>
                <w:noProof/>
                <w:sz w:val="16"/>
              </w:rPr>
            </w:pPr>
          </w:p>
        </w:tc>
        <w:tc>
          <w:tcPr>
            <w:tcW w:w="567" w:type="dxa"/>
            <w:shd w:val="clear" w:color="auto" w:fill="C4EFCE"/>
            <w:noWrap/>
            <w:vAlign w:val="center"/>
          </w:tcPr>
          <w:p w14:paraId="146FF056" w14:textId="0D036499" w:rsidR="00154AD2" w:rsidRDefault="007F6BF3">
            <w:pPr>
              <w:pStyle w:val="P68B1DB1-Normal12"/>
              <w:spacing w:after="0" w:line="240" w:lineRule="auto"/>
              <w:jc w:val="center"/>
              <w:rPr>
                <w:rFonts w:eastAsia="Times New Roman" w:cstheme="minorHAnsi"/>
                <w:noProof/>
              </w:rPr>
            </w:pPr>
            <w:r>
              <w:rPr>
                <w:noProof/>
              </w:rPr>
              <w:t>ΤΡΊΜΗΝΟ 4</w:t>
            </w:r>
          </w:p>
        </w:tc>
        <w:tc>
          <w:tcPr>
            <w:tcW w:w="708" w:type="dxa"/>
            <w:shd w:val="clear" w:color="auto" w:fill="C4EFCE"/>
            <w:noWrap/>
            <w:vAlign w:val="center"/>
          </w:tcPr>
          <w:p w14:paraId="2563D209" w14:textId="5636F9A1" w:rsidR="00154AD2" w:rsidRDefault="007F6BF3">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017D5EFE" w14:textId="5E524A6E" w:rsidR="00154AD2" w:rsidRDefault="007F6BF3">
            <w:pPr>
              <w:pStyle w:val="P68B1DB1-Normal12"/>
              <w:spacing w:after="0" w:line="240" w:lineRule="auto"/>
              <w:jc w:val="both"/>
              <w:rPr>
                <w:rFonts w:eastAsia="Times New Roman" w:cstheme="minorHAnsi"/>
                <w:noProof/>
              </w:rPr>
            </w:pPr>
            <w:r>
              <w:rPr>
                <w:noProof/>
              </w:rPr>
              <w:t>Προκήρυξη της πρόσκλησης για την επιλογή έργων που θα λάβουν στήριξη για τουλάχιστον 77 MW νέου εγκατεστημένου ανανεώσιμου υδρογόνου και άλλων ανανεώσιμων αερίων με μηδενικές ή σχεδόν μηδενικές εκπομπές αερίων του θερμοκηπίου κατά τον κύκλο ζωής τους</w:t>
            </w:r>
          </w:p>
        </w:tc>
      </w:tr>
      <w:tr w:rsidR="00154AD2" w14:paraId="40C08A18" w14:textId="77777777">
        <w:trPr>
          <w:trHeight w:val="430"/>
        </w:trPr>
        <w:tc>
          <w:tcPr>
            <w:tcW w:w="1135" w:type="dxa"/>
            <w:shd w:val="clear" w:color="auto" w:fill="C4EFCE"/>
            <w:vAlign w:val="center"/>
          </w:tcPr>
          <w:p w14:paraId="0D51024F" w14:textId="29C3E044" w:rsidR="00154AD2" w:rsidRDefault="007F6BF3">
            <w:pPr>
              <w:pStyle w:val="P68B1DB1-Normal11"/>
              <w:spacing w:after="0" w:line="240" w:lineRule="auto"/>
              <w:jc w:val="center"/>
              <w:rPr>
                <w:rFonts w:eastAsia="Times New Roman" w:cstheme="minorHAnsi"/>
                <w:noProof/>
              </w:rPr>
            </w:pPr>
            <w:r>
              <w:rPr>
                <w:noProof/>
              </w:rPr>
              <w:t>21.25</w:t>
            </w:r>
          </w:p>
        </w:tc>
        <w:tc>
          <w:tcPr>
            <w:tcW w:w="1276" w:type="dxa"/>
            <w:shd w:val="clear" w:color="auto" w:fill="C4EFCE"/>
            <w:noWrap/>
            <w:vAlign w:val="center"/>
          </w:tcPr>
          <w:p w14:paraId="77D23AA8" w14:textId="65077A31" w:rsidR="00154AD2" w:rsidRDefault="007F6BF3">
            <w:pPr>
              <w:pStyle w:val="P68B1DB1-Normal12"/>
              <w:spacing w:after="0" w:line="240" w:lineRule="auto"/>
              <w:jc w:val="center"/>
              <w:rPr>
                <w:rFonts w:eastAsia="Times New Roman"/>
                <w:noProof/>
              </w:rPr>
            </w:pPr>
            <w:r>
              <w:rPr>
                <w:noProof/>
              </w:rPr>
              <w:t>RP-C21-i06</w:t>
            </w:r>
          </w:p>
        </w:tc>
        <w:tc>
          <w:tcPr>
            <w:tcW w:w="1134" w:type="dxa"/>
            <w:shd w:val="clear" w:color="auto" w:fill="C4EFCE"/>
            <w:noWrap/>
            <w:vAlign w:val="center"/>
          </w:tcPr>
          <w:p w14:paraId="57213471" w14:textId="60058345" w:rsidR="00154AD2" w:rsidRDefault="007F6BF3">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2FE5C52B" w14:textId="4E89CAFA" w:rsidR="00154AD2" w:rsidRDefault="007F6BF3">
            <w:pPr>
              <w:pStyle w:val="P68B1DB1-Normal12"/>
              <w:spacing w:after="0" w:line="240" w:lineRule="auto"/>
              <w:jc w:val="center"/>
              <w:rPr>
                <w:rFonts w:eastAsia="Times New Roman" w:cstheme="minorHAnsi"/>
                <w:noProof/>
              </w:rPr>
            </w:pPr>
            <w:r>
              <w:rPr>
                <w:noProof/>
              </w:rPr>
              <w:t>Πρόσθετη δυναμικότητα παραγωγής ανανεώσιμου υδρογόνου και ανανεώσιμου αερίου</w:t>
            </w:r>
          </w:p>
        </w:tc>
        <w:tc>
          <w:tcPr>
            <w:tcW w:w="1275" w:type="dxa"/>
            <w:shd w:val="clear" w:color="auto" w:fill="C4EFCE"/>
            <w:noWrap/>
            <w:vAlign w:val="center"/>
          </w:tcPr>
          <w:p w14:paraId="1CC9CE9A" w14:textId="77777777" w:rsidR="00154AD2" w:rsidRDefault="00154AD2">
            <w:pPr>
              <w:spacing w:after="0" w:line="240" w:lineRule="auto"/>
              <w:jc w:val="center"/>
              <w:rPr>
                <w:rFonts w:eastAsia="Times New Roman" w:cstheme="minorHAnsi"/>
                <w:noProof/>
                <w:sz w:val="16"/>
              </w:rPr>
            </w:pPr>
          </w:p>
        </w:tc>
        <w:tc>
          <w:tcPr>
            <w:tcW w:w="993" w:type="dxa"/>
            <w:shd w:val="clear" w:color="auto" w:fill="C4EFCE"/>
            <w:noWrap/>
            <w:vAlign w:val="center"/>
          </w:tcPr>
          <w:p w14:paraId="0507A478" w14:textId="2F6724C7" w:rsidR="00154AD2" w:rsidRDefault="007F6BF3">
            <w:pPr>
              <w:pStyle w:val="P68B1DB1-Bodytext1013"/>
              <w:jc w:val="center"/>
              <w:rPr>
                <w:rFonts w:cstheme="minorHAnsi"/>
                <w:noProof/>
              </w:rPr>
            </w:pPr>
            <w:r>
              <w:rPr>
                <w:noProof/>
              </w:rPr>
              <w:t>MW</w:t>
            </w:r>
          </w:p>
        </w:tc>
        <w:tc>
          <w:tcPr>
            <w:tcW w:w="992" w:type="dxa"/>
            <w:shd w:val="clear" w:color="auto" w:fill="C4EFCE"/>
            <w:noWrap/>
            <w:vAlign w:val="center"/>
          </w:tcPr>
          <w:p w14:paraId="113D3DC1" w14:textId="69E6A3A4" w:rsidR="00154AD2" w:rsidRDefault="007F6BF3">
            <w:pPr>
              <w:pStyle w:val="P68B1DB1-Bodytext1013"/>
              <w:jc w:val="center"/>
              <w:rPr>
                <w:rFonts w:cstheme="minorHAnsi"/>
                <w:noProof/>
              </w:rPr>
            </w:pPr>
            <w:r>
              <w:rPr>
                <w:noProof/>
              </w:rPr>
              <w:t>200</w:t>
            </w:r>
          </w:p>
        </w:tc>
        <w:tc>
          <w:tcPr>
            <w:tcW w:w="992" w:type="dxa"/>
            <w:shd w:val="clear" w:color="auto" w:fill="C4EFCE"/>
            <w:noWrap/>
            <w:vAlign w:val="center"/>
          </w:tcPr>
          <w:p w14:paraId="7576C464" w14:textId="71409B46" w:rsidR="00154AD2" w:rsidRDefault="007F6BF3">
            <w:pPr>
              <w:pStyle w:val="P68B1DB1-Bodytext1013"/>
              <w:jc w:val="center"/>
              <w:rPr>
                <w:rFonts w:cstheme="minorHAnsi"/>
                <w:noProof/>
              </w:rPr>
            </w:pPr>
            <w:r>
              <w:rPr>
                <w:noProof/>
              </w:rPr>
              <w:t>277</w:t>
            </w:r>
          </w:p>
        </w:tc>
        <w:tc>
          <w:tcPr>
            <w:tcW w:w="567" w:type="dxa"/>
            <w:shd w:val="clear" w:color="auto" w:fill="C4EFCE"/>
            <w:noWrap/>
            <w:vAlign w:val="center"/>
          </w:tcPr>
          <w:p w14:paraId="685921C4" w14:textId="6AE79D57" w:rsidR="00154AD2" w:rsidRDefault="007F6BF3">
            <w:pPr>
              <w:pStyle w:val="P68B1DB1-Normal12"/>
              <w:spacing w:after="0" w:line="240" w:lineRule="auto"/>
              <w:jc w:val="center"/>
              <w:rPr>
                <w:rFonts w:eastAsia="Times New Roman"/>
                <w:noProof/>
              </w:rPr>
            </w:pPr>
            <w:r>
              <w:rPr>
                <w:noProof/>
              </w:rPr>
              <w:t>ΤΡΊΜΗΝΟ 2</w:t>
            </w:r>
          </w:p>
        </w:tc>
        <w:tc>
          <w:tcPr>
            <w:tcW w:w="708" w:type="dxa"/>
            <w:shd w:val="clear" w:color="auto" w:fill="C4EFCE"/>
            <w:noWrap/>
            <w:vAlign w:val="center"/>
          </w:tcPr>
          <w:p w14:paraId="3E715CB5" w14:textId="528BEFE4" w:rsidR="00154AD2" w:rsidRDefault="007F6BF3">
            <w:pPr>
              <w:pStyle w:val="P68B1DB1-Normal12"/>
              <w:spacing w:after="0" w:line="240" w:lineRule="auto"/>
              <w:jc w:val="center"/>
              <w:rPr>
                <w:rFonts w:eastAsia="Times New Roman"/>
                <w:noProof/>
              </w:rPr>
            </w:pPr>
            <w:r>
              <w:rPr>
                <w:noProof/>
              </w:rPr>
              <w:t>2026</w:t>
            </w:r>
          </w:p>
        </w:tc>
        <w:tc>
          <w:tcPr>
            <w:tcW w:w="3969" w:type="dxa"/>
            <w:shd w:val="clear" w:color="auto" w:fill="C4EFCE"/>
            <w:vAlign w:val="center"/>
          </w:tcPr>
          <w:p w14:paraId="1DFE52F0" w14:textId="3B8ED44F" w:rsidR="00154AD2" w:rsidRDefault="007F6BF3">
            <w:pPr>
              <w:pStyle w:val="P68B1DB1-Normal12"/>
              <w:spacing w:after="0" w:line="240" w:lineRule="auto"/>
              <w:jc w:val="both"/>
              <w:rPr>
                <w:rFonts w:eastAsia="Times New Roman" w:cstheme="minorHAnsi"/>
                <w:noProof/>
              </w:rPr>
            </w:pPr>
            <w:r>
              <w:rPr>
                <w:noProof/>
              </w:rPr>
              <w:t>Εγκατεστημένη πρόσθετη δυναμικότητα παραγωγής ανανεώσιμου υδρογόνου και αερίων από ανανεώσιμες πηγές με μηδενικές ή σχεδόν μηδενικές εκπομπές αερίων του θερμοκηπίου κατά τον κύκλο ζωής</w:t>
            </w:r>
          </w:p>
        </w:tc>
      </w:tr>
      <w:tr w:rsidR="00154AD2" w14:paraId="1045276A" w14:textId="77777777">
        <w:trPr>
          <w:trHeight w:val="430"/>
        </w:trPr>
        <w:tc>
          <w:tcPr>
            <w:tcW w:w="1135" w:type="dxa"/>
            <w:shd w:val="clear" w:color="auto" w:fill="C4EFCE"/>
            <w:vAlign w:val="center"/>
          </w:tcPr>
          <w:p w14:paraId="55738168" w14:textId="0E945F03" w:rsidR="00154AD2" w:rsidRDefault="007F6BF3">
            <w:pPr>
              <w:pStyle w:val="P68B1DB1-Normal11"/>
              <w:spacing w:after="0" w:line="240" w:lineRule="auto"/>
              <w:jc w:val="center"/>
              <w:rPr>
                <w:rFonts w:eastAsia="Times New Roman" w:cstheme="minorHAnsi"/>
                <w:noProof/>
              </w:rPr>
            </w:pPr>
            <w:r>
              <w:rPr>
                <w:noProof/>
              </w:rPr>
              <w:t>21.26</w:t>
            </w:r>
          </w:p>
        </w:tc>
        <w:tc>
          <w:tcPr>
            <w:tcW w:w="1276" w:type="dxa"/>
            <w:shd w:val="clear" w:color="auto" w:fill="C4EFCE"/>
            <w:noWrap/>
            <w:vAlign w:val="center"/>
          </w:tcPr>
          <w:p w14:paraId="4B3853AA" w14:textId="5D7EDD36" w:rsidR="00154AD2" w:rsidRDefault="007F6BF3">
            <w:pPr>
              <w:pStyle w:val="P68B1DB1-Normal12"/>
              <w:spacing w:after="0" w:line="240" w:lineRule="auto"/>
              <w:jc w:val="center"/>
              <w:rPr>
                <w:rFonts w:eastAsia="Times New Roman"/>
                <w:noProof/>
              </w:rPr>
            </w:pPr>
            <w:r>
              <w:rPr>
                <w:noProof/>
              </w:rPr>
              <w:t>RP-C21-i07</w:t>
            </w:r>
          </w:p>
        </w:tc>
        <w:tc>
          <w:tcPr>
            <w:tcW w:w="1134" w:type="dxa"/>
            <w:shd w:val="clear" w:color="auto" w:fill="C4EFCE"/>
            <w:noWrap/>
            <w:vAlign w:val="center"/>
          </w:tcPr>
          <w:p w14:paraId="4AEE7547" w14:textId="408AED36" w:rsidR="00154AD2" w:rsidRDefault="007F6BF3">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3915FA70" w14:textId="3F664342" w:rsidR="00154AD2" w:rsidRDefault="007F6BF3">
            <w:pPr>
              <w:pStyle w:val="P68B1DB1-Normal12"/>
              <w:spacing w:after="0" w:line="240" w:lineRule="auto"/>
              <w:jc w:val="center"/>
              <w:rPr>
                <w:rFonts w:eastAsia="Times New Roman" w:cstheme="minorHAnsi"/>
                <w:noProof/>
              </w:rPr>
            </w:pPr>
            <w:r>
              <w:rPr>
                <w:noProof/>
              </w:rPr>
              <w:t>Υπογραφή σύμβασης/συμβάσεων για υπεράκτιες τεχνικές μελέτες</w:t>
            </w:r>
          </w:p>
        </w:tc>
        <w:tc>
          <w:tcPr>
            <w:tcW w:w="1275" w:type="dxa"/>
            <w:shd w:val="clear" w:color="auto" w:fill="C4EFCE"/>
            <w:noWrap/>
            <w:vAlign w:val="center"/>
          </w:tcPr>
          <w:p w14:paraId="1B3565C5" w14:textId="155871F2" w:rsidR="00154AD2" w:rsidRDefault="007F6BF3">
            <w:pPr>
              <w:pStyle w:val="P68B1DB1-Normal12"/>
              <w:spacing w:after="0" w:line="240" w:lineRule="auto"/>
              <w:jc w:val="center"/>
              <w:rPr>
                <w:rFonts w:eastAsia="Times New Roman" w:cstheme="minorHAnsi"/>
                <w:noProof/>
              </w:rPr>
            </w:pPr>
            <w:r>
              <w:rPr>
                <w:noProof/>
              </w:rPr>
              <w:t>Υπογραφή σύμβασης/συμβάσεων για υπεράκτιες τεχνικές μελέτες</w:t>
            </w:r>
          </w:p>
        </w:tc>
        <w:tc>
          <w:tcPr>
            <w:tcW w:w="993" w:type="dxa"/>
            <w:shd w:val="clear" w:color="auto" w:fill="C4EFCE"/>
            <w:noWrap/>
            <w:vAlign w:val="center"/>
          </w:tcPr>
          <w:p w14:paraId="6A8DEA31"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615E3968"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76CD424A" w14:textId="77777777" w:rsidR="00154AD2" w:rsidRDefault="00154AD2">
            <w:pPr>
              <w:spacing w:after="0" w:line="240" w:lineRule="auto"/>
              <w:jc w:val="center"/>
              <w:rPr>
                <w:rFonts w:eastAsia="Times New Roman" w:cstheme="minorHAnsi"/>
                <w:noProof/>
                <w:sz w:val="16"/>
              </w:rPr>
            </w:pPr>
          </w:p>
        </w:tc>
        <w:tc>
          <w:tcPr>
            <w:tcW w:w="567" w:type="dxa"/>
            <w:shd w:val="clear" w:color="auto" w:fill="C4EFCE"/>
            <w:noWrap/>
            <w:vAlign w:val="center"/>
          </w:tcPr>
          <w:p w14:paraId="3B750639" w14:textId="6AFCD4AA" w:rsidR="00154AD2" w:rsidRDefault="007F6BF3">
            <w:pPr>
              <w:pStyle w:val="P68B1DB1-Normal12"/>
              <w:spacing w:after="0" w:line="240" w:lineRule="auto"/>
              <w:jc w:val="center"/>
              <w:rPr>
                <w:rFonts w:eastAsia="Times New Roman" w:cstheme="minorHAnsi"/>
                <w:noProof/>
              </w:rPr>
            </w:pPr>
            <w:r>
              <w:rPr>
                <w:noProof/>
              </w:rPr>
              <w:t>ΤΡΊΜΗΝΟ 2</w:t>
            </w:r>
          </w:p>
        </w:tc>
        <w:tc>
          <w:tcPr>
            <w:tcW w:w="708" w:type="dxa"/>
            <w:shd w:val="clear" w:color="auto" w:fill="C4EFCE"/>
            <w:noWrap/>
            <w:vAlign w:val="center"/>
          </w:tcPr>
          <w:p w14:paraId="137C7D92" w14:textId="007769A9" w:rsidR="00154AD2" w:rsidRDefault="007F6BF3">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29E9FABE" w14:textId="406ED44D" w:rsidR="00154AD2" w:rsidRDefault="007F6BF3">
            <w:pPr>
              <w:pStyle w:val="P68B1DB1-Normal12"/>
              <w:spacing w:after="0" w:line="240" w:lineRule="auto"/>
              <w:jc w:val="both"/>
              <w:rPr>
                <w:rFonts w:eastAsia="Times New Roman" w:cstheme="minorHAnsi"/>
                <w:noProof/>
              </w:rPr>
            </w:pPr>
            <w:r>
              <w:rPr>
                <w:noProof/>
              </w:rPr>
              <w:t xml:space="preserve">Υπογραφή της/των σύμβασης/-εων υπεράκτιας γεωφυσικής, γεωτεχνικής, αιολικής, κυματικής και τρέχουσας μελέτης με στόχο τη διευκόλυνση της εγκατάστασης υπεράκτιας αιολικής ενέργειας. </w:t>
            </w:r>
          </w:p>
        </w:tc>
      </w:tr>
      <w:tr w:rsidR="00154AD2" w14:paraId="54C1DF86" w14:textId="77777777">
        <w:trPr>
          <w:trHeight w:val="430"/>
        </w:trPr>
        <w:tc>
          <w:tcPr>
            <w:tcW w:w="1135" w:type="dxa"/>
            <w:shd w:val="clear" w:color="auto" w:fill="C4EFCE"/>
            <w:vAlign w:val="center"/>
          </w:tcPr>
          <w:p w14:paraId="74BF25A6" w14:textId="17A4170C" w:rsidR="00154AD2" w:rsidRDefault="007F6BF3">
            <w:pPr>
              <w:pStyle w:val="P68B1DB1-Normal11"/>
              <w:spacing w:after="0" w:line="240" w:lineRule="auto"/>
              <w:jc w:val="center"/>
              <w:rPr>
                <w:rFonts w:eastAsia="Times New Roman" w:cstheme="minorHAnsi"/>
                <w:noProof/>
              </w:rPr>
            </w:pPr>
            <w:r>
              <w:rPr>
                <w:noProof/>
              </w:rPr>
              <w:t>21.27</w:t>
            </w:r>
          </w:p>
        </w:tc>
        <w:tc>
          <w:tcPr>
            <w:tcW w:w="1276" w:type="dxa"/>
            <w:shd w:val="clear" w:color="auto" w:fill="C4EFCE"/>
            <w:noWrap/>
            <w:vAlign w:val="center"/>
          </w:tcPr>
          <w:p w14:paraId="64144345" w14:textId="66F94339" w:rsidR="00154AD2" w:rsidRDefault="007F6BF3">
            <w:pPr>
              <w:pStyle w:val="P68B1DB1-Normal12"/>
              <w:spacing w:after="0" w:line="240" w:lineRule="auto"/>
              <w:jc w:val="center"/>
              <w:rPr>
                <w:rFonts w:eastAsia="Times New Roman"/>
                <w:noProof/>
              </w:rPr>
            </w:pPr>
            <w:r>
              <w:rPr>
                <w:noProof/>
              </w:rPr>
              <w:t>RP-C21-i07</w:t>
            </w:r>
          </w:p>
        </w:tc>
        <w:tc>
          <w:tcPr>
            <w:tcW w:w="1134" w:type="dxa"/>
            <w:shd w:val="clear" w:color="auto" w:fill="C4EFCE"/>
            <w:noWrap/>
            <w:vAlign w:val="center"/>
          </w:tcPr>
          <w:p w14:paraId="7865928B" w14:textId="72EB631F" w:rsidR="00154AD2" w:rsidRDefault="007F6BF3">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6BB3CE96" w14:textId="66D1E21F" w:rsidR="00154AD2" w:rsidRDefault="007F6BF3">
            <w:pPr>
              <w:pStyle w:val="P68B1DB1-Normal12"/>
              <w:spacing w:after="0" w:line="240" w:lineRule="auto"/>
              <w:jc w:val="center"/>
              <w:rPr>
                <w:rFonts w:eastAsia="Times New Roman" w:cstheme="minorHAnsi"/>
                <w:noProof/>
              </w:rPr>
            </w:pPr>
            <w:r>
              <w:rPr>
                <w:noProof/>
              </w:rPr>
              <w:t>Ολοκλήρωση τεχνικών μελετών υπεράκτιας αιολικής ενέργειας</w:t>
            </w:r>
          </w:p>
        </w:tc>
        <w:tc>
          <w:tcPr>
            <w:tcW w:w="1275" w:type="dxa"/>
            <w:shd w:val="clear" w:color="auto" w:fill="C4EFCE"/>
            <w:noWrap/>
            <w:vAlign w:val="center"/>
          </w:tcPr>
          <w:p w14:paraId="6C094680" w14:textId="1CDCB07B" w:rsidR="00154AD2" w:rsidRDefault="007F6BF3">
            <w:pPr>
              <w:pStyle w:val="P68B1DB1-Normal12"/>
              <w:spacing w:after="0" w:line="240" w:lineRule="auto"/>
              <w:jc w:val="center"/>
              <w:rPr>
                <w:rFonts w:eastAsia="Times New Roman" w:cstheme="minorHAnsi"/>
                <w:noProof/>
              </w:rPr>
            </w:pPr>
            <w:r>
              <w:rPr>
                <w:noProof/>
              </w:rPr>
              <w:t>Ολοκλήρωση τεχνικών μελετών υπεράκτιας αιολικής ενέργειας</w:t>
            </w:r>
          </w:p>
        </w:tc>
        <w:tc>
          <w:tcPr>
            <w:tcW w:w="993" w:type="dxa"/>
            <w:shd w:val="clear" w:color="auto" w:fill="C4EFCE"/>
            <w:noWrap/>
            <w:vAlign w:val="center"/>
          </w:tcPr>
          <w:p w14:paraId="3AE2A000"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2320F173"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41DB8D43" w14:textId="77777777" w:rsidR="00154AD2" w:rsidRDefault="00154AD2">
            <w:pPr>
              <w:spacing w:after="0" w:line="240" w:lineRule="auto"/>
              <w:jc w:val="center"/>
              <w:rPr>
                <w:rFonts w:eastAsia="Times New Roman" w:cstheme="minorHAnsi"/>
                <w:noProof/>
                <w:sz w:val="16"/>
              </w:rPr>
            </w:pPr>
          </w:p>
        </w:tc>
        <w:tc>
          <w:tcPr>
            <w:tcW w:w="567" w:type="dxa"/>
            <w:shd w:val="clear" w:color="auto" w:fill="C4EFCE"/>
            <w:noWrap/>
            <w:vAlign w:val="center"/>
          </w:tcPr>
          <w:p w14:paraId="1EC71DEE" w14:textId="4990C42A" w:rsidR="00154AD2" w:rsidRDefault="007F6BF3">
            <w:pPr>
              <w:pStyle w:val="P68B1DB1-Normal12"/>
              <w:spacing w:after="0" w:line="240" w:lineRule="auto"/>
              <w:jc w:val="center"/>
              <w:rPr>
                <w:rFonts w:eastAsia="Times New Roman" w:cstheme="minorHAnsi"/>
                <w:noProof/>
              </w:rPr>
            </w:pPr>
            <w:r>
              <w:rPr>
                <w:noProof/>
              </w:rPr>
              <w:t>ΤΡΊΜΗΝΟ 2</w:t>
            </w:r>
          </w:p>
        </w:tc>
        <w:tc>
          <w:tcPr>
            <w:tcW w:w="708" w:type="dxa"/>
            <w:shd w:val="clear" w:color="auto" w:fill="C4EFCE"/>
            <w:noWrap/>
            <w:vAlign w:val="center"/>
          </w:tcPr>
          <w:p w14:paraId="57D3FE17" w14:textId="51C26B14" w:rsidR="00154AD2" w:rsidRDefault="007F6BF3">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7AC78EE5" w14:textId="28037D15" w:rsidR="00154AD2" w:rsidRDefault="007F6BF3">
            <w:pPr>
              <w:pStyle w:val="P68B1DB1-Normal12"/>
              <w:spacing w:after="0" w:line="240" w:lineRule="auto"/>
              <w:jc w:val="both"/>
              <w:rPr>
                <w:rFonts w:eastAsia="Times New Roman"/>
                <w:noProof/>
              </w:rPr>
            </w:pPr>
            <w:r>
              <w:rPr>
                <w:noProof/>
              </w:rPr>
              <w:t>Ολοκλήρωση γεωφυσικών, γεωτεχνικών, αιολικών, κυματικών και τρεχουσών μελετών που αποσκοπούν στη διευκόλυνση της εγκατάστασης υπεράκτιας αιολικής ενέργειας και καλύπτουν έκταση τουλάχιστον 2 000 km².</w:t>
            </w:r>
          </w:p>
        </w:tc>
      </w:tr>
      <w:tr w:rsidR="00154AD2" w14:paraId="7539E854" w14:textId="77777777">
        <w:trPr>
          <w:trHeight w:val="430"/>
        </w:trPr>
        <w:tc>
          <w:tcPr>
            <w:tcW w:w="1135" w:type="dxa"/>
            <w:shd w:val="clear" w:color="auto" w:fill="C4EFCE"/>
            <w:vAlign w:val="center"/>
          </w:tcPr>
          <w:p w14:paraId="3006E847" w14:textId="1BEAC184" w:rsidR="00154AD2" w:rsidRDefault="007F6BF3">
            <w:pPr>
              <w:pStyle w:val="P68B1DB1-Normal11"/>
              <w:spacing w:after="0" w:line="240" w:lineRule="auto"/>
              <w:jc w:val="center"/>
              <w:rPr>
                <w:rFonts w:eastAsia="Times New Roman" w:cstheme="minorHAnsi"/>
                <w:noProof/>
              </w:rPr>
            </w:pPr>
            <w:r>
              <w:rPr>
                <w:noProof/>
              </w:rPr>
              <w:t>21.28</w:t>
            </w:r>
          </w:p>
        </w:tc>
        <w:tc>
          <w:tcPr>
            <w:tcW w:w="1276" w:type="dxa"/>
            <w:shd w:val="clear" w:color="auto" w:fill="C4EFCE"/>
            <w:noWrap/>
            <w:vAlign w:val="center"/>
          </w:tcPr>
          <w:p w14:paraId="1409BB5F" w14:textId="7C2538F1" w:rsidR="00154AD2" w:rsidRDefault="007F6BF3">
            <w:pPr>
              <w:pStyle w:val="P68B1DB1-Normal12"/>
              <w:spacing w:after="0" w:line="240" w:lineRule="auto"/>
              <w:jc w:val="center"/>
              <w:rPr>
                <w:rFonts w:eastAsia="Times New Roman"/>
                <w:noProof/>
              </w:rPr>
            </w:pPr>
            <w:r>
              <w:rPr>
                <w:noProof/>
              </w:rPr>
              <w:t>RP-C21-i08</w:t>
            </w:r>
          </w:p>
        </w:tc>
        <w:tc>
          <w:tcPr>
            <w:tcW w:w="1134" w:type="dxa"/>
            <w:shd w:val="clear" w:color="auto" w:fill="C4EFCE"/>
            <w:noWrap/>
            <w:vAlign w:val="center"/>
          </w:tcPr>
          <w:p w14:paraId="5465DB3D" w14:textId="06A0BB9B" w:rsidR="00154AD2" w:rsidRDefault="007F6BF3">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6298A80C" w14:textId="44A074A0" w:rsidR="00154AD2" w:rsidRDefault="007F6BF3">
            <w:pPr>
              <w:pStyle w:val="P68B1DB1-Normal12"/>
              <w:spacing w:after="0" w:line="240" w:lineRule="auto"/>
              <w:jc w:val="center"/>
              <w:rPr>
                <w:rFonts w:eastAsia="Times New Roman" w:cstheme="minorHAnsi"/>
                <w:noProof/>
              </w:rPr>
            </w:pPr>
            <w:r>
              <w:rPr>
                <w:noProof/>
              </w:rPr>
              <w:t>Υπογραφή των όρων αποδοχής για την εγκατάσταση δυναμικότητας αποθήκευσης ηλεκτρικής ενέργειας</w:t>
            </w:r>
          </w:p>
        </w:tc>
        <w:tc>
          <w:tcPr>
            <w:tcW w:w="1275" w:type="dxa"/>
            <w:shd w:val="clear" w:color="auto" w:fill="C4EFCE"/>
            <w:noWrap/>
            <w:vAlign w:val="center"/>
          </w:tcPr>
          <w:p w14:paraId="1573BBFD" w14:textId="4C8CE9E8" w:rsidR="00154AD2" w:rsidRDefault="007F6BF3">
            <w:pPr>
              <w:pStyle w:val="P68B1DB1-Normal12"/>
              <w:spacing w:after="0" w:line="240" w:lineRule="auto"/>
              <w:jc w:val="center"/>
              <w:rPr>
                <w:rFonts w:eastAsia="Times New Roman" w:cstheme="minorHAnsi"/>
                <w:noProof/>
              </w:rPr>
            </w:pPr>
            <w:r>
              <w:rPr>
                <w:noProof/>
              </w:rPr>
              <w:t>Υπογραφή των όρων αποδοχής για την εγκατάσταση δυναμικότητας αποθήκευσης τουλάχιστον 500 MW</w:t>
            </w:r>
          </w:p>
        </w:tc>
        <w:tc>
          <w:tcPr>
            <w:tcW w:w="993" w:type="dxa"/>
            <w:shd w:val="clear" w:color="auto" w:fill="C4EFCE"/>
            <w:noWrap/>
            <w:vAlign w:val="center"/>
          </w:tcPr>
          <w:p w14:paraId="13FF9468"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4EED15CC" w14:textId="7413286F" w:rsidR="00154AD2" w:rsidRDefault="007F6BF3">
            <w:pPr>
              <w:pStyle w:val="P68B1DB1-Normal12"/>
              <w:spacing w:after="0" w:line="240" w:lineRule="auto"/>
              <w:jc w:val="center"/>
              <w:rPr>
                <w:rFonts w:eastAsia="Times New Roman" w:cstheme="minorHAnsi"/>
                <w:noProof/>
              </w:rPr>
            </w:pPr>
            <w:r>
              <w:rPr>
                <w:noProof/>
              </w:rPr>
              <w:t xml:space="preserve"> </w:t>
            </w:r>
          </w:p>
        </w:tc>
        <w:tc>
          <w:tcPr>
            <w:tcW w:w="992" w:type="dxa"/>
            <w:shd w:val="clear" w:color="auto" w:fill="C4EFCE"/>
            <w:noWrap/>
            <w:vAlign w:val="center"/>
          </w:tcPr>
          <w:p w14:paraId="786A1FE7" w14:textId="77777777" w:rsidR="00154AD2" w:rsidRDefault="00154AD2">
            <w:pPr>
              <w:spacing w:after="0" w:line="240" w:lineRule="auto"/>
              <w:jc w:val="center"/>
              <w:rPr>
                <w:rFonts w:eastAsia="Times New Roman" w:cstheme="minorHAnsi"/>
                <w:noProof/>
                <w:sz w:val="16"/>
              </w:rPr>
            </w:pPr>
          </w:p>
        </w:tc>
        <w:tc>
          <w:tcPr>
            <w:tcW w:w="567" w:type="dxa"/>
            <w:shd w:val="clear" w:color="auto" w:fill="C4EFCE"/>
            <w:noWrap/>
            <w:vAlign w:val="center"/>
          </w:tcPr>
          <w:p w14:paraId="1A56D73B" w14:textId="2347516A" w:rsidR="00154AD2" w:rsidRDefault="007F6BF3">
            <w:pPr>
              <w:pStyle w:val="P68B1DB1-Normal12"/>
              <w:spacing w:after="0" w:line="240" w:lineRule="auto"/>
              <w:jc w:val="center"/>
              <w:rPr>
                <w:rFonts w:eastAsia="Times New Roman"/>
                <w:noProof/>
              </w:rPr>
            </w:pPr>
            <w:r>
              <w:rPr>
                <w:noProof/>
              </w:rPr>
              <w:t>ΤΡΊΜΗΝΟ 2</w:t>
            </w:r>
          </w:p>
        </w:tc>
        <w:tc>
          <w:tcPr>
            <w:tcW w:w="708" w:type="dxa"/>
            <w:shd w:val="clear" w:color="auto" w:fill="C4EFCE"/>
            <w:noWrap/>
            <w:vAlign w:val="center"/>
          </w:tcPr>
          <w:p w14:paraId="108BC515" w14:textId="020B0AB5" w:rsidR="00154AD2" w:rsidRDefault="007F6BF3">
            <w:pPr>
              <w:pStyle w:val="P68B1DB1-Normal12"/>
              <w:spacing w:after="0" w:line="240" w:lineRule="auto"/>
              <w:jc w:val="center"/>
              <w:rPr>
                <w:rFonts w:eastAsia="Times New Roman"/>
                <w:noProof/>
              </w:rPr>
            </w:pPr>
            <w:r>
              <w:rPr>
                <w:noProof/>
              </w:rPr>
              <w:t>2024</w:t>
            </w:r>
          </w:p>
        </w:tc>
        <w:tc>
          <w:tcPr>
            <w:tcW w:w="3969" w:type="dxa"/>
            <w:shd w:val="clear" w:color="auto" w:fill="C4EFCE"/>
            <w:vAlign w:val="center"/>
          </w:tcPr>
          <w:p w14:paraId="5D147784" w14:textId="549198BC" w:rsidR="00154AD2" w:rsidRDefault="007F6BF3">
            <w:pPr>
              <w:pStyle w:val="P68B1DB1-Normal12"/>
              <w:spacing w:after="0" w:line="240" w:lineRule="auto"/>
              <w:jc w:val="both"/>
              <w:rPr>
                <w:rFonts w:eastAsia="Times New Roman" w:cstheme="minorHAnsi"/>
                <w:noProof/>
              </w:rPr>
            </w:pPr>
            <w:r>
              <w:rPr>
                <w:noProof/>
              </w:rPr>
              <w:t>Υπογεγραμμένοι όροι αποδοχής για την εγκατάσταση δυναμικότητας αποθήκευσης τουλάχιστον 500 MW στις προκαθορισμένες περιοχές που θεωρείται ότι έχουν μεγαλύτερη ανάγκη.</w:t>
            </w:r>
          </w:p>
        </w:tc>
      </w:tr>
      <w:tr w:rsidR="00154AD2" w14:paraId="6EA9FB44" w14:textId="77777777">
        <w:trPr>
          <w:trHeight w:val="430"/>
        </w:trPr>
        <w:tc>
          <w:tcPr>
            <w:tcW w:w="1135" w:type="dxa"/>
            <w:shd w:val="clear" w:color="auto" w:fill="C4EFCE"/>
            <w:vAlign w:val="center"/>
          </w:tcPr>
          <w:p w14:paraId="67CC59EB" w14:textId="5139272B" w:rsidR="00154AD2" w:rsidRDefault="007F6BF3">
            <w:pPr>
              <w:pStyle w:val="P68B1DB1-Normal11"/>
              <w:spacing w:after="0" w:line="240" w:lineRule="auto"/>
              <w:jc w:val="center"/>
              <w:rPr>
                <w:rFonts w:eastAsia="Times New Roman" w:cstheme="minorHAnsi"/>
                <w:noProof/>
              </w:rPr>
            </w:pPr>
            <w:r>
              <w:rPr>
                <w:noProof/>
              </w:rPr>
              <w:t>21.29</w:t>
            </w:r>
          </w:p>
        </w:tc>
        <w:tc>
          <w:tcPr>
            <w:tcW w:w="1276" w:type="dxa"/>
            <w:shd w:val="clear" w:color="auto" w:fill="C4EFCE"/>
            <w:noWrap/>
            <w:vAlign w:val="center"/>
          </w:tcPr>
          <w:p w14:paraId="25A27E44" w14:textId="3B066F9C" w:rsidR="00154AD2" w:rsidRDefault="007F6BF3">
            <w:pPr>
              <w:pStyle w:val="P68B1DB1-Normal12"/>
              <w:spacing w:after="0" w:line="240" w:lineRule="auto"/>
              <w:jc w:val="center"/>
              <w:rPr>
                <w:rFonts w:eastAsia="Times New Roman"/>
                <w:noProof/>
              </w:rPr>
            </w:pPr>
            <w:r>
              <w:rPr>
                <w:noProof/>
              </w:rPr>
              <w:t>RP-C21-i08</w:t>
            </w:r>
          </w:p>
        </w:tc>
        <w:tc>
          <w:tcPr>
            <w:tcW w:w="1134" w:type="dxa"/>
            <w:shd w:val="clear" w:color="auto" w:fill="C4EFCE"/>
            <w:noWrap/>
            <w:vAlign w:val="center"/>
          </w:tcPr>
          <w:p w14:paraId="65D2ADC6" w14:textId="5D60B062" w:rsidR="00154AD2" w:rsidRDefault="007F6BF3">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5E61722C" w14:textId="562F0185" w:rsidR="00154AD2" w:rsidRDefault="007F6BF3">
            <w:pPr>
              <w:pStyle w:val="P68B1DB1-Bodytext1013"/>
              <w:spacing w:line="240" w:lineRule="auto"/>
              <w:jc w:val="center"/>
              <w:rPr>
                <w:rFonts w:cstheme="minorHAnsi"/>
                <w:noProof/>
              </w:rPr>
            </w:pPr>
            <w:r>
              <w:rPr>
                <w:noProof/>
              </w:rPr>
              <w:t>Εγκατάσταση δυναμικότητας αποθήκευσης ηλεκτρικής ενέργειας</w:t>
            </w:r>
          </w:p>
        </w:tc>
        <w:tc>
          <w:tcPr>
            <w:tcW w:w="1275" w:type="dxa"/>
            <w:shd w:val="clear" w:color="auto" w:fill="C4EFCE"/>
            <w:noWrap/>
            <w:vAlign w:val="center"/>
          </w:tcPr>
          <w:p w14:paraId="5B65FBBE" w14:textId="77777777" w:rsidR="00154AD2" w:rsidRDefault="00154AD2">
            <w:pPr>
              <w:spacing w:after="0" w:line="240" w:lineRule="auto"/>
              <w:jc w:val="center"/>
              <w:rPr>
                <w:rFonts w:eastAsia="Times New Roman" w:cstheme="minorHAnsi"/>
                <w:noProof/>
                <w:sz w:val="16"/>
              </w:rPr>
            </w:pPr>
          </w:p>
        </w:tc>
        <w:tc>
          <w:tcPr>
            <w:tcW w:w="993" w:type="dxa"/>
            <w:shd w:val="clear" w:color="auto" w:fill="C4EFCE"/>
            <w:noWrap/>
            <w:vAlign w:val="center"/>
          </w:tcPr>
          <w:p w14:paraId="7277883B" w14:textId="11FA7FED" w:rsidR="00154AD2" w:rsidRDefault="007F6BF3">
            <w:pPr>
              <w:pStyle w:val="P68B1DB1-Normal12"/>
              <w:spacing w:after="0" w:line="240" w:lineRule="auto"/>
              <w:jc w:val="center"/>
              <w:rPr>
                <w:rFonts w:eastAsia="Times New Roman" w:cstheme="minorHAnsi"/>
                <w:noProof/>
              </w:rPr>
            </w:pPr>
            <w:r>
              <w:rPr>
                <w:noProof/>
              </w:rPr>
              <w:t>MW</w:t>
            </w:r>
          </w:p>
        </w:tc>
        <w:tc>
          <w:tcPr>
            <w:tcW w:w="992" w:type="dxa"/>
            <w:shd w:val="clear" w:color="auto" w:fill="C4EFCE"/>
            <w:noWrap/>
            <w:vAlign w:val="center"/>
          </w:tcPr>
          <w:p w14:paraId="6EB221F6" w14:textId="520A661D" w:rsidR="00154AD2" w:rsidRDefault="007F6BF3">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42CDD52D" w14:textId="73FC3728" w:rsidR="00154AD2" w:rsidRDefault="007F6BF3">
            <w:pPr>
              <w:pStyle w:val="P68B1DB1-Normal12"/>
              <w:spacing w:after="0" w:line="240" w:lineRule="auto"/>
              <w:jc w:val="center"/>
              <w:rPr>
                <w:rFonts w:eastAsia="Times New Roman" w:cstheme="minorHAnsi"/>
                <w:noProof/>
              </w:rPr>
            </w:pPr>
            <w:r>
              <w:rPr>
                <w:noProof/>
              </w:rPr>
              <w:t>500</w:t>
            </w:r>
          </w:p>
        </w:tc>
        <w:tc>
          <w:tcPr>
            <w:tcW w:w="567" w:type="dxa"/>
            <w:shd w:val="clear" w:color="auto" w:fill="C4EFCE"/>
            <w:noWrap/>
            <w:vAlign w:val="center"/>
          </w:tcPr>
          <w:p w14:paraId="6D77EE18" w14:textId="2DDCE475" w:rsidR="00154AD2" w:rsidRDefault="007F6BF3">
            <w:pPr>
              <w:pStyle w:val="P68B1DB1-Normal12"/>
              <w:spacing w:after="0" w:line="240" w:lineRule="auto"/>
              <w:jc w:val="center"/>
              <w:rPr>
                <w:rFonts w:eastAsia="Times New Roman" w:cstheme="minorHAnsi"/>
                <w:noProof/>
              </w:rPr>
            </w:pPr>
            <w:r>
              <w:rPr>
                <w:noProof/>
              </w:rPr>
              <w:t>ΤΡΊΜΗΝΟ 4</w:t>
            </w:r>
          </w:p>
        </w:tc>
        <w:tc>
          <w:tcPr>
            <w:tcW w:w="708" w:type="dxa"/>
            <w:shd w:val="clear" w:color="auto" w:fill="C4EFCE"/>
            <w:noWrap/>
            <w:vAlign w:val="center"/>
          </w:tcPr>
          <w:p w14:paraId="2CF60B40" w14:textId="0E3517C7" w:rsidR="00154AD2" w:rsidRDefault="007F6BF3">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761A6BE4" w14:textId="6EFF85E1" w:rsidR="00154AD2" w:rsidRDefault="007F6BF3">
            <w:pPr>
              <w:pStyle w:val="P68B1DB1-Bodytext1013"/>
              <w:spacing w:after="0" w:line="240" w:lineRule="auto"/>
              <w:jc w:val="both"/>
              <w:rPr>
                <w:rFonts w:cstheme="minorHAnsi"/>
                <w:noProof/>
              </w:rPr>
            </w:pPr>
            <w:r>
              <w:rPr>
                <w:noProof/>
              </w:rPr>
              <w:t xml:space="preserve">Εγκατεστημένη δυναμικότητα αποθήκευσης ηλεκτρικής ενέργειας τουλάχιστον 500 MW. </w:t>
            </w:r>
          </w:p>
        </w:tc>
      </w:tr>
      <w:tr w:rsidR="00154AD2" w14:paraId="666E99E3" w14:textId="77777777">
        <w:trPr>
          <w:trHeight w:val="430"/>
        </w:trPr>
        <w:tc>
          <w:tcPr>
            <w:tcW w:w="1135" w:type="dxa"/>
            <w:shd w:val="clear" w:color="auto" w:fill="C4EFCE"/>
            <w:vAlign w:val="center"/>
          </w:tcPr>
          <w:p w14:paraId="7B3F0627" w14:textId="37869B3E" w:rsidR="00154AD2" w:rsidRDefault="007F6BF3">
            <w:pPr>
              <w:pStyle w:val="P68B1DB1-Normal11"/>
              <w:spacing w:after="0" w:line="240" w:lineRule="auto"/>
              <w:jc w:val="center"/>
              <w:rPr>
                <w:rFonts w:eastAsia="Times New Roman" w:cstheme="minorHAnsi"/>
                <w:noProof/>
              </w:rPr>
            </w:pPr>
            <w:r>
              <w:rPr>
                <w:noProof/>
              </w:rPr>
              <w:t>21.30</w:t>
            </w:r>
          </w:p>
        </w:tc>
        <w:tc>
          <w:tcPr>
            <w:tcW w:w="1276" w:type="dxa"/>
            <w:shd w:val="clear" w:color="auto" w:fill="C4EFCE"/>
            <w:noWrap/>
            <w:vAlign w:val="center"/>
          </w:tcPr>
          <w:p w14:paraId="3BDC0F23" w14:textId="157C435B" w:rsidR="00154AD2" w:rsidRDefault="007F6BF3">
            <w:pPr>
              <w:pStyle w:val="P68B1DB1-Normal12"/>
              <w:spacing w:after="0" w:line="240" w:lineRule="auto"/>
              <w:jc w:val="center"/>
              <w:rPr>
                <w:rFonts w:eastAsia="Times New Roman"/>
                <w:noProof/>
              </w:rPr>
            </w:pPr>
            <w:r>
              <w:rPr>
                <w:noProof/>
              </w:rPr>
              <w:t>RP-C21-i09</w:t>
            </w:r>
          </w:p>
        </w:tc>
        <w:tc>
          <w:tcPr>
            <w:tcW w:w="1134" w:type="dxa"/>
            <w:shd w:val="clear" w:color="auto" w:fill="C4EFCE"/>
            <w:noWrap/>
            <w:vAlign w:val="center"/>
          </w:tcPr>
          <w:p w14:paraId="043D8D0E" w14:textId="5A1B02C4" w:rsidR="00154AD2" w:rsidRDefault="007F6BF3">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485915AC" w14:textId="356C2A62" w:rsidR="00154AD2" w:rsidRDefault="007F6BF3">
            <w:pPr>
              <w:pStyle w:val="P68B1DB1-Bodytext1013"/>
              <w:spacing w:line="240" w:lineRule="auto"/>
              <w:jc w:val="center"/>
              <w:rPr>
                <w:rFonts w:cstheme="minorHAnsi"/>
                <w:noProof/>
              </w:rPr>
            </w:pPr>
            <w:r>
              <w:rPr>
                <w:noProof/>
              </w:rPr>
              <w:t>Έναρξη λειτουργίας των ενοτήτων της πρώτης φάσης της ψηφιακής πλατφόρμας μίας στάσης για την αδειοδότηση και την παρακολούθηση έργων ανανεώσιμης ενέργειας</w:t>
            </w:r>
          </w:p>
        </w:tc>
        <w:tc>
          <w:tcPr>
            <w:tcW w:w="1275" w:type="dxa"/>
            <w:shd w:val="clear" w:color="auto" w:fill="C4EFCE"/>
            <w:noWrap/>
            <w:vAlign w:val="center"/>
          </w:tcPr>
          <w:p w14:paraId="1CA13B2F" w14:textId="7D796230" w:rsidR="00154AD2" w:rsidRDefault="007F6BF3">
            <w:pPr>
              <w:pStyle w:val="P68B1DB1-Bodytext1013"/>
              <w:rPr>
                <w:rFonts w:cstheme="minorHAnsi"/>
                <w:noProof/>
              </w:rPr>
            </w:pPr>
            <w:r>
              <w:rPr>
                <w:noProof/>
              </w:rPr>
              <w:t>Έναρξη λειτουργίας των ενοτήτων της πρώτης φάσης της ψηφιακής πλατφόρμας μίας στάσης για την αδειοδότηση και την παρακολούθηση έργων ανανεώσιμης ενέργειας</w:t>
            </w:r>
          </w:p>
        </w:tc>
        <w:tc>
          <w:tcPr>
            <w:tcW w:w="993" w:type="dxa"/>
            <w:shd w:val="clear" w:color="auto" w:fill="C4EFCE"/>
            <w:noWrap/>
            <w:vAlign w:val="center"/>
          </w:tcPr>
          <w:p w14:paraId="7068296D"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670A3301"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0D53A9AC" w14:textId="77777777" w:rsidR="00154AD2" w:rsidRDefault="00154AD2">
            <w:pPr>
              <w:spacing w:after="0" w:line="240" w:lineRule="auto"/>
              <w:jc w:val="center"/>
              <w:rPr>
                <w:rFonts w:eastAsia="Times New Roman" w:cstheme="minorHAnsi"/>
                <w:noProof/>
                <w:sz w:val="16"/>
              </w:rPr>
            </w:pPr>
          </w:p>
        </w:tc>
        <w:tc>
          <w:tcPr>
            <w:tcW w:w="567" w:type="dxa"/>
            <w:shd w:val="clear" w:color="auto" w:fill="C4EFCE"/>
            <w:noWrap/>
            <w:vAlign w:val="center"/>
          </w:tcPr>
          <w:p w14:paraId="5DA0EC12" w14:textId="4A6E8E0F" w:rsidR="00154AD2" w:rsidRDefault="007F6BF3">
            <w:pPr>
              <w:pStyle w:val="P68B1DB1-Normal12"/>
              <w:spacing w:after="0" w:line="240" w:lineRule="auto"/>
              <w:jc w:val="center"/>
              <w:rPr>
                <w:rFonts w:eastAsia="Times New Roman" w:cstheme="minorHAnsi"/>
                <w:noProof/>
              </w:rPr>
            </w:pPr>
            <w:r>
              <w:rPr>
                <w:noProof/>
              </w:rPr>
              <w:t>ΤΡΊΜΗΝΟ 4</w:t>
            </w:r>
          </w:p>
        </w:tc>
        <w:tc>
          <w:tcPr>
            <w:tcW w:w="708" w:type="dxa"/>
            <w:shd w:val="clear" w:color="auto" w:fill="C4EFCE"/>
            <w:noWrap/>
            <w:vAlign w:val="center"/>
          </w:tcPr>
          <w:p w14:paraId="018D5E69" w14:textId="0E4CC2FF" w:rsidR="00154AD2" w:rsidRDefault="007F6BF3">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276B9CE4" w14:textId="4108B586" w:rsidR="00154AD2" w:rsidRDefault="007F6BF3">
            <w:pPr>
              <w:pStyle w:val="P68B1DB1-Bodytext1013"/>
              <w:spacing w:after="0" w:line="240" w:lineRule="auto"/>
              <w:jc w:val="both"/>
              <w:rPr>
                <w:rFonts w:cstheme="minorHAnsi"/>
                <w:noProof/>
              </w:rPr>
            </w:pPr>
            <w:r>
              <w:rPr>
                <w:noProof/>
              </w:rPr>
              <w:t>Έναρξη λειτουργίας των ενοτήτων της πρώτης φάσης της ψηφιακής πλατφόρμας μίας στάσης για την αδειοδότηση και την παρακολούθηση έργων ανανεώσιμης ενέργειας, όπως ορίζεται στην περιγραφή του μέτρου.</w:t>
            </w:r>
          </w:p>
        </w:tc>
      </w:tr>
      <w:tr w:rsidR="00154AD2" w14:paraId="4586FFC2" w14:textId="77777777">
        <w:trPr>
          <w:trHeight w:val="430"/>
        </w:trPr>
        <w:tc>
          <w:tcPr>
            <w:tcW w:w="1135" w:type="dxa"/>
            <w:shd w:val="clear" w:color="auto" w:fill="C4EFCE"/>
            <w:vAlign w:val="center"/>
          </w:tcPr>
          <w:p w14:paraId="7F1EF689" w14:textId="32009939" w:rsidR="00154AD2" w:rsidRDefault="007F6BF3">
            <w:pPr>
              <w:pStyle w:val="P68B1DB1-Normal11"/>
              <w:spacing w:after="0" w:line="240" w:lineRule="auto"/>
              <w:jc w:val="center"/>
              <w:rPr>
                <w:rFonts w:eastAsia="Times New Roman" w:cstheme="minorHAnsi"/>
                <w:noProof/>
              </w:rPr>
            </w:pPr>
            <w:r>
              <w:rPr>
                <w:noProof/>
              </w:rPr>
              <w:t>21.31</w:t>
            </w:r>
          </w:p>
        </w:tc>
        <w:tc>
          <w:tcPr>
            <w:tcW w:w="1276" w:type="dxa"/>
            <w:shd w:val="clear" w:color="auto" w:fill="C4EFCE"/>
            <w:noWrap/>
            <w:vAlign w:val="center"/>
          </w:tcPr>
          <w:p w14:paraId="61E4D6AF" w14:textId="2D0F6781" w:rsidR="00154AD2" w:rsidRDefault="007F6BF3">
            <w:pPr>
              <w:pStyle w:val="P68B1DB1-Normal12"/>
              <w:spacing w:after="0" w:line="240" w:lineRule="auto"/>
              <w:jc w:val="center"/>
              <w:rPr>
                <w:rFonts w:eastAsia="Times New Roman"/>
                <w:noProof/>
              </w:rPr>
            </w:pPr>
            <w:r>
              <w:rPr>
                <w:noProof/>
              </w:rPr>
              <w:t>RP-C21-i09</w:t>
            </w:r>
          </w:p>
        </w:tc>
        <w:tc>
          <w:tcPr>
            <w:tcW w:w="1134" w:type="dxa"/>
            <w:shd w:val="clear" w:color="auto" w:fill="C4EFCE"/>
            <w:noWrap/>
            <w:vAlign w:val="center"/>
          </w:tcPr>
          <w:p w14:paraId="230CED97" w14:textId="74F37228" w:rsidR="00154AD2" w:rsidRDefault="007F6BF3">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4203708E" w14:textId="12D046CF" w:rsidR="00154AD2" w:rsidRDefault="007F6BF3">
            <w:pPr>
              <w:pStyle w:val="P68B1DB1-Bodytext1013"/>
              <w:spacing w:line="240" w:lineRule="auto"/>
              <w:jc w:val="center"/>
              <w:rPr>
                <w:rFonts w:cstheme="minorHAnsi"/>
                <w:noProof/>
              </w:rPr>
            </w:pPr>
            <w:r>
              <w:rPr>
                <w:noProof/>
              </w:rPr>
              <w:t>Έναρξη λειτουργίας των ενοτήτων της δεύτερης φάσης της ψηφιακής πλατφόρμας μίας στάσης για την αδειοδότηση και την παρακολούθηση έργων ανανεώσιμης ενέργειας και ολοκλήρωση της διαδικασίας αποϋλοποίησης των υφιστάμενων εγγράφων αδειοδότησης.</w:t>
            </w:r>
          </w:p>
        </w:tc>
        <w:tc>
          <w:tcPr>
            <w:tcW w:w="1275" w:type="dxa"/>
            <w:shd w:val="clear" w:color="auto" w:fill="C4EFCE"/>
            <w:noWrap/>
            <w:vAlign w:val="center"/>
          </w:tcPr>
          <w:p w14:paraId="1901C1FE" w14:textId="3FE5BDE9" w:rsidR="00154AD2" w:rsidRDefault="007F6BF3">
            <w:pPr>
              <w:pStyle w:val="P68B1DB1-Bodytext1013"/>
              <w:rPr>
                <w:rFonts w:cstheme="minorHAnsi"/>
                <w:noProof/>
              </w:rPr>
            </w:pPr>
            <w:r>
              <w:rPr>
                <w:noProof/>
              </w:rPr>
              <w:t>Έναρξη λειτουργίας των ενοτήτων της δεύτερης φάσης και ολοκλήρωση της διαδικασίας αποϋλοποίησης</w:t>
            </w:r>
          </w:p>
        </w:tc>
        <w:tc>
          <w:tcPr>
            <w:tcW w:w="993" w:type="dxa"/>
            <w:shd w:val="clear" w:color="auto" w:fill="C4EFCE"/>
            <w:noWrap/>
            <w:vAlign w:val="center"/>
          </w:tcPr>
          <w:p w14:paraId="737BEEE8"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74893EFA"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5041F109" w14:textId="77777777" w:rsidR="00154AD2" w:rsidRDefault="00154AD2">
            <w:pPr>
              <w:spacing w:after="0" w:line="240" w:lineRule="auto"/>
              <w:jc w:val="center"/>
              <w:rPr>
                <w:rFonts w:eastAsia="Times New Roman" w:cstheme="minorHAnsi"/>
                <w:noProof/>
                <w:sz w:val="16"/>
              </w:rPr>
            </w:pPr>
          </w:p>
        </w:tc>
        <w:tc>
          <w:tcPr>
            <w:tcW w:w="567" w:type="dxa"/>
            <w:shd w:val="clear" w:color="auto" w:fill="C4EFCE"/>
            <w:noWrap/>
            <w:vAlign w:val="center"/>
          </w:tcPr>
          <w:p w14:paraId="0CC8B59F" w14:textId="2295E9F0" w:rsidR="00154AD2" w:rsidRDefault="007F6BF3">
            <w:pPr>
              <w:pStyle w:val="P68B1DB1-Normal12"/>
              <w:spacing w:after="0" w:line="240" w:lineRule="auto"/>
              <w:jc w:val="center"/>
              <w:rPr>
                <w:rFonts w:eastAsia="Times New Roman"/>
                <w:noProof/>
              </w:rPr>
            </w:pPr>
            <w:r>
              <w:rPr>
                <w:noProof/>
              </w:rPr>
              <w:t>ΤΡΊΜΗΝΟ 2</w:t>
            </w:r>
          </w:p>
        </w:tc>
        <w:tc>
          <w:tcPr>
            <w:tcW w:w="708" w:type="dxa"/>
            <w:shd w:val="clear" w:color="auto" w:fill="C4EFCE"/>
            <w:noWrap/>
            <w:vAlign w:val="center"/>
          </w:tcPr>
          <w:p w14:paraId="0AEC55F4" w14:textId="056D3D0C" w:rsidR="00154AD2" w:rsidRDefault="007F6BF3">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27AA262B" w14:textId="4E31E36C" w:rsidR="00154AD2" w:rsidRDefault="007F6BF3">
            <w:pPr>
              <w:pStyle w:val="P68B1DB1-Normal12"/>
              <w:spacing w:after="0" w:line="240" w:lineRule="auto"/>
              <w:jc w:val="both"/>
              <w:rPr>
                <w:rFonts w:eastAsia="Times New Roman"/>
                <w:noProof/>
              </w:rPr>
            </w:pPr>
            <w:r>
              <w:rPr>
                <w:noProof/>
              </w:rPr>
              <w:t>Έναρξη λειτουργίας των ενοτήτων της δεύτερης φάσης της ψηφιακής πλατφόρμας της μονοαπευθυντικής θυρίδας για την αδειοδότηση και παρακολούθηση έργων ανανεώσιμων πηγών ενέργειας και ολοκλήρωση της διαδικασίας αποϋλοποίησης των υφιστάμενων εγγράφων αδειοδότησης, σύμφωνα με τις ανάγκες που θέτει η Γενική Διεύθυνση Ενέργειας και Γεωλογίας, όπως προσδιορίζεται στην περιγραφή του μέτρου.</w:t>
            </w:r>
          </w:p>
        </w:tc>
      </w:tr>
      <w:tr w:rsidR="00154AD2" w14:paraId="6BE813FA" w14:textId="77777777">
        <w:trPr>
          <w:trHeight w:val="430"/>
        </w:trPr>
        <w:tc>
          <w:tcPr>
            <w:tcW w:w="1135" w:type="dxa"/>
            <w:shd w:val="clear" w:color="auto" w:fill="C4EFCE"/>
            <w:vAlign w:val="center"/>
          </w:tcPr>
          <w:p w14:paraId="733A43BD" w14:textId="414B2FAD" w:rsidR="00154AD2" w:rsidRDefault="007F6BF3">
            <w:pPr>
              <w:pStyle w:val="P68B1DB1-Normal11"/>
              <w:spacing w:after="0" w:line="240" w:lineRule="auto"/>
              <w:jc w:val="center"/>
              <w:rPr>
                <w:rFonts w:eastAsia="Times New Roman" w:cstheme="minorHAnsi"/>
                <w:noProof/>
              </w:rPr>
            </w:pPr>
            <w:r>
              <w:rPr>
                <w:noProof/>
              </w:rPr>
              <w:t>21.32</w:t>
            </w:r>
          </w:p>
        </w:tc>
        <w:tc>
          <w:tcPr>
            <w:tcW w:w="1276" w:type="dxa"/>
            <w:shd w:val="clear" w:color="auto" w:fill="C4EFCE"/>
            <w:noWrap/>
            <w:vAlign w:val="center"/>
          </w:tcPr>
          <w:p w14:paraId="1D4596FC" w14:textId="6C3C6EAE" w:rsidR="00154AD2" w:rsidRDefault="007F6BF3">
            <w:pPr>
              <w:pStyle w:val="P68B1DB1-Normal12"/>
              <w:spacing w:after="0" w:line="240" w:lineRule="auto"/>
              <w:jc w:val="center"/>
              <w:rPr>
                <w:rFonts w:eastAsia="Times New Roman"/>
                <w:noProof/>
              </w:rPr>
            </w:pPr>
            <w:r>
              <w:rPr>
                <w:noProof/>
              </w:rPr>
              <w:t>RP-C21-i10-RAA</w:t>
            </w:r>
          </w:p>
        </w:tc>
        <w:tc>
          <w:tcPr>
            <w:tcW w:w="1134" w:type="dxa"/>
            <w:shd w:val="clear" w:color="auto" w:fill="C4EFCE"/>
            <w:noWrap/>
            <w:vAlign w:val="center"/>
          </w:tcPr>
          <w:p w14:paraId="11BDF5A0" w14:textId="0F4DD2C5" w:rsidR="00154AD2" w:rsidRDefault="007F6BF3">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3F84B7D1" w14:textId="71264E8C" w:rsidR="00154AD2" w:rsidRDefault="007F6BF3">
            <w:pPr>
              <w:pStyle w:val="P68B1DB1-Normal12"/>
              <w:spacing w:after="0" w:line="240" w:lineRule="auto"/>
              <w:jc w:val="center"/>
              <w:rPr>
                <w:rFonts w:eastAsia="Times New Roman" w:cstheme="minorHAnsi"/>
                <w:noProof/>
              </w:rPr>
            </w:pPr>
            <w:r>
              <w:rPr>
                <w:noProof/>
              </w:rPr>
              <w:t>Εγκατάσταση δυναμικότητας αποθήκευσης ηλεκτρικής ενέργειας</w:t>
            </w:r>
          </w:p>
        </w:tc>
        <w:tc>
          <w:tcPr>
            <w:tcW w:w="1275" w:type="dxa"/>
            <w:shd w:val="clear" w:color="auto" w:fill="C4EFCE"/>
            <w:noWrap/>
            <w:vAlign w:val="center"/>
          </w:tcPr>
          <w:p w14:paraId="618CABB5" w14:textId="77777777" w:rsidR="00154AD2" w:rsidRDefault="00154AD2">
            <w:pPr>
              <w:spacing w:after="0" w:line="240" w:lineRule="auto"/>
              <w:jc w:val="center"/>
              <w:rPr>
                <w:rFonts w:eastAsia="Times New Roman" w:cstheme="minorHAnsi"/>
                <w:noProof/>
                <w:sz w:val="16"/>
              </w:rPr>
            </w:pPr>
          </w:p>
        </w:tc>
        <w:tc>
          <w:tcPr>
            <w:tcW w:w="993" w:type="dxa"/>
            <w:shd w:val="clear" w:color="auto" w:fill="C4EFCE"/>
            <w:noWrap/>
            <w:vAlign w:val="center"/>
          </w:tcPr>
          <w:p w14:paraId="6CA43656" w14:textId="647D88FA" w:rsidR="00154AD2" w:rsidRDefault="007F6BF3">
            <w:pPr>
              <w:pStyle w:val="P68B1DB1-Normal12"/>
              <w:spacing w:after="0" w:line="240" w:lineRule="auto"/>
              <w:jc w:val="center"/>
              <w:rPr>
                <w:rFonts w:eastAsia="Times New Roman" w:cstheme="minorHAnsi"/>
                <w:noProof/>
              </w:rPr>
            </w:pPr>
            <w:r>
              <w:rPr>
                <w:noProof/>
              </w:rPr>
              <w:t>MW</w:t>
            </w:r>
          </w:p>
        </w:tc>
        <w:tc>
          <w:tcPr>
            <w:tcW w:w="992" w:type="dxa"/>
            <w:shd w:val="clear" w:color="auto" w:fill="C4EFCE"/>
            <w:noWrap/>
            <w:vAlign w:val="center"/>
          </w:tcPr>
          <w:p w14:paraId="72C57D8C" w14:textId="3EFCC2B3" w:rsidR="00154AD2" w:rsidRDefault="007F6BF3">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1D6E4AE3" w14:textId="01C62BBE" w:rsidR="00154AD2" w:rsidRDefault="007F6BF3">
            <w:pPr>
              <w:pStyle w:val="P68B1DB1-Normal12"/>
              <w:spacing w:after="0" w:line="240" w:lineRule="auto"/>
              <w:jc w:val="center"/>
              <w:rPr>
                <w:rFonts w:eastAsia="Times New Roman" w:cstheme="minorHAnsi"/>
                <w:noProof/>
              </w:rPr>
            </w:pPr>
            <w:r>
              <w:rPr>
                <w:noProof/>
              </w:rPr>
              <w:t>8,75</w:t>
            </w:r>
          </w:p>
        </w:tc>
        <w:tc>
          <w:tcPr>
            <w:tcW w:w="567" w:type="dxa"/>
            <w:shd w:val="clear" w:color="auto" w:fill="C4EFCE"/>
            <w:noWrap/>
            <w:vAlign w:val="center"/>
          </w:tcPr>
          <w:p w14:paraId="2B3BB704" w14:textId="2A88BBEA" w:rsidR="00154AD2" w:rsidRDefault="007F6BF3">
            <w:pPr>
              <w:pStyle w:val="P68B1DB1-Normal12"/>
              <w:spacing w:after="0" w:line="240" w:lineRule="auto"/>
              <w:jc w:val="center"/>
              <w:rPr>
                <w:rFonts w:eastAsia="Times New Roman" w:cstheme="minorHAnsi"/>
                <w:noProof/>
              </w:rPr>
            </w:pPr>
            <w:r>
              <w:rPr>
                <w:noProof/>
              </w:rPr>
              <w:t>ΤΡΊΜΗΝΟ 4</w:t>
            </w:r>
          </w:p>
        </w:tc>
        <w:tc>
          <w:tcPr>
            <w:tcW w:w="708" w:type="dxa"/>
            <w:shd w:val="clear" w:color="auto" w:fill="C4EFCE"/>
            <w:noWrap/>
            <w:vAlign w:val="center"/>
          </w:tcPr>
          <w:p w14:paraId="2CE8D20C" w14:textId="5A9DDA13" w:rsidR="00154AD2" w:rsidRDefault="007F6BF3">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7ACED5AC" w14:textId="74C3E21E" w:rsidR="00154AD2" w:rsidRDefault="007F6BF3">
            <w:pPr>
              <w:pStyle w:val="P68B1DB1-Normal12"/>
              <w:spacing w:after="0" w:line="240" w:lineRule="auto"/>
              <w:jc w:val="both"/>
              <w:rPr>
                <w:rFonts w:eastAsia="Times New Roman" w:cstheme="minorHAnsi"/>
                <w:noProof/>
              </w:rPr>
            </w:pPr>
            <w:r>
              <w:rPr>
                <w:noProof/>
              </w:rPr>
              <w:t>Εγκατεστημένη δυναμικότητα αποθήκευσης ηλεκτρικής ενέργειας τουλάχιστον 8,75 MW για αυτοκατανάλωση.</w:t>
            </w:r>
          </w:p>
        </w:tc>
      </w:tr>
      <w:tr w:rsidR="00154AD2" w14:paraId="59FCB201" w14:textId="77777777">
        <w:trPr>
          <w:trHeight w:val="430"/>
        </w:trPr>
        <w:tc>
          <w:tcPr>
            <w:tcW w:w="1135" w:type="dxa"/>
            <w:shd w:val="clear" w:color="auto" w:fill="C4EFCE"/>
            <w:vAlign w:val="center"/>
          </w:tcPr>
          <w:p w14:paraId="16D1E889" w14:textId="1734E102" w:rsidR="00154AD2" w:rsidRDefault="007F6BF3">
            <w:pPr>
              <w:pStyle w:val="P68B1DB1-Normal11"/>
              <w:spacing w:after="0" w:line="240" w:lineRule="auto"/>
              <w:jc w:val="center"/>
              <w:rPr>
                <w:rFonts w:eastAsia="Times New Roman" w:cstheme="minorHAnsi"/>
                <w:noProof/>
              </w:rPr>
            </w:pPr>
            <w:r>
              <w:rPr>
                <w:noProof/>
              </w:rPr>
              <w:t>21.33</w:t>
            </w:r>
          </w:p>
        </w:tc>
        <w:tc>
          <w:tcPr>
            <w:tcW w:w="1276" w:type="dxa"/>
            <w:shd w:val="clear" w:color="auto" w:fill="C4EFCE"/>
            <w:noWrap/>
            <w:vAlign w:val="center"/>
          </w:tcPr>
          <w:p w14:paraId="0DD29FA5" w14:textId="656F08E3" w:rsidR="00154AD2" w:rsidRDefault="007F6BF3">
            <w:pPr>
              <w:pStyle w:val="P68B1DB1-Normal12"/>
              <w:spacing w:after="0" w:line="240" w:lineRule="auto"/>
              <w:jc w:val="center"/>
              <w:rPr>
                <w:rFonts w:eastAsia="Times New Roman"/>
                <w:noProof/>
              </w:rPr>
            </w:pPr>
            <w:r>
              <w:rPr>
                <w:noProof/>
              </w:rPr>
              <w:t>RP-C21-i11-RAM</w:t>
            </w:r>
          </w:p>
        </w:tc>
        <w:tc>
          <w:tcPr>
            <w:tcW w:w="1134" w:type="dxa"/>
            <w:shd w:val="clear" w:color="auto" w:fill="C4EFCE"/>
            <w:noWrap/>
            <w:vAlign w:val="center"/>
          </w:tcPr>
          <w:p w14:paraId="6443488B" w14:textId="0171A2E8" w:rsidR="00154AD2" w:rsidRDefault="007F6BF3">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0442E0E7" w14:textId="10C4B9DB" w:rsidR="00154AD2" w:rsidRDefault="007F6BF3">
            <w:pPr>
              <w:pStyle w:val="P68B1DB1-Normal12"/>
              <w:spacing w:after="0" w:line="240" w:lineRule="auto"/>
              <w:jc w:val="center"/>
              <w:rPr>
                <w:rFonts w:eastAsia="Times New Roman"/>
                <w:noProof/>
              </w:rPr>
            </w:pPr>
            <w:r>
              <w:rPr>
                <w:noProof/>
              </w:rPr>
              <w:t>Αύξηση εγκατεστημένης ισχύος μονάδων παραγωγής ενέργειας από ανανεώσιμες πηγές για αυτοκατανάλωση και αύξηση της εγκατεστημένης δυναμικότητας αποθήκευσης για αυτοκατανάλωση</w:t>
            </w:r>
          </w:p>
        </w:tc>
        <w:tc>
          <w:tcPr>
            <w:tcW w:w="1275" w:type="dxa"/>
            <w:shd w:val="clear" w:color="auto" w:fill="C4EFCE"/>
            <w:noWrap/>
            <w:vAlign w:val="center"/>
          </w:tcPr>
          <w:p w14:paraId="14BAC0AF" w14:textId="77777777" w:rsidR="00154AD2" w:rsidRDefault="00154AD2">
            <w:pPr>
              <w:spacing w:after="0" w:line="240" w:lineRule="auto"/>
              <w:jc w:val="center"/>
              <w:rPr>
                <w:rFonts w:eastAsia="Times New Roman" w:cstheme="minorHAnsi"/>
                <w:noProof/>
                <w:sz w:val="16"/>
              </w:rPr>
            </w:pPr>
          </w:p>
        </w:tc>
        <w:tc>
          <w:tcPr>
            <w:tcW w:w="993" w:type="dxa"/>
            <w:shd w:val="clear" w:color="auto" w:fill="C4EFCE"/>
            <w:noWrap/>
            <w:vAlign w:val="center"/>
          </w:tcPr>
          <w:p w14:paraId="5B7EA6FB" w14:textId="6D0983F5" w:rsidR="00154AD2" w:rsidRDefault="007F6BF3">
            <w:pPr>
              <w:pStyle w:val="P68B1DB1-Normal12"/>
              <w:spacing w:after="0" w:line="240" w:lineRule="auto"/>
              <w:jc w:val="center"/>
              <w:rPr>
                <w:rFonts w:eastAsia="Times New Roman" w:cstheme="minorHAnsi"/>
                <w:noProof/>
              </w:rPr>
            </w:pPr>
            <w:r>
              <w:rPr>
                <w:noProof/>
              </w:rPr>
              <w:t>MW</w:t>
            </w:r>
          </w:p>
        </w:tc>
        <w:tc>
          <w:tcPr>
            <w:tcW w:w="992" w:type="dxa"/>
            <w:shd w:val="clear" w:color="auto" w:fill="C4EFCE"/>
            <w:noWrap/>
            <w:vAlign w:val="center"/>
          </w:tcPr>
          <w:p w14:paraId="24D8C7DF" w14:textId="21183495" w:rsidR="00154AD2" w:rsidRDefault="007F6BF3">
            <w:pPr>
              <w:pStyle w:val="P68B1DB1-Normal12"/>
              <w:spacing w:after="0" w:line="240" w:lineRule="auto"/>
              <w:jc w:val="center"/>
              <w:rPr>
                <w:rFonts w:eastAsia="Times New Roman" w:cstheme="minorHAnsi"/>
                <w:noProof/>
              </w:rPr>
            </w:pPr>
            <w:r>
              <w:rPr>
                <w:noProof/>
              </w:rPr>
              <w:t xml:space="preserve"> 0</w:t>
            </w:r>
          </w:p>
        </w:tc>
        <w:tc>
          <w:tcPr>
            <w:tcW w:w="992" w:type="dxa"/>
            <w:shd w:val="clear" w:color="auto" w:fill="C4EFCE"/>
            <w:noWrap/>
            <w:vAlign w:val="center"/>
          </w:tcPr>
          <w:p w14:paraId="2B7883F0" w14:textId="7809369D" w:rsidR="00154AD2" w:rsidRDefault="007F6BF3">
            <w:pPr>
              <w:pStyle w:val="P68B1DB1-Normal12"/>
              <w:spacing w:after="0" w:line="240" w:lineRule="auto"/>
              <w:jc w:val="center"/>
              <w:rPr>
                <w:rFonts w:eastAsia="Times New Roman"/>
                <w:noProof/>
              </w:rPr>
            </w:pPr>
            <w:r>
              <w:rPr>
                <w:noProof/>
              </w:rPr>
              <w:t>5.25</w:t>
            </w:r>
          </w:p>
        </w:tc>
        <w:tc>
          <w:tcPr>
            <w:tcW w:w="567" w:type="dxa"/>
            <w:shd w:val="clear" w:color="auto" w:fill="C4EFCE"/>
            <w:noWrap/>
            <w:vAlign w:val="center"/>
          </w:tcPr>
          <w:p w14:paraId="496A646E" w14:textId="54237EC0" w:rsidR="00154AD2" w:rsidRDefault="007F6BF3">
            <w:pPr>
              <w:pStyle w:val="P68B1DB1-Normal12"/>
              <w:spacing w:after="0" w:line="240" w:lineRule="auto"/>
              <w:jc w:val="center"/>
              <w:rPr>
                <w:rFonts w:eastAsia="Times New Roman" w:cstheme="minorHAnsi"/>
                <w:noProof/>
              </w:rPr>
            </w:pPr>
            <w:r>
              <w:rPr>
                <w:noProof/>
              </w:rPr>
              <w:t>ΤΡΊΜΗΝΟ 1</w:t>
            </w:r>
          </w:p>
        </w:tc>
        <w:tc>
          <w:tcPr>
            <w:tcW w:w="708" w:type="dxa"/>
            <w:shd w:val="clear" w:color="auto" w:fill="C4EFCE"/>
            <w:noWrap/>
            <w:vAlign w:val="center"/>
          </w:tcPr>
          <w:p w14:paraId="119BAC6D" w14:textId="70C26F2D" w:rsidR="00154AD2" w:rsidRDefault="007F6BF3">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4F13C5D1" w14:textId="58328E68" w:rsidR="00154AD2" w:rsidRDefault="007F6BF3">
            <w:pPr>
              <w:pStyle w:val="P68B1DB1-Normal12"/>
              <w:spacing w:after="0" w:line="240" w:lineRule="auto"/>
              <w:jc w:val="both"/>
              <w:rPr>
                <w:rFonts w:eastAsia="Times New Roman"/>
                <w:noProof/>
              </w:rPr>
            </w:pPr>
            <w:r>
              <w:rPr>
                <w:noProof/>
              </w:rPr>
              <w:t>Εγκαθίσταται δυναμικότητα παραγωγής ενέργειας από ανανεώσιμες πηγές για αυτοκατανάλωση τουλάχιστον 2,75 MW.</w:t>
            </w:r>
          </w:p>
          <w:p w14:paraId="0A9ABADC" w14:textId="3E09A486" w:rsidR="00154AD2" w:rsidRDefault="00154AD2">
            <w:pPr>
              <w:spacing w:after="0" w:line="240" w:lineRule="auto"/>
              <w:jc w:val="both"/>
              <w:rPr>
                <w:noProof/>
                <w:sz w:val="16"/>
              </w:rPr>
            </w:pPr>
          </w:p>
          <w:p w14:paraId="1C328A9F" w14:textId="1996C913" w:rsidR="00154AD2" w:rsidRDefault="007F6BF3">
            <w:pPr>
              <w:pStyle w:val="P68B1DB1-Normal12"/>
              <w:spacing w:after="0" w:line="240" w:lineRule="auto"/>
              <w:jc w:val="both"/>
              <w:rPr>
                <w:rFonts w:eastAsia="Times New Roman"/>
                <w:noProof/>
              </w:rPr>
            </w:pPr>
            <w:r>
              <w:rPr>
                <w:noProof/>
              </w:rPr>
              <w:t>Εγκαθίσταται δυναμικότητα αποθήκευσης ηλεκτρικής ενέργειας για αυτοκατανάλωση τουλάχιστον 2,5 MW.</w:t>
            </w:r>
          </w:p>
        </w:tc>
      </w:tr>
      <w:tr w:rsidR="00154AD2" w14:paraId="5AEA89DD" w14:textId="77777777">
        <w:trPr>
          <w:trHeight w:val="430"/>
        </w:trPr>
        <w:tc>
          <w:tcPr>
            <w:tcW w:w="1135" w:type="dxa"/>
            <w:shd w:val="clear" w:color="auto" w:fill="C4EFCE"/>
            <w:vAlign w:val="center"/>
          </w:tcPr>
          <w:p w14:paraId="06F06D71" w14:textId="1CAAC2A0" w:rsidR="00154AD2" w:rsidRDefault="007F6BF3">
            <w:pPr>
              <w:pStyle w:val="P68B1DB1-Normal11"/>
              <w:spacing w:after="0" w:line="240" w:lineRule="auto"/>
              <w:jc w:val="center"/>
              <w:rPr>
                <w:rFonts w:eastAsia="Times New Roman" w:cstheme="minorHAnsi"/>
                <w:noProof/>
              </w:rPr>
            </w:pPr>
            <w:r>
              <w:rPr>
                <w:noProof/>
              </w:rPr>
              <w:t>21.34</w:t>
            </w:r>
          </w:p>
        </w:tc>
        <w:tc>
          <w:tcPr>
            <w:tcW w:w="1276" w:type="dxa"/>
            <w:shd w:val="clear" w:color="auto" w:fill="C4EFCE"/>
            <w:noWrap/>
            <w:vAlign w:val="center"/>
          </w:tcPr>
          <w:p w14:paraId="50A32A38" w14:textId="6FB4DA15" w:rsidR="00154AD2" w:rsidRDefault="007F6BF3">
            <w:pPr>
              <w:pStyle w:val="P68B1DB1-Normal12"/>
              <w:spacing w:after="0" w:line="240" w:lineRule="auto"/>
              <w:jc w:val="center"/>
              <w:rPr>
                <w:rFonts w:eastAsia="Times New Roman"/>
                <w:noProof/>
              </w:rPr>
            </w:pPr>
            <w:r>
              <w:rPr>
                <w:noProof/>
              </w:rPr>
              <w:t>RP-C21-i11-RAM</w:t>
            </w:r>
          </w:p>
        </w:tc>
        <w:tc>
          <w:tcPr>
            <w:tcW w:w="1134" w:type="dxa"/>
            <w:shd w:val="clear" w:color="auto" w:fill="C4EFCE"/>
            <w:noWrap/>
            <w:vAlign w:val="center"/>
          </w:tcPr>
          <w:p w14:paraId="1E977997" w14:textId="68BD8EDF" w:rsidR="00154AD2" w:rsidRDefault="007F6BF3">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34206821" w14:textId="7D6204F6" w:rsidR="00154AD2" w:rsidRDefault="007F6BF3">
            <w:pPr>
              <w:pStyle w:val="P68B1DB1-Normal12"/>
              <w:spacing w:after="0" w:line="240" w:lineRule="auto"/>
              <w:jc w:val="center"/>
              <w:rPr>
                <w:rFonts w:eastAsia="Times New Roman" w:cstheme="minorHAnsi"/>
                <w:noProof/>
              </w:rPr>
            </w:pPr>
            <w:r>
              <w:rPr>
                <w:noProof/>
              </w:rPr>
              <w:t>Ενίσχυση της εγκατεστημένης δυναμικότητας αιολικής ενέργειας</w:t>
            </w:r>
          </w:p>
        </w:tc>
        <w:tc>
          <w:tcPr>
            <w:tcW w:w="1275" w:type="dxa"/>
            <w:shd w:val="clear" w:color="auto" w:fill="C4EFCE"/>
            <w:noWrap/>
          </w:tcPr>
          <w:p w14:paraId="5A477E66" w14:textId="3465589D" w:rsidR="00154AD2" w:rsidRDefault="007F6BF3">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03C8E2AE" w14:textId="2F0553A1" w:rsidR="00154AD2" w:rsidRDefault="007F6BF3">
            <w:pPr>
              <w:pStyle w:val="P68B1DB1-Normal12"/>
              <w:spacing w:after="0" w:line="240" w:lineRule="auto"/>
              <w:jc w:val="center"/>
              <w:rPr>
                <w:rFonts w:eastAsia="Times New Roman" w:cstheme="minorHAnsi"/>
                <w:noProof/>
              </w:rPr>
            </w:pPr>
            <w:r>
              <w:rPr>
                <w:noProof/>
              </w:rPr>
              <w:t>MW</w:t>
            </w:r>
          </w:p>
        </w:tc>
        <w:tc>
          <w:tcPr>
            <w:tcW w:w="992" w:type="dxa"/>
            <w:shd w:val="clear" w:color="auto" w:fill="C4EFCE"/>
            <w:noWrap/>
            <w:vAlign w:val="center"/>
          </w:tcPr>
          <w:p w14:paraId="4CACD599" w14:textId="7A662419" w:rsidR="00154AD2" w:rsidRDefault="007F6BF3">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1D8B24C1" w14:textId="3B83C067" w:rsidR="00154AD2" w:rsidRDefault="007F6BF3">
            <w:pPr>
              <w:pStyle w:val="P68B1DB1-Normal12"/>
              <w:spacing w:after="0" w:line="240" w:lineRule="auto"/>
              <w:jc w:val="center"/>
              <w:rPr>
                <w:rFonts w:eastAsia="Times New Roman" w:cstheme="minorHAnsi"/>
                <w:noProof/>
              </w:rPr>
            </w:pPr>
            <w:r>
              <w:rPr>
                <w:noProof/>
              </w:rPr>
              <w:t>7</w:t>
            </w:r>
          </w:p>
        </w:tc>
        <w:tc>
          <w:tcPr>
            <w:tcW w:w="567" w:type="dxa"/>
            <w:shd w:val="clear" w:color="auto" w:fill="C4EFCE"/>
            <w:noWrap/>
            <w:vAlign w:val="center"/>
          </w:tcPr>
          <w:p w14:paraId="7E0DAF3D" w14:textId="487909DB" w:rsidR="00154AD2" w:rsidRDefault="007F6BF3">
            <w:pPr>
              <w:pStyle w:val="P68B1DB1-Normal12"/>
              <w:spacing w:after="0" w:line="240" w:lineRule="auto"/>
              <w:jc w:val="center"/>
              <w:rPr>
                <w:rFonts w:eastAsia="Times New Roman" w:cstheme="minorHAnsi"/>
                <w:noProof/>
              </w:rPr>
            </w:pPr>
            <w:r>
              <w:rPr>
                <w:noProof/>
              </w:rPr>
              <w:t>ΤΡΊΜΗΝΟ 4</w:t>
            </w:r>
          </w:p>
        </w:tc>
        <w:tc>
          <w:tcPr>
            <w:tcW w:w="708" w:type="dxa"/>
            <w:shd w:val="clear" w:color="auto" w:fill="C4EFCE"/>
            <w:noWrap/>
            <w:vAlign w:val="center"/>
          </w:tcPr>
          <w:p w14:paraId="6E08C107" w14:textId="667BF99D" w:rsidR="00154AD2" w:rsidRDefault="007F6BF3">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60E20BC6" w14:textId="03E226A0" w:rsidR="00154AD2" w:rsidRDefault="007F6BF3">
            <w:pPr>
              <w:pStyle w:val="P68B1DB1-Normal12"/>
              <w:spacing w:after="0" w:line="240" w:lineRule="auto"/>
              <w:jc w:val="both"/>
              <w:rPr>
                <w:rFonts w:eastAsia="Times New Roman" w:cstheme="minorHAnsi"/>
                <w:noProof/>
              </w:rPr>
            </w:pPr>
            <w:r>
              <w:rPr>
                <w:noProof/>
              </w:rPr>
              <w:t>Στη νήσο Porto Santo θα εγκατασταθεί πρόσθετη δυναμικότητα παραγωγής αιολικής ενέργειας 7 MW συνδεδεμένη με το δίκτυο ηλεκτρικής ενέργειας.</w:t>
            </w:r>
          </w:p>
        </w:tc>
      </w:tr>
      <w:tr w:rsidR="00154AD2" w14:paraId="57E89DD0" w14:textId="77777777">
        <w:trPr>
          <w:trHeight w:val="430"/>
        </w:trPr>
        <w:tc>
          <w:tcPr>
            <w:tcW w:w="1135" w:type="dxa"/>
            <w:shd w:val="clear" w:color="auto" w:fill="C4EFCE"/>
            <w:vAlign w:val="center"/>
          </w:tcPr>
          <w:p w14:paraId="5BE74300" w14:textId="459942DF" w:rsidR="00154AD2" w:rsidRDefault="007F6BF3">
            <w:pPr>
              <w:pStyle w:val="P68B1DB1-Normal11"/>
              <w:spacing w:after="0" w:line="240" w:lineRule="auto"/>
              <w:jc w:val="center"/>
              <w:rPr>
                <w:rFonts w:eastAsia="Times New Roman" w:cstheme="minorHAnsi"/>
                <w:noProof/>
              </w:rPr>
            </w:pPr>
            <w:r>
              <w:rPr>
                <w:noProof/>
              </w:rPr>
              <w:t>21.35</w:t>
            </w:r>
          </w:p>
        </w:tc>
        <w:tc>
          <w:tcPr>
            <w:tcW w:w="1276" w:type="dxa"/>
            <w:shd w:val="clear" w:color="auto" w:fill="C4EFCE"/>
            <w:noWrap/>
            <w:vAlign w:val="center"/>
          </w:tcPr>
          <w:p w14:paraId="5202472B" w14:textId="081F4DDF" w:rsidR="00154AD2" w:rsidRDefault="007F6BF3">
            <w:pPr>
              <w:pStyle w:val="P68B1DB1-Normal12"/>
              <w:spacing w:after="0" w:line="240" w:lineRule="auto"/>
              <w:jc w:val="center"/>
              <w:rPr>
                <w:rFonts w:eastAsia="Times New Roman"/>
                <w:noProof/>
              </w:rPr>
            </w:pPr>
            <w:r>
              <w:rPr>
                <w:noProof/>
              </w:rPr>
              <w:t>RP-C21-i12</w:t>
            </w:r>
          </w:p>
        </w:tc>
        <w:tc>
          <w:tcPr>
            <w:tcW w:w="1134" w:type="dxa"/>
            <w:shd w:val="clear" w:color="auto" w:fill="C4EFCE"/>
            <w:noWrap/>
            <w:vAlign w:val="center"/>
          </w:tcPr>
          <w:p w14:paraId="3C71133D" w14:textId="339DEA58" w:rsidR="00154AD2" w:rsidRDefault="007F6BF3">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58FBE419" w14:textId="66C41B1C" w:rsidR="00154AD2" w:rsidRDefault="007F6BF3">
            <w:pPr>
              <w:pStyle w:val="P68B1DB1-Normal12"/>
              <w:spacing w:after="0" w:line="240" w:lineRule="auto"/>
              <w:jc w:val="center"/>
              <w:rPr>
                <w:rFonts w:eastAsia="Times New Roman" w:cstheme="minorHAnsi"/>
                <w:noProof/>
              </w:rPr>
            </w:pPr>
            <w:r>
              <w:rPr>
                <w:noProof/>
              </w:rPr>
              <w:t>Υπογραφή της σύμβασης για την αγορά καθαρών λεωφορείων στο πλαίσιο του προγράμματος απαλλαγής από τις ανθρακούχες εκπομπές στον τομέα των δημόσιων μεταφορών</w:t>
            </w:r>
          </w:p>
        </w:tc>
        <w:tc>
          <w:tcPr>
            <w:tcW w:w="1275" w:type="dxa"/>
            <w:shd w:val="clear" w:color="auto" w:fill="C4EFCE"/>
            <w:noWrap/>
          </w:tcPr>
          <w:p w14:paraId="526A8439" w14:textId="21927C98" w:rsidR="00154AD2" w:rsidRDefault="007F6BF3">
            <w:pPr>
              <w:pStyle w:val="P68B1DB1-Normal12"/>
              <w:spacing w:after="0" w:line="240" w:lineRule="auto"/>
              <w:jc w:val="center"/>
              <w:rPr>
                <w:rFonts w:eastAsia="Times New Roman" w:cstheme="minorHAnsi"/>
                <w:noProof/>
              </w:rPr>
            </w:pPr>
            <w:r>
              <w:rPr>
                <w:noProof/>
              </w:rPr>
              <w:t>Υπογραφή της σύμβασης για την αγορά καθαρών λεωφορείων στο πλαίσιο του προγράμματος απαλλαγής από τις ανθρακούχες εκπομπές στον τομέα των δημόσιων μεταφορών</w:t>
            </w:r>
          </w:p>
        </w:tc>
        <w:tc>
          <w:tcPr>
            <w:tcW w:w="993" w:type="dxa"/>
            <w:shd w:val="clear" w:color="auto" w:fill="C4EFCE"/>
            <w:noWrap/>
          </w:tcPr>
          <w:p w14:paraId="5B5F632F" w14:textId="43CF795F" w:rsidR="00154AD2" w:rsidRDefault="007F6BF3">
            <w:pPr>
              <w:pStyle w:val="P68B1DB1-Normal12"/>
              <w:spacing w:after="0" w:line="240" w:lineRule="auto"/>
              <w:jc w:val="center"/>
              <w:rPr>
                <w:rFonts w:eastAsia="Times New Roman" w:cstheme="minorHAnsi"/>
                <w:noProof/>
              </w:rPr>
            </w:pPr>
            <w:r>
              <w:rPr>
                <w:noProof/>
              </w:rPr>
              <w:t xml:space="preserve"> </w:t>
            </w:r>
          </w:p>
        </w:tc>
        <w:tc>
          <w:tcPr>
            <w:tcW w:w="992" w:type="dxa"/>
            <w:shd w:val="clear" w:color="auto" w:fill="C4EFCE"/>
            <w:noWrap/>
            <w:vAlign w:val="center"/>
          </w:tcPr>
          <w:p w14:paraId="756CF22A" w14:textId="0AB870C4" w:rsidR="00154AD2" w:rsidRDefault="00154AD2">
            <w:pPr>
              <w:spacing w:after="0" w:line="240" w:lineRule="auto"/>
              <w:jc w:val="center"/>
              <w:rPr>
                <w:rFonts w:eastAsia="Times New Roman" w:cstheme="minorHAnsi"/>
                <w:noProof/>
                <w:sz w:val="16"/>
              </w:rPr>
            </w:pPr>
          </w:p>
        </w:tc>
        <w:tc>
          <w:tcPr>
            <w:tcW w:w="992" w:type="dxa"/>
            <w:shd w:val="clear" w:color="auto" w:fill="C4EFCE"/>
            <w:noWrap/>
          </w:tcPr>
          <w:p w14:paraId="6F932B44" w14:textId="27A48D92" w:rsidR="00154AD2" w:rsidRDefault="007F6BF3">
            <w:pPr>
              <w:pStyle w:val="P68B1DB1-Normal12"/>
              <w:spacing w:after="0" w:line="240" w:lineRule="auto"/>
              <w:jc w:val="center"/>
              <w:rPr>
                <w:rFonts w:eastAsia="Times New Roman" w:cstheme="minorHAnsi"/>
                <w:noProof/>
              </w:rPr>
            </w:pPr>
            <w:r>
              <w:rPr>
                <w:noProof/>
              </w:rPr>
              <w:t xml:space="preserve"> </w:t>
            </w:r>
          </w:p>
        </w:tc>
        <w:tc>
          <w:tcPr>
            <w:tcW w:w="567" w:type="dxa"/>
            <w:shd w:val="clear" w:color="auto" w:fill="C4EFCE"/>
            <w:noWrap/>
            <w:vAlign w:val="center"/>
          </w:tcPr>
          <w:p w14:paraId="7BEFD333" w14:textId="6ED7E9C3" w:rsidR="00154AD2" w:rsidRDefault="007F6BF3">
            <w:pPr>
              <w:pStyle w:val="P68B1DB1-Normal12"/>
              <w:spacing w:after="0" w:line="240" w:lineRule="auto"/>
              <w:jc w:val="center"/>
              <w:rPr>
                <w:rFonts w:eastAsia="Times New Roman" w:cstheme="minorHAnsi"/>
                <w:noProof/>
              </w:rPr>
            </w:pPr>
            <w:r>
              <w:rPr>
                <w:noProof/>
              </w:rPr>
              <w:t>ΤΡΊΜΗΝΟ 2</w:t>
            </w:r>
          </w:p>
        </w:tc>
        <w:tc>
          <w:tcPr>
            <w:tcW w:w="708" w:type="dxa"/>
            <w:shd w:val="clear" w:color="auto" w:fill="C4EFCE"/>
            <w:noWrap/>
            <w:vAlign w:val="center"/>
          </w:tcPr>
          <w:p w14:paraId="3A864357" w14:textId="6C2FC1DE" w:rsidR="00154AD2" w:rsidRDefault="007F6BF3">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4BD2252A" w14:textId="03C0FAE2" w:rsidR="00154AD2" w:rsidRDefault="007F6BF3">
            <w:pPr>
              <w:pStyle w:val="P68B1DB1-Normal12"/>
              <w:spacing w:after="0" w:line="240" w:lineRule="auto"/>
              <w:jc w:val="both"/>
              <w:rPr>
                <w:rFonts w:eastAsia="Times New Roman" w:cstheme="minorHAnsi"/>
                <w:noProof/>
              </w:rPr>
            </w:pPr>
            <w:r>
              <w:rPr>
                <w:noProof/>
              </w:rPr>
              <w:t>Υπογραφή της σύμβασης μεταξύ των δικαιούχων και του διαχειριστικού φορέα, βάσει ανταγωνιστικής διαδικασίας υποβολής προσφορών, με δέσμευση αγοράς 300 (ηλεκτρικών και υδρογονοκίνητων) λεωφορείων μηδενικών εκπομπών.</w:t>
            </w:r>
          </w:p>
        </w:tc>
      </w:tr>
      <w:tr w:rsidR="00154AD2" w14:paraId="716F3052" w14:textId="77777777">
        <w:trPr>
          <w:trHeight w:val="430"/>
        </w:trPr>
        <w:tc>
          <w:tcPr>
            <w:tcW w:w="1135" w:type="dxa"/>
            <w:shd w:val="clear" w:color="auto" w:fill="C4EFCE"/>
            <w:vAlign w:val="center"/>
          </w:tcPr>
          <w:p w14:paraId="3FC90F90" w14:textId="5F27DE07" w:rsidR="00154AD2" w:rsidRDefault="007F6BF3">
            <w:pPr>
              <w:pStyle w:val="P68B1DB1-Normal11"/>
              <w:spacing w:after="0" w:line="240" w:lineRule="auto"/>
              <w:jc w:val="center"/>
              <w:rPr>
                <w:rFonts w:eastAsia="Times New Roman" w:cstheme="minorHAnsi"/>
                <w:noProof/>
              </w:rPr>
            </w:pPr>
            <w:r>
              <w:rPr>
                <w:noProof/>
              </w:rPr>
              <w:t>21.36</w:t>
            </w:r>
          </w:p>
        </w:tc>
        <w:tc>
          <w:tcPr>
            <w:tcW w:w="1276" w:type="dxa"/>
            <w:shd w:val="clear" w:color="auto" w:fill="C4EFCE"/>
            <w:noWrap/>
            <w:vAlign w:val="center"/>
          </w:tcPr>
          <w:p w14:paraId="1F66CCD9" w14:textId="33FB0967" w:rsidR="00154AD2" w:rsidRDefault="007F6BF3">
            <w:pPr>
              <w:pStyle w:val="P68B1DB1-Normal12"/>
              <w:spacing w:after="0" w:line="240" w:lineRule="auto"/>
              <w:jc w:val="center"/>
              <w:rPr>
                <w:rFonts w:eastAsia="Times New Roman"/>
                <w:noProof/>
              </w:rPr>
            </w:pPr>
            <w:r>
              <w:rPr>
                <w:noProof/>
              </w:rPr>
              <w:t>RP-C21-i12</w:t>
            </w:r>
          </w:p>
        </w:tc>
        <w:tc>
          <w:tcPr>
            <w:tcW w:w="1134" w:type="dxa"/>
            <w:shd w:val="clear" w:color="auto" w:fill="C4EFCE"/>
            <w:noWrap/>
            <w:vAlign w:val="center"/>
          </w:tcPr>
          <w:p w14:paraId="45CD69E3" w14:textId="4C7E9777" w:rsidR="00154AD2" w:rsidRDefault="007F6BF3">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7464071F" w14:textId="2F857C6F" w:rsidR="00154AD2" w:rsidRDefault="007F6BF3">
            <w:pPr>
              <w:pStyle w:val="P68B1DB1-Normal12"/>
              <w:spacing w:after="0" w:line="240" w:lineRule="auto"/>
              <w:jc w:val="center"/>
              <w:rPr>
                <w:rFonts w:eastAsia="Times New Roman" w:cstheme="minorHAnsi"/>
                <w:noProof/>
              </w:rPr>
            </w:pPr>
            <w:r>
              <w:rPr>
                <w:noProof/>
              </w:rPr>
              <w:t>Αγορά νέων λεωφορείων μηδενικών εκπομπών (ηλεκτρικών ή υδρογονοκίνητων) που χρησιμοποιούνται στις δημόσιες συγκοινωνίες</w:t>
            </w:r>
          </w:p>
        </w:tc>
        <w:tc>
          <w:tcPr>
            <w:tcW w:w="1275" w:type="dxa"/>
            <w:shd w:val="clear" w:color="auto" w:fill="C4EFCE"/>
            <w:noWrap/>
          </w:tcPr>
          <w:p w14:paraId="3C72326A" w14:textId="2F037DC0" w:rsidR="00154AD2" w:rsidRDefault="007F6BF3">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0404D39E" w14:textId="33FBF6E8" w:rsidR="00154AD2" w:rsidRDefault="007F6BF3">
            <w:pPr>
              <w:pStyle w:val="P68B1DB1-Normal12"/>
              <w:spacing w:after="0" w:line="240" w:lineRule="auto"/>
              <w:jc w:val="center"/>
              <w:rPr>
                <w:rFonts w:eastAsia="Times New Roman" w:cstheme="minorHAnsi"/>
                <w:noProof/>
              </w:rPr>
            </w:pPr>
            <w:r>
              <w:rPr>
                <w:noProof/>
              </w:rPr>
              <w:t>Αριθμός</w:t>
            </w:r>
          </w:p>
        </w:tc>
        <w:tc>
          <w:tcPr>
            <w:tcW w:w="992" w:type="dxa"/>
            <w:shd w:val="clear" w:color="auto" w:fill="C4EFCE"/>
            <w:noWrap/>
            <w:vAlign w:val="center"/>
          </w:tcPr>
          <w:p w14:paraId="48371656" w14:textId="6BCE283C" w:rsidR="00154AD2" w:rsidRDefault="007F6BF3">
            <w:pPr>
              <w:pStyle w:val="P68B1DB1-Normal12"/>
              <w:spacing w:after="0" w:line="240" w:lineRule="auto"/>
              <w:jc w:val="center"/>
              <w:rPr>
                <w:rFonts w:eastAsia="Times New Roman" w:cstheme="minorHAnsi"/>
                <w:noProof/>
              </w:rPr>
            </w:pPr>
            <w:r>
              <w:rPr>
                <w:noProof/>
              </w:rPr>
              <w:t>145</w:t>
            </w:r>
          </w:p>
        </w:tc>
        <w:tc>
          <w:tcPr>
            <w:tcW w:w="992" w:type="dxa"/>
            <w:shd w:val="clear" w:color="auto" w:fill="C4EFCE"/>
            <w:noWrap/>
            <w:vAlign w:val="center"/>
          </w:tcPr>
          <w:p w14:paraId="0460B517" w14:textId="5EEA6EB2" w:rsidR="00154AD2" w:rsidRDefault="007F6BF3">
            <w:pPr>
              <w:pStyle w:val="P68B1DB1-Normal12"/>
              <w:spacing w:after="0" w:line="240" w:lineRule="auto"/>
              <w:jc w:val="center"/>
              <w:rPr>
                <w:rFonts w:eastAsia="Times New Roman" w:cstheme="minorHAnsi"/>
                <w:noProof/>
              </w:rPr>
            </w:pPr>
            <w:r>
              <w:rPr>
                <w:noProof/>
              </w:rPr>
              <w:t>445</w:t>
            </w:r>
          </w:p>
        </w:tc>
        <w:tc>
          <w:tcPr>
            <w:tcW w:w="567" w:type="dxa"/>
            <w:shd w:val="clear" w:color="auto" w:fill="C4EFCE"/>
            <w:noWrap/>
            <w:vAlign w:val="center"/>
          </w:tcPr>
          <w:p w14:paraId="0D0FF0A6" w14:textId="62A587E4" w:rsidR="00154AD2" w:rsidRDefault="007F6BF3">
            <w:pPr>
              <w:pStyle w:val="P68B1DB1-Normal12"/>
              <w:spacing w:after="0" w:line="240" w:lineRule="auto"/>
              <w:jc w:val="center"/>
              <w:rPr>
                <w:rFonts w:eastAsia="Times New Roman" w:cstheme="minorHAnsi"/>
                <w:noProof/>
              </w:rPr>
            </w:pPr>
            <w:r>
              <w:rPr>
                <w:noProof/>
              </w:rPr>
              <w:t>ΤΡΊΜΗΝΟ 2</w:t>
            </w:r>
          </w:p>
        </w:tc>
        <w:tc>
          <w:tcPr>
            <w:tcW w:w="708" w:type="dxa"/>
            <w:shd w:val="clear" w:color="auto" w:fill="C4EFCE"/>
            <w:noWrap/>
            <w:vAlign w:val="center"/>
          </w:tcPr>
          <w:p w14:paraId="378FDA1C" w14:textId="035B1EE2" w:rsidR="00154AD2" w:rsidRDefault="007F6BF3">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24AF3ACA" w14:textId="54F8D633" w:rsidR="00154AD2" w:rsidRDefault="007F6BF3">
            <w:pPr>
              <w:pStyle w:val="P68B1DB1-Normal12"/>
              <w:spacing w:after="0" w:line="240" w:lineRule="auto"/>
              <w:jc w:val="both"/>
              <w:rPr>
                <w:rFonts w:eastAsia="Times New Roman" w:cstheme="minorHAnsi"/>
                <w:noProof/>
              </w:rPr>
            </w:pPr>
            <w:r>
              <w:rPr>
                <w:noProof/>
              </w:rPr>
              <w:t>Αγοράζονται 300 νέα λεωφορεία μηδενικών εκπομπών (ηλεκτρικά ή υδρογόνο) και εγκαθίστανται τα σχετικά σημεία επαναφόρτισης ή ανεφοδιασμού.</w:t>
            </w:r>
          </w:p>
        </w:tc>
      </w:tr>
      <w:tr w:rsidR="00154AD2" w14:paraId="384ADCA7" w14:textId="77777777">
        <w:trPr>
          <w:trHeight w:val="430"/>
        </w:trPr>
        <w:tc>
          <w:tcPr>
            <w:tcW w:w="1135" w:type="dxa"/>
            <w:shd w:val="clear" w:color="auto" w:fill="C4EFCE"/>
            <w:vAlign w:val="center"/>
          </w:tcPr>
          <w:p w14:paraId="2962B7B9" w14:textId="4E1C3EE5" w:rsidR="00154AD2" w:rsidRDefault="007F6BF3">
            <w:pPr>
              <w:pStyle w:val="P68B1DB1-Normal11"/>
              <w:spacing w:after="0" w:line="240" w:lineRule="auto"/>
              <w:jc w:val="center"/>
              <w:rPr>
                <w:rFonts w:eastAsia="Times New Roman" w:cstheme="minorHAnsi"/>
                <w:noProof/>
              </w:rPr>
            </w:pPr>
            <w:r>
              <w:rPr>
                <w:noProof/>
              </w:rPr>
              <w:t>21.37</w:t>
            </w:r>
          </w:p>
        </w:tc>
        <w:tc>
          <w:tcPr>
            <w:tcW w:w="1276" w:type="dxa"/>
            <w:shd w:val="clear" w:color="auto" w:fill="C4EFCE"/>
            <w:noWrap/>
            <w:vAlign w:val="center"/>
          </w:tcPr>
          <w:p w14:paraId="4B2F008F" w14:textId="40A48065" w:rsidR="00154AD2" w:rsidRDefault="007F6BF3">
            <w:pPr>
              <w:pStyle w:val="P68B1DB1-Normal12"/>
              <w:spacing w:after="0" w:line="240" w:lineRule="auto"/>
              <w:jc w:val="center"/>
              <w:rPr>
                <w:rFonts w:eastAsia="Times New Roman"/>
                <w:noProof/>
              </w:rPr>
            </w:pPr>
            <w:r>
              <w:rPr>
                <w:noProof/>
              </w:rPr>
              <w:t>RP-C21-i13-RAM</w:t>
            </w:r>
          </w:p>
        </w:tc>
        <w:tc>
          <w:tcPr>
            <w:tcW w:w="1134" w:type="dxa"/>
            <w:shd w:val="clear" w:color="auto" w:fill="C4EFCE"/>
            <w:noWrap/>
            <w:vAlign w:val="center"/>
          </w:tcPr>
          <w:p w14:paraId="65354B4F" w14:textId="517B6DCE" w:rsidR="00154AD2" w:rsidRDefault="007F6BF3">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4896FBFA" w14:textId="04C5CE6F" w:rsidR="00154AD2" w:rsidRDefault="007F6BF3">
            <w:pPr>
              <w:pStyle w:val="P68B1DB1-Normal12"/>
              <w:spacing w:after="0" w:line="240" w:lineRule="auto"/>
              <w:jc w:val="center"/>
              <w:rPr>
                <w:rFonts w:eastAsia="Times New Roman"/>
                <w:noProof/>
              </w:rPr>
            </w:pPr>
            <w:r>
              <w:rPr>
                <w:noProof/>
              </w:rPr>
              <w:t>Αγορά νέων (ηλεκτρικών ή υδρογονοκίνητων) λεωφορείων μηδενικών εκπομπών που χρησιμοποιούνται για δημόσιες συγκοινωνίες και τουριστικές υπηρεσίες και αγορά ηλεκτρικών αυτοκινήτων που αντικαθιστούν οχήματα που έχουν αποσυρθεί</w:t>
            </w:r>
          </w:p>
        </w:tc>
        <w:tc>
          <w:tcPr>
            <w:tcW w:w="1275" w:type="dxa"/>
            <w:shd w:val="clear" w:color="auto" w:fill="C4EFCE"/>
            <w:noWrap/>
            <w:vAlign w:val="center"/>
          </w:tcPr>
          <w:p w14:paraId="634D7D56" w14:textId="77777777" w:rsidR="00154AD2" w:rsidRDefault="00154AD2">
            <w:pPr>
              <w:spacing w:after="0" w:line="240" w:lineRule="auto"/>
              <w:jc w:val="center"/>
              <w:rPr>
                <w:rFonts w:eastAsia="Times New Roman" w:cstheme="minorHAnsi"/>
                <w:noProof/>
                <w:sz w:val="16"/>
              </w:rPr>
            </w:pPr>
          </w:p>
        </w:tc>
        <w:tc>
          <w:tcPr>
            <w:tcW w:w="993" w:type="dxa"/>
            <w:shd w:val="clear" w:color="auto" w:fill="C4EFCE"/>
            <w:noWrap/>
            <w:vAlign w:val="center"/>
          </w:tcPr>
          <w:p w14:paraId="2ECE2C14" w14:textId="6594762E" w:rsidR="00154AD2" w:rsidRDefault="007F6BF3">
            <w:pPr>
              <w:pStyle w:val="P68B1DB1-Normal12"/>
              <w:spacing w:after="0" w:line="240" w:lineRule="auto"/>
              <w:jc w:val="center"/>
              <w:rPr>
                <w:rFonts w:eastAsia="Times New Roman"/>
                <w:noProof/>
              </w:rPr>
            </w:pPr>
            <w:r>
              <w:rPr>
                <w:noProof/>
              </w:rPr>
              <w:t>Αριθμός</w:t>
            </w:r>
          </w:p>
        </w:tc>
        <w:tc>
          <w:tcPr>
            <w:tcW w:w="992" w:type="dxa"/>
            <w:shd w:val="clear" w:color="auto" w:fill="C4EFCE"/>
            <w:noWrap/>
            <w:vAlign w:val="center"/>
          </w:tcPr>
          <w:p w14:paraId="367DBAF5" w14:textId="0B86A6AB" w:rsidR="00154AD2" w:rsidRDefault="007F6BF3">
            <w:pPr>
              <w:pStyle w:val="P68B1DB1-Normal12"/>
              <w:spacing w:after="0" w:line="240" w:lineRule="auto"/>
              <w:jc w:val="center"/>
              <w:rPr>
                <w:rFonts w:eastAsia="Times New Roman" w:cstheme="minorHAnsi"/>
                <w:noProof/>
              </w:rPr>
            </w:pPr>
            <w:r>
              <w:rPr>
                <w:noProof/>
              </w:rPr>
              <w:t xml:space="preserve"> </w:t>
            </w:r>
          </w:p>
        </w:tc>
        <w:tc>
          <w:tcPr>
            <w:tcW w:w="992" w:type="dxa"/>
            <w:shd w:val="clear" w:color="auto" w:fill="C4EFCE"/>
            <w:noWrap/>
            <w:vAlign w:val="center"/>
          </w:tcPr>
          <w:p w14:paraId="107A0B9E" w14:textId="7CEAB357" w:rsidR="00154AD2" w:rsidRDefault="007F6BF3">
            <w:pPr>
              <w:pStyle w:val="P68B1DB1-Normal12"/>
              <w:spacing w:after="0" w:line="240" w:lineRule="auto"/>
              <w:jc w:val="center"/>
              <w:rPr>
                <w:rFonts w:eastAsia="Times New Roman"/>
                <w:noProof/>
              </w:rPr>
            </w:pPr>
            <w:r>
              <w:rPr>
                <w:noProof/>
              </w:rPr>
              <w:t>576</w:t>
            </w:r>
          </w:p>
        </w:tc>
        <w:tc>
          <w:tcPr>
            <w:tcW w:w="567" w:type="dxa"/>
            <w:shd w:val="clear" w:color="auto" w:fill="C4EFCE"/>
            <w:noWrap/>
            <w:vAlign w:val="center"/>
          </w:tcPr>
          <w:p w14:paraId="351C723C" w14:textId="796E67D1" w:rsidR="00154AD2" w:rsidRDefault="007F6BF3">
            <w:pPr>
              <w:pStyle w:val="P68B1DB1-Normal12"/>
              <w:spacing w:after="0" w:line="240" w:lineRule="auto"/>
              <w:jc w:val="center"/>
              <w:rPr>
                <w:rFonts w:eastAsia="Times New Roman" w:cstheme="minorHAnsi"/>
                <w:noProof/>
              </w:rPr>
            </w:pPr>
            <w:r>
              <w:rPr>
                <w:noProof/>
              </w:rPr>
              <w:t>ΤΡΊΜΗΝΟ 1</w:t>
            </w:r>
          </w:p>
        </w:tc>
        <w:tc>
          <w:tcPr>
            <w:tcW w:w="708" w:type="dxa"/>
            <w:shd w:val="clear" w:color="auto" w:fill="C4EFCE"/>
            <w:noWrap/>
            <w:vAlign w:val="center"/>
          </w:tcPr>
          <w:p w14:paraId="1F57265D" w14:textId="1B91BDBB" w:rsidR="00154AD2" w:rsidRDefault="007F6BF3">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61EE77ED" w14:textId="213DF929" w:rsidR="00154AD2" w:rsidRDefault="007F6BF3">
            <w:pPr>
              <w:pStyle w:val="P68B1DB1-Normal12"/>
              <w:spacing w:after="0" w:line="240" w:lineRule="auto"/>
              <w:jc w:val="both"/>
              <w:rPr>
                <w:rFonts w:eastAsia="Times New Roman"/>
                <w:noProof/>
              </w:rPr>
            </w:pPr>
            <w:r>
              <w:rPr>
                <w:noProof/>
              </w:rPr>
              <w:t xml:space="preserve">Αγοράζονται 26 νέα λεωφορεία μηδενικών εκπομπών (ηλεκτρικά ή υδρογόνο) και τα σχετικά σημεία επαναφόρτισης εγκαθίστανται στην αυτόνομη περιφέρεια της Μαδέρας. Τουλάχιστον 10 από τα λεωφορεία που αγοράζονται χρησιμοποιούνται για δημόσιες επιβατικές μεταφορές. </w:t>
            </w:r>
          </w:p>
          <w:p w14:paraId="2D49F8EB" w14:textId="3C0DE98F" w:rsidR="00154AD2" w:rsidRDefault="00154AD2">
            <w:pPr>
              <w:spacing w:after="0" w:line="240" w:lineRule="auto"/>
              <w:jc w:val="both"/>
              <w:rPr>
                <w:noProof/>
                <w:sz w:val="16"/>
              </w:rPr>
            </w:pPr>
          </w:p>
          <w:p w14:paraId="6D678AF5" w14:textId="0E55A84D" w:rsidR="00154AD2" w:rsidRDefault="007F6BF3">
            <w:pPr>
              <w:pStyle w:val="P68B1DB1-Normal12"/>
              <w:spacing w:after="0" w:line="240" w:lineRule="auto"/>
              <w:jc w:val="both"/>
              <w:rPr>
                <w:rFonts w:eastAsia="Times New Roman"/>
                <w:noProof/>
              </w:rPr>
            </w:pPr>
            <w:r>
              <w:rPr>
                <w:noProof/>
              </w:rPr>
              <w:t>550 οχήματα διαλύονται και αντικαθίστανται από ηλεκτρικά οχήματα στην αυτόνομη περιφέρεια της Μαδέρας.</w:t>
            </w:r>
          </w:p>
        </w:tc>
      </w:tr>
      <w:tr w:rsidR="00154AD2" w14:paraId="7128FD55" w14:textId="77777777">
        <w:trPr>
          <w:trHeight w:val="430"/>
        </w:trPr>
        <w:tc>
          <w:tcPr>
            <w:tcW w:w="1135" w:type="dxa"/>
            <w:shd w:val="clear" w:color="auto" w:fill="C4EFCE"/>
            <w:vAlign w:val="center"/>
          </w:tcPr>
          <w:p w14:paraId="3D47AF57" w14:textId="7724070C" w:rsidR="00154AD2" w:rsidRDefault="007F6BF3">
            <w:pPr>
              <w:pStyle w:val="P68B1DB1-Normal11"/>
              <w:spacing w:after="0" w:line="240" w:lineRule="auto"/>
              <w:jc w:val="center"/>
              <w:rPr>
                <w:rFonts w:eastAsia="Times New Roman" w:cstheme="minorHAnsi"/>
                <w:noProof/>
              </w:rPr>
            </w:pPr>
            <w:r>
              <w:rPr>
                <w:noProof/>
              </w:rPr>
              <w:t>21.38</w:t>
            </w:r>
          </w:p>
        </w:tc>
        <w:tc>
          <w:tcPr>
            <w:tcW w:w="1276" w:type="dxa"/>
            <w:shd w:val="clear" w:color="auto" w:fill="C4EFCE"/>
            <w:noWrap/>
            <w:vAlign w:val="center"/>
          </w:tcPr>
          <w:p w14:paraId="021E606B" w14:textId="01DE8394" w:rsidR="00154AD2" w:rsidRDefault="007F6BF3">
            <w:pPr>
              <w:pStyle w:val="P68B1DB1-Normal12"/>
              <w:spacing w:after="0" w:line="240" w:lineRule="auto"/>
              <w:jc w:val="center"/>
              <w:rPr>
                <w:rFonts w:eastAsia="Times New Roman"/>
                <w:noProof/>
              </w:rPr>
            </w:pPr>
            <w:r>
              <w:rPr>
                <w:noProof/>
              </w:rPr>
              <w:t>RP-C21-i14</w:t>
            </w:r>
          </w:p>
        </w:tc>
        <w:tc>
          <w:tcPr>
            <w:tcW w:w="1134" w:type="dxa"/>
            <w:shd w:val="clear" w:color="auto" w:fill="C4EFCE"/>
            <w:noWrap/>
            <w:vAlign w:val="center"/>
          </w:tcPr>
          <w:p w14:paraId="6265AB1B" w14:textId="2A284064" w:rsidR="00154AD2" w:rsidRDefault="007F6BF3">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71621A87" w14:textId="60F63A87" w:rsidR="00154AD2" w:rsidRDefault="007F6BF3">
            <w:pPr>
              <w:pStyle w:val="P68B1DB1-Normal12"/>
              <w:spacing w:after="0" w:line="240" w:lineRule="auto"/>
              <w:jc w:val="center"/>
              <w:rPr>
                <w:rFonts w:eastAsia="Times New Roman" w:cstheme="minorHAnsi"/>
                <w:noProof/>
              </w:rPr>
            </w:pPr>
            <w:r>
              <w:rPr>
                <w:noProof/>
              </w:rPr>
              <w:t>Υπογραφή της σύμβασης για την κατασκευή δύο γραμμών ταχείας διέλευσης λεωφορείων στην Braga</w:t>
            </w:r>
          </w:p>
        </w:tc>
        <w:tc>
          <w:tcPr>
            <w:tcW w:w="1275" w:type="dxa"/>
            <w:shd w:val="clear" w:color="auto" w:fill="C4EFCE"/>
            <w:noWrap/>
            <w:vAlign w:val="center"/>
          </w:tcPr>
          <w:p w14:paraId="5BA09737" w14:textId="77777777" w:rsidR="00154AD2" w:rsidRDefault="00154AD2">
            <w:pPr>
              <w:spacing w:after="0" w:line="240" w:lineRule="auto"/>
              <w:jc w:val="center"/>
              <w:rPr>
                <w:rFonts w:eastAsia="Times New Roman" w:cstheme="minorHAnsi"/>
                <w:noProof/>
                <w:sz w:val="16"/>
              </w:rPr>
            </w:pPr>
          </w:p>
        </w:tc>
        <w:tc>
          <w:tcPr>
            <w:tcW w:w="993" w:type="dxa"/>
            <w:shd w:val="clear" w:color="auto" w:fill="C4EFCE"/>
            <w:noWrap/>
            <w:vAlign w:val="center"/>
          </w:tcPr>
          <w:p w14:paraId="3AD601A8"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3F0A5A5B"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0B39241D" w14:textId="77777777" w:rsidR="00154AD2" w:rsidRDefault="00154AD2">
            <w:pPr>
              <w:spacing w:after="0" w:line="240" w:lineRule="auto"/>
              <w:jc w:val="center"/>
              <w:rPr>
                <w:rFonts w:eastAsia="Times New Roman" w:cstheme="minorHAnsi"/>
                <w:noProof/>
                <w:sz w:val="16"/>
              </w:rPr>
            </w:pPr>
          </w:p>
        </w:tc>
        <w:tc>
          <w:tcPr>
            <w:tcW w:w="567" w:type="dxa"/>
            <w:shd w:val="clear" w:color="auto" w:fill="C4EFCE"/>
            <w:noWrap/>
            <w:vAlign w:val="center"/>
          </w:tcPr>
          <w:p w14:paraId="2A2B11DA" w14:textId="2701FEF8" w:rsidR="00154AD2" w:rsidRDefault="007F6BF3">
            <w:pPr>
              <w:pStyle w:val="P68B1DB1-Normal12"/>
              <w:spacing w:after="0" w:line="240" w:lineRule="auto"/>
              <w:jc w:val="center"/>
              <w:rPr>
                <w:rFonts w:eastAsia="Times New Roman" w:cstheme="minorHAnsi"/>
                <w:noProof/>
              </w:rPr>
            </w:pPr>
            <w:r>
              <w:rPr>
                <w:noProof/>
              </w:rPr>
              <w:t>ΤΡΊΜΗΝΟ 3</w:t>
            </w:r>
          </w:p>
        </w:tc>
        <w:tc>
          <w:tcPr>
            <w:tcW w:w="708" w:type="dxa"/>
            <w:shd w:val="clear" w:color="auto" w:fill="C4EFCE"/>
            <w:noWrap/>
            <w:vAlign w:val="center"/>
          </w:tcPr>
          <w:p w14:paraId="51589D34" w14:textId="129F25AC" w:rsidR="00154AD2" w:rsidRDefault="007F6BF3">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4F93B8E5" w14:textId="02E466A0" w:rsidR="00154AD2" w:rsidRDefault="007F6BF3">
            <w:pPr>
              <w:pStyle w:val="P68B1DB1-Normal12"/>
              <w:spacing w:after="0" w:line="240" w:lineRule="auto"/>
              <w:jc w:val="both"/>
              <w:rPr>
                <w:rFonts w:eastAsia="Times New Roman" w:cstheme="minorHAnsi"/>
                <w:noProof/>
              </w:rPr>
            </w:pPr>
            <w:r>
              <w:rPr>
                <w:noProof/>
              </w:rPr>
              <w:t>Υπογραφή της σύμβασης υλοποίησης του έργου μεταξύ των δημόσιων αρχών και του αναδόχου που επελέγη μέσω ανοικτής διαδικασίας υποβολής προσφορών. Η σύμβαση καθορίζει την κατασκευή δύο γραμμών ταχείας διέλευσης λεωφορείων που συνδέουν τον σιδηροδρομικό σταθμό με την Avenida Robert Smith και το νοσοκομείο Braga.</w:t>
            </w:r>
          </w:p>
        </w:tc>
      </w:tr>
      <w:tr w:rsidR="00154AD2" w14:paraId="1EF25195" w14:textId="77777777">
        <w:trPr>
          <w:trHeight w:val="430"/>
        </w:trPr>
        <w:tc>
          <w:tcPr>
            <w:tcW w:w="1135" w:type="dxa"/>
            <w:shd w:val="clear" w:color="auto" w:fill="C4EFCE"/>
            <w:vAlign w:val="center"/>
          </w:tcPr>
          <w:p w14:paraId="360DF924" w14:textId="1F7490F1" w:rsidR="00154AD2" w:rsidRDefault="007F6BF3">
            <w:pPr>
              <w:pStyle w:val="P68B1DB1-Normal11"/>
              <w:spacing w:after="0" w:line="240" w:lineRule="auto"/>
              <w:jc w:val="center"/>
              <w:rPr>
                <w:rFonts w:eastAsia="Times New Roman" w:cstheme="minorHAnsi"/>
                <w:noProof/>
              </w:rPr>
            </w:pPr>
            <w:r>
              <w:rPr>
                <w:noProof/>
              </w:rPr>
              <w:t>21.39</w:t>
            </w:r>
          </w:p>
        </w:tc>
        <w:tc>
          <w:tcPr>
            <w:tcW w:w="1276" w:type="dxa"/>
            <w:shd w:val="clear" w:color="auto" w:fill="C4EFCE"/>
            <w:noWrap/>
            <w:vAlign w:val="center"/>
          </w:tcPr>
          <w:p w14:paraId="511BB843" w14:textId="506A72EC" w:rsidR="00154AD2" w:rsidRDefault="007F6BF3">
            <w:pPr>
              <w:pStyle w:val="P68B1DB1-Normal12"/>
              <w:spacing w:after="0" w:line="240" w:lineRule="auto"/>
              <w:jc w:val="center"/>
              <w:rPr>
                <w:rFonts w:eastAsia="Times New Roman"/>
                <w:noProof/>
              </w:rPr>
            </w:pPr>
            <w:r>
              <w:rPr>
                <w:noProof/>
              </w:rPr>
              <w:t>RP-C21-i14</w:t>
            </w:r>
          </w:p>
        </w:tc>
        <w:tc>
          <w:tcPr>
            <w:tcW w:w="1134" w:type="dxa"/>
            <w:shd w:val="clear" w:color="auto" w:fill="C4EFCE"/>
            <w:noWrap/>
            <w:vAlign w:val="center"/>
          </w:tcPr>
          <w:p w14:paraId="2F78C88B" w14:textId="006A851A" w:rsidR="00154AD2" w:rsidRDefault="007F6BF3">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47B24D0B" w14:textId="65A04047" w:rsidR="00154AD2" w:rsidRDefault="007F6BF3">
            <w:pPr>
              <w:pStyle w:val="P68B1DB1-Normal12"/>
              <w:spacing w:after="0" w:line="240" w:lineRule="auto"/>
              <w:jc w:val="center"/>
              <w:rPr>
                <w:rFonts w:eastAsia="Times New Roman" w:cstheme="minorHAnsi"/>
                <w:noProof/>
              </w:rPr>
            </w:pPr>
            <w:r>
              <w:rPr>
                <w:noProof/>
              </w:rPr>
              <w:t>Κατασκευή δύο γραμμών ταχείας διέλευσης λεωφορείων στην Braga</w:t>
            </w:r>
          </w:p>
        </w:tc>
        <w:tc>
          <w:tcPr>
            <w:tcW w:w="1275" w:type="dxa"/>
            <w:shd w:val="clear" w:color="auto" w:fill="C4EFCE"/>
            <w:noWrap/>
            <w:vAlign w:val="center"/>
          </w:tcPr>
          <w:p w14:paraId="1E4282F4" w14:textId="77777777" w:rsidR="00154AD2" w:rsidRDefault="00154AD2">
            <w:pPr>
              <w:spacing w:after="0" w:line="240" w:lineRule="auto"/>
              <w:jc w:val="center"/>
              <w:rPr>
                <w:rFonts w:eastAsia="Times New Roman" w:cstheme="minorHAnsi"/>
                <w:noProof/>
                <w:sz w:val="16"/>
              </w:rPr>
            </w:pPr>
          </w:p>
        </w:tc>
        <w:tc>
          <w:tcPr>
            <w:tcW w:w="993" w:type="dxa"/>
            <w:shd w:val="clear" w:color="auto" w:fill="C4EFCE"/>
            <w:noWrap/>
            <w:vAlign w:val="center"/>
          </w:tcPr>
          <w:p w14:paraId="78A689F4" w14:textId="16AF7609" w:rsidR="00154AD2" w:rsidRDefault="007F6BF3">
            <w:pPr>
              <w:pStyle w:val="P68B1DB1-Normal12"/>
              <w:spacing w:after="0" w:line="240" w:lineRule="auto"/>
              <w:jc w:val="center"/>
              <w:rPr>
                <w:rFonts w:eastAsia="Times New Roman" w:cstheme="minorHAnsi"/>
                <w:noProof/>
              </w:rPr>
            </w:pPr>
            <w:r>
              <w:rPr>
                <w:noProof/>
              </w:rPr>
              <w:t>Χλμ</w:t>
            </w:r>
          </w:p>
        </w:tc>
        <w:tc>
          <w:tcPr>
            <w:tcW w:w="992" w:type="dxa"/>
            <w:shd w:val="clear" w:color="auto" w:fill="C4EFCE"/>
            <w:noWrap/>
            <w:vAlign w:val="center"/>
          </w:tcPr>
          <w:p w14:paraId="28074223"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39811327" w14:textId="644FF319" w:rsidR="00154AD2" w:rsidRDefault="007F6BF3">
            <w:pPr>
              <w:pStyle w:val="P68B1DB1-Normal12"/>
              <w:spacing w:after="0" w:line="240" w:lineRule="auto"/>
              <w:jc w:val="center"/>
              <w:rPr>
                <w:rFonts w:eastAsia="Times New Roman" w:cstheme="minorHAnsi"/>
                <w:noProof/>
              </w:rPr>
            </w:pPr>
            <w:r>
              <w:rPr>
                <w:noProof/>
              </w:rPr>
              <w:t>12.2</w:t>
            </w:r>
          </w:p>
        </w:tc>
        <w:tc>
          <w:tcPr>
            <w:tcW w:w="567" w:type="dxa"/>
            <w:shd w:val="clear" w:color="auto" w:fill="C4EFCE"/>
            <w:noWrap/>
            <w:vAlign w:val="center"/>
          </w:tcPr>
          <w:p w14:paraId="27C8A23A" w14:textId="6A2DF4A3" w:rsidR="00154AD2" w:rsidRDefault="007F6BF3">
            <w:pPr>
              <w:pStyle w:val="P68B1DB1-Normal12"/>
              <w:spacing w:after="0" w:line="240" w:lineRule="auto"/>
              <w:jc w:val="center"/>
              <w:rPr>
                <w:rFonts w:eastAsia="Times New Roman" w:cstheme="minorHAnsi"/>
                <w:noProof/>
              </w:rPr>
            </w:pPr>
            <w:r>
              <w:rPr>
                <w:noProof/>
              </w:rPr>
              <w:t>ΤΡΊΜΗΝΟ 2</w:t>
            </w:r>
          </w:p>
        </w:tc>
        <w:tc>
          <w:tcPr>
            <w:tcW w:w="708" w:type="dxa"/>
            <w:shd w:val="clear" w:color="auto" w:fill="C4EFCE"/>
            <w:noWrap/>
            <w:vAlign w:val="center"/>
          </w:tcPr>
          <w:p w14:paraId="5704437E" w14:textId="000EFE9D" w:rsidR="00154AD2" w:rsidRDefault="007F6BF3">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599E09FF" w14:textId="633D041E" w:rsidR="00154AD2" w:rsidRDefault="007F6BF3">
            <w:pPr>
              <w:pStyle w:val="P68B1DB1-Normal12"/>
              <w:spacing w:after="0" w:line="240" w:lineRule="auto"/>
              <w:jc w:val="both"/>
              <w:rPr>
                <w:rFonts w:eastAsia="Times New Roman"/>
                <w:noProof/>
              </w:rPr>
            </w:pPr>
            <w:r>
              <w:rPr>
                <w:noProof/>
              </w:rPr>
              <w:t>Οι κατασκευαστικές εργασίες μήκους 12.2 χιλιομέτρων θα ολοκληρωθούν για τις γραμμές ταχείας διέλευσης λεωφορείων στην Braga (κίτρινη και κόκκινη γραμμή), οι οποίες συνδέουν τον σιδηροδρομικό σταθμό με το Avenida Robert Smith και το νοσοκομείο Braga. Το σύστημα λειτουργεί κυρίως σε ειδικές λωρίδες και μόνο με λεωφορεία μηδενικών εκπομπών. Η επένδυση περιλαμβάνει επίσης την αγορά δέκα λεωφορείων μηδενικών εκπομπών, συμπεριλαμβανομένων των αναγκαίων σταθμών φόρτισης για τη λειτουργία των γραμμών. Οι γραμμές είναι έτοιμες για την άμεση λειτουργία των προγραμματισμένων υπηρεσιών μεταφοράς.</w:t>
            </w:r>
          </w:p>
        </w:tc>
      </w:tr>
      <w:tr w:rsidR="00154AD2" w14:paraId="39E29B98" w14:textId="77777777">
        <w:trPr>
          <w:trHeight w:val="430"/>
        </w:trPr>
        <w:tc>
          <w:tcPr>
            <w:tcW w:w="1135" w:type="dxa"/>
            <w:shd w:val="clear" w:color="auto" w:fill="C4EFCE"/>
            <w:vAlign w:val="center"/>
          </w:tcPr>
          <w:p w14:paraId="1E15D547" w14:textId="16041CD9" w:rsidR="00154AD2" w:rsidRDefault="007F6BF3">
            <w:pPr>
              <w:pStyle w:val="P68B1DB1-Normal11"/>
              <w:spacing w:after="0" w:line="240" w:lineRule="auto"/>
              <w:jc w:val="center"/>
              <w:rPr>
                <w:rFonts w:eastAsia="Times New Roman" w:cstheme="minorHAnsi"/>
                <w:noProof/>
              </w:rPr>
            </w:pPr>
            <w:r>
              <w:rPr>
                <w:noProof/>
              </w:rPr>
              <w:t>21.40</w:t>
            </w:r>
          </w:p>
        </w:tc>
        <w:tc>
          <w:tcPr>
            <w:tcW w:w="1276" w:type="dxa"/>
            <w:shd w:val="clear" w:color="auto" w:fill="C4EFCE"/>
            <w:noWrap/>
            <w:vAlign w:val="center"/>
          </w:tcPr>
          <w:p w14:paraId="46A3C78E" w14:textId="1EC79D62" w:rsidR="00154AD2" w:rsidRDefault="007F6BF3">
            <w:pPr>
              <w:pStyle w:val="P68B1DB1-Normal12"/>
              <w:spacing w:after="0" w:line="240" w:lineRule="auto"/>
              <w:jc w:val="center"/>
              <w:rPr>
                <w:rFonts w:eastAsia="Times New Roman"/>
                <w:noProof/>
              </w:rPr>
            </w:pPr>
            <w:r>
              <w:rPr>
                <w:noProof/>
              </w:rPr>
              <w:t>RP-C21-i15-RAA</w:t>
            </w:r>
          </w:p>
        </w:tc>
        <w:tc>
          <w:tcPr>
            <w:tcW w:w="1134" w:type="dxa"/>
            <w:shd w:val="clear" w:color="auto" w:fill="C4EFCE"/>
            <w:noWrap/>
            <w:vAlign w:val="center"/>
          </w:tcPr>
          <w:p w14:paraId="142B665C" w14:textId="29FC4974" w:rsidR="00154AD2" w:rsidRDefault="007F6BF3">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60028DBE" w14:textId="3E426063" w:rsidR="00154AD2" w:rsidRDefault="007F6BF3">
            <w:pPr>
              <w:pStyle w:val="P68B1DB1-Normal12"/>
              <w:spacing w:after="0" w:line="240" w:lineRule="auto"/>
              <w:jc w:val="center"/>
              <w:rPr>
                <w:rFonts w:eastAsia="Times New Roman" w:cstheme="minorHAnsi"/>
                <w:noProof/>
              </w:rPr>
            </w:pPr>
            <w:r>
              <w:rPr>
                <w:noProof/>
              </w:rPr>
              <w:t>Υπογραφή της σύμβασης αγοράς δύο ηλεκτρικών πορθμείων για τη μεταφορά επιβατών και οχημάτων μεταξύ των νήσων Pico, Faial και São Jorge</w:t>
            </w:r>
          </w:p>
        </w:tc>
        <w:tc>
          <w:tcPr>
            <w:tcW w:w="1275" w:type="dxa"/>
            <w:shd w:val="clear" w:color="auto" w:fill="C4EFCE"/>
            <w:noWrap/>
          </w:tcPr>
          <w:p w14:paraId="5D04A650" w14:textId="77777777" w:rsidR="00154AD2" w:rsidRDefault="00154AD2">
            <w:pPr>
              <w:spacing w:after="0" w:line="240" w:lineRule="auto"/>
              <w:jc w:val="center"/>
              <w:rPr>
                <w:rFonts w:eastAsia="Times New Roman" w:cstheme="minorHAnsi"/>
                <w:noProof/>
                <w:sz w:val="16"/>
              </w:rPr>
            </w:pPr>
          </w:p>
        </w:tc>
        <w:tc>
          <w:tcPr>
            <w:tcW w:w="993" w:type="dxa"/>
            <w:shd w:val="clear" w:color="auto" w:fill="C4EFCE"/>
            <w:noWrap/>
            <w:vAlign w:val="center"/>
          </w:tcPr>
          <w:p w14:paraId="166D214F"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73A389CB"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63EA367E" w14:textId="77777777" w:rsidR="00154AD2" w:rsidRDefault="00154AD2">
            <w:pPr>
              <w:spacing w:after="0" w:line="240" w:lineRule="auto"/>
              <w:jc w:val="center"/>
              <w:rPr>
                <w:rFonts w:eastAsia="Times New Roman" w:cstheme="minorHAnsi"/>
                <w:noProof/>
                <w:sz w:val="16"/>
              </w:rPr>
            </w:pPr>
          </w:p>
        </w:tc>
        <w:tc>
          <w:tcPr>
            <w:tcW w:w="567" w:type="dxa"/>
            <w:shd w:val="clear" w:color="auto" w:fill="C4EFCE"/>
            <w:noWrap/>
            <w:vAlign w:val="center"/>
          </w:tcPr>
          <w:p w14:paraId="2B396275" w14:textId="1FAB48B9" w:rsidR="00154AD2" w:rsidRDefault="007F6BF3">
            <w:pPr>
              <w:pStyle w:val="P68B1DB1-Normal12"/>
              <w:spacing w:after="0" w:line="240" w:lineRule="auto"/>
              <w:jc w:val="center"/>
              <w:rPr>
                <w:rFonts w:eastAsia="Times New Roman" w:cstheme="minorHAnsi"/>
                <w:noProof/>
              </w:rPr>
            </w:pPr>
            <w:r>
              <w:rPr>
                <w:noProof/>
              </w:rPr>
              <w:t>ΤΡΊΜΗΝΟ 1</w:t>
            </w:r>
          </w:p>
        </w:tc>
        <w:tc>
          <w:tcPr>
            <w:tcW w:w="708" w:type="dxa"/>
            <w:shd w:val="clear" w:color="auto" w:fill="C4EFCE"/>
            <w:noWrap/>
            <w:vAlign w:val="center"/>
          </w:tcPr>
          <w:p w14:paraId="5382DE72" w14:textId="0911A6D2" w:rsidR="00154AD2" w:rsidRDefault="007F6BF3">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5E9CA13D" w14:textId="0D1554CF" w:rsidR="00154AD2" w:rsidRDefault="007F6BF3">
            <w:pPr>
              <w:pStyle w:val="P68B1DB1-Normal12"/>
              <w:spacing w:after="0" w:line="240" w:lineRule="auto"/>
              <w:jc w:val="both"/>
              <w:rPr>
                <w:rFonts w:eastAsia="Times New Roman" w:cstheme="minorHAnsi"/>
                <w:noProof/>
              </w:rPr>
            </w:pPr>
            <w:r>
              <w:rPr>
                <w:noProof/>
              </w:rPr>
              <w:t>Υπογραφή της σύμβασης μεταξύ των δημόσιων αρχών και του αναδόχου που επελέγη μέσω ανοικτού διαγωνισμού, για την αγορά δύο ηλεκτρικών πορθμείων για τη μεταφορά επιβατών και οχημάτων μεταξύ των νήσων Pico, Faial και São Jorge.</w:t>
            </w:r>
          </w:p>
        </w:tc>
      </w:tr>
      <w:tr w:rsidR="00154AD2" w14:paraId="532849A0" w14:textId="77777777">
        <w:trPr>
          <w:trHeight w:val="430"/>
        </w:trPr>
        <w:tc>
          <w:tcPr>
            <w:tcW w:w="1135" w:type="dxa"/>
            <w:shd w:val="clear" w:color="auto" w:fill="C4EFCE"/>
            <w:vAlign w:val="center"/>
          </w:tcPr>
          <w:p w14:paraId="55C6CC28" w14:textId="1C4AEDF6" w:rsidR="00154AD2" w:rsidRDefault="007F6BF3">
            <w:pPr>
              <w:pStyle w:val="P68B1DB1-Normal11"/>
              <w:spacing w:after="0" w:line="240" w:lineRule="auto"/>
              <w:jc w:val="center"/>
              <w:rPr>
                <w:rFonts w:eastAsia="Times New Roman" w:cstheme="minorHAnsi"/>
                <w:noProof/>
              </w:rPr>
            </w:pPr>
            <w:r>
              <w:rPr>
                <w:noProof/>
              </w:rPr>
              <w:t>21.41</w:t>
            </w:r>
          </w:p>
        </w:tc>
        <w:tc>
          <w:tcPr>
            <w:tcW w:w="1276" w:type="dxa"/>
            <w:shd w:val="clear" w:color="auto" w:fill="C4EFCE"/>
            <w:noWrap/>
            <w:vAlign w:val="center"/>
          </w:tcPr>
          <w:p w14:paraId="4692FE69" w14:textId="6AED7451" w:rsidR="00154AD2" w:rsidRDefault="007F6BF3">
            <w:pPr>
              <w:pStyle w:val="P68B1DB1-Normal12"/>
              <w:spacing w:after="0" w:line="240" w:lineRule="auto"/>
              <w:jc w:val="center"/>
              <w:rPr>
                <w:rFonts w:eastAsia="Times New Roman"/>
                <w:noProof/>
              </w:rPr>
            </w:pPr>
            <w:r>
              <w:rPr>
                <w:noProof/>
              </w:rPr>
              <w:t>RP-C21-i15-RAA</w:t>
            </w:r>
          </w:p>
        </w:tc>
        <w:tc>
          <w:tcPr>
            <w:tcW w:w="1134" w:type="dxa"/>
            <w:shd w:val="clear" w:color="auto" w:fill="C4EFCE"/>
            <w:noWrap/>
            <w:vAlign w:val="center"/>
          </w:tcPr>
          <w:p w14:paraId="1036E0DB" w14:textId="5894D827" w:rsidR="00154AD2" w:rsidRDefault="007F6BF3">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245CFBD1" w14:textId="6135298E" w:rsidR="00154AD2" w:rsidRDefault="007F6BF3">
            <w:pPr>
              <w:pStyle w:val="P68B1DB1-Normal12"/>
              <w:spacing w:after="0" w:line="240" w:lineRule="auto"/>
              <w:jc w:val="center"/>
              <w:rPr>
                <w:rFonts w:eastAsia="Times New Roman" w:cstheme="minorHAnsi"/>
                <w:noProof/>
              </w:rPr>
            </w:pPr>
            <w:r>
              <w:rPr>
                <w:noProof/>
              </w:rPr>
              <w:t>Θέση σε λειτουργία δύο νέων ηλεκτρικών πορθμείων</w:t>
            </w:r>
          </w:p>
        </w:tc>
        <w:tc>
          <w:tcPr>
            <w:tcW w:w="1275" w:type="dxa"/>
            <w:shd w:val="clear" w:color="auto" w:fill="C4EFCE"/>
            <w:noWrap/>
          </w:tcPr>
          <w:p w14:paraId="1E3534A1" w14:textId="4F88212C" w:rsidR="00154AD2" w:rsidRDefault="007F6BF3">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7A30C4B3" w14:textId="346D871A" w:rsidR="00154AD2" w:rsidRDefault="007F6BF3">
            <w:pPr>
              <w:pStyle w:val="P68B1DB1-Normal12"/>
              <w:spacing w:after="0" w:line="240" w:lineRule="auto"/>
              <w:jc w:val="center"/>
              <w:rPr>
                <w:rFonts w:eastAsia="Times New Roman" w:cstheme="minorHAnsi"/>
                <w:noProof/>
              </w:rPr>
            </w:pPr>
            <w:r>
              <w:rPr>
                <w:noProof/>
              </w:rPr>
              <w:t>Αριθμός</w:t>
            </w:r>
          </w:p>
        </w:tc>
        <w:tc>
          <w:tcPr>
            <w:tcW w:w="992" w:type="dxa"/>
            <w:shd w:val="clear" w:color="auto" w:fill="C4EFCE"/>
            <w:noWrap/>
            <w:vAlign w:val="center"/>
          </w:tcPr>
          <w:p w14:paraId="3BF6FA6B"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0CF1AA39" w14:textId="68E4BC6C" w:rsidR="00154AD2" w:rsidRDefault="007F6BF3">
            <w:pPr>
              <w:pStyle w:val="P68B1DB1-Normal12"/>
              <w:spacing w:after="0" w:line="240" w:lineRule="auto"/>
              <w:jc w:val="center"/>
              <w:rPr>
                <w:rFonts w:eastAsia="Times New Roman" w:cstheme="minorHAnsi"/>
                <w:noProof/>
              </w:rPr>
            </w:pPr>
            <w:r>
              <w:rPr>
                <w:noProof/>
              </w:rPr>
              <w:t>2</w:t>
            </w:r>
          </w:p>
        </w:tc>
        <w:tc>
          <w:tcPr>
            <w:tcW w:w="567" w:type="dxa"/>
            <w:shd w:val="clear" w:color="auto" w:fill="C4EFCE"/>
            <w:noWrap/>
            <w:vAlign w:val="center"/>
          </w:tcPr>
          <w:p w14:paraId="2E1C0DE5" w14:textId="2A1D5C1E" w:rsidR="00154AD2" w:rsidRDefault="007F6BF3">
            <w:pPr>
              <w:pStyle w:val="P68B1DB1-Normal12"/>
              <w:spacing w:after="0" w:line="240" w:lineRule="auto"/>
              <w:jc w:val="center"/>
              <w:rPr>
                <w:rFonts w:eastAsia="Times New Roman" w:cstheme="minorHAnsi"/>
                <w:noProof/>
              </w:rPr>
            </w:pPr>
            <w:r>
              <w:rPr>
                <w:noProof/>
              </w:rPr>
              <w:t>ΤΡΊΜΗΝΟ 4</w:t>
            </w:r>
          </w:p>
        </w:tc>
        <w:tc>
          <w:tcPr>
            <w:tcW w:w="708" w:type="dxa"/>
            <w:shd w:val="clear" w:color="auto" w:fill="C4EFCE"/>
            <w:noWrap/>
            <w:vAlign w:val="center"/>
          </w:tcPr>
          <w:p w14:paraId="054DE515" w14:textId="4363BF6B" w:rsidR="00154AD2" w:rsidRDefault="007F6BF3">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185A16C5" w14:textId="6AA0A3D6" w:rsidR="00154AD2" w:rsidRDefault="007F6BF3">
            <w:pPr>
              <w:pStyle w:val="P68B1DB1-Normal12"/>
              <w:spacing w:after="0" w:line="240" w:lineRule="auto"/>
              <w:jc w:val="both"/>
              <w:rPr>
                <w:rFonts w:eastAsia="Times New Roman" w:cstheme="minorHAnsi"/>
                <w:noProof/>
              </w:rPr>
            </w:pPr>
            <w:r>
              <w:rPr>
                <w:noProof/>
              </w:rPr>
              <w:t>Αγοράζονται δύο νέα ηλεκτρικά οχηματαγωγά, τα οποία θα λειτουργούν για τη μεταφορά επιβατών και οχημάτων μεταξύ των νήσων Pico, Faial και São Jorge. Τα οχηματαγωγά έχουν ελάχιστη χωρητικότητα 200 και 100 επιβατών, αντίστοιχα.</w:t>
            </w:r>
          </w:p>
        </w:tc>
      </w:tr>
      <w:tr w:rsidR="00154AD2" w14:paraId="1DF1176B" w14:textId="77777777">
        <w:trPr>
          <w:trHeight w:val="430"/>
        </w:trPr>
        <w:tc>
          <w:tcPr>
            <w:tcW w:w="1135" w:type="dxa"/>
            <w:shd w:val="clear" w:color="auto" w:fill="C4EFCE"/>
            <w:vAlign w:val="center"/>
          </w:tcPr>
          <w:p w14:paraId="3EF0FD70" w14:textId="48FA3140" w:rsidR="00154AD2" w:rsidRDefault="007F6BF3">
            <w:pPr>
              <w:pStyle w:val="P68B1DB1-Normal11"/>
              <w:spacing w:after="0" w:line="240" w:lineRule="auto"/>
              <w:jc w:val="center"/>
              <w:rPr>
                <w:rFonts w:eastAsia="Times New Roman" w:cstheme="minorHAnsi"/>
                <w:noProof/>
              </w:rPr>
            </w:pPr>
            <w:r>
              <w:rPr>
                <w:noProof/>
              </w:rPr>
              <w:t>21.42</w:t>
            </w:r>
          </w:p>
        </w:tc>
        <w:tc>
          <w:tcPr>
            <w:tcW w:w="1276" w:type="dxa"/>
            <w:shd w:val="clear" w:color="auto" w:fill="C4EFCE"/>
            <w:noWrap/>
            <w:vAlign w:val="center"/>
          </w:tcPr>
          <w:p w14:paraId="3E37980A" w14:textId="32943EB6" w:rsidR="00154AD2" w:rsidRDefault="007F6BF3">
            <w:pPr>
              <w:pStyle w:val="P68B1DB1-Normal12"/>
              <w:spacing w:after="0" w:line="240" w:lineRule="auto"/>
              <w:jc w:val="center"/>
              <w:rPr>
                <w:rFonts w:eastAsia="Times New Roman"/>
                <w:noProof/>
              </w:rPr>
            </w:pPr>
            <w:r>
              <w:rPr>
                <w:noProof/>
              </w:rPr>
              <w:t>RP-C21-i16</w:t>
            </w:r>
          </w:p>
        </w:tc>
        <w:tc>
          <w:tcPr>
            <w:tcW w:w="1134" w:type="dxa"/>
            <w:shd w:val="clear" w:color="auto" w:fill="C4EFCE"/>
            <w:noWrap/>
            <w:vAlign w:val="center"/>
          </w:tcPr>
          <w:p w14:paraId="75D0961D" w14:textId="5C584069" w:rsidR="00154AD2" w:rsidRDefault="007F6BF3">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5E1BD89C" w14:textId="0763BBE2" w:rsidR="00154AD2" w:rsidRDefault="007F6BF3">
            <w:pPr>
              <w:pStyle w:val="P68B1DB1-Normal12"/>
              <w:spacing w:after="0" w:line="240" w:lineRule="auto"/>
              <w:jc w:val="center"/>
              <w:rPr>
                <w:rFonts w:eastAsia="Times New Roman" w:cstheme="minorHAnsi"/>
                <w:noProof/>
              </w:rPr>
            </w:pPr>
            <w:r>
              <w:rPr>
                <w:noProof/>
              </w:rPr>
              <w:t>Υπογραφή της σύμβασης για την υλοποίηση του έργου</w:t>
            </w:r>
          </w:p>
        </w:tc>
        <w:tc>
          <w:tcPr>
            <w:tcW w:w="1275" w:type="dxa"/>
            <w:shd w:val="clear" w:color="auto" w:fill="C4EFCE"/>
            <w:noWrap/>
            <w:vAlign w:val="center"/>
          </w:tcPr>
          <w:p w14:paraId="6D51BF19" w14:textId="1E92AFD0" w:rsidR="00154AD2" w:rsidRDefault="007F6BF3">
            <w:pPr>
              <w:pStyle w:val="P68B1DB1-Normal12"/>
              <w:spacing w:after="0" w:line="240" w:lineRule="auto"/>
              <w:jc w:val="center"/>
              <w:rPr>
                <w:rFonts w:eastAsia="Times New Roman" w:cstheme="minorHAnsi"/>
                <w:noProof/>
              </w:rPr>
            </w:pPr>
            <w:r>
              <w:rPr>
                <w:noProof/>
              </w:rPr>
              <w:t>Υπογραφή σύμβασης</w:t>
            </w:r>
          </w:p>
        </w:tc>
        <w:tc>
          <w:tcPr>
            <w:tcW w:w="993" w:type="dxa"/>
            <w:shd w:val="clear" w:color="auto" w:fill="C4EFCE"/>
            <w:noWrap/>
            <w:vAlign w:val="center"/>
          </w:tcPr>
          <w:p w14:paraId="741D0788"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18B6EA83"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3C4F720A" w14:textId="77777777" w:rsidR="00154AD2" w:rsidRDefault="00154AD2">
            <w:pPr>
              <w:spacing w:after="0" w:line="240" w:lineRule="auto"/>
              <w:jc w:val="center"/>
              <w:rPr>
                <w:rFonts w:eastAsia="Times New Roman" w:cstheme="minorHAnsi"/>
                <w:noProof/>
                <w:sz w:val="16"/>
              </w:rPr>
            </w:pPr>
          </w:p>
        </w:tc>
        <w:tc>
          <w:tcPr>
            <w:tcW w:w="567" w:type="dxa"/>
            <w:shd w:val="clear" w:color="auto" w:fill="C4EFCE"/>
            <w:noWrap/>
            <w:vAlign w:val="center"/>
          </w:tcPr>
          <w:p w14:paraId="4ED6CA4A" w14:textId="7C6F7542" w:rsidR="00154AD2" w:rsidRDefault="007F6BF3">
            <w:pPr>
              <w:pStyle w:val="P68B1DB1-Normal12"/>
              <w:spacing w:after="0" w:line="240" w:lineRule="auto"/>
              <w:jc w:val="center"/>
              <w:rPr>
                <w:rFonts w:eastAsia="Times New Roman" w:cstheme="minorHAnsi"/>
                <w:noProof/>
              </w:rPr>
            </w:pPr>
            <w:r>
              <w:rPr>
                <w:noProof/>
              </w:rPr>
              <w:t>ΤΡΊΜΗΝΟ 3</w:t>
            </w:r>
          </w:p>
        </w:tc>
        <w:tc>
          <w:tcPr>
            <w:tcW w:w="708" w:type="dxa"/>
            <w:shd w:val="clear" w:color="auto" w:fill="C4EFCE"/>
            <w:noWrap/>
            <w:vAlign w:val="center"/>
          </w:tcPr>
          <w:p w14:paraId="211B5EDD" w14:textId="5AF255BE" w:rsidR="00154AD2" w:rsidRDefault="007F6BF3">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3212FFEE" w14:textId="40EC26CF" w:rsidR="00154AD2" w:rsidRDefault="007F6BF3">
            <w:pPr>
              <w:pStyle w:val="P68B1DB1-Normal12"/>
              <w:spacing w:after="0" w:line="240" w:lineRule="auto"/>
              <w:jc w:val="both"/>
              <w:rPr>
                <w:rFonts w:eastAsia="Times New Roman" w:cstheme="minorHAnsi"/>
                <w:noProof/>
              </w:rPr>
            </w:pPr>
            <w:r>
              <w:rPr>
                <w:noProof/>
              </w:rPr>
              <w:t>Υπογραφή της σύμβασης υλοποίησης του έργου μεταξύ των δημόσιων αρχών και του αναδόχου που επελέγη μέσω διεθνούς ανοικτού διαγωνισμού.</w:t>
            </w:r>
          </w:p>
        </w:tc>
      </w:tr>
      <w:tr w:rsidR="00154AD2" w14:paraId="529C25C3" w14:textId="77777777">
        <w:trPr>
          <w:trHeight w:val="430"/>
        </w:trPr>
        <w:tc>
          <w:tcPr>
            <w:tcW w:w="1135" w:type="dxa"/>
            <w:shd w:val="clear" w:color="auto" w:fill="C4EFCE"/>
            <w:vAlign w:val="center"/>
          </w:tcPr>
          <w:p w14:paraId="2ADCAD91" w14:textId="62A09313" w:rsidR="00154AD2" w:rsidRDefault="007F6BF3">
            <w:pPr>
              <w:pStyle w:val="P68B1DB1-Normal11"/>
              <w:spacing w:after="0" w:line="240" w:lineRule="auto"/>
              <w:jc w:val="center"/>
              <w:rPr>
                <w:rFonts w:eastAsia="Times New Roman" w:cstheme="minorHAnsi"/>
                <w:noProof/>
              </w:rPr>
            </w:pPr>
            <w:r>
              <w:rPr>
                <w:noProof/>
              </w:rPr>
              <w:t>21.43</w:t>
            </w:r>
          </w:p>
        </w:tc>
        <w:tc>
          <w:tcPr>
            <w:tcW w:w="1276" w:type="dxa"/>
            <w:shd w:val="clear" w:color="auto" w:fill="C4EFCE"/>
            <w:noWrap/>
            <w:vAlign w:val="center"/>
          </w:tcPr>
          <w:p w14:paraId="6EFB5CCE" w14:textId="7C36AC8C" w:rsidR="00154AD2" w:rsidRDefault="007F6BF3">
            <w:pPr>
              <w:pStyle w:val="P68B1DB1-Normal12"/>
              <w:spacing w:after="0" w:line="240" w:lineRule="auto"/>
              <w:jc w:val="center"/>
              <w:rPr>
                <w:rFonts w:eastAsia="Times New Roman"/>
                <w:noProof/>
              </w:rPr>
            </w:pPr>
            <w:r>
              <w:rPr>
                <w:noProof/>
              </w:rPr>
              <w:t>RP-C21-i16</w:t>
            </w:r>
          </w:p>
        </w:tc>
        <w:tc>
          <w:tcPr>
            <w:tcW w:w="1134" w:type="dxa"/>
            <w:shd w:val="clear" w:color="auto" w:fill="C4EFCE"/>
            <w:noWrap/>
            <w:vAlign w:val="center"/>
          </w:tcPr>
          <w:p w14:paraId="3C242F77" w14:textId="218D6D72" w:rsidR="00154AD2" w:rsidRDefault="007F6BF3">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533DBFF8" w14:textId="384221C4" w:rsidR="00154AD2" w:rsidRDefault="007F6BF3">
            <w:pPr>
              <w:pStyle w:val="P68B1DB1-Normal12"/>
              <w:spacing w:after="0" w:line="240" w:lineRule="auto"/>
              <w:jc w:val="center"/>
              <w:rPr>
                <w:rFonts w:eastAsia="Times New Roman"/>
                <w:noProof/>
              </w:rPr>
            </w:pPr>
            <w:r>
              <w:rPr>
                <w:noProof/>
              </w:rPr>
              <w:t>Κατασκευή οδοντωτού σιδηρόδρομου</w:t>
            </w:r>
          </w:p>
        </w:tc>
        <w:tc>
          <w:tcPr>
            <w:tcW w:w="1275" w:type="dxa"/>
            <w:shd w:val="clear" w:color="auto" w:fill="C4EFCE"/>
            <w:noWrap/>
            <w:vAlign w:val="center"/>
          </w:tcPr>
          <w:p w14:paraId="02FA81D6" w14:textId="764DECD3" w:rsidR="00154AD2" w:rsidRDefault="007F6BF3">
            <w:pPr>
              <w:pStyle w:val="P68B1DB1-Normal12"/>
              <w:spacing w:after="0" w:line="240" w:lineRule="auto"/>
              <w:jc w:val="center"/>
              <w:rPr>
                <w:rFonts w:eastAsia="Times New Roman" w:cstheme="minorHAnsi"/>
                <w:noProof/>
              </w:rPr>
            </w:pPr>
            <w:r>
              <w:rPr>
                <w:noProof/>
              </w:rPr>
              <w:t>Έναρξη λειτουργίας</w:t>
            </w:r>
          </w:p>
        </w:tc>
        <w:tc>
          <w:tcPr>
            <w:tcW w:w="993" w:type="dxa"/>
            <w:shd w:val="clear" w:color="auto" w:fill="C4EFCE"/>
            <w:noWrap/>
            <w:vAlign w:val="center"/>
          </w:tcPr>
          <w:p w14:paraId="5F53A211"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267D5047" w14:textId="77777777" w:rsidR="00154AD2" w:rsidRDefault="00154AD2">
            <w:pPr>
              <w:spacing w:after="0" w:line="240" w:lineRule="auto"/>
              <w:jc w:val="center"/>
              <w:rPr>
                <w:rFonts w:eastAsia="Times New Roman" w:cstheme="minorHAnsi"/>
                <w:noProof/>
                <w:sz w:val="16"/>
              </w:rPr>
            </w:pPr>
          </w:p>
        </w:tc>
        <w:tc>
          <w:tcPr>
            <w:tcW w:w="992" w:type="dxa"/>
            <w:shd w:val="clear" w:color="auto" w:fill="C4EFCE"/>
            <w:noWrap/>
            <w:vAlign w:val="center"/>
          </w:tcPr>
          <w:p w14:paraId="307D8611" w14:textId="77777777" w:rsidR="00154AD2" w:rsidRDefault="00154AD2">
            <w:pPr>
              <w:spacing w:after="0" w:line="240" w:lineRule="auto"/>
              <w:jc w:val="center"/>
              <w:rPr>
                <w:rFonts w:eastAsia="Times New Roman" w:cstheme="minorHAnsi"/>
                <w:noProof/>
                <w:sz w:val="16"/>
              </w:rPr>
            </w:pPr>
          </w:p>
        </w:tc>
        <w:tc>
          <w:tcPr>
            <w:tcW w:w="567" w:type="dxa"/>
            <w:shd w:val="clear" w:color="auto" w:fill="C4EFCE"/>
            <w:noWrap/>
            <w:vAlign w:val="center"/>
          </w:tcPr>
          <w:p w14:paraId="5A8CFE96" w14:textId="2683462D" w:rsidR="00154AD2" w:rsidRDefault="007F6BF3">
            <w:pPr>
              <w:pStyle w:val="P68B1DB1-Normal12"/>
              <w:spacing w:after="0" w:line="240" w:lineRule="auto"/>
              <w:jc w:val="center"/>
              <w:rPr>
                <w:rFonts w:eastAsia="Times New Roman" w:cstheme="minorHAnsi"/>
                <w:noProof/>
              </w:rPr>
            </w:pPr>
            <w:r>
              <w:rPr>
                <w:noProof/>
              </w:rPr>
              <w:t>ΤΡΊΜΗΝΟ 1</w:t>
            </w:r>
          </w:p>
        </w:tc>
        <w:tc>
          <w:tcPr>
            <w:tcW w:w="708" w:type="dxa"/>
            <w:shd w:val="clear" w:color="auto" w:fill="C4EFCE"/>
            <w:noWrap/>
            <w:vAlign w:val="center"/>
          </w:tcPr>
          <w:p w14:paraId="6E0F941C" w14:textId="1527F901" w:rsidR="00154AD2" w:rsidRDefault="007F6BF3">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66B1EB48" w14:textId="691924FE" w:rsidR="00154AD2" w:rsidRDefault="007F6BF3">
            <w:pPr>
              <w:pStyle w:val="P68B1DB1-Normal12"/>
              <w:spacing w:after="0" w:line="240" w:lineRule="auto"/>
              <w:jc w:val="both"/>
              <w:rPr>
                <w:rFonts w:eastAsia="Times New Roman"/>
                <w:noProof/>
              </w:rPr>
            </w:pPr>
            <w:r>
              <w:rPr>
                <w:noProof/>
              </w:rPr>
              <w:t>Ένα μηχανικό διάλυμα μεταφοράς μήκους περίπου 200 μέτρων είναι έτοιμο για άμεση λειτουργία, συνδέοντας την περιοχή Pedreneira με την κατώτερη περιοχή του χωριού Nazaré.</w:t>
            </w:r>
          </w:p>
        </w:tc>
      </w:tr>
    </w:tbl>
    <w:p w14:paraId="35ED878F" w14:textId="77777777" w:rsidR="00154AD2" w:rsidRDefault="00154AD2">
      <w:pPr>
        <w:spacing w:after="0"/>
        <w:jc w:val="both"/>
        <w:rPr>
          <w:rFonts w:ascii="Times New Roman" w:hAnsi="Times New Roman" w:cs="Times New Roman"/>
          <w:noProof/>
          <w:sz w:val="24"/>
        </w:rPr>
        <w:sectPr w:rsidR="00154AD2" w:rsidSect="00587917">
          <w:headerReference w:type="even" r:id="rId374"/>
          <w:headerReference w:type="default" r:id="rId375"/>
          <w:footerReference w:type="even" r:id="rId376"/>
          <w:footerReference w:type="default" r:id="rId377"/>
          <w:headerReference w:type="first" r:id="rId378"/>
          <w:footerReference w:type="first" r:id="rId379"/>
          <w:pgSz w:w="16838" w:h="11906" w:orient="landscape"/>
          <w:pgMar w:top="1134" w:right="1134" w:bottom="1134" w:left="1134" w:header="567" w:footer="567" w:gutter="0"/>
          <w:cols w:space="708"/>
          <w:docGrid w:linePitch="360"/>
        </w:sectPr>
      </w:pPr>
    </w:p>
    <w:p w14:paraId="236D10E6" w14:textId="66A5EAFD" w:rsidR="00154AD2" w:rsidRDefault="007F6BF3">
      <w:pPr>
        <w:pStyle w:val="P68B1DB1-Normal3"/>
        <w:keepNext/>
        <w:spacing w:before="40" w:after="0" w:line="259" w:lineRule="auto"/>
        <w:ind w:left="130" w:firstLine="720"/>
        <w:jc w:val="both"/>
        <w:outlineLvl w:val="1"/>
        <w:rPr>
          <w:rFonts w:eastAsiaTheme="minorEastAsia" w:cs="Times New Roman"/>
          <w:noProof/>
        </w:rPr>
      </w:pPr>
      <w:r>
        <w:rPr>
          <w:noProof/>
        </w:rPr>
        <w:t>V. ΣΥΝΙΣΤΏΣΑ 22: Έλεγχος</w:t>
      </w:r>
    </w:p>
    <w:p w14:paraId="44234FA0" w14:textId="77777777" w:rsidR="00154AD2" w:rsidRDefault="00154AD2">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12542E50" w14:textId="77777777" w:rsidR="00154AD2" w:rsidRDefault="007F6BF3">
      <w:pPr>
        <w:pStyle w:val="P68B1DB1-Normal3"/>
        <w:keepNext/>
        <w:spacing w:before="40" w:after="0" w:line="259" w:lineRule="auto"/>
        <w:ind w:left="130" w:firstLine="720"/>
        <w:jc w:val="both"/>
        <w:outlineLvl w:val="2"/>
        <w:rPr>
          <w:rFonts w:eastAsiaTheme="minorEastAsia" w:cs="Times New Roman"/>
          <w:noProof/>
        </w:rPr>
      </w:pPr>
      <w:r>
        <w:rPr>
          <w:noProof/>
        </w:rPr>
        <w:t>V.1. Περιγραφή της μεταρρύθμισης</w:t>
      </w:r>
    </w:p>
    <w:p w14:paraId="4C7B8830" w14:textId="27F623A3" w:rsidR="00154AD2" w:rsidRDefault="007F6BF3">
      <w:pPr>
        <w:pStyle w:val="P68B1DB1-Normal5"/>
        <w:keepNext/>
        <w:spacing w:before="240" w:after="0" w:line="259" w:lineRule="auto"/>
        <w:ind w:left="851"/>
        <w:jc w:val="both"/>
        <w:outlineLvl w:val="2"/>
        <w:rPr>
          <w:rFonts w:eastAsiaTheme="minorEastAsia" w:cs="Times New Roman"/>
          <w:noProof/>
        </w:rPr>
      </w:pPr>
      <w:r>
        <w:rPr>
          <w:noProof/>
        </w:rPr>
        <w:t>Μεταρρύθμιση RE-C22-r49: Ρυθμίσεις για την παρακολούθηση και την εφαρμογή του σχεδίου ανάκαμψης και ανθεκτικότητας</w:t>
      </w:r>
    </w:p>
    <w:p w14:paraId="180C4631" w14:textId="314000A4" w:rsidR="00154AD2" w:rsidRDefault="007F6BF3">
      <w:pPr>
        <w:pStyle w:val="P68B1DB1-Normal4"/>
        <w:spacing w:after="0" w:line="240" w:lineRule="auto"/>
        <w:jc w:val="both"/>
        <w:rPr>
          <w:rFonts w:cs="Times New Roman"/>
          <w:noProof/>
        </w:rPr>
      </w:pPr>
      <w:r>
        <w:rPr>
          <w:noProof/>
        </w:rPr>
        <w:t>Στόχος του μέτρου είναι η βελτίωση της παρακολούθησης και της υλοποίησης του σχεδίου ανάκαμψης και ανθεκτικότητας. Προκειμένου να διασφαλιστεί η αποτελεσματική εφαρμογή αναλογικών μέτρων για την καταπολέμηση της απάτης και της διαφθοράς, η Πορτογαλία τροποποιεί τις συμβάσεις που υπογράφονται μεταξύ του συντονιστικού φορέα «ΕΕΠΜ» και όλων των αρχών που είναι αρμόδιες για την εφαρμογή του ΣΑΑ, ώστε να προσθέσει νομική υποχρέωση για τους φορείς υλοποίησης να διενεργούν εκτίμηση κινδύνου απάτης εντός τριών μηνών από την τροποποίηση των συμβάσεών τους και, όταν η εκτίμηση κινδύνου απάτης εντοπίζει κινδύνους που δεν αντιμετωπίζονται από τους υφιστάμενους ελέγχους, να καταρτίζει σχέδιο δράσης με πρόσθετους ελέγχους. Η υποχρέωση αυτή αποτυπώνεται στο εγχειρίδιο διαδικασιών του Συντονιστικού Φορέα. Ο συντονιστικός φορέας κοινοποιεί επίσης επισήμως σε όλους τους εκτελεστικούς φορείς τεχνική καθοδήγηση για την υποστήριξή τους κατά τη διενέργεια της εκτίμησης του κινδύνου απάτης. Επιπλέον, η Πορτογαλία βελτιώνει τις διαδικασίες για τη μείωση ή τον μετριασμό του κινδύνου διπλής χρηματοδότησης με τη θέσπιση αποτελεσματικών συστηματικών διασταυρωτικών ελέγχων των αιτήσεων για πιθανή χρηματοδότηση στο πλαίσιο του ΜΑΑ και μεταξύ του ΜΑΑ και άλλων προγραμμάτων της Ένωσης, σύμφωνα με την αρχή της χρηστής δημοσιονομικής διαχείρισης. Ο συντονιστικός φορέας υποβάλλει έγγραφο στο οποίο περιγράφονται οι προτεινόμενοι λεπτομερείς διασταυρωτικοί έλεγχοι για τη διπλή χρηματοδότηση, προκειμένου να επιβεβαιωθεί ότι εφαρμόζονται κατάλληλες διαδικασίες για την αποφυγή της διπλής χρηματοδότησης.</w:t>
      </w:r>
    </w:p>
    <w:p w14:paraId="74765BC7" w14:textId="77777777" w:rsidR="00154AD2" w:rsidRDefault="00154AD2">
      <w:pPr>
        <w:spacing w:before="40" w:after="0" w:line="259" w:lineRule="auto"/>
        <w:jc w:val="both"/>
        <w:rPr>
          <w:rFonts w:ascii="Times New Roman" w:hAnsi="Times New Roman" w:cs="Times New Roman"/>
          <w:noProof/>
          <w:sz w:val="24"/>
        </w:rPr>
        <w:sectPr w:rsidR="00154AD2" w:rsidSect="00737670">
          <w:headerReference w:type="even" r:id="rId380"/>
          <w:headerReference w:type="default" r:id="rId381"/>
          <w:footerReference w:type="even" r:id="rId382"/>
          <w:footerReference w:type="default" r:id="rId383"/>
          <w:headerReference w:type="first" r:id="rId384"/>
          <w:footerReference w:type="first" r:id="rId385"/>
          <w:pgSz w:w="11906" w:h="16838"/>
          <w:pgMar w:top="1134" w:right="1134" w:bottom="1134" w:left="1134" w:header="567" w:footer="567" w:gutter="0"/>
          <w:cols w:space="708"/>
          <w:docGrid w:linePitch="360"/>
        </w:sectPr>
      </w:pPr>
    </w:p>
    <w:p w14:paraId="3636EC65" w14:textId="77777777" w:rsidR="00154AD2" w:rsidRDefault="00154AD2">
      <w:pPr>
        <w:spacing w:before="40" w:after="0" w:line="259" w:lineRule="auto"/>
        <w:jc w:val="both"/>
        <w:rPr>
          <w:rFonts w:ascii="Times New Roman" w:hAnsi="Times New Roman" w:cs="Times New Roman"/>
          <w:noProof/>
          <w:sz w:val="24"/>
        </w:rPr>
      </w:pPr>
    </w:p>
    <w:p w14:paraId="2CBAD660" w14:textId="647AAFB2" w:rsidR="00154AD2" w:rsidRDefault="007F6BF3">
      <w:pPr>
        <w:pStyle w:val="P68B1DB1-Normal3"/>
        <w:keepNext/>
        <w:spacing w:before="40" w:after="0" w:line="259" w:lineRule="auto"/>
        <w:ind w:left="130" w:firstLine="720"/>
        <w:jc w:val="both"/>
        <w:outlineLvl w:val="2"/>
        <w:rPr>
          <w:rFonts w:eastAsiaTheme="minorEastAsia" w:cs="Times New Roman"/>
          <w:noProof/>
        </w:rPr>
      </w:pPr>
      <w:r>
        <w:rPr>
          <w:noProof/>
        </w:rPr>
        <w:t>V.2. Ορόσημα, στόχοι, δείκτες και χρονοδιάγραμμα παρακολούθησης και υλοποίησης</w:t>
      </w:r>
    </w:p>
    <w:p w14:paraId="68A62073" w14:textId="77777777" w:rsidR="00154AD2" w:rsidRDefault="00154AD2">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984"/>
        <w:gridCol w:w="1134"/>
        <w:gridCol w:w="851"/>
        <w:gridCol w:w="992"/>
        <w:gridCol w:w="709"/>
        <w:gridCol w:w="567"/>
        <w:gridCol w:w="708"/>
        <w:gridCol w:w="4395"/>
      </w:tblGrid>
      <w:tr w:rsidR="00154AD2" w14:paraId="7A27D3D1" w14:textId="77777777">
        <w:trPr>
          <w:trHeight w:val="300"/>
          <w:tblHeader/>
        </w:trPr>
        <w:tc>
          <w:tcPr>
            <w:tcW w:w="1135" w:type="dxa"/>
            <w:vMerge w:val="restart"/>
            <w:shd w:val="clear" w:color="auto" w:fill="BDD6EE"/>
            <w:vAlign w:val="center"/>
            <w:hideMark/>
          </w:tcPr>
          <w:p w14:paraId="5CC94774" w14:textId="77777777" w:rsidR="00154AD2" w:rsidRDefault="007F6BF3">
            <w:pPr>
              <w:pStyle w:val="P68B1DB1-Normal6"/>
              <w:spacing w:after="0" w:line="240" w:lineRule="auto"/>
              <w:jc w:val="center"/>
              <w:rPr>
                <w:rFonts w:eastAsia="Times New Roman" w:cs="Times New Roman"/>
                <w:noProof/>
              </w:rPr>
            </w:pPr>
            <w:r>
              <w:rPr>
                <w:noProof/>
              </w:rPr>
              <w:t>Αύξων αριθμός</w:t>
            </w:r>
          </w:p>
        </w:tc>
        <w:tc>
          <w:tcPr>
            <w:tcW w:w="1276" w:type="dxa"/>
            <w:vMerge w:val="restart"/>
            <w:shd w:val="clear" w:color="auto" w:fill="BDD6EE"/>
            <w:noWrap/>
            <w:vAlign w:val="center"/>
            <w:hideMark/>
          </w:tcPr>
          <w:p w14:paraId="30C71F68" w14:textId="77777777" w:rsidR="00154AD2" w:rsidRDefault="007F6BF3">
            <w:pPr>
              <w:pStyle w:val="P68B1DB1-Normal6"/>
              <w:spacing w:after="0" w:line="240" w:lineRule="auto"/>
              <w:jc w:val="center"/>
              <w:rPr>
                <w:rFonts w:eastAsia="Times New Roman" w:cs="Times New Roman"/>
                <w:noProof/>
              </w:rPr>
            </w:pPr>
            <w:r>
              <w:rPr>
                <w:noProof/>
              </w:rPr>
              <w:t>Μέτρο (Μεταρρύθμιση ή Επενδύσεις)</w:t>
            </w:r>
          </w:p>
        </w:tc>
        <w:tc>
          <w:tcPr>
            <w:tcW w:w="1134" w:type="dxa"/>
            <w:vMerge w:val="restart"/>
            <w:shd w:val="clear" w:color="auto" w:fill="BDD6EE"/>
            <w:noWrap/>
            <w:vAlign w:val="center"/>
            <w:hideMark/>
          </w:tcPr>
          <w:p w14:paraId="620CB2B2" w14:textId="77777777" w:rsidR="00154AD2" w:rsidRDefault="007F6BF3">
            <w:pPr>
              <w:pStyle w:val="P68B1DB1-Normal6"/>
              <w:spacing w:after="0" w:line="240" w:lineRule="auto"/>
              <w:jc w:val="center"/>
              <w:rPr>
                <w:rFonts w:eastAsia="Times New Roman" w:cs="Times New Roman"/>
                <w:noProof/>
              </w:rPr>
            </w:pPr>
            <w:r>
              <w:rPr>
                <w:noProof/>
              </w:rPr>
              <w:t>Ορόσημο/Στόχος</w:t>
            </w:r>
          </w:p>
        </w:tc>
        <w:tc>
          <w:tcPr>
            <w:tcW w:w="1984" w:type="dxa"/>
            <w:vMerge w:val="restart"/>
            <w:shd w:val="clear" w:color="auto" w:fill="BDD6EE"/>
            <w:noWrap/>
            <w:vAlign w:val="center"/>
            <w:hideMark/>
          </w:tcPr>
          <w:p w14:paraId="1C302F4F" w14:textId="77777777" w:rsidR="00154AD2" w:rsidRDefault="007F6BF3">
            <w:pPr>
              <w:pStyle w:val="P68B1DB1-Normal6"/>
              <w:spacing w:after="0" w:line="240" w:lineRule="auto"/>
              <w:jc w:val="center"/>
              <w:rPr>
                <w:rFonts w:eastAsia="Times New Roman" w:cs="Times New Roman"/>
                <w:noProof/>
              </w:rPr>
            </w:pPr>
            <w:r>
              <w:rPr>
                <w:noProof/>
              </w:rPr>
              <w:t>Όνομα</w:t>
            </w:r>
          </w:p>
        </w:tc>
        <w:tc>
          <w:tcPr>
            <w:tcW w:w="1134" w:type="dxa"/>
            <w:vMerge w:val="restart"/>
            <w:shd w:val="clear" w:color="auto" w:fill="BDD6EE"/>
            <w:noWrap/>
            <w:vAlign w:val="center"/>
            <w:hideMark/>
          </w:tcPr>
          <w:p w14:paraId="7F93989A" w14:textId="77777777" w:rsidR="00154AD2" w:rsidRDefault="007F6BF3">
            <w:pPr>
              <w:pStyle w:val="P68B1DB1-Normal6"/>
              <w:spacing w:after="0" w:line="240" w:lineRule="auto"/>
              <w:jc w:val="center"/>
              <w:rPr>
                <w:rFonts w:eastAsia="Times New Roman" w:cs="Times New Roman"/>
                <w:noProof/>
              </w:rPr>
            </w:pPr>
            <w:r>
              <w:rPr>
                <w:noProof/>
              </w:rPr>
              <w:t>Ποιοτικοί δείκτες (για τα ορόσημα)</w:t>
            </w:r>
          </w:p>
        </w:tc>
        <w:tc>
          <w:tcPr>
            <w:tcW w:w="2552" w:type="dxa"/>
            <w:gridSpan w:val="3"/>
            <w:shd w:val="clear" w:color="auto" w:fill="BDD6EE"/>
            <w:noWrap/>
            <w:vAlign w:val="center"/>
            <w:hideMark/>
          </w:tcPr>
          <w:p w14:paraId="5C5240E8" w14:textId="77777777" w:rsidR="00154AD2" w:rsidRDefault="007F6BF3">
            <w:pPr>
              <w:pStyle w:val="P68B1DB1-Normal6"/>
              <w:spacing w:after="0" w:line="240" w:lineRule="auto"/>
              <w:jc w:val="center"/>
              <w:rPr>
                <w:rFonts w:eastAsia="Times New Roman" w:cs="Times New Roman"/>
                <w:noProof/>
              </w:rPr>
            </w:pPr>
            <w:r>
              <w:rPr>
                <w:noProof/>
              </w:rPr>
              <w:t>Ποσοτικοί δείκτες (για τους στόχους)</w:t>
            </w:r>
          </w:p>
        </w:tc>
        <w:tc>
          <w:tcPr>
            <w:tcW w:w="1275" w:type="dxa"/>
            <w:gridSpan w:val="2"/>
            <w:shd w:val="clear" w:color="auto" w:fill="BDD6EE"/>
            <w:noWrap/>
            <w:vAlign w:val="center"/>
            <w:hideMark/>
          </w:tcPr>
          <w:p w14:paraId="5A90F2F3" w14:textId="77777777" w:rsidR="00154AD2" w:rsidRDefault="007F6BF3">
            <w:pPr>
              <w:pStyle w:val="P68B1DB1-Normal6"/>
              <w:spacing w:after="0" w:line="240" w:lineRule="auto"/>
              <w:jc w:val="center"/>
              <w:rPr>
                <w:rFonts w:eastAsia="Times New Roman" w:cs="Times New Roman"/>
                <w:noProof/>
              </w:rPr>
            </w:pPr>
            <w:r>
              <w:rPr>
                <w:noProof/>
              </w:rPr>
              <w:t>Χρονοδιάγραμμα ολοκλήρωσης</w:t>
            </w:r>
          </w:p>
        </w:tc>
        <w:tc>
          <w:tcPr>
            <w:tcW w:w="4395" w:type="dxa"/>
            <w:vMerge w:val="restart"/>
            <w:shd w:val="clear" w:color="auto" w:fill="BDD6EE"/>
            <w:vAlign w:val="center"/>
            <w:hideMark/>
          </w:tcPr>
          <w:p w14:paraId="05C538FC" w14:textId="77777777" w:rsidR="00154AD2" w:rsidRDefault="007F6BF3">
            <w:pPr>
              <w:pStyle w:val="P68B1DB1-Normal6"/>
              <w:spacing w:after="0" w:line="240" w:lineRule="auto"/>
              <w:jc w:val="center"/>
              <w:rPr>
                <w:rFonts w:eastAsia="Times New Roman" w:cs="Times New Roman"/>
                <w:noProof/>
              </w:rPr>
            </w:pPr>
            <w:r>
              <w:rPr>
                <w:noProof/>
              </w:rPr>
              <w:t>Περιγραφή και σαφής ορισμός κάθε ορόσημου και στόχου</w:t>
            </w:r>
          </w:p>
        </w:tc>
      </w:tr>
      <w:tr w:rsidR="00154AD2" w14:paraId="791474D6" w14:textId="77777777">
        <w:trPr>
          <w:trHeight w:val="300"/>
          <w:tblHeader/>
        </w:trPr>
        <w:tc>
          <w:tcPr>
            <w:tcW w:w="1135" w:type="dxa"/>
            <w:vMerge/>
            <w:vAlign w:val="center"/>
            <w:hideMark/>
          </w:tcPr>
          <w:p w14:paraId="64F5E293" w14:textId="77777777" w:rsidR="00154AD2" w:rsidRDefault="00154AD2">
            <w:pPr>
              <w:spacing w:after="0" w:line="240" w:lineRule="auto"/>
              <w:rPr>
                <w:rFonts w:ascii="Times New Roman" w:eastAsia="Times New Roman" w:hAnsi="Times New Roman" w:cs="Times New Roman"/>
                <w:b/>
                <w:noProof/>
                <w:sz w:val="18"/>
              </w:rPr>
            </w:pPr>
          </w:p>
        </w:tc>
        <w:tc>
          <w:tcPr>
            <w:tcW w:w="1276" w:type="dxa"/>
            <w:vMerge/>
            <w:vAlign w:val="center"/>
            <w:hideMark/>
          </w:tcPr>
          <w:p w14:paraId="4801FFBD" w14:textId="77777777" w:rsidR="00154AD2" w:rsidRDefault="00154AD2">
            <w:pPr>
              <w:spacing w:after="0" w:line="240" w:lineRule="auto"/>
              <w:rPr>
                <w:rFonts w:ascii="Times New Roman" w:eastAsia="Times New Roman" w:hAnsi="Times New Roman" w:cs="Times New Roman"/>
                <w:b/>
                <w:noProof/>
                <w:sz w:val="18"/>
              </w:rPr>
            </w:pPr>
          </w:p>
        </w:tc>
        <w:tc>
          <w:tcPr>
            <w:tcW w:w="1134" w:type="dxa"/>
            <w:vMerge/>
            <w:noWrap/>
            <w:vAlign w:val="center"/>
            <w:hideMark/>
          </w:tcPr>
          <w:p w14:paraId="0FBCC370" w14:textId="77777777" w:rsidR="00154AD2" w:rsidRDefault="00154AD2">
            <w:pPr>
              <w:spacing w:after="0" w:line="240" w:lineRule="auto"/>
              <w:jc w:val="center"/>
              <w:rPr>
                <w:rFonts w:ascii="Times New Roman" w:eastAsia="Times New Roman" w:hAnsi="Times New Roman" w:cs="Times New Roman"/>
                <w:b/>
                <w:noProof/>
                <w:sz w:val="18"/>
              </w:rPr>
            </w:pPr>
          </w:p>
        </w:tc>
        <w:tc>
          <w:tcPr>
            <w:tcW w:w="1984" w:type="dxa"/>
            <w:vMerge/>
            <w:vAlign w:val="center"/>
            <w:hideMark/>
          </w:tcPr>
          <w:p w14:paraId="57A267FE" w14:textId="77777777" w:rsidR="00154AD2" w:rsidRDefault="00154AD2">
            <w:pPr>
              <w:spacing w:after="0" w:line="240" w:lineRule="auto"/>
              <w:rPr>
                <w:rFonts w:ascii="Times New Roman" w:eastAsia="Times New Roman" w:hAnsi="Times New Roman" w:cs="Times New Roman"/>
                <w:b/>
                <w:noProof/>
                <w:sz w:val="18"/>
              </w:rPr>
            </w:pPr>
          </w:p>
        </w:tc>
        <w:tc>
          <w:tcPr>
            <w:tcW w:w="1134" w:type="dxa"/>
            <w:vMerge/>
            <w:vAlign w:val="center"/>
            <w:hideMark/>
          </w:tcPr>
          <w:p w14:paraId="0C7C5FFB" w14:textId="77777777" w:rsidR="00154AD2" w:rsidRDefault="00154AD2">
            <w:pPr>
              <w:spacing w:after="0" w:line="240" w:lineRule="auto"/>
              <w:rPr>
                <w:rFonts w:ascii="Times New Roman" w:eastAsia="Times New Roman" w:hAnsi="Times New Roman" w:cs="Times New Roman"/>
                <w:b/>
                <w:noProof/>
                <w:sz w:val="18"/>
              </w:rPr>
            </w:pPr>
          </w:p>
        </w:tc>
        <w:tc>
          <w:tcPr>
            <w:tcW w:w="851" w:type="dxa"/>
            <w:shd w:val="clear" w:color="auto" w:fill="BDD6EE"/>
            <w:noWrap/>
            <w:vAlign w:val="center"/>
            <w:hideMark/>
          </w:tcPr>
          <w:p w14:paraId="1A7AD875" w14:textId="77777777" w:rsidR="00154AD2" w:rsidRDefault="007F6BF3">
            <w:pPr>
              <w:pStyle w:val="P68B1DB1-Normal6"/>
              <w:spacing w:after="0" w:line="240" w:lineRule="auto"/>
              <w:jc w:val="center"/>
              <w:rPr>
                <w:rFonts w:eastAsia="Times New Roman" w:cs="Times New Roman"/>
                <w:noProof/>
              </w:rPr>
            </w:pPr>
            <w:r>
              <w:rPr>
                <w:noProof/>
              </w:rPr>
              <w:t>Μονάδα μέτρησης</w:t>
            </w:r>
          </w:p>
        </w:tc>
        <w:tc>
          <w:tcPr>
            <w:tcW w:w="992" w:type="dxa"/>
            <w:shd w:val="clear" w:color="auto" w:fill="BDD6EE"/>
            <w:noWrap/>
            <w:vAlign w:val="center"/>
            <w:hideMark/>
          </w:tcPr>
          <w:p w14:paraId="75CEC3C9" w14:textId="77777777" w:rsidR="00154AD2" w:rsidRDefault="007F6BF3">
            <w:pPr>
              <w:pStyle w:val="P68B1DB1-Normal6"/>
              <w:spacing w:after="0" w:line="240" w:lineRule="auto"/>
              <w:jc w:val="center"/>
              <w:rPr>
                <w:rFonts w:eastAsia="Times New Roman" w:cs="Times New Roman"/>
                <w:noProof/>
              </w:rPr>
            </w:pPr>
            <w:r>
              <w:rPr>
                <w:noProof/>
              </w:rPr>
              <w:t>Γραμμή βάσης</w:t>
            </w:r>
          </w:p>
        </w:tc>
        <w:tc>
          <w:tcPr>
            <w:tcW w:w="709" w:type="dxa"/>
            <w:shd w:val="clear" w:color="auto" w:fill="BDD6EE"/>
            <w:noWrap/>
            <w:vAlign w:val="center"/>
            <w:hideMark/>
          </w:tcPr>
          <w:p w14:paraId="1839FA92" w14:textId="77777777" w:rsidR="00154AD2" w:rsidRDefault="007F6BF3">
            <w:pPr>
              <w:pStyle w:val="P68B1DB1-Normal6"/>
              <w:spacing w:after="0" w:line="240" w:lineRule="auto"/>
              <w:jc w:val="center"/>
              <w:rPr>
                <w:rFonts w:eastAsia="Times New Roman" w:cs="Times New Roman"/>
                <w:noProof/>
              </w:rPr>
            </w:pPr>
            <w:r>
              <w:rPr>
                <w:noProof/>
              </w:rPr>
              <w:t>Στόχοι</w:t>
            </w:r>
          </w:p>
        </w:tc>
        <w:tc>
          <w:tcPr>
            <w:tcW w:w="567" w:type="dxa"/>
            <w:shd w:val="clear" w:color="auto" w:fill="BDD6EE"/>
            <w:noWrap/>
            <w:vAlign w:val="center"/>
            <w:hideMark/>
          </w:tcPr>
          <w:p w14:paraId="034E72F5" w14:textId="77777777" w:rsidR="00154AD2" w:rsidRDefault="007F6BF3">
            <w:pPr>
              <w:pStyle w:val="P68B1DB1-Normal6"/>
              <w:spacing w:after="0" w:line="240" w:lineRule="auto"/>
              <w:jc w:val="center"/>
              <w:rPr>
                <w:rFonts w:eastAsia="Times New Roman" w:cs="Times New Roman"/>
                <w:noProof/>
              </w:rPr>
            </w:pPr>
            <w:r>
              <w:rPr>
                <w:noProof/>
              </w:rPr>
              <w:t>Ε</w:t>
            </w:r>
          </w:p>
        </w:tc>
        <w:tc>
          <w:tcPr>
            <w:tcW w:w="708" w:type="dxa"/>
            <w:shd w:val="clear" w:color="auto" w:fill="BDD6EE"/>
            <w:noWrap/>
            <w:vAlign w:val="center"/>
            <w:hideMark/>
          </w:tcPr>
          <w:p w14:paraId="739CD227" w14:textId="77777777" w:rsidR="00154AD2" w:rsidRDefault="007F6BF3">
            <w:pPr>
              <w:pStyle w:val="P68B1DB1-Normal6"/>
              <w:spacing w:after="0" w:line="240" w:lineRule="auto"/>
              <w:jc w:val="center"/>
              <w:rPr>
                <w:rFonts w:eastAsia="Times New Roman" w:cs="Times New Roman"/>
                <w:noProof/>
              </w:rPr>
            </w:pPr>
            <w:r>
              <w:rPr>
                <w:noProof/>
              </w:rPr>
              <w:t>Έτος</w:t>
            </w:r>
          </w:p>
        </w:tc>
        <w:tc>
          <w:tcPr>
            <w:tcW w:w="4395" w:type="dxa"/>
            <w:vMerge/>
            <w:vAlign w:val="center"/>
            <w:hideMark/>
          </w:tcPr>
          <w:p w14:paraId="6237285D" w14:textId="77777777" w:rsidR="00154AD2" w:rsidRDefault="00154AD2">
            <w:pPr>
              <w:spacing w:after="0" w:line="240" w:lineRule="auto"/>
              <w:rPr>
                <w:rFonts w:ascii="Times New Roman" w:eastAsia="Times New Roman" w:hAnsi="Times New Roman" w:cs="Times New Roman"/>
                <w:b/>
                <w:noProof/>
                <w:sz w:val="18"/>
              </w:rPr>
            </w:pPr>
          </w:p>
        </w:tc>
      </w:tr>
      <w:tr w:rsidR="00154AD2" w14:paraId="6842EF63" w14:textId="77777777">
        <w:trPr>
          <w:trHeight w:val="1260"/>
          <w:tblHeader/>
        </w:trPr>
        <w:tc>
          <w:tcPr>
            <w:tcW w:w="1135" w:type="dxa"/>
            <w:shd w:val="clear" w:color="auto" w:fill="C4EFCE"/>
            <w:noWrap/>
            <w:vAlign w:val="center"/>
          </w:tcPr>
          <w:p w14:paraId="20D33C04" w14:textId="3BE29466" w:rsidR="00154AD2" w:rsidRDefault="007F6BF3">
            <w:pPr>
              <w:pStyle w:val="P68B1DB1-Normal7"/>
              <w:spacing w:after="0" w:line="240" w:lineRule="auto"/>
              <w:jc w:val="center"/>
              <w:rPr>
                <w:rFonts w:eastAsia="Times New Roman" w:cs="Calibri"/>
                <w:noProof/>
              </w:rPr>
            </w:pPr>
            <w:r>
              <w:rPr>
                <w:noProof/>
              </w:rPr>
              <w:t>22.1</w:t>
            </w:r>
          </w:p>
        </w:tc>
        <w:tc>
          <w:tcPr>
            <w:tcW w:w="1276" w:type="dxa"/>
            <w:shd w:val="clear" w:color="auto" w:fill="C4EFCE"/>
            <w:noWrap/>
            <w:vAlign w:val="center"/>
          </w:tcPr>
          <w:p w14:paraId="62B22C1C" w14:textId="0E34FE03" w:rsidR="00154AD2" w:rsidRDefault="007F6BF3">
            <w:pPr>
              <w:pStyle w:val="P68B1DB1-Normal8"/>
              <w:spacing w:after="0" w:line="240" w:lineRule="auto"/>
              <w:jc w:val="center"/>
              <w:rPr>
                <w:rFonts w:eastAsia="Times New Roman" w:cs="Calibri"/>
                <w:noProof/>
              </w:rPr>
            </w:pPr>
            <w:r>
              <w:rPr>
                <w:noProof/>
              </w:rPr>
              <w:t>RE-C22-r49</w:t>
            </w:r>
          </w:p>
        </w:tc>
        <w:tc>
          <w:tcPr>
            <w:tcW w:w="1134" w:type="dxa"/>
            <w:shd w:val="clear" w:color="auto" w:fill="C4EFCE"/>
            <w:noWrap/>
            <w:vAlign w:val="center"/>
          </w:tcPr>
          <w:p w14:paraId="68531306" w14:textId="7F47F2D7" w:rsidR="00154AD2" w:rsidRDefault="007F6BF3">
            <w:pPr>
              <w:pStyle w:val="P68B1DB1-Normal8"/>
              <w:spacing w:after="0" w:line="240" w:lineRule="auto"/>
              <w:jc w:val="center"/>
              <w:rPr>
                <w:rFonts w:eastAsia="Times New Roman" w:cs="Calibri"/>
                <w:noProof/>
              </w:rPr>
            </w:pPr>
            <w:r>
              <w:rPr>
                <w:noProof/>
              </w:rPr>
              <w:t>M</w:t>
            </w:r>
          </w:p>
        </w:tc>
        <w:tc>
          <w:tcPr>
            <w:tcW w:w="1984" w:type="dxa"/>
            <w:shd w:val="clear" w:color="auto" w:fill="C4EFCE"/>
            <w:noWrap/>
            <w:vAlign w:val="center"/>
          </w:tcPr>
          <w:p w14:paraId="560DB9C0" w14:textId="2B36040C" w:rsidR="00154AD2" w:rsidRDefault="007F6BF3">
            <w:pPr>
              <w:pStyle w:val="P68B1DB1-Normal8"/>
              <w:spacing w:after="0" w:line="240" w:lineRule="auto"/>
              <w:jc w:val="center"/>
              <w:rPr>
                <w:rFonts w:eastAsia="Times New Roman" w:cs="Calibri"/>
                <w:noProof/>
              </w:rPr>
            </w:pPr>
            <w:r>
              <w:rPr>
                <w:noProof/>
              </w:rPr>
              <w:t>Τροποποίηση των συμβάσεων χρηματοδότησης μεταξύ του ΕΕΠΜ και των φορέων υλοποίησης ώστε να συμπεριληφθεί η υποχρέωση διενέργειας εκτίμησης κινδύνου απάτης</w:t>
            </w:r>
          </w:p>
        </w:tc>
        <w:tc>
          <w:tcPr>
            <w:tcW w:w="1134" w:type="dxa"/>
            <w:shd w:val="clear" w:color="auto" w:fill="C4EFCE"/>
            <w:noWrap/>
            <w:vAlign w:val="center"/>
          </w:tcPr>
          <w:p w14:paraId="205B0F66" w14:textId="77777777" w:rsidR="00154AD2" w:rsidRDefault="00154AD2">
            <w:pPr>
              <w:spacing w:after="0" w:line="240" w:lineRule="auto"/>
              <w:rPr>
                <w:rFonts w:ascii="Calibri" w:hAnsi="Calibri" w:cs="Calibri"/>
                <w:noProof/>
                <w:sz w:val="16"/>
              </w:rPr>
            </w:pPr>
          </w:p>
          <w:p w14:paraId="679BDC28" w14:textId="5A459A31" w:rsidR="00154AD2" w:rsidRDefault="007F6BF3">
            <w:pPr>
              <w:pStyle w:val="P68B1DB1-Normal8"/>
              <w:jc w:val="center"/>
              <w:rPr>
                <w:rFonts w:cs="Calibri"/>
                <w:noProof/>
              </w:rPr>
            </w:pPr>
            <w:r>
              <w:rPr>
                <w:noProof/>
              </w:rPr>
              <w:t>Τροποποιημένες συμβάσεις</w:t>
            </w:r>
          </w:p>
        </w:tc>
        <w:tc>
          <w:tcPr>
            <w:tcW w:w="851" w:type="dxa"/>
            <w:shd w:val="clear" w:color="auto" w:fill="C4EFCE"/>
            <w:noWrap/>
            <w:vAlign w:val="center"/>
          </w:tcPr>
          <w:p w14:paraId="6159C977" w14:textId="77777777" w:rsidR="00154AD2" w:rsidRDefault="00154AD2">
            <w:pPr>
              <w:spacing w:after="0" w:line="240" w:lineRule="auto"/>
              <w:jc w:val="center"/>
              <w:rPr>
                <w:rFonts w:ascii="Calibri" w:eastAsia="Times New Roman" w:hAnsi="Calibri" w:cs="Calibri"/>
                <w:noProof/>
                <w:sz w:val="16"/>
              </w:rPr>
            </w:pPr>
          </w:p>
        </w:tc>
        <w:tc>
          <w:tcPr>
            <w:tcW w:w="992" w:type="dxa"/>
            <w:shd w:val="clear" w:color="auto" w:fill="C4EFCE"/>
            <w:noWrap/>
            <w:vAlign w:val="center"/>
          </w:tcPr>
          <w:p w14:paraId="4C92B964" w14:textId="77777777" w:rsidR="00154AD2" w:rsidRDefault="00154AD2">
            <w:pPr>
              <w:spacing w:after="0" w:line="240" w:lineRule="auto"/>
              <w:jc w:val="center"/>
              <w:rPr>
                <w:rFonts w:ascii="Calibri" w:eastAsia="Times New Roman" w:hAnsi="Calibri" w:cs="Calibri"/>
                <w:noProof/>
                <w:sz w:val="16"/>
              </w:rPr>
            </w:pPr>
          </w:p>
        </w:tc>
        <w:tc>
          <w:tcPr>
            <w:tcW w:w="709" w:type="dxa"/>
            <w:shd w:val="clear" w:color="auto" w:fill="C4EFCE"/>
            <w:noWrap/>
            <w:vAlign w:val="center"/>
          </w:tcPr>
          <w:p w14:paraId="33DEFF08" w14:textId="77777777" w:rsidR="00154AD2" w:rsidRDefault="00154AD2">
            <w:pPr>
              <w:spacing w:after="0" w:line="240" w:lineRule="auto"/>
              <w:jc w:val="center"/>
              <w:rPr>
                <w:rFonts w:ascii="Calibri" w:eastAsia="Times New Roman" w:hAnsi="Calibri" w:cs="Calibri"/>
                <w:noProof/>
                <w:sz w:val="16"/>
              </w:rPr>
            </w:pPr>
          </w:p>
        </w:tc>
        <w:tc>
          <w:tcPr>
            <w:tcW w:w="567" w:type="dxa"/>
            <w:shd w:val="clear" w:color="auto" w:fill="C4EFCE"/>
            <w:noWrap/>
            <w:vAlign w:val="center"/>
          </w:tcPr>
          <w:p w14:paraId="0CEA973F" w14:textId="74F5DD87" w:rsidR="00154AD2" w:rsidRDefault="007F6BF3">
            <w:pPr>
              <w:pStyle w:val="P68B1DB1-Normal8"/>
              <w:spacing w:after="0" w:line="240" w:lineRule="auto"/>
              <w:jc w:val="center"/>
              <w:rPr>
                <w:rFonts w:eastAsia="Times New Roman" w:cs="Calibri"/>
                <w:noProof/>
              </w:rPr>
            </w:pPr>
            <w:r>
              <w:rPr>
                <w:noProof/>
              </w:rPr>
              <w:t>ΤΡΊΜΗΝΟ 3</w:t>
            </w:r>
          </w:p>
        </w:tc>
        <w:tc>
          <w:tcPr>
            <w:tcW w:w="708" w:type="dxa"/>
            <w:shd w:val="clear" w:color="auto" w:fill="C4EFCE"/>
            <w:noWrap/>
            <w:vAlign w:val="center"/>
          </w:tcPr>
          <w:p w14:paraId="1EB90E5A" w14:textId="798D8660" w:rsidR="00154AD2" w:rsidRDefault="007F6BF3">
            <w:pPr>
              <w:pStyle w:val="P68B1DB1-Normal8"/>
              <w:spacing w:after="0" w:line="240" w:lineRule="auto"/>
              <w:jc w:val="center"/>
              <w:rPr>
                <w:rFonts w:eastAsia="Times New Roman" w:cs="Calibri"/>
                <w:noProof/>
              </w:rPr>
            </w:pPr>
            <w:r>
              <w:rPr>
                <w:noProof/>
              </w:rPr>
              <w:t>2023</w:t>
            </w:r>
          </w:p>
        </w:tc>
        <w:tc>
          <w:tcPr>
            <w:tcW w:w="4395" w:type="dxa"/>
            <w:shd w:val="clear" w:color="auto" w:fill="C4EFCE"/>
          </w:tcPr>
          <w:p w14:paraId="23E3766D" w14:textId="2A2CD04B" w:rsidR="00154AD2" w:rsidRDefault="007F6BF3">
            <w:pPr>
              <w:pStyle w:val="P68B1DB1-Normal8"/>
              <w:spacing w:after="0" w:line="240" w:lineRule="auto"/>
              <w:jc w:val="both"/>
              <w:rPr>
                <w:rFonts w:eastAsia="Times New Roman" w:cs="Calibri"/>
                <w:noProof/>
              </w:rPr>
            </w:pPr>
            <w:r>
              <w:rPr>
                <w:noProof/>
              </w:rPr>
              <w:t>Ο συντονιστικός φορέας «ΕΕΠΜ» τροποποιεί τις συμβάσεις που έχουν υπογραφεί με όλες τις αρχές που είναι αρμόδιες για την εφαρμογή του ΣΑΑ, ώστε να προστεθεί νομική υποχρέωση για τους φορείς υλοποίησης να διενεργούν εκτίμηση κινδύνου απάτης εντός τριών μηνών από την τροποποίηση των συμβάσεών τους και, όταν η εκτίμηση κινδύνου απάτης εντοπίζει κινδύνους που δεν αντιμετωπίζονται από τους υφιστάμενους ελέγχους, να καταρτίζει σχέδιο δράσης που περιέχει πρόσθετους ελέγχους. Η υποχρέωση αυτή αποτυπώνεται στο εγχειρίδιο διαδικασιών του Συντονιστικού Φορέα. Ο συντονιστικός φορέας κοινοποιεί επίσης επισήμως σε όλους τους εκτελεστικούς φορείς τεχνική καθοδήγηση για την υποστήριξή τους κατά τη διενέργεια της εκτίμησης του κινδύνου απάτης.</w:t>
            </w:r>
          </w:p>
        </w:tc>
      </w:tr>
      <w:tr w:rsidR="00154AD2" w14:paraId="4F83E9D0" w14:textId="77777777">
        <w:trPr>
          <w:trHeight w:val="1050"/>
          <w:tblHeader/>
        </w:trPr>
        <w:tc>
          <w:tcPr>
            <w:tcW w:w="1135" w:type="dxa"/>
            <w:shd w:val="clear" w:color="auto" w:fill="C4EFCE"/>
            <w:noWrap/>
            <w:vAlign w:val="center"/>
          </w:tcPr>
          <w:p w14:paraId="6AE6A737" w14:textId="1AC80AEF" w:rsidR="00154AD2" w:rsidRDefault="007F6BF3">
            <w:pPr>
              <w:pStyle w:val="P68B1DB1-Normal7"/>
              <w:spacing w:after="0" w:line="240" w:lineRule="auto"/>
              <w:jc w:val="center"/>
              <w:rPr>
                <w:rFonts w:eastAsia="Times New Roman" w:cs="Calibri"/>
                <w:noProof/>
              </w:rPr>
            </w:pPr>
            <w:r>
              <w:rPr>
                <w:noProof/>
              </w:rPr>
              <w:t>22.2</w:t>
            </w:r>
          </w:p>
        </w:tc>
        <w:tc>
          <w:tcPr>
            <w:tcW w:w="1276" w:type="dxa"/>
            <w:shd w:val="clear" w:color="auto" w:fill="C4EFCE"/>
            <w:noWrap/>
            <w:vAlign w:val="center"/>
          </w:tcPr>
          <w:p w14:paraId="2DA9EBA8" w14:textId="6B386F7E" w:rsidR="00154AD2" w:rsidRDefault="007F6BF3">
            <w:pPr>
              <w:pStyle w:val="P68B1DB1-Normal8"/>
              <w:spacing w:after="0" w:line="240" w:lineRule="auto"/>
              <w:jc w:val="center"/>
              <w:rPr>
                <w:rFonts w:eastAsia="Times New Roman" w:cs="Calibri"/>
                <w:noProof/>
              </w:rPr>
            </w:pPr>
            <w:r>
              <w:rPr>
                <w:noProof/>
              </w:rPr>
              <w:t>RE-C22-r49</w:t>
            </w:r>
          </w:p>
        </w:tc>
        <w:tc>
          <w:tcPr>
            <w:tcW w:w="1134" w:type="dxa"/>
            <w:shd w:val="clear" w:color="auto" w:fill="C4EFCE"/>
            <w:noWrap/>
            <w:vAlign w:val="center"/>
          </w:tcPr>
          <w:p w14:paraId="6AC25D7A" w14:textId="40D4B45C" w:rsidR="00154AD2" w:rsidRDefault="007F6BF3">
            <w:pPr>
              <w:pStyle w:val="P68B1DB1-Normal8"/>
              <w:spacing w:after="0" w:line="240" w:lineRule="auto"/>
              <w:jc w:val="center"/>
              <w:rPr>
                <w:rFonts w:eastAsia="Times New Roman" w:cs="Calibri"/>
                <w:noProof/>
              </w:rPr>
            </w:pPr>
            <w:r>
              <w:rPr>
                <w:noProof/>
              </w:rPr>
              <w:t>M</w:t>
            </w:r>
          </w:p>
        </w:tc>
        <w:tc>
          <w:tcPr>
            <w:tcW w:w="1984" w:type="dxa"/>
            <w:shd w:val="clear" w:color="auto" w:fill="C4EFCE"/>
            <w:noWrap/>
            <w:vAlign w:val="center"/>
          </w:tcPr>
          <w:p w14:paraId="3D88FC2B" w14:textId="5245F9E7" w:rsidR="00154AD2" w:rsidRDefault="007F6BF3">
            <w:pPr>
              <w:pStyle w:val="P68B1DB1-Normal8"/>
              <w:spacing w:after="0" w:line="240" w:lineRule="auto"/>
              <w:jc w:val="center"/>
              <w:rPr>
                <w:rFonts w:eastAsia="Times New Roman" w:cs="Calibri"/>
                <w:noProof/>
              </w:rPr>
            </w:pPr>
            <w:r>
              <w:rPr>
                <w:noProof/>
              </w:rPr>
              <w:t>Καθιέρωση διασταυρούμενων ελέγχων για διπλή χρηματοδότηση</w:t>
            </w:r>
          </w:p>
        </w:tc>
        <w:tc>
          <w:tcPr>
            <w:tcW w:w="1134" w:type="dxa"/>
            <w:shd w:val="clear" w:color="auto" w:fill="C4EFCE"/>
            <w:noWrap/>
            <w:vAlign w:val="center"/>
          </w:tcPr>
          <w:p w14:paraId="4B3ED836" w14:textId="6F92F713" w:rsidR="00154AD2" w:rsidRDefault="007F6BF3">
            <w:pPr>
              <w:pStyle w:val="P68B1DB1-Normal8"/>
              <w:spacing w:after="0" w:line="240" w:lineRule="auto"/>
              <w:jc w:val="center"/>
              <w:rPr>
                <w:rFonts w:eastAsia="Times New Roman" w:cs="Calibri"/>
                <w:noProof/>
              </w:rPr>
            </w:pPr>
            <w:r>
              <w:rPr>
                <w:noProof/>
              </w:rPr>
              <w:t xml:space="preserve">Εφαρμογή κατάλληλων διαδικασιών </w:t>
            </w:r>
          </w:p>
        </w:tc>
        <w:tc>
          <w:tcPr>
            <w:tcW w:w="851" w:type="dxa"/>
            <w:shd w:val="clear" w:color="auto" w:fill="C4EFCE"/>
            <w:noWrap/>
            <w:vAlign w:val="center"/>
          </w:tcPr>
          <w:p w14:paraId="44F95A3F" w14:textId="77777777" w:rsidR="00154AD2" w:rsidRDefault="00154AD2">
            <w:pPr>
              <w:spacing w:after="0" w:line="240" w:lineRule="auto"/>
              <w:jc w:val="center"/>
              <w:rPr>
                <w:rFonts w:ascii="Calibri" w:eastAsia="Times New Roman" w:hAnsi="Calibri" w:cs="Calibri"/>
                <w:noProof/>
                <w:sz w:val="16"/>
              </w:rPr>
            </w:pPr>
          </w:p>
        </w:tc>
        <w:tc>
          <w:tcPr>
            <w:tcW w:w="992" w:type="dxa"/>
            <w:shd w:val="clear" w:color="auto" w:fill="C4EFCE"/>
            <w:noWrap/>
            <w:vAlign w:val="center"/>
          </w:tcPr>
          <w:p w14:paraId="2D07F96E" w14:textId="77777777" w:rsidR="00154AD2" w:rsidRDefault="00154AD2">
            <w:pPr>
              <w:spacing w:after="0" w:line="240" w:lineRule="auto"/>
              <w:jc w:val="center"/>
              <w:rPr>
                <w:rFonts w:ascii="Calibri" w:eastAsia="Times New Roman" w:hAnsi="Calibri" w:cs="Calibri"/>
                <w:noProof/>
                <w:sz w:val="16"/>
              </w:rPr>
            </w:pPr>
          </w:p>
        </w:tc>
        <w:tc>
          <w:tcPr>
            <w:tcW w:w="709" w:type="dxa"/>
            <w:shd w:val="clear" w:color="auto" w:fill="C4EFCE"/>
            <w:noWrap/>
            <w:vAlign w:val="center"/>
          </w:tcPr>
          <w:p w14:paraId="25F8C2EF" w14:textId="77777777" w:rsidR="00154AD2" w:rsidRDefault="00154AD2">
            <w:pPr>
              <w:spacing w:after="0" w:line="240" w:lineRule="auto"/>
              <w:jc w:val="center"/>
              <w:rPr>
                <w:rFonts w:ascii="Calibri" w:eastAsia="Times New Roman" w:hAnsi="Calibri" w:cs="Calibri"/>
                <w:noProof/>
                <w:sz w:val="16"/>
              </w:rPr>
            </w:pPr>
          </w:p>
        </w:tc>
        <w:tc>
          <w:tcPr>
            <w:tcW w:w="567" w:type="dxa"/>
            <w:shd w:val="clear" w:color="auto" w:fill="C4EFCE"/>
            <w:noWrap/>
            <w:vAlign w:val="center"/>
          </w:tcPr>
          <w:p w14:paraId="535B19B9" w14:textId="6AAFBEC9" w:rsidR="00154AD2" w:rsidRDefault="007F6BF3">
            <w:pPr>
              <w:pStyle w:val="P68B1DB1-Normal8"/>
              <w:spacing w:after="0" w:line="240" w:lineRule="auto"/>
              <w:jc w:val="center"/>
              <w:rPr>
                <w:rFonts w:eastAsia="Times New Roman" w:cs="Calibri"/>
                <w:noProof/>
              </w:rPr>
            </w:pPr>
            <w:r>
              <w:rPr>
                <w:noProof/>
              </w:rPr>
              <w:t>ΤΡΊΜΗΝΟ 3</w:t>
            </w:r>
          </w:p>
        </w:tc>
        <w:tc>
          <w:tcPr>
            <w:tcW w:w="708" w:type="dxa"/>
            <w:shd w:val="clear" w:color="auto" w:fill="C4EFCE"/>
            <w:noWrap/>
            <w:vAlign w:val="center"/>
          </w:tcPr>
          <w:p w14:paraId="68F6B24F" w14:textId="4C019A52" w:rsidR="00154AD2" w:rsidRDefault="007F6BF3">
            <w:pPr>
              <w:pStyle w:val="P68B1DB1-Normal8"/>
              <w:spacing w:after="0" w:line="240" w:lineRule="auto"/>
              <w:jc w:val="center"/>
              <w:rPr>
                <w:rFonts w:eastAsia="Times New Roman" w:cs="Calibri"/>
                <w:noProof/>
              </w:rPr>
            </w:pPr>
            <w:r>
              <w:rPr>
                <w:noProof/>
              </w:rPr>
              <w:t>2023</w:t>
            </w:r>
          </w:p>
        </w:tc>
        <w:tc>
          <w:tcPr>
            <w:tcW w:w="4395" w:type="dxa"/>
            <w:shd w:val="clear" w:color="auto" w:fill="C4EFCE"/>
          </w:tcPr>
          <w:p w14:paraId="02C4B5ED" w14:textId="533404F6" w:rsidR="00154AD2" w:rsidRDefault="007F6BF3">
            <w:pPr>
              <w:pStyle w:val="P68B1DB1-Normal8"/>
              <w:spacing w:after="0" w:line="240" w:lineRule="auto"/>
              <w:jc w:val="both"/>
              <w:rPr>
                <w:rFonts w:eastAsia="Times New Roman" w:cs="Calibri"/>
                <w:noProof/>
              </w:rPr>
            </w:pPr>
            <w:r>
              <w:rPr>
                <w:noProof/>
              </w:rPr>
              <w:t>Οι πορτογαλικές αρχές βελτιώνουν και εφαρμόζουν κατάλληλες διαδικασίες για τη μείωση ή τον μετριασμό του κινδύνου διπλής χρηματοδότησης με τη θέσπιση αποτελεσματικών συστηματικών διασταυρωτικών ελέγχων των αιτήσεων για πιθανή χρηματοδότηση στο πλαίσιο του ΜΑΑ και μεταξύ του ΜΑΑ και άλλων προγραμμάτων της Ένωσης, σύμφωνα με την αρχή της χρηστής δημοσιονομικής διαχείρισης.</w:t>
            </w:r>
          </w:p>
        </w:tc>
      </w:tr>
    </w:tbl>
    <w:p w14:paraId="43BA5E3A" w14:textId="40FA9800" w:rsidR="00154AD2" w:rsidRDefault="00154AD2">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154AD2" w:rsidSect="00587917">
          <w:headerReference w:type="even" r:id="rId386"/>
          <w:headerReference w:type="default" r:id="rId387"/>
          <w:footerReference w:type="even" r:id="rId388"/>
          <w:footerReference w:type="default" r:id="rId389"/>
          <w:headerReference w:type="first" r:id="rId390"/>
          <w:footerReference w:type="first" r:id="rId391"/>
          <w:pgSz w:w="16838" w:h="11906" w:orient="landscape"/>
          <w:pgMar w:top="1134" w:right="1134" w:bottom="1134" w:left="1134" w:header="567" w:footer="567" w:gutter="0"/>
          <w:cols w:space="708"/>
          <w:docGrid w:linePitch="360"/>
        </w:sectPr>
      </w:pPr>
    </w:p>
    <w:p w14:paraId="38339004" w14:textId="15E78D3A" w:rsidR="00154AD2" w:rsidRDefault="007F6BF3">
      <w:pPr>
        <w:pStyle w:val="P68B1DB1-Normal3"/>
        <w:keepNext/>
        <w:spacing w:before="40" w:after="0" w:line="259" w:lineRule="auto"/>
        <w:ind w:left="130" w:firstLine="720"/>
        <w:jc w:val="both"/>
        <w:outlineLvl w:val="1"/>
        <w:rPr>
          <w:rFonts w:eastAsiaTheme="majorEastAsia" w:cs="Times New Roman"/>
          <w:noProof/>
        </w:rPr>
      </w:pPr>
      <w:r>
        <w:rPr>
          <w:noProof/>
        </w:rPr>
        <w:t>2. Εκτιμώμενο συνολικό κόστος του σχεδίου ανάκαμψης και ανθεκτικότητας</w:t>
      </w:r>
    </w:p>
    <w:p w14:paraId="7A12B998" w14:textId="77777777" w:rsidR="00154AD2" w:rsidRDefault="00154AD2">
      <w:pPr>
        <w:jc w:val="both"/>
        <w:rPr>
          <w:rFonts w:ascii="Times New Roman" w:eastAsia="Calibri" w:hAnsi="Times New Roman" w:cs="Times New Roman"/>
          <w:noProof/>
          <w:sz w:val="24"/>
        </w:rPr>
      </w:pPr>
    </w:p>
    <w:p w14:paraId="2D28C8C3" w14:textId="5C177C46" w:rsidR="00154AD2" w:rsidRDefault="007F6BF3">
      <w:pPr>
        <w:pStyle w:val="P68B1DB1-Normal4"/>
        <w:spacing w:before="40" w:after="0" w:line="259" w:lineRule="auto"/>
        <w:jc w:val="both"/>
        <w:rPr>
          <w:rFonts w:eastAsia="Calibri" w:cs="Times New Roman"/>
          <w:noProof/>
        </w:rPr>
      </w:pPr>
      <w:r>
        <w:rPr>
          <w:noProof/>
        </w:rPr>
        <w:t>Το εκτιμώμενο συνολικό κόστος του σχεδίου ανάκαμψης και ανθεκτικότητας της Πορτογαλίας ανέρχεται σε 22 215 870 313 EUR.</w:t>
      </w:r>
    </w:p>
    <w:p w14:paraId="10AABC7B" w14:textId="5DB77EB7" w:rsidR="00154AD2" w:rsidRDefault="007F6BF3">
      <w:pPr>
        <w:pStyle w:val="P68B1DB1-Normal4"/>
        <w:spacing w:before="40" w:after="0" w:line="259" w:lineRule="auto"/>
        <w:jc w:val="both"/>
        <w:rPr>
          <w:rFonts w:eastAsia="Calibri" w:cs="Times New Roman"/>
          <w:noProof/>
        </w:rPr>
      </w:pPr>
      <w:r>
        <w:rPr>
          <w:noProof/>
        </w:rPr>
        <w:t>Το εκτιμώμενο συνολικό κόστος του κεφαλαίου για το REPowerEU ανέρχεται σε 855 400 000 EUR. Ειδικότερα, το εκτιμώμενο συνολικό κόστος των μέτρων που αναφέρονται στο άρθρο 21γ παράγραφος 3 στοιχείο α) του κανονισμού (ΕΕ) 2023/435 ανέρχεται σε 0 EUR, ενώ το κόστος των άλλων μέτρων του κεφαλαίου για το REPowerEU ανέρχεται σε 855 400 000 EUR.</w:t>
      </w:r>
    </w:p>
    <w:p w14:paraId="1303DF5E" w14:textId="77777777" w:rsidR="00154AD2" w:rsidRDefault="00154AD2">
      <w:pPr>
        <w:keepNext/>
        <w:spacing w:before="40" w:after="0" w:line="259" w:lineRule="auto"/>
        <w:jc w:val="both"/>
        <w:outlineLvl w:val="1"/>
        <w:rPr>
          <w:noProof/>
        </w:rPr>
      </w:pPr>
    </w:p>
    <w:p w14:paraId="515F6B1D" w14:textId="2D642D65" w:rsidR="00154AD2" w:rsidRDefault="007F6BF3">
      <w:pPr>
        <w:keepNext/>
        <w:tabs>
          <w:tab w:val="num" w:pos="850"/>
        </w:tabs>
        <w:spacing w:before="360" w:after="0" w:line="259" w:lineRule="auto"/>
        <w:ind w:left="850" w:hanging="850"/>
        <w:jc w:val="both"/>
        <w:outlineLvl w:val="0"/>
        <w:rPr>
          <w:rFonts w:ascii="Times New Roman" w:eastAsiaTheme="majorEastAsia" w:hAnsi="Times New Roman" w:cs="Times New Roman"/>
          <w:b/>
          <w:smallCaps/>
          <w:noProof/>
          <w:sz w:val="24"/>
        </w:rPr>
      </w:pPr>
      <w:r>
        <w:rPr>
          <w:noProof/>
        </w:rPr>
        <w:br w:type="page"/>
      </w:r>
      <w:r>
        <w:rPr>
          <w:rFonts w:ascii="Times New Roman" w:hAnsi="Times New Roman"/>
          <w:b/>
          <w:smallCaps/>
          <w:noProof/>
          <w:sz w:val="24"/>
        </w:rPr>
        <w:t xml:space="preserve">ΤΜΉΜΑ 2: ΟΙΚΟΝΟΜΙΚΉ ΣΤΉΡΙΞΗ </w:t>
      </w:r>
    </w:p>
    <w:p w14:paraId="549D205C" w14:textId="77777777" w:rsidR="00154AD2" w:rsidRDefault="007F6BF3">
      <w:pPr>
        <w:pStyle w:val="P68B1DB1-Normal3"/>
        <w:keepNext/>
        <w:numPr>
          <w:ilvl w:val="1"/>
          <w:numId w:val="46"/>
        </w:numPr>
        <w:spacing w:before="40" w:after="0" w:line="259" w:lineRule="auto"/>
        <w:jc w:val="both"/>
        <w:outlineLvl w:val="1"/>
        <w:rPr>
          <w:rFonts w:eastAsiaTheme="majorEastAsia" w:cs="Times New Roman"/>
          <w:noProof/>
        </w:rPr>
      </w:pPr>
      <w:r>
        <w:rPr>
          <w:noProof/>
        </w:rPr>
        <w:t xml:space="preserve">Οικονομική συνεισφορά </w:t>
      </w:r>
    </w:p>
    <w:p w14:paraId="2AEF47AF" w14:textId="77777777" w:rsidR="00154AD2" w:rsidRDefault="00154AD2">
      <w:pPr>
        <w:keepNext/>
        <w:spacing w:before="40" w:after="160" w:line="259" w:lineRule="auto"/>
        <w:contextualSpacing/>
        <w:jc w:val="both"/>
        <w:rPr>
          <w:rFonts w:ascii="Times New Roman" w:eastAsiaTheme="minorEastAsia" w:hAnsi="Times New Roman" w:cs="Times New Roman"/>
          <w:noProof/>
          <w:sz w:val="24"/>
        </w:rPr>
      </w:pPr>
    </w:p>
    <w:p w14:paraId="389DCB62" w14:textId="77777777" w:rsidR="00154AD2" w:rsidRDefault="007F6BF3">
      <w:pPr>
        <w:pStyle w:val="P68B1DB1-Normal4"/>
        <w:keepNext/>
        <w:spacing w:before="40" w:after="160" w:line="259" w:lineRule="auto"/>
        <w:contextualSpacing/>
        <w:jc w:val="both"/>
        <w:rPr>
          <w:rFonts w:eastAsiaTheme="minorEastAsia" w:cs="Times New Roman"/>
          <w:noProof/>
        </w:rPr>
      </w:pPr>
      <w:r>
        <w:rPr>
          <w:noProof/>
        </w:rPr>
        <w:t>Οι δόσεις που αναφέρονται στο άρθρο 2 παράγραφος 2 διαρθρώνονται ως εξής:</w:t>
      </w:r>
    </w:p>
    <w:p w14:paraId="18903B08" w14:textId="77777777" w:rsidR="00154AD2" w:rsidRDefault="00154AD2">
      <w:pPr>
        <w:keepNext/>
        <w:spacing w:before="40" w:after="160" w:line="259" w:lineRule="auto"/>
        <w:contextualSpacing/>
        <w:jc w:val="both"/>
        <w:rPr>
          <w:rFonts w:ascii="Times New Roman" w:eastAsiaTheme="minorEastAsia" w:hAnsi="Times New Roman" w:cs="Times New Roman"/>
          <w:noProof/>
          <w:sz w:val="24"/>
        </w:rPr>
      </w:pPr>
    </w:p>
    <w:p w14:paraId="70355FDF" w14:textId="77777777" w:rsidR="00154AD2" w:rsidRDefault="007F6BF3">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 Πρώτη αίτηση πληρωμής (μη επιστρεπτέα στήριξη): </w:t>
      </w:r>
    </w:p>
    <w:p w14:paraId="4AABD02B" w14:textId="77777777" w:rsidR="00154AD2" w:rsidRDefault="00154AD2">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750"/>
        <w:gridCol w:w="1670"/>
        <w:gridCol w:w="4932"/>
      </w:tblGrid>
      <w:tr w:rsidR="00154AD2" w14:paraId="46EFA30C" w14:textId="77777777">
        <w:trPr>
          <w:trHeight w:val="509"/>
          <w:tblHeader/>
        </w:trPr>
        <w:tc>
          <w:tcPr>
            <w:tcW w:w="1200" w:type="dxa"/>
            <w:vMerge w:val="restart"/>
            <w:shd w:val="clear" w:color="auto" w:fill="BDD7EE"/>
            <w:vAlign w:val="center"/>
            <w:hideMark/>
          </w:tcPr>
          <w:p w14:paraId="3C5DD9AA" w14:textId="77777777" w:rsidR="00154AD2" w:rsidRDefault="007F6BF3">
            <w:pPr>
              <w:pStyle w:val="P68B1DB1-Normal22"/>
              <w:spacing w:after="0" w:line="240" w:lineRule="auto"/>
              <w:jc w:val="center"/>
              <w:rPr>
                <w:rFonts w:eastAsia="Times New Roman" w:cs="Times New Roman"/>
                <w:noProof/>
              </w:rPr>
            </w:pPr>
            <w:r>
              <w:rPr>
                <w:noProof/>
              </w:rPr>
              <w:t>Αύξων αριθμός</w:t>
            </w:r>
          </w:p>
        </w:tc>
        <w:tc>
          <w:tcPr>
            <w:tcW w:w="1760" w:type="dxa"/>
            <w:vMerge w:val="restart"/>
            <w:shd w:val="clear" w:color="auto" w:fill="BDD7EE"/>
            <w:vAlign w:val="center"/>
            <w:hideMark/>
          </w:tcPr>
          <w:p w14:paraId="777412A4" w14:textId="77777777" w:rsidR="00154AD2" w:rsidRDefault="007F6BF3">
            <w:pPr>
              <w:pStyle w:val="P68B1DB1-Normal22"/>
              <w:spacing w:after="0" w:line="240" w:lineRule="auto"/>
              <w:jc w:val="center"/>
              <w:rPr>
                <w:rFonts w:eastAsia="Times New Roman" w:cs="Times New Roman"/>
                <w:noProof/>
              </w:rPr>
            </w:pPr>
            <w:r>
              <w:rPr>
                <w:noProof/>
              </w:rPr>
              <w:t>Σχετικό μέτρο (μεταρρύθμιση ή επένδυση)</w:t>
            </w:r>
          </w:p>
        </w:tc>
        <w:tc>
          <w:tcPr>
            <w:tcW w:w="1520" w:type="dxa"/>
            <w:vMerge w:val="restart"/>
            <w:shd w:val="clear" w:color="auto" w:fill="BDD7EE"/>
            <w:vAlign w:val="center"/>
            <w:hideMark/>
          </w:tcPr>
          <w:p w14:paraId="3AFC0D26" w14:textId="77777777" w:rsidR="00154AD2" w:rsidRDefault="007F6BF3">
            <w:pPr>
              <w:pStyle w:val="P68B1DB1-Normal22"/>
              <w:spacing w:after="0" w:line="240" w:lineRule="auto"/>
              <w:jc w:val="center"/>
              <w:rPr>
                <w:rFonts w:eastAsia="Times New Roman" w:cs="Times New Roman"/>
                <w:noProof/>
              </w:rPr>
            </w:pPr>
            <w:r>
              <w:rPr>
                <w:noProof/>
              </w:rPr>
              <w:t>Ορόσημο/Στόχος</w:t>
            </w:r>
          </w:p>
        </w:tc>
        <w:tc>
          <w:tcPr>
            <w:tcW w:w="5060" w:type="dxa"/>
            <w:vMerge w:val="restart"/>
            <w:shd w:val="clear" w:color="auto" w:fill="BDD7EE"/>
            <w:vAlign w:val="center"/>
            <w:hideMark/>
          </w:tcPr>
          <w:p w14:paraId="7291301C" w14:textId="77777777" w:rsidR="00154AD2" w:rsidRDefault="007F6BF3">
            <w:pPr>
              <w:pStyle w:val="P68B1DB1-Normal22"/>
              <w:spacing w:after="0" w:line="240" w:lineRule="auto"/>
              <w:jc w:val="center"/>
              <w:rPr>
                <w:rFonts w:eastAsia="Times New Roman" w:cs="Times New Roman"/>
                <w:noProof/>
              </w:rPr>
            </w:pPr>
            <w:r>
              <w:rPr>
                <w:noProof/>
              </w:rPr>
              <w:t>Όνομα</w:t>
            </w:r>
          </w:p>
        </w:tc>
      </w:tr>
      <w:tr w:rsidR="00154AD2" w14:paraId="29D8F5D2" w14:textId="77777777">
        <w:trPr>
          <w:trHeight w:val="509"/>
          <w:tblHeader/>
        </w:trPr>
        <w:tc>
          <w:tcPr>
            <w:tcW w:w="1200" w:type="dxa"/>
            <w:vMerge/>
            <w:vAlign w:val="center"/>
            <w:hideMark/>
          </w:tcPr>
          <w:p w14:paraId="724EED61" w14:textId="77777777" w:rsidR="00154AD2" w:rsidRDefault="00154AD2">
            <w:pPr>
              <w:spacing w:after="0" w:line="240" w:lineRule="auto"/>
              <w:rPr>
                <w:rFonts w:ascii="Times New Roman" w:eastAsia="Times New Roman" w:hAnsi="Times New Roman" w:cs="Times New Roman"/>
                <w:noProof/>
                <w:sz w:val="20"/>
              </w:rPr>
            </w:pPr>
          </w:p>
        </w:tc>
        <w:tc>
          <w:tcPr>
            <w:tcW w:w="1760" w:type="dxa"/>
            <w:vMerge/>
            <w:vAlign w:val="center"/>
            <w:hideMark/>
          </w:tcPr>
          <w:p w14:paraId="58F5A343" w14:textId="77777777" w:rsidR="00154AD2" w:rsidRDefault="00154AD2">
            <w:pPr>
              <w:spacing w:after="0" w:line="240" w:lineRule="auto"/>
              <w:rPr>
                <w:rFonts w:ascii="Times New Roman" w:eastAsia="Times New Roman" w:hAnsi="Times New Roman" w:cs="Times New Roman"/>
                <w:noProof/>
                <w:sz w:val="20"/>
              </w:rPr>
            </w:pPr>
          </w:p>
        </w:tc>
        <w:tc>
          <w:tcPr>
            <w:tcW w:w="1520" w:type="dxa"/>
            <w:vMerge/>
            <w:vAlign w:val="center"/>
            <w:hideMark/>
          </w:tcPr>
          <w:p w14:paraId="62853973" w14:textId="77777777" w:rsidR="00154AD2" w:rsidRDefault="00154AD2">
            <w:pPr>
              <w:spacing w:after="0" w:line="240" w:lineRule="auto"/>
              <w:rPr>
                <w:rFonts w:ascii="Times New Roman" w:eastAsia="Times New Roman" w:hAnsi="Times New Roman" w:cs="Times New Roman"/>
                <w:noProof/>
                <w:sz w:val="20"/>
              </w:rPr>
            </w:pPr>
          </w:p>
        </w:tc>
        <w:tc>
          <w:tcPr>
            <w:tcW w:w="5060" w:type="dxa"/>
            <w:vMerge/>
            <w:vAlign w:val="center"/>
            <w:hideMark/>
          </w:tcPr>
          <w:p w14:paraId="2BF9D123" w14:textId="77777777" w:rsidR="00154AD2" w:rsidRDefault="00154AD2">
            <w:pPr>
              <w:spacing w:after="0" w:line="240" w:lineRule="auto"/>
              <w:rPr>
                <w:rFonts w:ascii="Times New Roman" w:eastAsia="Times New Roman" w:hAnsi="Times New Roman" w:cs="Times New Roman"/>
                <w:noProof/>
                <w:sz w:val="20"/>
              </w:rPr>
            </w:pPr>
          </w:p>
        </w:tc>
      </w:tr>
      <w:tr w:rsidR="00154AD2" w14:paraId="6BFB7F1C" w14:textId="77777777">
        <w:trPr>
          <w:trHeight w:val="440"/>
        </w:trPr>
        <w:tc>
          <w:tcPr>
            <w:tcW w:w="1200" w:type="dxa"/>
            <w:shd w:val="clear" w:color="auto" w:fill="C4EFCE"/>
            <w:vAlign w:val="center"/>
            <w:hideMark/>
          </w:tcPr>
          <w:p w14:paraId="035B456C" w14:textId="77777777" w:rsidR="00154AD2" w:rsidRDefault="007F6BF3">
            <w:pPr>
              <w:pStyle w:val="P68B1DB1-Normal23"/>
              <w:spacing w:after="0"/>
              <w:jc w:val="center"/>
              <w:rPr>
                <w:noProof/>
              </w:rPr>
            </w:pPr>
            <w:r>
              <w:rPr>
                <w:noProof/>
              </w:rPr>
              <w:t>1.29</w:t>
            </w:r>
          </w:p>
        </w:tc>
        <w:tc>
          <w:tcPr>
            <w:tcW w:w="1760" w:type="dxa"/>
            <w:shd w:val="clear" w:color="auto" w:fill="C4EFCE"/>
            <w:vAlign w:val="center"/>
            <w:hideMark/>
          </w:tcPr>
          <w:p w14:paraId="5F82E253" w14:textId="77777777" w:rsidR="00154AD2" w:rsidRDefault="007F6BF3">
            <w:pPr>
              <w:pStyle w:val="P68B1DB1-Normal23"/>
              <w:spacing w:after="0"/>
              <w:jc w:val="center"/>
              <w:rPr>
                <w:noProof/>
              </w:rPr>
            </w:pPr>
            <w:r>
              <w:rPr>
                <w:noProof/>
              </w:rPr>
              <w:t xml:space="preserve">RE-C01-i05-RAM </w:t>
            </w:r>
          </w:p>
        </w:tc>
        <w:tc>
          <w:tcPr>
            <w:tcW w:w="1520" w:type="dxa"/>
            <w:shd w:val="clear" w:color="auto" w:fill="C4EFCE"/>
            <w:vAlign w:val="center"/>
            <w:hideMark/>
          </w:tcPr>
          <w:p w14:paraId="3B317CCB" w14:textId="77777777" w:rsidR="00154AD2" w:rsidRDefault="007F6BF3">
            <w:pPr>
              <w:pStyle w:val="P68B1DB1-Normal23"/>
              <w:spacing w:after="0"/>
              <w:jc w:val="center"/>
              <w:rPr>
                <w:noProof/>
              </w:rPr>
            </w:pPr>
            <w:r>
              <w:rPr>
                <w:noProof/>
              </w:rPr>
              <w:t>M</w:t>
            </w:r>
          </w:p>
        </w:tc>
        <w:tc>
          <w:tcPr>
            <w:tcW w:w="5060" w:type="dxa"/>
            <w:shd w:val="clear" w:color="auto" w:fill="C4EFCE"/>
            <w:vAlign w:val="center"/>
            <w:hideMark/>
          </w:tcPr>
          <w:p w14:paraId="748D4E23" w14:textId="77777777" w:rsidR="00154AD2" w:rsidRDefault="007F6BF3">
            <w:pPr>
              <w:pStyle w:val="P68B1DB1-Normal23"/>
              <w:spacing w:after="0"/>
              <w:jc w:val="both"/>
              <w:rPr>
                <w:rFonts w:eastAsia="Calibri" w:cs="Calibri"/>
                <w:noProof/>
              </w:rPr>
            </w:pPr>
            <w:r>
              <w:rPr>
                <w:noProof/>
              </w:rPr>
              <w:t>Ανάπτυξη του συστήματος ταξινόμησης, του λειτουργικού προφίλ και του συστήματος παραπομπής των χρηστών για το περιφερειακό μοντέλο ολοκληρωμένων υπηρεσιών συνεχούς φροντίδας της Μαδέρας</w:t>
            </w:r>
          </w:p>
        </w:tc>
      </w:tr>
      <w:tr w:rsidR="00154AD2" w14:paraId="3069A8FF" w14:textId="77777777">
        <w:trPr>
          <w:trHeight w:val="440"/>
        </w:trPr>
        <w:tc>
          <w:tcPr>
            <w:tcW w:w="1200" w:type="dxa"/>
            <w:shd w:val="clear" w:color="auto" w:fill="C4EFCE"/>
            <w:vAlign w:val="center"/>
            <w:hideMark/>
          </w:tcPr>
          <w:p w14:paraId="2A4852AE" w14:textId="77777777" w:rsidR="00154AD2" w:rsidRDefault="007F6BF3">
            <w:pPr>
              <w:pStyle w:val="P68B1DB1-Normal23"/>
              <w:spacing w:after="0"/>
              <w:jc w:val="center"/>
              <w:rPr>
                <w:noProof/>
              </w:rPr>
            </w:pPr>
            <w:r>
              <w:rPr>
                <w:noProof/>
              </w:rPr>
              <w:t>1.4</w:t>
            </w:r>
          </w:p>
        </w:tc>
        <w:tc>
          <w:tcPr>
            <w:tcW w:w="1760" w:type="dxa"/>
            <w:shd w:val="clear" w:color="auto" w:fill="C4EFCE"/>
            <w:vAlign w:val="center"/>
            <w:hideMark/>
          </w:tcPr>
          <w:p w14:paraId="33989A47" w14:textId="77777777" w:rsidR="00154AD2" w:rsidRDefault="007F6BF3">
            <w:pPr>
              <w:pStyle w:val="P68B1DB1-Normal23"/>
              <w:spacing w:after="0"/>
              <w:jc w:val="center"/>
              <w:rPr>
                <w:noProof/>
              </w:rPr>
            </w:pPr>
            <w:r>
              <w:rPr>
                <w:noProof/>
              </w:rPr>
              <w:t xml:space="preserve">RE-C01-r02 </w:t>
            </w:r>
          </w:p>
        </w:tc>
        <w:tc>
          <w:tcPr>
            <w:tcW w:w="1520" w:type="dxa"/>
            <w:shd w:val="clear" w:color="auto" w:fill="C4EFCE"/>
            <w:vAlign w:val="center"/>
            <w:hideMark/>
          </w:tcPr>
          <w:p w14:paraId="0063710F" w14:textId="77777777" w:rsidR="00154AD2" w:rsidRDefault="007F6BF3">
            <w:pPr>
              <w:pStyle w:val="P68B1DB1-Normal23"/>
              <w:spacing w:after="0"/>
              <w:jc w:val="center"/>
              <w:rPr>
                <w:noProof/>
              </w:rPr>
            </w:pPr>
            <w:r>
              <w:rPr>
                <w:noProof/>
              </w:rPr>
              <w:t>M</w:t>
            </w:r>
          </w:p>
        </w:tc>
        <w:tc>
          <w:tcPr>
            <w:tcW w:w="5060" w:type="dxa"/>
            <w:shd w:val="clear" w:color="auto" w:fill="C4EFCE"/>
            <w:vAlign w:val="center"/>
            <w:hideMark/>
          </w:tcPr>
          <w:p w14:paraId="01F50912" w14:textId="77777777" w:rsidR="00154AD2" w:rsidRDefault="007F6BF3">
            <w:pPr>
              <w:pStyle w:val="P68B1DB1-Normal23"/>
              <w:spacing w:after="0"/>
              <w:jc w:val="both"/>
              <w:rPr>
                <w:rFonts w:eastAsia="Calibri" w:cs="Calibri"/>
                <w:noProof/>
              </w:rPr>
            </w:pPr>
            <w:r>
              <w:rPr>
                <w:noProof/>
              </w:rPr>
              <w:t>Έναρξη ισχύος του νέου νομοθετικού διατάγματος για την ψυχική υγεία, το οποίο καθορίζει τις αρχές για την οργάνωση των υπηρεσιών ψυχικής υγείας</w:t>
            </w:r>
          </w:p>
        </w:tc>
      </w:tr>
      <w:tr w:rsidR="00154AD2" w14:paraId="2344BBFE" w14:textId="77777777">
        <w:trPr>
          <w:trHeight w:val="440"/>
        </w:trPr>
        <w:tc>
          <w:tcPr>
            <w:tcW w:w="1200" w:type="dxa"/>
            <w:shd w:val="clear" w:color="auto" w:fill="C4EFCE"/>
            <w:vAlign w:val="center"/>
            <w:hideMark/>
          </w:tcPr>
          <w:p w14:paraId="6084FBFD" w14:textId="77777777" w:rsidR="00154AD2" w:rsidRDefault="007F6BF3">
            <w:pPr>
              <w:pStyle w:val="P68B1DB1-Normal23"/>
              <w:spacing w:after="0"/>
              <w:jc w:val="center"/>
              <w:rPr>
                <w:noProof/>
              </w:rPr>
            </w:pPr>
            <w:r>
              <w:rPr>
                <w:noProof/>
              </w:rPr>
              <w:t>2.13</w:t>
            </w:r>
          </w:p>
        </w:tc>
        <w:tc>
          <w:tcPr>
            <w:tcW w:w="1760" w:type="dxa"/>
            <w:shd w:val="clear" w:color="auto" w:fill="C4EFCE"/>
            <w:vAlign w:val="center"/>
            <w:hideMark/>
          </w:tcPr>
          <w:p w14:paraId="68C41028" w14:textId="77777777" w:rsidR="00154AD2" w:rsidRDefault="007F6BF3">
            <w:pPr>
              <w:pStyle w:val="P68B1DB1-Normal23"/>
              <w:spacing w:after="0"/>
              <w:jc w:val="center"/>
              <w:rPr>
                <w:noProof/>
              </w:rPr>
            </w:pPr>
            <w:r>
              <w:rPr>
                <w:noProof/>
              </w:rPr>
              <w:t xml:space="preserve">RE-C02-i04-RAA </w:t>
            </w:r>
          </w:p>
        </w:tc>
        <w:tc>
          <w:tcPr>
            <w:tcW w:w="1520" w:type="dxa"/>
            <w:shd w:val="clear" w:color="auto" w:fill="C4EFCE"/>
            <w:vAlign w:val="center"/>
            <w:hideMark/>
          </w:tcPr>
          <w:p w14:paraId="44ACBEA0" w14:textId="77777777" w:rsidR="00154AD2" w:rsidRDefault="007F6BF3">
            <w:pPr>
              <w:pStyle w:val="P68B1DB1-Normal23"/>
              <w:spacing w:after="0"/>
              <w:jc w:val="center"/>
              <w:rPr>
                <w:noProof/>
              </w:rPr>
            </w:pPr>
            <w:r>
              <w:rPr>
                <w:noProof/>
              </w:rPr>
              <w:t>T</w:t>
            </w:r>
          </w:p>
        </w:tc>
        <w:tc>
          <w:tcPr>
            <w:tcW w:w="5060" w:type="dxa"/>
            <w:shd w:val="clear" w:color="auto" w:fill="C4EFCE"/>
            <w:vAlign w:val="center"/>
            <w:hideMark/>
          </w:tcPr>
          <w:p w14:paraId="3219CFC6" w14:textId="77777777" w:rsidR="00154AD2" w:rsidRDefault="007F6BF3">
            <w:pPr>
              <w:pStyle w:val="P68B1DB1-Normal23"/>
              <w:spacing w:after="0"/>
              <w:jc w:val="both"/>
              <w:rPr>
                <w:rFonts w:eastAsia="Calibri" w:cs="Calibri"/>
                <w:noProof/>
              </w:rPr>
            </w:pPr>
            <w:r>
              <w:rPr>
                <w:noProof/>
              </w:rPr>
              <w:t>Παρεμβάσεις στο απόθεμα δημόσιων κατοικιών στην Αυτόνομη Περιφέρεια Αζορών</w:t>
            </w:r>
          </w:p>
        </w:tc>
      </w:tr>
      <w:tr w:rsidR="00154AD2" w14:paraId="3FC1CC3B" w14:textId="77777777">
        <w:trPr>
          <w:trHeight w:val="440"/>
        </w:trPr>
        <w:tc>
          <w:tcPr>
            <w:tcW w:w="1200" w:type="dxa"/>
            <w:shd w:val="clear" w:color="auto" w:fill="C4EFCE"/>
            <w:vAlign w:val="center"/>
            <w:hideMark/>
          </w:tcPr>
          <w:p w14:paraId="1EECC9AE" w14:textId="77777777" w:rsidR="00154AD2" w:rsidRDefault="007F6BF3">
            <w:pPr>
              <w:pStyle w:val="P68B1DB1-Normal23"/>
              <w:spacing w:after="0"/>
              <w:jc w:val="center"/>
              <w:rPr>
                <w:noProof/>
              </w:rPr>
            </w:pPr>
            <w:r>
              <w:rPr>
                <w:noProof/>
              </w:rPr>
              <w:t>2.14</w:t>
            </w:r>
          </w:p>
        </w:tc>
        <w:tc>
          <w:tcPr>
            <w:tcW w:w="1760" w:type="dxa"/>
            <w:shd w:val="clear" w:color="auto" w:fill="C4EFCE"/>
            <w:vAlign w:val="center"/>
            <w:hideMark/>
          </w:tcPr>
          <w:p w14:paraId="7D01D9D8" w14:textId="77777777" w:rsidR="00154AD2" w:rsidRDefault="007F6BF3">
            <w:pPr>
              <w:pStyle w:val="P68B1DB1-Normal23"/>
              <w:spacing w:after="0"/>
              <w:jc w:val="center"/>
              <w:rPr>
                <w:noProof/>
              </w:rPr>
            </w:pPr>
            <w:r>
              <w:rPr>
                <w:noProof/>
              </w:rPr>
              <w:t xml:space="preserve">RE-C02-i04-RAA </w:t>
            </w:r>
          </w:p>
        </w:tc>
        <w:tc>
          <w:tcPr>
            <w:tcW w:w="1520" w:type="dxa"/>
            <w:shd w:val="clear" w:color="auto" w:fill="C4EFCE"/>
            <w:vAlign w:val="center"/>
            <w:hideMark/>
          </w:tcPr>
          <w:p w14:paraId="4B0F382B" w14:textId="77777777" w:rsidR="00154AD2" w:rsidRDefault="007F6BF3">
            <w:pPr>
              <w:pStyle w:val="P68B1DB1-Normal23"/>
              <w:spacing w:after="0"/>
              <w:jc w:val="center"/>
              <w:rPr>
                <w:noProof/>
              </w:rPr>
            </w:pPr>
            <w:r>
              <w:rPr>
                <w:noProof/>
              </w:rPr>
              <w:t>T</w:t>
            </w:r>
          </w:p>
        </w:tc>
        <w:tc>
          <w:tcPr>
            <w:tcW w:w="5060" w:type="dxa"/>
            <w:shd w:val="clear" w:color="auto" w:fill="C4EFCE"/>
            <w:vAlign w:val="center"/>
            <w:hideMark/>
          </w:tcPr>
          <w:p w14:paraId="21EA9779" w14:textId="77777777" w:rsidR="00154AD2" w:rsidRDefault="007F6BF3">
            <w:pPr>
              <w:pStyle w:val="P68B1DB1-Normal23"/>
              <w:spacing w:after="0"/>
              <w:jc w:val="both"/>
              <w:rPr>
                <w:rFonts w:eastAsia="Calibri" w:cs="Calibri"/>
                <w:noProof/>
              </w:rPr>
            </w:pPr>
            <w:r>
              <w:rPr>
                <w:noProof/>
              </w:rPr>
              <w:t>Παρεμβάσεις στο απόθεμα δημόσιων κατοικιών της Αυτόνομης Περιφέρειας Αζορών — ανακαίνιση</w:t>
            </w:r>
          </w:p>
        </w:tc>
      </w:tr>
      <w:tr w:rsidR="00154AD2" w14:paraId="27E2DD10" w14:textId="77777777">
        <w:trPr>
          <w:trHeight w:val="440"/>
        </w:trPr>
        <w:tc>
          <w:tcPr>
            <w:tcW w:w="1200" w:type="dxa"/>
            <w:shd w:val="clear" w:color="auto" w:fill="C4EFCE"/>
            <w:vAlign w:val="center"/>
            <w:hideMark/>
          </w:tcPr>
          <w:p w14:paraId="08C4D405" w14:textId="77777777" w:rsidR="00154AD2" w:rsidRDefault="007F6BF3">
            <w:pPr>
              <w:pStyle w:val="P68B1DB1-Normal23"/>
              <w:spacing w:after="0"/>
              <w:jc w:val="center"/>
              <w:rPr>
                <w:noProof/>
              </w:rPr>
            </w:pPr>
            <w:r>
              <w:rPr>
                <w:noProof/>
              </w:rPr>
              <w:t>2.19</w:t>
            </w:r>
          </w:p>
        </w:tc>
        <w:tc>
          <w:tcPr>
            <w:tcW w:w="1760" w:type="dxa"/>
            <w:shd w:val="clear" w:color="auto" w:fill="C4EFCE"/>
            <w:vAlign w:val="center"/>
            <w:hideMark/>
          </w:tcPr>
          <w:p w14:paraId="02067C77" w14:textId="77777777" w:rsidR="00154AD2" w:rsidRDefault="007F6BF3">
            <w:pPr>
              <w:pStyle w:val="P68B1DB1-Normal23"/>
              <w:spacing w:after="0"/>
              <w:jc w:val="center"/>
              <w:rPr>
                <w:noProof/>
              </w:rPr>
            </w:pPr>
            <w:r>
              <w:rPr>
                <w:noProof/>
              </w:rPr>
              <w:t xml:space="preserve">RE-C02-r04 </w:t>
            </w:r>
          </w:p>
        </w:tc>
        <w:tc>
          <w:tcPr>
            <w:tcW w:w="1520" w:type="dxa"/>
            <w:shd w:val="clear" w:color="auto" w:fill="C4EFCE"/>
            <w:vAlign w:val="center"/>
            <w:hideMark/>
          </w:tcPr>
          <w:p w14:paraId="4DE1A0FE" w14:textId="77777777" w:rsidR="00154AD2" w:rsidRDefault="007F6BF3">
            <w:pPr>
              <w:pStyle w:val="P68B1DB1-Normal23"/>
              <w:spacing w:after="0"/>
              <w:jc w:val="center"/>
              <w:rPr>
                <w:noProof/>
              </w:rPr>
            </w:pPr>
            <w:r>
              <w:rPr>
                <w:noProof/>
              </w:rPr>
              <w:t>M</w:t>
            </w:r>
          </w:p>
        </w:tc>
        <w:tc>
          <w:tcPr>
            <w:tcW w:w="5060" w:type="dxa"/>
            <w:shd w:val="clear" w:color="auto" w:fill="C4EFCE"/>
            <w:vAlign w:val="center"/>
            <w:hideMark/>
          </w:tcPr>
          <w:p w14:paraId="63EA2037" w14:textId="77777777" w:rsidR="00154AD2" w:rsidRDefault="007F6BF3">
            <w:pPr>
              <w:pStyle w:val="P68B1DB1-Normal23"/>
              <w:spacing w:after="0"/>
              <w:jc w:val="both"/>
              <w:rPr>
                <w:rFonts w:eastAsia="Calibri" w:cs="Calibri"/>
                <w:noProof/>
              </w:rPr>
            </w:pPr>
            <w:r>
              <w:rPr>
                <w:noProof/>
              </w:rPr>
              <w:t>Έναρξη ισχύος του νομοθετικού διατάγματος για την έγκριση του νομικού πλαισίου για το εθνικό επείγον και προσωρινό σχέδιο στέγασης</w:t>
            </w:r>
          </w:p>
        </w:tc>
      </w:tr>
      <w:tr w:rsidR="00154AD2" w14:paraId="1A823EEC" w14:textId="77777777">
        <w:trPr>
          <w:trHeight w:val="440"/>
        </w:trPr>
        <w:tc>
          <w:tcPr>
            <w:tcW w:w="1200" w:type="dxa"/>
            <w:shd w:val="clear" w:color="auto" w:fill="C4EFCE"/>
            <w:vAlign w:val="center"/>
            <w:hideMark/>
          </w:tcPr>
          <w:p w14:paraId="454764B0" w14:textId="77777777" w:rsidR="00154AD2" w:rsidRDefault="007F6BF3">
            <w:pPr>
              <w:pStyle w:val="P68B1DB1-Normal23"/>
              <w:spacing w:after="0"/>
              <w:jc w:val="center"/>
              <w:rPr>
                <w:noProof/>
              </w:rPr>
            </w:pPr>
            <w:r>
              <w:rPr>
                <w:noProof/>
              </w:rPr>
              <w:t>3.17</w:t>
            </w:r>
          </w:p>
        </w:tc>
        <w:tc>
          <w:tcPr>
            <w:tcW w:w="1760" w:type="dxa"/>
            <w:shd w:val="clear" w:color="auto" w:fill="C4EFCE"/>
            <w:vAlign w:val="center"/>
            <w:hideMark/>
          </w:tcPr>
          <w:p w14:paraId="5EEE7E6A" w14:textId="77777777" w:rsidR="00154AD2" w:rsidRDefault="007F6BF3">
            <w:pPr>
              <w:pStyle w:val="P68B1DB1-Normal23"/>
              <w:spacing w:after="0"/>
              <w:jc w:val="center"/>
              <w:rPr>
                <w:noProof/>
              </w:rPr>
            </w:pPr>
            <w:r>
              <w:rPr>
                <w:noProof/>
              </w:rPr>
              <w:t xml:space="preserve">RE-C03-i05 </w:t>
            </w:r>
          </w:p>
        </w:tc>
        <w:tc>
          <w:tcPr>
            <w:tcW w:w="1520" w:type="dxa"/>
            <w:shd w:val="clear" w:color="auto" w:fill="C4EFCE"/>
            <w:vAlign w:val="center"/>
            <w:hideMark/>
          </w:tcPr>
          <w:p w14:paraId="7E749779" w14:textId="77777777" w:rsidR="00154AD2" w:rsidRDefault="007F6BF3">
            <w:pPr>
              <w:pStyle w:val="P68B1DB1-Normal23"/>
              <w:spacing w:after="0"/>
              <w:jc w:val="center"/>
              <w:rPr>
                <w:noProof/>
              </w:rPr>
            </w:pPr>
            <w:r>
              <w:rPr>
                <w:noProof/>
              </w:rPr>
              <w:t>M</w:t>
            </w:r>
          </w:p>
        </w:tc>
        <w:tc>
          <w:tcPr>
            <w:tcW w:w="5060" w:type="dxa"/>
            <w:shd w:val="clear" w:color="auto" w:fill="C4EFCE"/>
            <w:vAlign w:val="center"/>
            <w:hideMark/>
          </w:tcPr>
          <w:p w14:paraId="59E3FD88" w14:textId="77777777" w:rsidR="00154AD2" w:rsidRDefault="007F6BF3">
            <w:pPr>
              <w:pStyle w:val="P68B1DB1-Normal23"/>
              <w:spacing w:after="0"/>
              <w:jc w:val="both"/>
              <w:rPr>
                <w:rFonts w:eastAsia="Calibri" w:cs="Calibri"/>
                <w:noProof/>
              </w:rPr>
            </w:pPr>
            <w:r>
              <w:rPr>
                <w:noProof/>
              </w:rPr>
              <w:t>Δημοσίευση της πρόσκλησης υποβολής προσφορών για την «Οικοδόμηση ψηφιακής υποδομής για την προσβασιμότητα 360°»</w:t>
            </w:r>
          </w:p>
        </w:tc>
      </w:tr>
      <w:tr w:rsidR="00154AD2" w14:paraId="4A7CD219" w14:textId="77777777">
        <w:trPr>
          <w:trHeight w:val="440"/>
        </w:trPr>
        <w:tc>
          <w:tcPr>
            <w:tcW w:w="1200" w:type="dxa"/>
            <w:shd w:val="clear" w:color="auto" w:fill="C4EFCE"/>
            <w:vAlign w:val="center"/>
            <w:hideMark/>
          </w:tcPr>
          <w:p w14:paraId="11B4A886" w14:textId="77777777" w:rsidR="00154AD2" w:rsidRDefault="007F6BF3">
            <w:pPr>
              <w:pStyle w:val="P68B1DB1-Normal23"/>
              <w:spacing w:after="0"/>
              <w:jc w:val="center"/>
              <w:rPr>
                <w:noProof/>
              </w:rPr>
            </w:pPr>
            <w:r>
              <w:rPr>
                <w:noProof/>
              </w:rPr>
              <w:t>3.20</w:t>
            </w:r>
          </w:p>
        </w:tc>
        <w:tc>
          <w:tcPr>
            <w:tcW w:w="1760" w:type="dxa"/>
            <w:shd w:val="clear" w:color="auto" w:fill="C4EFCE"/>
            <w:vAlign w:val="center"/>
            <w:hideMark/>
          </w:tcPr>
          <w:p w14:paraId="5AB1C66A" w14:textId="77777777" w:rsidR="00154AD2" w:rsidRDefault="007F6BF3">
            <w:pPr>
              <w:pStyle w:val="P68B1DB1-Normal23"/>
              <w:spacing w:after="0"/>
              <w:jc w:val="center"/>
              <w:rPr>
                <w:noProof/>
              </w:rPr>
            </w:pPr>
            <w:r>
              <w:rPr>
                <w:noProof/>
              </w:rPr>
              <w:t xml:space="preserve">RE-C03-r08 </w:t>
            </w:r>
          </w:p>
        </w:tc>
        <w:tc>
          <w:tcPr>
            <w:tcW w:w="1520" w:type="dxa"/>
            <w:shd w:val="clear" w:color="auto" w:fill="C4EFCE"/>
            <w:vAlign w:val="center"/>
            <w:hideMark/>
          </w:tcPr>
          <w:p w14:paraId="7115B103" w14:textId="77777777" w:rsidR="00154AD2" w:rsidRDefault="007F6BF3">
            <w:pPr>
              <w:pStyle w:val="P68B1DB1-Normal23"/>
              <w:spacing w:after="0"/>
              <w:jc w:val="center"/>
              <w:rPr>
                <w:noProof/>
              </w:rPr>
            </w:pPr>
            <w:r>
              <w:rPr>
                <w:noProof/>
              </w:rPr>
              <w:t>M</w:t>
            </w:r>
          </w:p>
        </w:tc>
        <w:tc>
          <w:tcPr>
            <w:tcW w:w="5060" w:type="dxa"/>
            <w:shd w:val="clear" w:color="auto" w:fill="C4EFCE"/>
            <w:vAlign w:val="center"/>
            <w:hideMark/>
          </w:tcPr>
          <w:p w14:paraId="6834BE7E" w14:textId="77777777" w:rsidR="00154AD2" w:rsidRDefault="007F6BF3">
            <w:pPr>
              <w:pStyle w:val="P68B1DB1-Normal23"/>
              <w:spacing w:after="0"/>
              <w:jc w:val="both"/>
              <w:rPr>
                <w:rFonts w:eastAsia="Calibri" w:cs="Calibri"/>
                <w:noProof/>
              </w:rPr>
            </w:pPr>
            <w:r>
              <w:rPr>
                <w:noProof/>
              </w:rPr>
              <w:t>Έγκριση της εθνικής στρατηγικής για την καταπολέμηση της φτώχειας</w:t>
            </w:r>
          </w:p>
        </w:tc>
      </w:tr>
      <w:tr w:rsidR="00154AD2" w14:paraId="1EA1FEC6" w14:textId="77777777">
        <w:trPr>
          <w:trHeight w:val="440"/>
        </w:trPr>
        <w:tc>
          <w:tcPr>
            <w:tcW w:w="1200" w:type="dxa"/>
            <w:shd w:val="clear" w:color="auto" w:fill="C4EFCE"/>
            <w:vAlign w:val="center"/>
            <w:hideMark/>
          </w:tcPr>
          <w:p w14:paraId="3194D942" w14:textId="77777777" w:rsidR="00154AD2" w:rsidRDefault="007F6BF3">
            <w:pPr>
              <w:pStyle w:val="P68B1DB1-Normal23"/>
              <w:spacing w:after="0"/>
              <w:jc w:val="center"/>
              <w:rPr>
                <w:noProof/>
              </w:rPr>
            </w:pPr>
            <w:r>
              <w:rPr>
                <w:noProof/>
              </w:rPr>
              <w:t>3.21</w:t>
            </w:r>
          </w:p>
        </w:tc>
        <w:tc>
          <w:tcPr>
            <w:tcW w:w="1760" w:type="dxa"/>
            <w:shd w:val="clear" w:color="auto" w:fill="C4EFCE"/>
            <w:vAlign w:val="center"/>
            <w:hideMark/>
          </w:tcPr>
          <w:p w14:paraId="365F7A17" w14:textId="77777777" w:rsidR="00154AD2" w:rsidRDefault="007F6BF3">
            <w:pPr>
              <w:pStyle w:val="P68B1DB1-Normal23"/>
              <w:spacing w:after="0"/>
              <w:jc w:val="center"/>
              <w:rPr>
                <w:noProof/>
              </w:rPr>
            </w:pPr>
            <w:r>
              <w:rPr>
                <w:noProof/>
              </w:rPr>
              <w:t xml:space="preserve">RE-C03-r06 </w:t>
            </w:r>
          </w:p>
        </w:tc>
        <w:tc>
          <w:tcPr>
            <w:tcW w:w="1520" w:type="dxa"/>
            <w:shd w:val="clear" w:color="auto" w:fill="C4EFCE"/>
            <w:vAlign w:val="center"/>
            <w:hideMark/>
          </w:tcPr>
          <w:p w14:paraId="07DB9847" w14:textId="77777777" w:rsidR="00154AD2" w:rsidRDefault="007F6BF3">
            <w:pPr>
              <w:pStyle w:val="P68B1DB1-Normal23"/>
              <w:spacing w:after="0"/>
              <w:jc w:val="center"/>
              <w:rPr>
                <w:noProof/>
              </w:rPr>
            </w:pPr>
            <w:r>
              <w:rPr>
                <w:noProof/>
              </w:rPr>
              <w:t>M</w:t>
            </w:r>
          </w:p>
        </w:tc>
        <w:tc>
          <w:tcPr>
            <w:tcW w:w="5060" w:type="dxa"/>
            <w:shd w:val="clear" w:color="auto" w:fill="C4EFCE"/>
            <w:vAlign w:val="center"/>
            <w:hideMark/>
          </w:tcPr>
          <w:p w14:paraId="0E6DA00E" w14:textId="77777777" w:rsidR="00154AD2" w:rsidRDefault="007F6BF3">
            <w:pPr>
              <w:pStyle w:val="P68B1DB1-Normal23"/>
              <w:spacing w:after="0"/>
              <w:jc w:val="both"/>
              <w:rPr>
                <w:rFonts w:eastAsia="Calibri" w:cs="Calibri"/>
                <w:noProof/>
              </w:rPr>
            </w:pPr>
            <w:r>
              <w:rPr>
                <w:noProof/>
              </w:rPr>
              <w:t>Έγκριση της Εθνικής Στρατηγικής για την Ένταξη των Ατόμων με Αναπηρία 2021-2025</w:t>
            </w:r>
          </w:p>
        </w:tc>
      </w:tr>
      <w:tr w:rsidR="00154AD2" w14:paraId="35F21874" w14:textId="77777777">
        <w:trPr>
          <w:trHeight w:val="440"/>
        </w:trPr>
        <w:tc>
          <w:tcPr>
            <w:tcW w:w="1200" w:type="dxa"/>
            <w:shd w:val="clear" w:color="auto" w:fill="C4EFCE"/>
            <w:vAlign w:val="center"/>
            <w:hideMark/>
          </w:tcPr>
          <w:p w14:paraId="47B7A28F" w14:textId="77777777" w:rsidR="00154AD2" w:rsidRDefault="007F6BF3">
            <w:pPr>
              <w:pStyle w:val="P68B1DB1-Normal23"/>
              <w:spacing w:after="0"/>
              <w:jc w:val="center"/>
              <w:rPr>
                <w:noProof/>
              </w:rPr>
            </w:pPr>
            <w:r>
              <w:rPr>
                <w:noProof/>
              </w:rPr>
              <w:t>3.22</w:t>
            </w:r>
          </w:p>
        </w:tc>
        <w:tc>
          <w:tcPr>
            <w:tcW w:w="1760" w:type="dxa"/>
            <w:shd w:val="clear" w:color="auto" w:fill="C4EFCE"/>
            <w:vAlign w:val="center"/>
            <w:hideMark/>
          </w:tcPr>
          <w:p w14:paraId="6AE41D5D" w14:textId="77777777" w:rsidR="00154AD2" w:rsidRDefault="007F6BF3">
            <w:pPr>
              <w:pStyle w:val="P68B1DB1-Normal23"/>
              <w:spacing w:after="0"/>
              <w:jc w:val="center"/>
              <w:rPr>
                <w:noProof/>
              </w:rPr>
            </w:pPr>
            <w:r>
              <w:rPr>
                <w:noProof/>
              </w:rPr>
              <w:t xml:space="preserve">RE-C03-r05 </w:t>
            </w:r>
          </w:p>
        </w:tc>
        <w:tc>
          <w:tcPr>
            <w:tcW w:w="1520" w:type="dxa"/>
            <w:shd w:val="clear" w:color="auto" w:fill="C4EFCE"/>
            <w:vAlign w:val="center"/>
            <w:hideMark/>
          </w:tcPr>
          <w:p w14:paraId="4C477BAF" w14:textId="77777777" w:rsidR="00154AD2" w:rsidRDefault="007F6BF3">
            <w:pPr>
              <w:pStyle w:val="P68B1DB1-Normal23"/>
              <w:spacing w:after="0"/>
              <w:jc w:val="center"/>
              <w:rPr>
                <w:noProof/>
              </w:rPr>
            </w:pPr>
            <w:r>
              <w:rPr>
                <w:noProof/>
              </w:rPr>
              <w:t>M</w:t>
            </w:r>
          </w:p>
        </w:tc>
        <w:tc>
          <w:tcPr>
            <w:tcW w:w="5060" w:type="dxa"/>
            <w:shd w:val="clear" w:color="auto" w:fill="C4EFCE"/>
            <w:vAlign w:val="center"/>
            <w:hideMark/>
          </w:tcPr>
          <w:p w14:paraId="6D60CF00" w14:textId="77777777" w:rsidR="00154AD2" w:rsidRDefault="007F6BF3">
            <w:pPr>
              <w:pStyle w:val="P68B1DB1-Normal23"/>
              <w:spacing w:after="0"/>
              <w:jc w:val="both"/>
              <w:rPr>
                <w:rFonts w:eastAsia="Calibri" w:cs="Calibri"/>
                <w:noProof/>
              </w:rPr>
            </w:pPr>
            <w:r>
              <w:rPr>
                <w:noProof/>
              </w:rPr>
              <w:t>Έναρξη ισχύος του καθεστώτος εγκατάστασης απλουστευμένου κοινωνικού εξοπλισμού</w:t>
            </w:r>
          </w:p>
        </w:tc>
      </w:tr>
      <w:tr w:rsidR="00154AD2" w14:paraId="4430CD28" w14:textId="77777777">
        <w:trPr>
          <w:trHeight w:val="440"/>
        </w:trPr>
        <w:tc>
          <w:tcPr>
            <w:tcW w:w="1200" w:type="dxa"/>
            <w:shd w:val="clear" w:color="auto" w:fill="C4EFCE"/>
            <w:vAlign w:val="center"/>
            <w:hideMark/>
          </w:tcPr>
          <w:p w14:paraId="23A0F1E2" w14:textId="77777777" w:rsidR="00154AD2" w:rsidRDefault="007F6BF3">
            <w:pPr>
              <w:pStyle w:val="P68B1DB1-Normal23"/>
              <w:spacing w:after="0"/>
              <w:jc w:val="center"/>
              <w:rPr>
                <w:noProof/>
              </w:rPr>
            </w:pPr>
            <w:r>
              <w:rPr>
                <w:noProof/>
              </w:rPr>
              <w:t>3.23</w:t>
            </w:r>
          </w:p>
        </w:tc>
        <w:tc>
          <w:tcPr>
            <w:tcW w:w="1760" w:type="dxa"/>
            <w:shd w:val="clear" w:color="auto" w:fill="C4EFCE"/>
            <w:vAlign w:val="center"/>
            <w:hideMark/>
          </w:tcPr>
          <w:p w14:paraId="706C3979" w14:textId="77777777" w:rsidR="00154AD2" w:rsidRDefault="007F6BF3">
            <w:pPr>
              <w:pStyle w:val="P68B1DB1-Normal23"/>
              <w:spacing w:after="0"/>
              <w:jc w:val="center"/>
              <w:rPr>
                <w:noProof/>
              </w:rPr>
            </w:pPr>
            <w:r>
              <w:rPr>
                <w:noProof/>
              </w:rPr>
              <w:t xml:space="preserve">RE-C03-r07 </w:t>
            </w:r>
          </w:p>
        </w:tc>
        <w:tc>
          <w:tcPr>
            <w:tcW w:w="1520" w:type="dxa"/>
            <w:shd w:val="clear" w:color="auto" w:fill="C4EFCE"/>
            <w:vAlign w:val="center"/>
            <w:hideMark/>
          </w:tcPr>
          <w:p w14:paraId="02E5D703" w14:textId="77777777" w:rsidR="00154AD2" w:rsidRDefault="007F6BF3">
            <w:pPr>
              <w:pStyle w:val="P68B1DB1-Normal23"/>
              <w:spacing w:after="0"/>
              <w:jc w:val="center"/>
              <w:rPr>
                <w:noProof/>
              </w:rPr>
            </w:pPr>
            <w:r>
              <w:rPr>
                <w:noProof/>
              </w:rPr>
              <w:t>M</w:t>
            </w:r>
          </w:p>
        </w:tc>
        <w:tc>
          <w:tcPr>
            <w:tcW w:w="5060" w:type="dxa"/>
            <w:shd w:val="clear" w:color="auto" w:fill="C4EFCE"/>
            <w:vAlign w:val="center"/>
            <w:hideMark/>
          </w:tcPr>
          <w:p w14:paraId="467651E6" w14:textId="77777777" w:rsidR="00154AD2" w:rsidRDefault="007F6BF3">
            <w:pPr>
              <w:pStyle w:val="P68B1DB1-Normal23"/>
              <w:spacing w:after="0"/>
              <w:jc w:val="both"/>
              <w:rPr>
                <w:rFonts w:eastAsia="Calibri" w:cs="Calibri"/>
                <w:noProof/>
              </w:rPr>
            </w:pPr>
            <w:r>
              <w:rPr>
                <w:noProof/>
              </w:rPr>
              <w:t>Έγκριση σχεδίων δράσης για μειονεκτούσες κοινότητες στις μητροπολιτικές περιοχές της Λισαβόνας και του Πόρτο</w:t>
            </w:r>
          </w:p>
        </w:tc>
      </w:tr>
      <w:tr w:rsidR="00154AD2" w14:paraId="0188275D" w14:textId="77777777">
        <w:trPr>
          <w:trHeight w:val="440"/>
        </w:trPr>
        <w:tc>
          <w:tcPr>
            <w:tcW w:w="1200" w:type="dxa"/>
            <w:shd w:val="clear" w:color="auto" w:fill="C4EFCE"/>
            <w:vAlign w:val="center"/>
            <w:hideMark/>
          </w:tcPr>
          <w:p w14:paraId="1F3B57E4" w14:textId="77777777" w:rsidR="00154AD2" w:rsidRDefault="007F6BF3">
            <w:pPr>
              <w:pStyle w:val="P68B1DB1-Normal23"/>
              <w:spacing w:after="0"/>
              <w:jc w:val="center"/>
              <w:rPr>
                <w:noProof/>
              </w:rPr>
            </w:pPr>
            <w:r>
              <w:rPr>
                <w:noProof/>
              </w:rPr>
              <w:t>5.1</w:t>
            </w:r>
          </w:p>
        </w:tc>
        <w:tc>
          <w:tcPr>
            <w:tcW w:w="1760" w:type="dxa"/>
            <w:shd w:val="clear" w:color="auto" w:fill="C4EFCE"/>
            <w:vAlign w:val="center"/>
            <w:hideMark/>
          </w:tcPr>
          <w:p w14:paraId="42A78FEF" w14:textId="77777777" w:rsidR="00154AD2" w:rsidRDefault="007F6BF3">
            <w:pPr>
              <w:pStyle w:val="P68B1DB1-Normal23"/>
              <w:spacing w:after="0"/>
              <w:jc w:val="center"/>
              <w:rPr>
                <w:noProof/>
              </w:rPr>
            </w:pPr>
            <w:r>
              <w:rPr>
                <w:noProof/>
              </w:rPr>
              <w:t xml:space="preserve">RE-C05-r09 </w:t>
            </w:r>
          </w:p>
        </w:tc>
        <w:tc>
          <w:tcPr>
            <w:tcW w:w="1520" w:type="dxa"/>
            <w:shd w:val="clear" w:color="auto" w:fill="C4EFCE"/>
            <w:vAlign w:val="center"/>
            <w:hideMark/>
          </w:tcPr>
          <w:p w14:paraId="31498FF4" w14:textId="77777777" w:rsidR="00154AD2" w:rsidRDefault="007F6BF3">
            <w:pPr>
              <w:pStyle w:val="P68B1DB1-Normal23"/>
              <w:spacing w:after="0"/>
              <w:jc w:val="center"/>
              <w:rPr>
                <w:noProof/>
              </w:rPr>
            </w:pPr>
            <w:r>
              <w:rPr>
                <w:noProof/>
              </w:rPr>
              <w:t>M</w:t>
            </w:r>
          </w:p>
        </w:tc>
        <w:tc>
          <w:tcPr>
            <w:tcW w:w="5060" w:type="dxa"/>
            <w:shd w:val="clear" w:color="auto" w:fill="C4EFCE"/>
            <w:vAlign w:val="center"/>
            <w:hideMark/>
          </w:tcPr>
          <w:p w14:paraId="6E244C18" w14:textId="77777777" w:rsidR="00154AD2" w:rsidRDefault="007F6BF3">
            <w:pPr>
              <w:pStyle w:val="P68B1DB1-Normal23"/>
              <w:spacing w:after="0"/>
              <w:jc w:val="both"/>
              <w:rPr>
                <w:rFonts w:eastAsia="Calibri" w:cs="Calibri"/>
                <w:noProof/>
              </w:rPr>
            </w:pPr>
            <w:r>
              <w:rPr>
                <w:noProof/>
              </w:rPr>
              <w:t>Επικαιροποίηση των κατευθυντήριων γραμμών για τη στρατηγική τεχνολογικής και επιχειρηματικής καινοτομίας για την Πορτογαλία το 2030</w:t>
            </w:r>
          </w:p>
        </w:tc>
      </w:tr>
      <w:tr w:rsidR="00154AD2" w14:paraId="78C3ED81" w14:textId="77777777">
        <w:trPr>
          <w:trHeight w:val="440"/>
        </w:trPr>
        <w:tc>
          <w:tcPr>
            <w:tcW w:w="1200" w:type="dxa"/>
            <w:shd w:val="clear" w:color="auto" w:fill="C4EFCE"/>
            <w:vAlign w:val="center"/>
            <w:hideMark/>
          </w:tcPr>
          <w:p w14:paraId="5F5ACAF6" w14:textId="77777777" w:rsidR="00154AD2" w:rsidRDefault="007F6BF3">
            <w:pPr>
              <w:pStyle w:val="P68B1DB1-Normal23"/>
              <w:spacing w:after="0"/>
              <w:jc w:val="center"/>
              <w:rPr>
                <w:noProof/>
              </w:rPr>
            </w:pPr>
            <w:r>
              <w:rPr>
                <w:noProof/>
              </w:rPr>
              <w:t>5.11</w:t>
            </w:r>
          </w:p>
        </w:tc>
        <w:tc>
          <w:tcPr>
            <w:tcW w:w="1760" w:type="dxa"/>
            <w:shd w:val="clear" w:color="auto" w:fill="C4EFCE"/>
            <w:vAlign w:val="center"/>
            <w:hideMark/>
          </w:tcPr>
          <w:p w14:paraId="392937B4" w14:textId="77777777" w:rsidR="00154AD2" w:rsidRDefault="007F6BF3">
            <w:pPr>
              <w:pStyle w:val="P68B1DB1-Normal23"/>
              <w:spacing w:after="0"/>
              <w:jc w:val="center"/>
              <w:rPr>
                <w:noProof/>
              </w:rPr>
            </w:pPr>
            <w:r>
              <w:rPr>
                <w:noProof/>
              </w:rPr>
              <w:t xml:space="preserve">RE-C05-i03 </w:t>
            </w:r>
          </w:p>
        </w:tc>
        <w:tc>
          <w:tcPr>
            <w:tcW w:w="1520" w:type="dxa"/>
            <w:shd w:val="clear" w:color="auto" w:fill="C4EFCE"/>
            <w:vAlign w:val="center"/>
            <w:hideMark/>
          </w:tcPr>
          <w:p w14:paraId="7D4ACEC0" w14:textId="77777777" w:rsidR="00154AD2" w:rsidRDefault="007F6BF3">
            <w:pPr>
              <w:pStyle w:val="P68B1DB1-Normal23"/>
              <w:spacing w:after="0"/>
              <w:jc w:val="center"/>
              <w:rPr>
                <w:noProof/>
              </w:rPr>
            </w:pPr>
            <w:r>
              <w:rPr>
                <w:noProof/>
              </w:rPr>
              <w:t>M</w:t>
            </w:r>
          </w:p>
        </w:tc>
        <w:tc>
          <w:tcPr>
            <w:tcW w:w="5060" w:type="dxa"/>
            <w:shd w:val="clear" w:color="auto" w:fill="C4EFCE"/>
            <w:vAlign w:val="center"/>
            <w:hideMark/>
          </w:tcPr>
          <w:p w14:paraId="39EA9E33" w14:textId="77777777" w:rsidR="00154AD2" w:rsidRDefault="007F6BF3">
            <w:pPr>
              <w:pStyle w:val="P68B1DB1-Normal23"/>
              <w:spacing w:after="0"/>
              <w:jc w:val="both"/>
              <w:rPr>
                <w:rFonts w:eastAsia="Calibri" w:cs="Calibri"/>
                <w:noProof/>
              </w:rPr>
            </w:pPr>
            <w:r>
              <w:rPr>
                <w:noProof/>
              </w:rPr>
              <w:t>Διαδικασία υποβολής προσφορών για έργα έρευνας και καινοτομίας</w:t>
            </w:r>
          </w:p>
        </w:tc>
      </w:tr>
      <w:tr w:rsidR="00154AD2" w14:paraId="1D0B4AB1" w14:textId="77777777">
        <w:trPr>
          <w:trHeight w:val="440"/>
        </w:trPr>
        <w:tc>
          <w:tcPr>
            <w:tcW w:w="1200" w:type="dxa"/>
            <w:shd w:val="clear" w:color="auto" w:fill="C4EFCE"/>
            <w:vAlign w:val="center"/>
            <w:hideMark/>
          </w:tcPr>
          <w:p w14:paraId="0F7B6C0C" w14:textId="77777777" w:rsidR="00154AD2" w:rsidRDefault="007F6BF3">
            <w:pPr>
              <w:pStyle w:val="P68B1DB1-Normal23"/>
              <w:spacing w:after="0"/>
              <w:jc w:val="center"/>
              <w:rPr>
                <w:noProof/>
              </w:rPr>
            </w:pPr>
            <w:r>
              <w:rPr>
                <w:noProof/>
              </w:rPr>
              <w:t>5.15</w:t>
            </w:r>
          </w:p>
        </w:tc>
        <w:tc>
          <w:tcPr>
            <w:tcW w:w="1760" w:type="dxa"/>
            <w:shd w:val="clear" w:color="auto" w:fill="C4EFCE"/>
            <w:vAlign w:val="center"/>
            <w:hideMark/>
          </w:tcPr>
          <w:p w14:paraId="0CECB758" w14:textId="77777777" w:rsidR="00154AD2" w:rsidRDefault="007F6BF3">
            <w:pPr>
              <w:pStyle w:val="P68B1DB1-Normal23"/>
              <w:spacing w:after="0"/>
              <w:jc w:val="center"/>
              <w:rPr>
                <w:noProof/>
              </w:rPr>
            </w:pPr>
            <w:r>
              <w:rPr>
                <w:noProof/>
              </w:rPr>
              <w:t xml:space="preserve">RE-C05-i04-RAA </w:t>
            </w:r>
          </w:p>
        </w:tc>
        <w:tc>
          <w:tcPr>
            <w:tcW w:w="1520" w:type="dxa"/>
            <w:shd w:val="clear" w:color="auto" w:fill="C4EFCE"/>
            <w:vAlign w:val="center"/>
            <w:hideMark/>
          </w:tcPr>
          <w:p w14:paraId="70425A2C" w14:textId="77777777" w:rsidR="00154AD2" w:rsidRDefault="007F6BF3">
            <w:pPr>
              <w:pStyle w:val="P68B1DB1-Normal23"/>
              <w:spacing w:after="0"/>
              <w:jc w:val="center"/>
              <w:rPr>
                <w:noProof/>
              </w:rPr>
            </w:pPr>
            <w:r>
              <w:rPr>
                <w:noProof/>
              </w:rPr>
              <w:t>M</w:t>
            </w:r>
          </w:p>
        </w:tc>
        <w:tc>
          <w:tcPr>
            <w:tcW w:w="5060" w:type="dxa"/>
            <w:shd w:val="clear" w:color="auto" w:fill="C4EFCE"/>
            <w:vAlign w:val="center"/>
            <w:hideMark/>
          </w:tcPr>
          <w:p w14:paraId="3C8A3475" w14:textId="77777777" w:rsidR="00154AD2" w:rsidRDefault="007F6BF3">
            <w:pPr>
              <w:pStyle w:val="P68B1DB1-Normal23"/>
              <w:spacing w:after="0"/>
              <w:jc w:val="both"/>
              <w:rPr>
                <w:rFonts w:eastAsia="Calibri" w:cs="Calibri"/>
                <w:noProof/>
              </w:rPr>
            </w:pPr>
            <w:r>
              <w:rPr>
                <w:noProof/>
              </w:rPr>
              <w:t>Έκδοση κανονισμού για το μέσο ανακεφαλαιοποίησης των επιχειρήσεων στις Αζόρες</w:t>
            </w:r>
          </w:p>
        </w:tc>
      </w:tr>
      <w:tr w:rsidR="00154AD2" w14:paraId="176FDD0D" w14:textId="77777777">
        <w:trPr>
          <w:trHeight w:val="440"/>
        </w:trPr>
        <w:tc>
          <w:tcPr>
            <w:tcW w:w="1200" w:type="dxa"/>
            <w:shd w:val="clear" w:color="auto" w:fill="C4EFCE"/>
            <w:vAlign w:val="center"/>
            <w:hideMark/>
          </w:tcPr>
          <w:p w14:paraId="553D2824" w14:textId="77777777" w:rsidR="00154AD2" w:rsidRDefault="007F6BF3">
            <w:pPr>
              <w:pStyle w:val="P68B1DB1-Normal23"/>
              <w:spacing w:after="0"/>
              <w:jc w:val="center"/>
              <w:rPr>
                <w:noProof/>
              </w:rPr>
            </w:pPr>
            <w:r>
              <w:rPr>
                <w:noProof/>
              </w:rPr>
              <w:t>5.16</w:t>
            </w:r>
          </w:p>
        </w:tc>
        <w:tc>
          <w:tcPr>
            <w:tcW w:w="1760" w:type="dxa"/>
            <w:shd w:val="clear" w:color="auto" w:fill="C4EFCE"/>
            <w:vAlign w:val="center"/>
            <w:hideMark/>
          </w:tcPr>
          <w:p w14:paraId="2639BDA1" w14:textId="77777777" w:rsidR="00154AD2" w:rsidRDefault="007F6BF3">
            <w:pPr>
              <w:pStyle w:val="P68B1DB1-Normal23"/>
              <w:spacing w:after="0"/>
              <w:jc w:val="center"/>
              <w:rPr>
                <w:noProof/>
              </w:rPr>
            </w:pPr>
            <w:r>
              <w:rPr>
                <w:noProof/>
              </w:rPr>
              <w:t xml:space="preserve">RE-C05-i04-RAA </w:t>
            </w:r>
          </w:p>
        </w:tc>
        <w:tc>
          <w:tcPr>
            <w:tcW w:w="1520" w:type="dxa"/>
            <w:shd w:val="clear" w:color="auto" w:fill="C4EFCE"/>
            <w:vAlign w:val="center"/>
            <w:hideMark/>
          </w:tcPr>
          <w:p w14:paraId="102C8715" w14:textId="77777777" w:rsidR="00154AD2" w:rsidRDefault="007F6BF3">
            <w:pPr>
              <w:pStyle w:val="P68B1DB1-Normal23"/>
              <w:spacing w:after="0"/>
              <w:jc w:val="center"/>
              <w:rPr>
                <w:noProof/>
              </w:rPr>
            </w:pPr>
            <w:r>
              <w:rPr>
                <w:noProof/>
              </w:rPr>
              <w:t>M</w:t>
            </w:r>
          </w:p>
        </w:tc>
        <w:tc>
          <w:tcPr>
            <w:tcW w:w="5060" w:type="dxa"/>
            <w:shd w:val="clear" w:color="auto" w:fill="C4EFCE"/>
            <w:vAlign w:val="center"/>
            <w:hideMark/>
          </w:tcPr>
          <w:p w14:paraId="1746EFF2" w14:textId="77777777" w:rsidR="00154AD2" w:rsidRDefault="007F6BF3">
            <w:pPr>
              <w:pStyle w:val="P68B1DB1-Normal23"/>
              <w:spacing w:after="0"/>
              <w:jc w:val="both"/>
              <w:rPr>
                <w:rFonts w:eastAsia="Calibri" w:cs="Calibri"/>
                <w:noProof/>
              </w:rPr>
            </w:pPr>
            <w:r>
              <w:rPr>
                <w:noProof/>
              </w:rPr>
              <w:t>Έγκριση της επενδυτικής πολιτικής για το μέσο ανακεφαλαιοποίησης των επιχειρήσεων στις Αζόρες</w:t>
            </w:r>
          </w:p>
        </w:tc>
      </w:tr>
      <w:tr w:rsidR="00154AD2" w14:paraId="07EDB729" w14:textId="77777777">
        <w:trPr>
          <w:trHeight w:val="440"/>
        </w:trPr>
        <w:tc>
          <w:tcPr>
            <w:tcW w:w="1200" w:type="dxa"/>
            <w:shd w:val="clear" w:color="auto" w:fill="C4EFCE"/>
            <w:vAlign w:val="center"/>
            <w:hideMark/>
          </w:tcPr>
          <w:p w14:paraId="397FEFCC" w14:textId="77777777" w:rsidR="00154AD2" w:rsidRDefault="007F6BF3">
            <w:pPr>
              <w:pStyle w:val="P68B1DB1-Normal23"/>
              <w:spacing w:after="0"/>
              <w:jc w:val="center"/>
              <w:rPr>
                <w:noProof/>
              </w:rPr>
            </w:pPr>
            <w:r>
              <w:rPr>
                <w:noProof/>
              </w:rPr>
              <w:t>5.2</w:t>
            </w:r>
          </w:p>
        </w:tc>
        <w:tc>
          <w:tcPr>
            <w:tcW w:w="1760" w:type="dxa"/>
            <w:shd w:val="clear" w:color="auto" w:fill="C4EFCE"/>
            <w:vAlign w:val="center"/>
            <w:hideMark/>
          </w:tcPr>
          <w:p w14:paraId="7C1F4829" w14:textId="77777777" w:rsidR="00154AD2" w:rsidRDefault="007F6BF3">
            <w:pPr>
              <w:pStyle w:val="P68B1DB1-Normal23"/>
              <w:spacing w:after="0"/>
              <w:jc w:val="center"/>
              <w:rPr>
                <w:noProof/>
              </w:rPr>
            </w:pPr>
            <w:r>
              <w:rPr>
                <w:noProof/>
              </w:rPr>
              <w:t xml:space="preserve">RE-C05-r11 </w:t>
            </w:r>
          </w:p>
        </w:tc>
        <w:tc>
          <w:tcPr>
            <w:tcW w:w="1520" w:type="dxa"/>
            <w:shd w:val="clear" w:color="auto" w:fill="C4EFCE"/>
            <w:vAlign w:val="center"/>
            <w:hideMark/>
          </w:tcPr>
          <w:p w14:paraId="5720520B" w14:textId="77777777" w:rsidR="00154AD2" w:rsidRDefault="007F6BF3">
            <w:pPr>
              <w:pStyle w:val="P68B1DB1-Normal23"/>
              <w:spacing w:after="0"/>
              <w:jc w:val="center"/>
              <w:rPr>
                <w:noProof/>
              </w:rPr>
            </w:pPr>
            <w:r>
              <w:rPr>
                <w:noProof/>
              </w:rPr>
              <w:t>T</w:t>
            </w:r>
          </w:p>
        </w:tc>
        <w:tc>
          <w:tcPr>
            <w:tcW w:w="5060" w:type="dxa"/>
            <w:shd w:val="clear" w:color="auto" w:fill="C4EFCE"/>
            <w:vAlign w:val="center"/>
            <w:hideMark/>
          </w:tcPr>
          <w:p w14:paraId="0DF8414C" w14:textId="77777777" w:rsidR="00154AD2" w:rsidRDefault="007F6BF3">
            <w:pPr>
              <w:pStyle w:val="P68B1DB1-Normal23"/>
              <w:spacing w:after="0"/>
              <w:jc w:val="both"/>
              <w:rPr>
                <w:rFonts w:eastAsia="Calibri" w:cs="Calibri"/>
                <w:noProof/>
              </w:rPr>
            </w:pPr>
            <w:r>
              <w:rPr>
                <w:noProof/>
              </w:rPr>
              <w:t>Επέκταση του δικτύου αναγνωρισμένων συνεργατικών εργαστηρίων</w:t>
            </w:r>
          </w:p>
        </w:tc>
      </w:tr>
      <w:tr w:rsidR="00154AD2" w14:paraId="5A009809" w14:textId="77777777">
        <w:trPr>
          <w:trHeight w:val="440"/>
        </w:trPr>
        <w:tc>
          <w:tcPr>
            <w:tcW w:w="1200" w:type="dxa"/>
            <w:shd w:val="clear" w:color="auto" w:fill="C4EFCE"/>
            <w:vAlign w:val="center"/>
            <w:hideMark/>
          </w:tcPr>
          <w:p w14:paraId="45985C5D" w14:textId="77777777" w:rsidR="00154AD2" w:rsidRDefault="007F6BF3">
            <w:pPr>
              <w:pStyle w:val="P68B1DB1-Normal23"/>
              <w:spacing w:after="0"/>
              <w:jc w:val="center"/>
              <w:rPr>
                <w:noProof/>
              </w:rPr>
            </w:pPr>
            <w:r>
              <w:rPr>
                <w:noProof/>
              </w:rPr>
              <w:t>5.3</w:t>
            </w:r>
          </w:p>
        </w:tc>
        <w:tc>
          <w:tcPr>
            <w:tcW w:w="1760" w:type="dxa"/>
            <w:shd w:val="clear" w:color="auto" w:fill="C4EFCE"/>
            <w:vAlign w:val="center"/>
            <w:hideMark/>
          </w:tcPr>
          <w:p w14:paraId="011C25AB" w14:textId="77777777" w:rsidR="00154AD2" w:rsidRDefault="007F6BF3">
            <w:pPr>
              <w:pStyle w:val="P68B1DB1-Normal23"/>
              <w:spacing w:after="0"/>
              <w:jc w:val="center"/>
              <w:rPr>
                <w:noProof/>
              </w:rPr>
            </w:pPr>
            <w:r>
              <w:rPr>
                <w:noProof/>
              </w:rPr>
              <w:t xml:space="preserve">RE-C05-r11 </w:t>
            </w:r>
          </w:p>
        </w:tc>
        <w:tc>
          <w:tcPr>
            <w:tcW w:w="1520" w:type="dxa"/>
            <w:shd w:val="clear" w:color="auto" w:fill="C4EFCE"/>
            <w:vAlign w:val="center"/>
            <w:hideMark/>
          </w:tcPr>
          <w:p w14:paraId="2FDDC858" w14:textId="77777777" w:rsidR="00154AD2" w:rsidRDefault="007F6BF3">
            <w:pPr>
              <w:pStyle w:val="P68B1DB1-Normal23"/>
              <w:spacing w:after="0"/>
              <w:jc w:val="center"/>
              <w:rPr>
                <w:noProof/>
              </w:rPr>
            </w:pPr>
            <w:r>
              <w:rPr>
                <w:noProof/>
              </w:rPr>
              <w:t>M</w:t>
            </w:r>
          </w:p>
        </w:tc>
        <w:tc>
          <w:tcPr>
            <w:tcW w:w="5060" w:type="dxa"/>
            <w:shd w:val="clear" w:color="auto" w:fill="C4EFCE"/>
            <w:vAlign w:val="center"/>
            <w:hideMark/>
          </w:tcPr>
          <w:p w14:paraId="6A5BACC9" w14:textId="77777777" w:rsidR="00154AD2" w:rsidRDefault="007F6BF3">
            <w:pPr>
              <w:pStyle w:val="P68B1DB1-Normal23"/>
              <w:spacing w:after="0"/>
              <w:jc w:val="both"/>
              <w:rPr>
                <w:rFonts w:eastAsia="Calibri" w:cs="Calibri"/>
                <w:noProof/>
              </w:rPr>
            </w:pPr>
            <w:r>
              <w:rPr>
                <w:noProof/>
              </w:rPr>
              <w:t>Έναρξη ισχύος του νέου νομικού καθεστώτος για τα κέντρα τεχνολογίας και καινοτομίας</w:t>
            </w:r>
          </w:p>
        </w:tc>
      </w:tr>
      <w:tr w:rsidR="00154AD2" w14:paraId="19FDD4F0" w14:textId="77777777">
        <w:trPr>
          <w:trHeight w:val="440"/>
        </w:trPr>
        <w:tc>
          <w:tcPr>
            <w:tcW w:w="1200" w:type="dxa"/>
            <w:shd w:val="clear" w:color="auto" w:fill="C4EFCE"/>
            <w:vAlign w:val="center"/>
            <w:hideMark/>
          </w:tcPr>
          <w:p w14:paraId="63D580E9" w14:textId="77777777" w:rsidR="00154AD2" w:rsidRDefault="007F6BF3">
            <w:pPr>
              <w:pStyle w:val="P68B1DB1-Normal23"/>
              <w:spacing w:after="0"/>
              <w:jc w:val="center"/>
              <w:rPr>
                <w:noProof/>
              </w:rPr>
            </w:pPr>
            <w:r>
              <w:rPr>
                <w:noProof/>
              </w:rPr>
              <w:t>5.4</w:t>
            </w:r>
          </w:p>
        </w:tc>
        <w:tc>
          <w:tcPr>
            <w:tcW w:w="1760" w:type="dxa"/>
            <w:shd w:val="clear" w:color="auto" w:fill="C4EFCE"/>
            <w:vAlign w:val="center"/>
            <w:hideMark/>
          </w:tcPr>
          <w:p w14:paraId="10BF5D37" w14:textId="77777777" w:rsidR="00154AD2" w:rsidRDefault="007F6BF3">
            <w:pPr>
              <w:pStyle w:val="P68B1DB1-Normal23"/>
              <w:spacing w:after="0"/>
              <w:jc w:val="center"/>
              <w:rPr>
                <w:noProof/>
              </w:rPr>
            </w:pPr>
            <w:r>
              <w:rPr>
                <w:noProof/>
              </w:rPr>
              <w:t xml:space="preserve">RE-C05-r12 </w:t>
            </w:r>
          </w:p>
        </w:tc>
        <w:tc>
          <w:tcPr>
            <w:tcW w:w="1520" w:type="dxa"/>
            <w:shd w:val="clear" w:color="auto" w:fill="C4EFCE"/>
            <w:vAlign w:val="center"/>
            <w:hideMark/>
          </w:tcPr>
          <w:p w14:paraId="1867B00B" w14:textId="77777777" w:rsidR="00154AD2" w:rsidRDefault="007F6BF3">
            <w:pPr>
              <w:pStyle w:val="P68B1DB1-Normal23"/>
              <w:spacing w:after="0"/>
              <w:jc w:val="center"/>
              <w:rPr>
                <w:noProof/>
              </w:rPr>
            </w:pPr>
            <w:r>
              <w:rPr>
                <w:noProof/>
              </w:rPr>
              <w:t>M</w:t>
            </w:r>
          </w:p>
        </w:tc>
        <w:tc>
          <w:tcPr>
            <w:tcW w:w="5060" w:type="dxa"/>
            <w:shd w:val="clear" w:color="auto" w:fill="C4EFCE"/>
            <w:vAlign w:val="center"/>
            <w:hideMark/>
          </w:tcPr>
          <w:p w14:paraId="5CD95E27" w14:textId="77777777" w:rsidR="00154AD2" w:rsidRDefault="007F6BF3">
            <w:pPr>
              <w:pStyle w:val="P68B1DB1-Normal23"/>
              <w:spacing w:after="0"/>
              <w:jc w:val="both"/>
              <w:rPr>
                <w:rFonts w:eastAsia="Calibri" w:cs="Calibri"/>
                <w:noProof/>
              </w:rPr>
            </w:pPr>
            <w:r>
              <w:rPr>
                <w:noProof/>
              </w:rPr>
              <w:t>Έγκριση του θεματολογίου καινοτομίας για τη γεωργία</w:t>
            </w:r>
          </w:p>
        </w:tc>
      </w:tr>
      <w:tr w:rsidR="00154AD2" w14:paraId="12F9AFB2" w14:textId="77777777">
        <w:trPr>
          <w:trHeight w:val="440"/>
        </w:trPr>
        <w:tc>
          <w:tcPr>
            <w:tcW w:w="1200" w:type="dxa"/>
            <w:shd w:val="clear" w:color="auto" w:fill="C4EFCE"/>
            <w:vAlign w:val="center"/>
            <w:hideMark/>
          </w:tcPr>
          <w:p w14:paraId="39DEBBB4" w14:textId="77777777" w:rsidR="00154AD2" w:rsidRDefault="007F6BF3">
            <w:pPr>
              <w:pStyle w:val="P68B1DB1-Normal23"/>
              <w:spacing w:after="0"/>
              <w:jc w:val="center"/>
              <w:rPr>
                <w:noProof/>
              </w:rPr>
            </w:pPr>
            <w:r>
              <w:rPr>
                <w:noProof/>
              </w:rPr>
              <w:t>6.13</w:t>
            </w:r>
          </w:p>
        </w:tc>
        <w:tc>
          <w:tcPr>
            <w:tcW w:w="1760" w:type="dxa"/>
            <w:shd w:val="clear" w:color="auto" w:fill="C4EFCE"/>
            <w:vAlign w:val="center"/>
            <w:hideMark/>
          </w:tcPr>
          <w:p w14:paraId="30D3AAEE" w14:textId="77777777" w:rsidR="00154AD2" w:rsidRDefault="007F6BF3">
            <w:pPr>
              <w:pStyle w:val="P68B1DB1-Normal23"/>
              <w:spacing w:after="0"/>
              <w:jc w:val="center"/>
              <w:rPr>
                <w:noProof/>
              </w:rPr>
            </w:pPr>
            <w:r>
              <w:rPr>
                <w:noProof/>
              </w:rPr>
              <w:t xml:space="preserve">RE-C06-r15 </w:t>
            </w:r>
          </w:p>
        </w:tc>
        <w:tc>
          <w:tcPr>
            <w:tcW w:w="1520" w:type="dxa"/>
            <w:shd w:val="clear" w:color="auto" w:fill="C4EFCE"/>
            <w:vAlign w:val="center"/>
            <w:hideMark/>
          </w:tcPr>
          <w:p w14:paraId="43512B53" w14:textId="77777777" w:rsidR="00154AD2" w:rsidRDefault="007F6BF3">
            <w:pPr>
              <w:pStyle w:val="P68B1DB1-Normal23"/>
              <w:spacing w:after="0"/>
              <w:jc w:val="center"/>
              <w:rPr>
                <w:noProof/>
              </w:rPr>
            </w:pPr>
            <w:r>
              <w:rPr>
                <w:noProof/>
              </w:rPr>
              <w:t>M</w:t>
            </w:r>
          </w:p>
        </w:tc>
        <w:tc>
          <w:tcPr>
            <w:tcW w:w="5060" w:type="dxa"/>
            <w:shd w:val="clear" w:color="auto" w:fill="C4EFCE"/>
            <w:vAlign w:val="center"/>
            <w:hideMark/>
          </w:tcPr>
          <w:p w14:paraId="1BF7F834" w14:textId="77777777" w:rsidR="00154AD2" w:rsidRDefault="007F6BF3">
            <w:pPr>
              <w:pStyle w:val="P68B1DB1-Normal23"/>
              <w:spacing w:after="0"/>
              <w:jc w:val="both"/>
              <w:rPr>
                <w:rFonts w:eastAsia="Calibri" w:cs="Calibri"/>
                <w:noProof/>
              </w:rPr>
            </w:pPr>
            <w:r>
              <w:rPr>
                <w:noProof/>
              </w:rPr>
              <w:t>Έναρξη ισχύος του νόμου για τη θέσπιση ειδικών διαγωνισμών για την εισαγωγή στην τριτοβάθμια εκπαίδευση</w:t>
            </w:r>
          </w:p>
        </w:tc>
      </w:tr>
      <w:tr w:rsidR="00154AD2" w14:paraId="61C18867" w14:textId="77777777">
        <w:trPr>
          <w:trHeight w:val="440"/>
        </w:trPr>
        <w:tc>
          <w:tcPr>
            <w:tcW w:w="1200" w:type="dxa"/>
            <w:shd w:val="clear" w:color="auto" w:fill="C4EFCE"/>
            <w:vAlign w:val="center"/>
            <w:hideMark/>
          </w:tcPr>
          <w:p w14:paraId="0FD5FA1D" w14:textId="77777777" w:rsidR="00154AD2" w:rsidRDefault="007F6BF3">
            <w:pPr>
              <w:pStyle w:val="P68B1DB1-Normal23"/>
              <w:spacing w:after="0"/>
              <w:jc w:val="center"/>
              <w:rPr>
                <w:noProof/>
              </w:rPr>
            </w:pPr>
            <w:r>
              <w:rPr>
                <w:noProof/>
              </w:rPr>
              <w:t>6.14</w:t>
            </w:r>
          </w:p>
        </w:tc>
        <w:tc>
          <w:tcPr>
            <w:tcW w:w="1760" w:type="dxa"/>
            <w:shd w:val="clear" w:color="auto" w:fill="C4EFCE"/>
            <w:vAlign w:val="center"/>
            <w:hideMark/>
          </w:tcPr>
          <w:p w14:paraId="1EE8D1BA" w14:textId="77777777" w:rsidR="00154AD2" w:rsidRDefault="007F6BF3">
            <w:pPr>
              <w:pStyle w:val="P68B1DB1-Normal23"/>
              <w:spacing w:after="0"/>
              <w:jc w:val="center"/>
              <w:rPr>
                <w:noProof/>
              </w:rPr>
            </w:pPr>
            <w:r>
              <w:rPr>
                <w:noProof/>
              </w:rPr>
              <w:t xml:space="preserve">RE-C06-r15 </w:t>
            </w:r>
          </w:p>
        </w:tc>
        <w:tc>
          <w:tcPr>
            <w:tcW w:w="1520" w:type="dxa"/>
            <w:shd w:val="clear" w:color="auto" w:fill="C4EFCE"/>
            <w:vAlign w:val="center"/>
            <w:hideMark/>
          </w:tcPr>
          <w:p w14:paraId="64C27FF8" w14:textId="77777777" w:rsidR="00154AD2" w:rsidRDefault="007F6BF3">
            <w:pPr>
              <w:pStyle w:val="P68B1DB1-Normal23"/>
              <w:spacing w:after="0"/>
              <w:jc w:val="center"/>
              <w:rPr>
                <w:noProof/>
              </w:rPr>
            </w:pPr>
            <w:r>
              <w:rPr>
                <w:noProof/>
              </w:rPr>
              <w:t>M</w:t>
            </w:r>
          </w:p>
        </w:tc>
        <w:tc>
          <w:tcPr>
            <w:tcW w:w="5060" w:type="dxa"/>
            <w:shd w:val="clear" w:color="auto" w:fill="C4EFCE"/>
            <w:vAlign w:val="center"/>
            <w:hideMark/>
          </w:tcPr>
          <w:p w14:paraId="14B43E2A" w14:textId="77777777" w:rsidR="00154AD2" w:rsidRDefault="007F6BF3">
            <w:pPr>
              <w:pStyle w:val="P68B1DB1-Normal23"/>
              <w:spacing w:after="0"/>
              <w:jc w:val="both"/>
              <w:rPr>
                <w:rFonts w:eastAsia="Calibri" w:cs="Calibri"/>
                <w:noProof/>
              </w:rPr>
            </w:pPr>
            <w:r>
              <w:rPr>
                <w:noProof/>
              </w:rPr>
              <w:t>Έναρξη ισχύος του νέου νομικού πλαισίου που διέπει τη συνεργασία των ιδρυμάτων τριτοβάθμιας εκπαίδευσης με τη δημόσια διοίκηση και τις επιχειρήσεις</w:t>
            </w:r>
          </w:p>
        </w:tc>
      </w:tr>
      <w:tr w:rsidR="00154AD2" w14:paraId="4A58B578" w14:textId="77777777">
        <w:trPr>
          <w:trHeight w:val="440"/>
        </w:trPr>
        <w:tc>
          <w:tcPr>
            <w:tcW w:w="1200" w:type="dxa"/>
            <w:shd w:val="clear" w:color="auto" w:fill="C4EFCE"/>
            <w:vAlign w:val="center"/>
            <w:hideMark/>
          </w:tcPr>
          <w:p w14:paraId="589ACBA1" w14:textId="77777777" w:rsidR="00154AD2" w:rsidRDefault="007F6BF3">
            <w:pPr>
              <w:pStyle w:val="P68B1DB1-Normal23"/>
              <w:spacing w:after="0"/>
              <w:jc w:val="center"/>
              <w:rPr>
                <w:noProof/>
              </w:rPr>
            </w:pPr>
            <w:r>
              <w:rPr>
                <w:noProof/>
              </w:rPr>
              <w:t>7.13</w:t>
            </w:r>
          </w:p>
        </w:tc>
        <w:tc>
          <w:tcPr>
            <w:tcW w:w="1760" w:type="dxa"/>
            <w:shd w:val="clear" w:color="auto" w:fill="C4EFCE"/>
            <w:vAlign w:val="center"/>
            <w:hideMark/>
          </w:tcPr>
          <w:p w14:paraId="4582D520" w14:textId="77777777" w:rsidR="00154AD2" w:rsidRDefault="007F6BF3">
            <w:pPr>
              <w:pStyle w:val="P68B1DB1-Normal23"/>
              <w:spacing w:after="0"/>
              <w:jc w:val="center"/>
              <w:rPr>
                <w:noProof/>
              </w:rPr>
            </w:pPr>
            <w:r>
              <w:rPr>
                <w:noProof/>
              </w:rPr>
              <w:t xml:space="preserve">RE-C07-i05-RAA </w:t>
            </w:r>
          </w:p>
        </w:tc>
        <w:tc>
          <w:tcPr>
            <w:tcW w:w="1520" w:type="dxa"/>
            <w:shd w:val="clear" w:color="auto" w:fill="C4EFCE"/>
            <w:vAlign w:val="center"/>
            <w:hideMark/>
          </w:tcPr>
          <w:p w14:paraId="47370D35" w14:textId="77777777" w:rsidR="00154AD2" w:rsidRDefault="007F6BF3">
            <w:pPr>
              <w:pStyle w:val="P68B1DB1-Normal23"/>
              <w:spacing w:after="0"/>
              <w:jc w:val="center"/>
              <w:rPr>
                <w:noProof/>
              </w:rPr>
            </w:pPr>
            <w:r>
              <w:rPr>
                <w:noProof/>
              </w:rPr>
              <w:t>M</w:t>
            </w:r>
          </w:p>
        </w:tc>
        <w:tc>
          <w:tcPr>
            <w:tcW w:w="5060" w:type="dxa"/>
            <w:shd w:val="clear" w:color="auto" w:fill="C4EFCE"/>
            <w:vAlign w:val="center"/>
            <w:hideMark/>
          </w:tcPr>
          <w:p w14:paraId="26028944" w14:textId="77777777" w:rsidR="00154AD2" w:rsidRDefault="007F6BF3">
            <w:pPr>
              <w:pStyle w:val="P68B1DB1-Normal23"/>
              <w:spacing w:after="0"/>
              <w:jc w:val="both"/>
              <w:rPr>
                <w:rFonts w:eastAsia="Calibri" w:cs="Calibri"/>
                <w:noProof/>
              </w:rPr>
            </w:pPr>
            <w:r>
              <w:rPr>
                <w:noProof/>
              </w:rPr>
              <w:t>Υπογραφή σύμβασης για 2 έργα οδοποιίας</w:t>
            </w:r>
          </w:p>
        </w:tc>
      </w:tr>
      <w:tr w:rsidR="00154AD2" w14:paraId="5A75393F" w14:textId="77777777">
        <w:trPr>
          <w:trHeight w:val="440"/>
        </w:trPr>
        <w:tc>
          <w:tcPr>
            <w:tcW w:w="1200" w:type="dxa"/>
            <w:shd w:val="clear" w:color="auto" w:fill="C4EFCE"/>
            <w:vAlign w:val="center"/>
            <w:hideMark/>
          </w:tcPr>
          <w:p w14:paraId="4836862C" w14:textId="77777777" w:rsidR="00154AD2" w:rsidRDefault="007F6BF3">
            <w:pPr>
              <w:pStyle w:val="P68B1DB1-Normal23"/>
              <w:spacing w:after="0"/>
              <w:jc w:val="center"/>
              <w:rPr>
                <w:noProof/>
              </w:rPr>
            </w:pPr>
            <w:r>
              <w:rPr>
                <w:noProof/>
              </w:rPr>
              <w:t>7.4</w:t>
            </w:r>
          </w:p>
        </w:tc>
        <w:tc>
          <w:tcPr>
            <w:tcW w:w="1760" w:type="dxa"/>
            <w:shd w:val="clear" w:color="auto" w:fill="C4EFCE"/>
            <w:vAlign w:val="center"/>
            <w:hideMark/>
          </w:tcPr>
          <w:p w14:paraId="6EC62E0F" w14:textId="77777777" w:rsidR="00154AD2" w:rsidRDefault="007F6BF3">
            <w:pPr>
              <w:pStyle w:val="P68B1DB1-Normal23"/>
              <w:spacing w:after="0"/>
              <w:jc w:val="center"/>
              <w:rPr>
                <w:noProof/>
              </w:rPr>
            </w:pPr>
            <w:r>
              <w:rPr>
                <w:noProof/>
              </w:rPr>
              <w:t xml:space="preserve">RE-C07-i01 </w:t>
            </w:r>
          </w:p>
        </w:tc>
        <w:tc>
          <w:tcPr>
            <w:tcW w:w="1520" w:type="dxa"/>
            <w:shd w:val="clear" w:color="auto" w:fill="C4EFCE"/>
            <w:vAlign w:val="center"/>
            <w:hideMark/>
          </w:tcPr>
          <w:p w14:paraId="43E1DAC1" w14:textId="77777777" w:rsidR="00154AD2" w:rsidRDefault="007F6BF3">
            <w:pPr>
              <w:pStyle w:val="P68B1DB1-Normal23"/>
              <w:spacing w:after="0"/>
              <w:jc w:val="center"/>
              <w:rPr>
                <w:noProof/>
              </w:rPr>
            </w:pPr>
            <w:r>
              <w:rPr>
                <w:noProof/>
              </w:rPr>
              <w:t>M</w:t>
            </w:r>
          </w:p>
        </w:tc>
        <w:tc>
          <w:tcPr>
            <w:tcW w:w="5060" w:type="dxa"/>
            <w:shd w:val="clear" w:color="auto" w:fill="C4EFCE"/>
            <w:vAlign w:val="center"/>
            <w:hideMark/>
          </w:tcPr>
          <w:p w14:paraId="4A91E7C4" w14:textId="77777777" w:rsidR="00154AD2" w:rsidRDefault="007F6BF3">
            <w:pPr>
              <w:pStyle w:val="P68B1DB1-Normal23"/>
              <w:spacing w:after="0"/>
              <w:jc w:val="both"/>
              <w:rPr>
                <w:rFonts w:eastAsia="Calibri" w:cs="Calibri"/>
                <w:noProof/>
              </w:rPr>
            </w:pPr>
            <w:r>
              <w:rPr>
                <w:noProof/>
              </w:rPr>
              <w:t>Επιλογή χώρων υποδοχής επιχειρήσεων για παρεμβάσεις βελτίωσης της περιβαλλοντικής βιωσιμότητας και ψηφιοποίησης</w:t>
            </w:r>
          </w:p>
        </w:tc>
      </w:tr>
      <w:tr w:rsidR="00154AD2" w14:paraId="75CC5DDC" w14:textId="77777777">
        <w:trPr>
          <w:trHeight w:val="440"/>
        </w:trPr>
        <w:tc>
          <w:tcPr>
            <w:tcW w:w="1200" w:type="dxa"/>
            <w:shd w:val="clear" w:color="auto" w:fill="C4EFCE"/>
            <w:vAlign w:val="center"/>
            <w:hideMark/>
          </w:tcPr>
          <w:p w14:paraId="5E220711" w14:textId="77777777" w:rsidR="00154AD2" w:rsidRDefault="007F6BF3">
            <w:pPr>
              <w:pStyle w:val="P68B1DB1-Normal23"/>
              <w:spacing w:after="0"/>
              <w:jc w:val="center"/>
              <w:rPr>
                <w:noProof/>
              </w:rPr>
            </w:pPr>
            <w:r>
              <w:rPr>
                <w:noProof/>
              </w:rPr>
              <w:t>7.6</w:t>
            </w:r>
          </w:p>
        </w:tc>
        <w:tc>
          <w:tcPr>
            <w:tcW w:w="1760" w:type="dxa"/>
            <w:shd w:val="clear" w:color="auto" w:fill="C4EFCE"/>
            <w:vAlign w:val="center"/>
            <w:hideMark/>
          </w:tcPr>
          <w:p w14:paraId="5A760791" w14:textId="77777777" w:rsidR="00154AD2" w:rsidRDefault="007F6BF3">
            <w:pPr>
              <w:pStyle w:val="P68B1DB1-Normal23"/>
              <w:spacing w:after="0"/>
              <w:jc w:val="center"/>
              <w:rPr>
                <w:noProof/>
              </w:rPr>
            </w:pPr>
            <w:r>
              <w:rPr>
                <w:noProof/>
              </w:rPr>
              <w:t xml:space="preserve">RE-C07-i02 </w:t>
            </w:r>
          </w:p>
        </w:tc>
        <w:tc>
          <w:tcPr>
            <w:tcW w:w="1520" w:type="dxa"/>
            <w:shd w:val="clear" w:color="auto" w:fill="C4EFCE"/>
            <w:vAlign w:val="center"/>
            <w:hideMark/>
          </w:tcPr>
          <w:p w14:paraId="7D0D3132" w14:textId="77777777" w:rsidR="00154AD2" w:rsidRDefault="007F6BF3">
            <w:pPr>
              <w:pStyle w:val="P68B1DB1-Normal23"/>
              <w:spacing w:after="0"/>
              <w:jc w:val="center"/>
              <w:rPr>
                <w:noProof/>
              </w:rPr>
            </w:pPr>
            <w:r>
              <w:rPr>
                <w:noProof/>
              </w:rPr>
              <w:t>M</w:t>
            </w:r>
          </w:p>
        </w:tc>
        <w:tc>
          <w:tcPr>
            <w:tcW w:w="5060" w:type="dxa"/>
            <w:shd w:val="clear" w:color="auto" w:fill="C4EFCE"/>
            <w:vAlign w:val="center"/>
            <w:hideMark/>
          </w:tcPr>
          <w:p w14:paraId="7E253E1A" w14:textId="77777777" w:rsidR="00154AD2" w:rsidRDefault="007F6BF3">
            <w:pPr>
              <w:pStyle w:val="P68B1DB1-Normal23"/>
              <w:spacing w:after="0"/>
              <w:jc w:val="both"/>
              <w:rPr>
                <w:rFonts w:eastAsia="Calibri" w:cs="Calibri"/>
                <w:noProof/>
              </w:rPr>
            </w:pPr>
            <w:r>
              <w:rPr>
                <w:noProof/>
              </w:rPr>
              <w:t>Υπογραφή σύμβασης για το έργο οδοποιίας 1</w:t>
            </w:r>
          </w:p>
        </w:tc>
      </w:tr>
      <w:tr w:rsidR="00154AD2" w14:paraId="5BEA9678" w14:textId="77777777">
        <w:trPr>
          <w:trHeight w:val="440"/>
        </w:trPr>
        <w:tc>
          <w:tcPr>
            <w:tcW w:w="1200" w:type="dxa"/>
            <w:shd w:val="clear" w:color="auto" w:fill="C4EFCE"/>
            <w:vAlign w:val="center"/>
            <w:hideMark/>
          </w:tcPr>
          <w:p w14:paraId="3C39A8D9" w14:textId="77777777" w:rsidR="00154AD2" w:rsidRDefault="007F6BF3">
            <w:pPr>
              <w:pStyle w:val="P68B1DB1-Normal23"/>
              <w:spacing w:after="0"/>
              <w:jc w:val="center"/>
              <w:rPr>
                <w:noProof/>
              </w:rPr>
            </w:pPr>
            <w:r>
              <w:rPr>
                <w:noProof/>
              </w:rPr>
              <w:t>8.17</w:t>
            </w:r>
          </w:p>
        </w:tc>
        <w:tc>
          <w:tcPr>
            <w:tcW w:w="1760" w:type="dxa"/>
            <w:shd w:val="clear" w:color="auto" w:fill="C4EFCE"/>
            <w:vAlign w:val="center"/>
            <w:hideMark/>
          </w:tcPr>
          <w:p w14:paraId="0B0F6447" w14:textId="77777777" w:rsidR="00154AD2" w:rsidRDefault="007F6BF3">
            <w:pPr>
              <w:pStyle w:val="P68B1DB1-Normal23"/>
              <w:spacing w:after="0"/>
              <w:jc w:val="center"/>
              <w:rPr>
                <w:noProof/>
              </w:rPr>
            </w:pPr>
            <w:r>
              <w:rPr>
                <w:noProof/>
              </w:rPr>
              <w:t xml:space="preserve">RE-C08-r19 </w:t>
            </w:r>
          </w:p>
        </w:tc>
        <w:tc>
          <w:tcPr>
            <w:tcW w:w="1520" w:type="dxa"/>
            <w:shd w:val="clear" w:color="auto" w:fill="C4EFCE"/>
            <w:vAlign w:val="center"/>
            <w:hideMark/>
          </w:tcPr>
          <w:p w14:paraId="6886AA4B" w14:textId="77777777" w:rsidR="00154AD2" w:rsidRDefault="007F6BF3">
            <w:pPr>
              <w:pStyle w:val="P68B1DB1-Normal23"/>
              <w:spacing w:after="0"/>
              <w:jc w:val="center"/>
              <w:rPr>
                <w:noProof/>
              </w:rPr>
            </w:pPr>
            <w:r>
              <w:rPr>
                <w:noProof/>
              </w:rPr>
              <w:t>M</w:t>
            </w:r>
          </w:p>
        </w:tc>
        <w:tc>
          <w:tcPr>
            <w:tcW w:w="5060" w:type="dxa"/>
            <w:shd w:val="clear" w:color="auto" w:fill="C4EFCE"/>
            <w:vAlign w:val="center"/>
            <w:hideMark/>
          </w:tcPr>
          <w:p w14:paraId="113FE96C" w14:textId="77777777" w:rsidR="00154AD2" w:rsidRDefault="007F6BF3">
            <w:pPr>
              <w:pStyle w:val="P68B1DB1-Normal23"/>
              <w:spacing w:after="0"/>
              <w:jc w:val="both"/>
              <w:rPr>
                <w:rFonts w:eastAsia="Calibri" w:cs="Calibri"/>
                <w:noProof/>
              </w:rPr>
            </w:pPr>
            <w:r>
              <w:rPr>
                <w:noProof/>
              </w:rPr>
              <w:t>Νομικό πλαίσιο για την υποχρεωτική ιδιοκτησία αγροτικών εκτάσεων σε δασικές περιοχές</w:t>
            </w:r>
          </w:p>
        </w:tc>
      </w:tr>
      <w:tr w:rsidR="00154AD2" w14:paraId="5B8ABD10" w14:textId="77777777">
        <w:trPr>
          <w:trHeight w:val="440"/>
        </w:trPr>
        <w:tc>
          <w:tcPr>
            <w:tcW w:w="1200" w:type="dxa"/>
            <w:shd w:val="clear" w:color="auto" w:fill="C4EFCE"/>
            <w:vAlign w:val="center"/>
            <w:hideMark/>
          </w:tcPr>
          <w:p w14:paraId="519B6950" w14:textId="77777777" w:rsidR="00154AD2" w:rsidRDefault="007F6BF3">
            <w:pPr>
              <w:pStyle w:val="P68B1DB1-Normal23"/>
              <w:spacing w:after="0"/>
              <w:jc w:val="center"/>
              <w:rPr>
                <w:noProof/>
              </w:rPr>
            </w:pPr>
            <w:r>
              <w:rPr>
                <w:noProof/>
              </w:rPr>
              <w:t>8.19</w:t>
            </w:r>
          </w:p>
        </w:tc>
        <w:tc>
          <w:tcPr>
            <w:tcW w:w="1760" w:type="dxa"/>
            <w:shd w:val="clear" w:color="auto" w:fill="C4EFCE"/>
            <w:vAlign w:val="center"/>
            <w:hideMark/>
          </w:tcPr>
          <w:p w14:paraId="5223F53B" w14:textId="77777777" w:rsidR="00154AD2" w:rsidRDefault="007F6BF3">
            <w:pPr>
              <w:pStyle w:val="P68B1DB1-Normal23"/>
              <w:spacing w:after="0"/>
              <w:jc w:val="center"/>
              <w:rPr>
                <w:noProof/>
              </w:rPr>
            </w:pPr>
            <w:r>
              <w:rPr>
                <w:noProof/>
              </w:rPr>
              <w:t xml:space="preserve">RE-C08-r21 </w:t>
            </w:r>
          </w:p>
        </w:tc>
        <w:tc>
          <w:tcPr>
            <w:tcW w:w="1520" w:type="dxa"/>
            <w:shd w:val="clear" w:color="auto" w:fill="C4EFCE"/>
            <w:vAlign w:val="center"/>
            <w:hideMark/>
          </w:tcPr>
          <w:p w14:paraId="4883CA1A" w14:textId="77777777" w:rsidR="00154AD2" w:rsidRDefault="007F6BF3">
            <w:pPr>
              <w:pStyle w:val="P68B1DB1-Normal23"/>
              <w:spacing w:after="0"/>
              <w:jc w:val="center"/>
              <w:rPr>
                <w:noProof/>
              </w:rPr>
            </w:pPr>
            <w:r>
              <w:rPr>
                <w:noProof/>
              </w:rPr>
              <w:t>M</w:t>
            </w:r>
          </w:p>
        </w:tc>
        <w:tc>
          <w:tcPr>
            <w:tcW w:w="5060" w:type="dxa"/>
            <w:shd w:val="clear" w:color="auto" w:fill="C4EFCE"/>
            <w:vAlign w:val="center"/>
            <w:hideMark/>
          </w:tcPr>
          <w:p w14:paraId="02ED0FFB" w14:textId="77777777" w:rsidR="00154AD2" w:rsidRDefault="007F6BF3">
            <w:pPr>
              <w:pStyle w:val="P68B1DB1-Normal23"/>
              <w:spacing w:after="0"/>
              <w:jc w:val="both"/>
              <w:rPr>
                <w:rFonts w:eastAsia="Calibri" w:cs="Calibri"/>
                <w:noProof/>
              </w:rPr>
            </w:pPr>
            <w:r>
              <w:rPr>
                <w:noProof/>
              </w:rPr>
              <w:t>Νόμος για τη θέσπιση ολοκληρωμένου συστήματος διαχείρισης των πυρκαγιών στις αγροτικές περιοχές (SGIFR)</w:t>
            </w:r>
          </w:p>
        </w:tc>
      </w:tr>
      <w:tr w:rsidR="00154AD2" w14:paraId="7BBE62F1" w14:textId="77777777">
        <w:trPr>
          <w:trHeight w:val="440"/>
        </w:trPr>
        <w:tc>
          <w:tcPr>
            <w:tcW w:w="1200" w:type="dxa"/>
            <w:shd w:val="clear" w:color="auto" w:fill="C4EFCE"/>
            <w:vAlign w:val="center"/>
            <w:hideMark/>
          </w:tcPr>
          <w:p w14:paraId="74840772" w14:textId="77777777" w:rsidR="00154AD2" w:rsidRDefault="007F6BF3">
            <w:pPr>
              <w:pStyle w:val="P68B1DB1-Normal23"/>
              <w:spacing w:after="0"/>
              <w:jc w:val="center"/>
              <w:rPr>
                <w:noProof/>
              </w:rPr>
            </w:pPr>
            <w:r>
              <w:rPr>
                <w:noProof/>
              </w:rPr>
              <w:t>10.1</w:t>
            </w:r>
          </w:p>
        </w:tc>
        <w:tc>
          <w:tcPr>
            <w:tcW w:w="1760" w:type="dxa"/>
            <w:shd w:val="clear" w:color="auto" w:fill="C4EFCE"/>
            <w:vAlign w:val="center"/>
            <w:hideMark/>
          </w:tcPr>
          <w:p w14:paraId="081EA232" w14:textId="77777777" w:rsidR="00154AD2" w:rsidRDefault="007F6BF3">
            <w:pPr>
              <w:pStyle w:val="P68B1DB1-Normal23"/>
              <w:spacing w:after="0"/>
              <w:jc w:val="center"/>
              <w:rPr>
                <w:noProof/>
              </w:rPr>
            </w:pPr>
            <w:r>
              <w:rPr>
                <w:noProof/>
              </w:rPr>
              <w:t xml:space="preserve">TC-C10-r23 </w:t>
            </w:r>
          </w:p>
        </w:tc>
        <w:tc>
          <w:tcPr>
            <w:tcW w:w="1520" w:type="dxa"/>
            <w:shd w:val="clear" w:color="auto" w:fill="C4EFCE"/>
            <w:vAlign w:val="center"/>
            <w:hideMark/>
          </w:tcPr>
          <w:p w14:paraId="1A40FC5B" w14:textId="77777777" w:rsidR="00154AD2" w:rsidRDefault="007F6BF3">
            <w:pPr>
              <w:pStyle w:val="P68B1DB1-Normal23"/>
              <w:spacing w:after="0"/>
              <w:jc w:val="center"/>
              <w:rPr>
                <w:noProof/>
              </w:rPr>
            </w:pPr>
            <w:r>
              <w:rPr>
                <w:noProof/>
              </w:rPr>
              <w:t>M</w:t>
            </w:r>
          </w:p>
        </w:tc>
        <w:tc>
          <w:tcPr>
            <w:tcW w:w="5060" w:type="dxa"/>
            <w:shd w:val="clear" w:color="auto" w:fill="C4EFCE"/>
            <w:vAlign w:val="center"/>
            <w:hideMark/>
          </w:tcPr>
          <w:p w14:paraId="4A1DFEA2" w14:textId="77777777" w:rsidR="00154AD2" w:rsidRDefault="007F6BF3">
            <w:pPr>
              <w:pStyle w:val="P68B1DB1-Normal23"/>
              <w:spacing w:after="0"/>
              <w:jc w:val="both"/>
              <w:rPr>
                <w:rFonts w:eastAsia="Calibri" w:cs="Calibri"/>
                <w:noProof/>
              </w:rPr>
            </w:pPr>
            <w:r>
              <w:rPr>
                <w:noProof/>
              </w:rPr>
              <w:t>Έναρξη ισχύος της αναθεώρησης των πράξεων του Υπουργείου Θαλάσσης σχετικά με την ενίσχυση της χρηματοδοτικής ικανότητας για τη θαλάσσια οικονομία και καινοτομία μέσω του Γαλάζιου Ταμείου</w:t>
            </w:r>
          </w:p>
        </w:tc>
      </w:tr>
      <w:tr w:rsidR="00154AD2" w14:paraId="595FF18B" w14:textId="77777777">
        <w:trPr>
          <w:trHeight w:val="440"/>
        </w:trPr>
        <w:tc>
          <w:tcPr>
            <w:tcW w:w="1200" w:type="dxa"/>
            <w:shd w:val="clear" w:color="auto" w:fill="C4EFCE"/>
            <w:vAlign w:val="center"/>
            <w:hideMark/>
          </w:tcPr>
          <w:p w14:paraId="51E6AC70" w14:textId="77777777" w:rsidR="00154AD2" w:rsidRDefault="007F6BF3">
            <w:pPr>
              <w:pStyle w:val="P68B1DB1-Normal23"/>
              <w:spacing w:after="0"/>
              <w:jc w:val="center"/>
              <w:rPr>
                <w:noProof/>
              </w:rPr>
            </w:pPr>
            <w:r>
              <w:rPr>
                <w:noProof/>
              </w:rPr>
              <w:t>11.1</w:t>
            </w:r>
          </w:p>
        </w:tc>
        <w:tc>
          <w:tcPr>
            <w:tcW w:w="1760" w:type="dxa"/>
            <w:shd w:val="clear" w:color="auto" w:fill="C4EFCE"/>
            <w:vAlign w:val="center"/>
            <w:hideMark/>
          </w:tcPr>
          <w:p w14:paraId="19722C51" w14:textId="77777777" w:rsidR="00154AD2" w:rsidRDefault="007F6BF3">
            <w:pPr>
              <w:pStyle w:val="P68B1DB1-Normal23"/>
              <w:spacing w:after="0"/>
              <w:jc w:val="center"/>
              <w:rPr>
                <w:noProof/>
              </w:rPr>
            </w:pPr>
            <w:r>
              <w:rPr>
                <w:noProof/>
              </w:rPr>
              <w:t xml:space="preserve">TC-C11-I01 </w:t>
            </w:r>
          </w:p>
        </w:tc>
        <w:tc>
          <w:tcPr>
            <w:tcW w:w="1520" w:type="dxa"/>
            <w:shd w:val="clear" w:color="auto" w:fill="C4EFCE"/>
            <w:vAlign w:val="center"/>
            <w:hideMark/>
          </w:tcPr>
          <w:p w14:paraId="4C1ADAEB" w14:textId="77777777" w:rsidR="00154AD2" w:rsidRDefault="007F6BF3">
            <w:pPr>
              <w:pStyle w:val="P68B1DB1-Normal23"/>
              <w:spacing w:after="0"/>
              <w:jc w:val="center"/>
              <w:rPr>
                <w:noProof/>
              </w:rPr>
            </w:pPr>
            <w:r>
              <w:rPr>
                <w:noProof/>
              </w:rPr>
              <w:t>M</w:t>
            </w:r>
          </w:p>
        </w:tc>
        <w:tc>
          <w:tcPr>
            <w:tcW w:w="5060" w:type="dxa"/>
            <w:shd w:val="clear" w:color="auto" w:fill="C4EFCE"/>
            <w:vAlign w:val="center"/>
            <w:hideMark/>
          </w:tcPr>
          <w:p w14:paraId="3D4D4BC1" w14:textId="77777777" w:rsidR="00154AD2" w:rsidRDefault="007F6BF3">
            <w:pPr>
              <w:pStyle w:val="P68B1DB1-Normal23"/>
              <w:spacing w:after="0"/>
              <w:jc w:val="both"/>
              <w:rPr>
                <w:rFonts w:eastAsia="Calibri" w:cs="Calibri"/>
                <w:noProof/>
              </w:rPr>
            </w:pPr>
            <w:r>
              <w:rPr>
                <w:noProof/>
              </w:rPr>
              <w:t>Πρώτη πρόσκληση υποβολής προσφορών για έργα απανθρακοποίησης της βιομηχανίας</w:t>
            </w:r>
          </w:p>
        </w:tc>
      </w:tr>
      <w:tr w:rsidR="00154AD2" w14:paraId="31460A21" w14:textId="77777777">
        <w:trPr>
          <w:trHeight w:val="440"/>
        </w:trPr>
        <w:tc>
          <w:tcPr>
            <w:tcW w:w="1200" w:type="dxa"/>
            <w:shd w:val="clear" w:color="auto" w:fill="C4EFCE"/>
            <w:vAlign w:val="center"/>
            <w:hideMark/>
          </w:tcPr>
          <w:p w14:paraId="50C257CF" w14:textId="77777777" w:rsidR="00154AD2" w:rsidRDefault="007F6BF3">
            <w:pPr>
              <w:pStyle w:val="P68B1DB1-Normal23"/>
              <w:spacing w:after="0"/>
              <w:jc w:val="center"/>
              <w:rPr>
                <w:noProof/>
              </w:rPr>
            </w:pPr>
            <w:r>
              <w:rPr>
                <w:noProof/>
              </w:rPr>
              <w:t>12.1</w:t>
            </w:r>
          </w:p>
        </w:tc>
        <w:tc>
          <w:tcPr>
            <w:tcW w:w="1760" w:type="dxa"/>
            <w:shd w:val="clear" w:color="auto" w:fill="C4EFCE"/>
            <w:vAlign w:val="center"/>
            <w:hideMark/>
          </w:tcPr>
          <w:p w14:paraId="4AAF72C5" w14:textId="77777777" w:rsidR="00154AD2" w:rsidRDefault="007F6BF3">
            <w:pPr>
              <w:pStyle w:val="P68B1DB1-Normal23"/>
              <w:spacing w:after="0"/>
              <w:jc w:val="center"/>
              <w:rPr>
                <w:noProof/>
              </w:rPr>
            </w:pPr>
            <w:r>
              <w:rPr>
                <w:noProof/>
              </w:rPr>
              <w:t xml:space="preserve">TC-C12-I01 </w:t>
            </w:r>
          </w:p>
        </w:tc>
        <w:tc>
          <w:tcPr>
            <w:tcW w:w="1520" w:type="dxa"/>
            <w:shd w:val="clear" w:color="auto" w:fill="C4EFCE"/>
            <w:vAlign w:val="center"/>
            <w:hideMark/>
          </w:tcPr>
          <w:p w14:paraId="47D2CFD9" w14:textId="77777777" w:rsidR="00154AD2" w:rsidRDefault="007F6BF3">
            <w:pPr>
              <w:pStyle w:val="P68B1DB1-Normal23"/>
              <w:spacing w:after="0"/>
              <w:jc w:val="center"/>
              <w:rPr>
                <w:noProof/>
              </w:rPr>
            </w:pPr>
            <w:r>
              <w:rPr>
                <w:noProof/>
              </w:rPr>
              <w:t>M</w:t>
            </w:r>
          </w:p>
        </w:tc>
        <w:tc>
          <w:tcPr>
            <w:tcW w:w="5060" w:type="dxa"/>
            <w:shd w:val="clear" w:color="auto" w:fill="C4EFCE"/>
            <w:vAlign w:val="center"/>
            <w:hideMark/>
          </w:tcPr>
          <w:p w14:paraId="7D7CA154" w14:textId="77777777" w:rsidR="00154AD2" w:rsidRDefault="007F6BF3">
            <w:pPr>
              <w:pStyle w:val="P68B1DB1-Normal23"/>
              <w:spacing w:after="0"/>
              <w:jc w:val="both"/>
              <w:rPr>
                <w:rFonts w:eastAsia="Calibri" w:cs="Calibri"/>
                <w:noProof/>
              </w:rPr>
            </w:pPr>
            <w:r>
              <w:rPr>
                <w:noProof/>
              </w:rPr>
              <w:t>Υπογραφή του πρωτοκόλλου του 2021 του προγράμματος «Resineiros Vigilantes»</w:t>
            </w:r>
          </w:p>
        </w:tc>
      </w:tr>
      <w:tr w:rsidR="00154AD2" w14:paraId="64499990" w14:textId="77777777">
        <w:trPr>
          <w:trHeight w:val="440"/>
        </w:trPr>
        <w:tc>
          <w:tcPr>
            <w:tcW w:w="1200" w:type="dxa"/>
            <w:shd w:val="clear" w:color="auto" w:fill="C4EFCE"/>
            <w:vAlign w:val="center"/>
            <w:hideMark/>
          </w:tcPr>
          <w:p w14:paraId="66FF5C24" w14:textId="77777777" w:rsidR="00154AD2" w:rsidRDefault="007F6BF3">
            <w:pPr>
              <w:pStyle w:val="P68B1DB1-Normal23"/>
              <w:spacing w:after="0"/>
              <w:jc w:val="center"/>
              <w:rPr>
                <w:noProof/>
              </w:rPr>
            </w:pPr>
            <w:r>
              <w:rPr>
                <w:noProof/>
              </w:rPr>
              <w:t>12.5</w:t>
            </w:r>
          </w:p>
        </w:tc>
        <w:tc>
          <w:tcPr>
            <w:tcW w:w="1760" w:type="dxa"/>
            <w:shd w:val="clear" w:color="auto" w:fill="C4EFCE"/>
            <w:vAlign w:val="center"/>
            <w:hideMark/>
          </w:tcPr>
          <w:p w14:paraId="6D7ECE35" w14:textId="77777777" w:rsidR="00154AD2" w:rsidRDefault="007F6BF3">
            <w:pPr>
              <w:pStyle w:val="P68B1DB1-Normal23"/>
              <w:spacing w:after="0"/>
              <w:jc w:val="center"/>
              <w:rPr>
                <w:noProof/>
              </w:rPr>
            </w:pPr>
            <w:r>
              <w:rPr>
                <w:noProof/>
              </w:rPr>
              <w:t xml:space="preserve">TC-C12-r25 </w:t>
            </w:r>
          </w:p>
        </w:tc>
        <w:tc>
          <w:tcPr>
            <w:tcW w:w="1520" w:type="dxa"/>
            <w:shd w:val="clear" w:color="auto" w:fill="C4EFCE"/>
            <w:vAlign w:val="center"/>
            <w:hideMark/>
          </w:tcPr>
          <w:p w14:paraId="34B9AE22" w14:textId="77777777" w:rsidR="00154AD2" w:rsidRDefault="007F6BF3">
            <w:pPr>
              <w:pStyle w:val="P68B1DB1-Normal23"/>
              <w:spacing w:after="0"/>
              <w:jc w:val="center"/>
              <w:rPr>
                <w:noProof/>
              </w:rPr>
            </w:pPr>
            <w:r>
              <w:rPr>
                <w:noProof/>
              </w:rPr>
              <w:t>M</w:t>
            </w:r>
          </w:p>
        </w:tc>
        <w:tc>
          <w:tcPr>
            <w:tcW w:w="5060" w:type="dxa"/>
            <w:shd w:val="clear" w:color="auto" w:fill="C4EFCE"/>
            <w:vAlign w:val="center"/>
            <w:hideMark/>
          </w:tcPr>
          <w:p w14:paraId="525A10F6" w14:textId="77777777" w:rsidR="00154AD2" w:rsidRDefault="007F6BF3">
            <w:pPr>
              <w:pStyle w:val="P68B1DB1-Normal23"/>
              <w:spacing w:after="0"/>
              <w:jc w:val="both"/>
              <w:rPr>
                <w:rFonts w:eastAsia="Calibri" w:cs="Calibri"/>
                <w:noProof/>
              </w:rPr>
            </w:pPr>
            <w:r>
              <w:rPr>
                <w:noProof/>
              </w:rPr>
              <w:t>Έναρξη ισχύος του νέου γενικού καθεστώτος διαχείρισης αποβλήτων</w:t>
            </w:r>
          </w:p>
        </w:tc>
      </w:tr>
      <w:tr w:rsidR="00154AD2" w14:paraId="3629E8EE" w14:textId="77777777">
        <w:trPr>
          <w:trHeight w:val="440"/>
        </w:trPr>
        <w:tc>
          <w:tcPr>
            <w:tcW w:w="1200" w:type="dxa"/>
            <w:shd w:val="clear" w:color="auto" w:fill="C4EFCE"/>
            <w:vAlign w:val="center"/>
            <w:hideMark/>
          </w:tcPr>
          <w:p w14:paraId="76950E3D" w14:textId="77777777" w:rsidR="00154AD2" w:rsidRDefault="007F6BF3">
            <w:pPr>
              <w:pStyle w:val="P68B1DB1-Normal23"/>
              <w:spacing w:after="0"/>
              <w:jc w:val="center"/>
              <w:rPr>
                <w:noProof/>
              </w:rPr>
            </w:pPr>
            <w:r>
              <w:rPr>
                <w:noProof/>
              </w:rPr>
              <w:t>14.1</w:t>
            </w:r>
          </w:p>
        </w:tc>
        <w:tc>
          <w:tcPr>
            <w:tcW w:w="1760" w:type="dxa"/>
            <w:shd w:val="clear" w:color="auto" w:fill="C4EFCE"/>
            <w:vAlign w:val="center"/>
            <w:hideMark/>
          </w:tcPr>
          <w:p w14:paraId="4F502DB3" w14:textId="77777777" w:rsidR="00154AD2" w:rsidRDefault="007F6BF3">
            <w:pPr>
              <w:pStyle w:val="P68B1DB1-Normal23"/>
              <w:spacing w:after="0"/>
              <w:jc w:val="center"/>
              <w:rPr>
                <w:noProof/>
              </w:rPr>
            </w:pPr>
            <w:r>
              <w:rPr>
                <w:noProof/>
              </w:rPr>
              <w:t xml:space="preserve">TC-C14-r29 </w:t>
            </w:r>
          </w:p>
        </w:tc>
        <w:tc>
          <w:tcPr>
            <w:tcW w:w="1520" w:type="dxa"/>
            <w:shd w:val="clear" w:color="auto" w:fill="C4EFCE"/>
            <w:vAlign w:val="center"/>
            <w:hideMark/>
          </w:tcPr>
          <w:p w14:paraId="51F60976" w14:textId="77777777" w:rsidR="00154AD2" w:rsidRDefault="007F6BF3">
            <w:pPr>
              <w:pStyle w:val="P68B1DB1-Normal23"/>
              <w:spacing w:after="0"/>
              <w:jc w:val="center"/>
              <w:rPr>
                <w:noProof/>
              </w:rPr>
            </w:pPr>
            <w:r>
              <w:rPr>
                <w:noProof/>
              </w:rPr>
              <w:t>M</w:t>
            </w:r>
          </w:p>
        </w:tc>
        <w:tc>
          <w:tcPr>
            <w:tcW w:w="5060" w:type="dxa"/>
            <w:shd w:val="clear" w:color="auto" w:fill="C4EFCE"/>
            <w:vAlign w:val="center"/>
            <w:hideMark/>
          </w:tcPr>
          <w:p w14:paraId="66D5E11C" w14:textId="77777777" w:rsidR="00154AD2" w:rsidRDefault="007F6BF3">
            <w:pPr>
              <w:pStyle w:val="P68B1DB1-Normal23"/>
              <w:spacing w:after="0"/>
              <w:jc w:val="both"/>
              <w:rPr>
                <w:rFonts w:eastAsia="Calibri" w:cs="Calibri"/>
                <w:noProof/>
              </w:rPr>
            </w:pPr>
            <w:r>
              <w:rPr>
                <w:noProof/>
              </w:rPr>
              <w:t>Έναρξη ισχύος του κανονισμού του Εθνικού Δικτύου Μεταφοράς Αερίου και του Κανονισμού του Εθνικού Δικτύου Διανομής Αερίου</w:t>
            </w:r>
          </w:p>
        </w:tc>
      </w:tr>
      <w:tr w:rsidR="00154AD2" w14:paraId="10966324" w14:textId="77777777">
        <w:trPr>
          <w:trHeight w:val="440"/>
        </w:trPr>
        <w:tc>
          <w:tcPr>
            <w:tcW w:w="1200" w:type="dxa"/>
            <w:shd w:val="clear" w:color="auto" w:fill="C4EFCE"/>
            <w:vAlign w:val="center"/>
            <w:hideMark/>
          </w:tcPr>
          <w:p w14:paraId="00D9D2AC" w14:textId="77777777" w:rsidR="00154AD2" w:rsidRDefault="007F6BF3">
            <w:pPr>
              <w:pStyle w:val="P68B1DB1-Normal23"/>
              <w:spacing w:after="0"/>
              <w:jc w:val="center"/>
              <w:rPr>
                <w:noProof/>
              </w:rPr>
            </w:pPr>
            <w:r>
              <w:rPr>
                <w:noProof/>
              </w:rPr>
              <w:t>14.2</w:t>
            </w:r>
          </w:p>
        </w:tc>
        <w:tc>
          <w:tcPr>
            <w:tcW w:w="1760" w:type="dxa"/>
            <w:shd w:val="clear" w:color="auto" w:fill="C4EFCE"/>
            <w:vAlign w:val="center"/>
            <w:hideMark/>
          </w:tcPr>
          <w:p w14:paraId="3F73CCA7" w14:textId="77777777" w:rsidR="00154AD2" w:rsidRDefault="007F6BF3">
            <w:pPr>
              <w:pStyle w:val="P68B1DB1-Normal23"/>
              <w:spacing w:after="0"/>
              <w:jc w:val="center"/>
              <w:rPr>
                <w:noProof/>
              </w:rPr>
            </w:pPr>
            <w:r>
              <w:rPr>
                <w:noProof/>
              </w:rPr>
              <w:t xml:space="preserve">TC-C14-I01 </w:t>
            </w:r>
          </w:p>
        </w:tc>
        <w:tc>
          <w:tcPr>
            <w:tcW w:w="1520" w:type="dxa"/>
            <w:shd w:val="clear" w:color="auto" w:fill="C4EFCE"/>
            <w:vAlign w:val="center"/>
            <w:hideMark/>
          </w:tcPr>
          <w:p w14:paraId="587EF70A" w14:textId="77777777" w:rsidR="00154AD2" w:rsidRDefault="007F6BF3">
            <w:pPr>
              <w:pStyle w:val="P68B1DB1-Normal23"/>
              <w:spacing w:after="0"/>
              <w:jc w:val="center"/>
              <w:rPr>
                <w:noProof/>
              </w:rPr>
            </w:pPr>
            <w:r>
              <w:rPr>
                <w:noProof/>
              </w:rPr>
              <w:t>M</w:t>
            </w:r>
          </w:p>
        </w:tc>
        <w:tc>
          <w:tcPr>
            <w:tcW w:w="5060" w:type="dxa"/>
            <w:shd w:val="clear" w:color="auto" w:fill="C4EFCE"/>
            <w:vAlign w:val="center"/>
            <w:hideMark/>
          </w:tcPr>
          <w:p w14:paraId="19D80DCE" w14:textId="77777777" w:rsidR="00154AD2" w:rsidRDefault="007F6BF3">
            <w:pPr>
              <w:pStyle w:val="P68B1DB1-Normal23"/>
              <w:spacing w:after="0"/>
              <w:jc w:val="both"/>
              <w:rPr>
                <w:rFonts w:eastAsia="Calibri" w:cs="Calibri"/>
                <w:noProof/>
              </w:rPr>
            </w:pPr>
            <w:r>
              <w:rPr>
                <w:noProof/>
              </w:rPr>
              <w:t>Πρώτη πρόσκληση υποβολής προσφορών για έργα παραγωγής αερίου από ανανεώσιμες πηγές</w:t>
            </w:r>
          </w:p>
        </w:tc>
      </w:tr>
      <w:tr w:rsidR="00154AD2" w14:paraId="757BF45A" w14:textId="77777777">
        <w:trPr>
          <w:trHeight w:val="440"/>
        </w:trPr>
        <w:tc>
          <w:tcPr>
            <w:tcW w:w="1200" w:type="dxa"/>
            <w:shd w:val="clear" w:color="auto" w:fill="C4EFCE"/>
            <w:vAlign w:val="center"/>
            <w:hideMark/>
          </w:tcPr>
          <w:p w14:paraId="7466249B" w14:textId="77777777" w:rsidR="00154AD2" w:rsidRDefault="007F6BF3">
            <w:pPr>
              <w:pStyle w:val="P68B1DB1-Normal23"/>
              <w:spacing w:after="0"/>
              <w:jc w:val="center"/>
              <w:rPr>
                <w:noProof/>
              </w:rPr>
            </w:pPr>
            <w:r>
              <w:rPr>
                <w:noProof/>
              </w:rPr>
              <w:t>16.13</w:t>
            </w:r>
          </w:p>
        </w:tc>
        <w:tc>
          <w:tcPr>
            <w:tcW w:w="1760" w:type="dxa"/>
            <w:shd w:val="clear" w:color="auto" w:fill="C4EFCE"/>
            <w:vAlign w:val="center"/>
            <w:hideMark/>
          </w:tcPr>
          <w:p w14:paraId="0D9747EC" w14:textId="77777777" w:rsidR="00154AD2" w:rsidRDefault="007F6BF3">
            <w:pPr>
              <w:pStyle w:val="P68B1DB1-Normal23"/>
              <w:spacing w:after="0"/>
              <w:jc w:val="center"/>
              <w:rPr>
                <w:noProof/>
              </w:rPr>
            </w:pPr>
            <w:r>
              <w:rPr>
                <w:noProof/>
              </w:rPr>
              <w:t xml:space="preserve">TD-C16-i03 </w:t>
            </w:r>
          </w:p>
        </w:tc>
        <w:tc>
          <w:tcPr>
            <w:tcW w:w="1520" w:type="dxa"/>
            <w:shd w:val="clear" w:color="auto" w:fill="C4EFCE"/>
            <w:vAlign w:val="center"/>
            <w:hideMark/>
          </w:tcPr>
          <w:p w14:paraId="7FAED4B7" w14:textId="77777777" w:rsidR="00154AD2" w:rsidRDefault="007F6BF3">
            <w:pPr>
              <w:pStyle w:val="P68B1DB1-Normal23"/>
              <w:spacing w:after="0"/>
              <w:jc w:val="center"/>
              <w:rPr>
                <w:noProof/>
              </w:rPr>
            </w:pPr>
            <w:r>
              <w:rPr>
                <w:noProof/>
              </w:rPr>
              <w:t>T</w:t>
            </w:r>
          </w:p>
        </w:tc>
        <w:tc>
          <w:tcPr>
            <w:tcW w:w="5060" w:type="dxa"/>
            <w:shd w:val="clear" w:color="auto" w:fill="C4EFCE"/>
            <w:vAlign w:val="center"/>
            <w:hideMark/>
          </w:tcPr>
          <w:p w14:paraId="71236238" w14:textId="77777777" w:rsidR="00154AD2" w:rsidRDefault="007F6BF3">
            <w:pPr>
              <w:pStyle w:val="P68B1DB1-Normal23"/>
              <w:spacing w:after="0"/>
              <w:jc w:val="both"/>
              <w:rPr>
                <w:rFonts w:eastAsia="Calibri" w:cs="Calibri"/>
                <w:noProof/>
              </w:rPr>
            </w:pPr>
            <w:r>
              <w:rPr>
                <w:noProof/>
              </w:rPr>
              <w:t>Κόμβοι ψηφιακής καινοτομίας (ΚΨΚ)</w:t>
            </w:r>
          </w:p>
        </w:tc>
      </w:tr>
      <w:tr w:rsidR="00154AD2" w14:paraId="52D708E9" w14:textId="77777777">
        <w:trPr>
          <w:trHeight w:val="440"/>
        </w:trPr>
        <w:tc>
          <w:tcPr>
            <w:tcW w:w="1200" w:type="dxa"/>
            <w:shd w:val="clear" w:color="auto" w:fill="C4EFCE"/>
            <w:vAlign w:val="center"/>
            <w:hideMark/>
          </w:tcPr>
          <w:p w14:paraId="2F5A2432" w14:textId="77777777" w:rsidR="00154AD2" w:rsidRDefault="007F6BF3">
            <w:pPr>
              <w:pStyle w:val="P68B1DB1-Normal23"/>
              <w:spacing w:after="0"/>
              <w:jc w:val="center"/>
              <w:rPr>
                <w:noProof/>
              </w:rPr>
            </w:pPr>
            <w:r>
              <w:rPr>
                <w:noProof/>
              </w:rPr>
              <w:t>17.6</w:t>
            </w:r>
          </w:p>
        </w:tc>
        <w:tc>
          <w:tcPr>
            <w:tcW w:w="1760" w:type="dxa"/>
            <w:shd w:val="clear" w:color="auto" w:fill="C4EFCE"/>
            <w:vAlign w:val="center"/>
            <w:hideMark/>
          </w:tcPr>
          <w:p w14:paraId="302B639D" w14:textId="77777777" w:rsidR="00154AD2" w:rsidRDefault="007F6BF3">
            <w:pPr>
              <w:pStyle w:val="P68B1DB1-Normal23"/>
              <w:spacing w:after="0"/>
              <w:jc w:val="center"/>
              <w:rPr>
                <w:noProof/>
              </w:rPr>
            </w:pPr>
            <w:r>
              <w:rPr>
                <w:noProof/>
              </w:rPr>
              <w:t xml:space="preserve">TD-C17-r32 </w:t>
            </w:r>
          </w:p>
        </w:tc>
        <w:tc>
          <w:tcPr>
            <w:tcW w:w="1520" w:type="dxa"/>
            <w:shd w:val="clear" w:color="auto" w:fill="C4EFCE"/>
            <w:vAlign w:val="center"/>
            <w:hideMark/>
          </w:tcPr>
          <w:p w14:paraId="0B994286" w14:textId="77777777" w:rsidR="00154AD2" w:rsidRDefault="007F6BF3">
            <w:pPr>
              <w:pStyle w:val="P68B1DB1-Normal23"/>
              <w:spacing w:after="0"/>
              <w:jc w:val="center"/>
              <w:rPr>
                <w:noProof/>
              </w:rPr>
            </w:pPr>
            <w:r>
              <w:rPr>
                <w:noProof/>
              </w:rPr>
              <w:t>M</w:t>
            </w:r>
          </w:p>
        </w:tc>
        <w:tc>
          <w:tcPr>
            <w:tcW w:w="5060" w:type="dxa"/>
            <w:shd w:val="clear" w:color="auto" w:fill="C4EFCE"/>
            <w:vAlign w:val="center"/>
            <w:hideMark/>
          </w:tcPr>
          <w:p w14:paraId="1199C2E8" w14:textId="77777777" w:rsidR="00154AD2" w:rsidRDefault="007F6BF3">
            <w:pPr>
              <w:pStyle w:val="P68B1DB1-Normal23"/>
              <w:spacing w:after="0"/>
              <w:jc w:val="both"/>
              <w:rPr>
                <w:rFonts w:eastAsia="Calibri" w:cs="Calibri"/>
                <w:noProof/>
              </w:rPr>
            </w:pPr>
            <w:r>
              <w:rPr>
                <w:noProof/>
              </w:rPr>
              <w:t>Έναρξη ισχύος του νέου υποδείγματος σύμβασης διαχείρισης στο πλαίσιο του νέου συστήματος κινήτρων/κυρώσεων για τη διαχείριση κρατικών επιχειρήσεων</w:t>
            </w:r>
          </w:p>
        </w:tc>
      </w:tr>
      <w:tr w:rsidR="00154AD2" w14:paraId="5F2EFFB2" w14:textId="77777777">
        <w:trPr>
          <w:trHeight w:val="440"/>
        </w:trPr>
        <w:tc>
          <w:tcPr>
            <w:tcW w:w="1200" w:type="dxa"/>
            <w:shd w:val="clear" w:color="auto" w:fill="C4EFCE"/>
            <w:vAlign w:val="center"/>
            <w:hideMark/>
          </w:tcPr>
          <w:p w14:paraId="1E7DA930" w14:textId="77777777" w:rsidR="00154AD2" w:rsidRDefault="007F6BF3">
            <w:pPr>
              <w:pStyle w:val="P68B1DB1-Normal23"/>
              <w:spacing w:after="0"/>
              <w:jc w:val="center"/>
              <w:rPr>
                <w:noProof/>
              </w:rPr>
            </w:pPr>
            <w:r>
              <w:rPr>
                <w:noProof/>
              </w:rPr>
              <w:t>19.22</w:t>
            </w:r>
          </w:p>
        </w:tc>
        <w:tc>
          <w:tcPr>
            <w:tcW w:w="1760" w:type="dxa"/>
            <w:shd w:val="clear" w:color="auto" w:fill="C4EFCE"/>
            <w:vAlign w:val="center"/>
            <w:hideMark/>
          </w:tcPr>
          <w:p w14:paraId="55D06868" w14:textId="77777777" w:rsidR="00154AD2" w:rsidRDefault="007F6BF3">
            <w:pPr>
              <w:pStyle w:val="P68B1DB1-Normal23"/>
              <w:spacing w:after="0"/>
              <w:jc w:val="center"/>
              <w:rPr>
                <w:noProof/>
              </w:rPr>
            </w:pPr>
            <w:r>
              <w:rPr>
                <w:noProof/>
              </w:rPr>
              <w:t xml:space="preserve">TD-C19-r34 </w:t>
            </w:r>
          </w:p>
        </w:tc>
        <w:tc>
          <w:tcPr>
            <w:tcW w:w="1520" w:type="dxa"/>
            <w:shd w:val="clear" w:color="auto" w:fill="C4EFCE"/>
            <w:vAlign w:val="center"/>
            <w:hideMark/>
          </w:tcPr>
          <w:p w14:paraId="3742530B" w14:textId="77777777" w:rsidR="00154AD2" w:rsidRDefault="007F6BF3">
            <w:pPr>
              <w:pStyle w:val="P68B1DB1-Normal23"/>
              <w:spacing w:after="0"/>
              <w:jc w:val="center"/>
              <w:rPr>
                <w:noProof/>
              </w:rPr>
            </w:pPr>
            <w:r>
              <w:rPr>
                <w:noProof/>
              </w:rPr>
              <w:t>M</w:t>
            </w:r>
          </w:p>
        </w:tc>
        <w:tc>
          <w:tcPr>
            <w:tcW w:w="5060" w:type="dxa"/>
            <w:shd w:val="clear" w:color="auto" w:fill="C4EFCE"/>
            <w:vAlign w:val="center"/>
            <w:hideMark/>
          </w:tcPr>
          <w:p w14:paraId="0678B11B" w14:textId="77777777" w:rsidR="00154AD2" w:rsidRDefault="007F6BF3">
            <w:pPr>
              <w:pStyle w:val="P68B1DB1-Normal23"/>
              <w:spacing w:after="0"/>
              <w:jc w:val="both"/>
              <w:rPr>
                <w:rFonts w:eastAsia="Calibri" w:cs="Calibri"/>
                <w:noProof/>
              </w:rPr>
            </w:pPr>
            <w:r>
              <w:rPr>
                <w:noProof/>
              </w:rPr>
              <w:t>Έναρξη ισχύος του νομικού πλαισίου για τον ψηφιακό μετασχηματισμό της δημόσιας διοίκησης</w:t>
            </w:r>
          </w:p>
        </w:tc>
      </w:tr>
      <w:tr w:rsidR="00154AD2" w14:paraId="6872084D" w14:textId="77777777">
        <w:trPr>
          <w:trHeight w:val="440"/>
        </w:trPr>
        <w:tc>
          <w:tcPr>
            <w:tcW w:w="1200" w:type="dxa"/>
            <w:shd w:val="clear" w:color="auto" w:fill="C4EFCE"/>
            <w:vAlign w:val="center"/>
            <w:hideMark/>
          </w:tcPr>
          <w:p w14:paraId="291433EB" w14:textId="77777777" w:rsidR="00154AD2" w:rsidRDefault="007F6BF3">
            <w:pPr>
              <w:pStyle w:val="P68B1DB1-Normal23"/>
              <w:spacing w:after="0"/>
              <w:jc w:val="center"/>
              <w:rPr>
                <w:noProof/>
              </w:rPr>
            </w:pPr>
            <w:r>
              <w:rPr>
                <w:noProof/>
              </w:rPr>
              <w:t>19.24</w:t>
            </w:r>
          </w:p>
        </w:tc>
        <w:tc>
          <w:tcPr>
            <w:tcW w:w="1760" w:type="dxa"/>
            <w:shd w:val="clear" w:color="auto" w:fill="C4EFCE"/>
            <w:vAlign w:val="center"/>
            <w:hideMark/>
          </w:tcPr>
          <w:p w14:paraId="07189990" w14:textId="77777777" w:rsidR="00154AD2" w:rsidRDefault="007F6BF3">
            <w:pPr>
              <w:pStyle w:val="P68B1DB1-Normal23"/>
              <w:spacing w:after="0"/>
              <w:jc w:val="center"/>
              <w:rPr>
                <w:noProof/>
              </w:rPr>
            </w:pPr>
            <w:r>
              <w:rPr>
                <w:noProof/>
              </w:rPr>
              <w:t xml:space="preserve">TD-C19-r36 </w:t>
            </w:r>
          </w:p>
        </w:tc>
        <w:tc>
          <w:tcPr>
            <w:tcW w:w="1520" w:type="dxa"/>
            <w:shd w:val="clear" w:color="auto" w:fill="C4EFCE"/>
            <w:vAlign w:val="center"/>
            <w:hideMark/>
          </w:tcPr>
          <w:p w14:paraId="55C7DEF6" w14:textId="77777777" w:rsidR="00154AD2" w:rsidRDefault="007F6BF3">
            <w:pPr>
              <w:pStyle w:val="P68B1DB1-Normal23"/>
              <w:spacing w:after="0"/>
              <w:jc w:val="center"/>
              <w:rPr>
                <w:noProof/>
              </w:rPr>
            </w:pPr>
            <w:r>
              <w:rPr>
                <w:noProof/>
              </w:rPr>
              <w:t>M</w:t>
            </w:r>
          </w:p>
        </w:tc>
        <w:tc>
          <w:tcPr>
            <w:tcW w:w="5060" w:type="dxa"/>
            <w:shd w:val="clear" w:color="auto" w:fill="C4EFCE"/>
            <w:vAlign w:val="center"/>
            <w:hideMark/>
          </w:tcPr>
          <w:p w14:paraId="6FC15F4D" w14:textId="77777777" w:rsidR="00154AD2" w:rsidRDefault="007F6BF3">
            <w:pPr>
              <w:pStyle w:val="P68B1DB1-Normal23"/>
              <w:spacing w:after="0"/>
              <w:jc w:val="both"/>
              <w:rPr>
                <w:rFonts w:eastAsia="Calibri" w:cs="Calibri"/>
                <w:noProof/>
              </w:rPr>
            </w:pPr>
            <w:r>
              <w:rPr>
                <w:noProof/>
              </w:rPr>
              <w:t>Ίδρυση του Εθνικού Ινστιτούτου Διοίκησης, I.P.</w:t>
            </w:r>
          </w:p>
        </w:tc>
      </w:tr>
      <w:tr w:rsidR="00154AD2" w14:paraId="3A0CB96A" w14:textId="77777777">
        <w:trPr>
          <w:trHeight w:val="440"/>
        </w:trPr>
        <w:tc>
          <w:tcPr>
            <w:tcW w:w="1200" w:type="dxa"/>
            <w:shd w:val="clear" w:color="auto" w:fill="C4EFCE"/>
            <w:vAlign w:val="center"/>
            <w:hideMark/>
          </w:tcPr>
          <w:p w14:paraId="79B57193" w14:textId="77777777" w:rsidR="00154AD2" w:rsidRDefault="007F6BF3">
            <w:pPr>
              <w:pStyle w:val="P68B1DB1-Normal23"/>
              <w:spacing w:after="0"/>
              <w:jc w:val="center"/>
              <w:rPr>
                <w:noProof/>
              </w:rPr>
            </w:pPr>
            <w:r>
              <w:rPr>
                <w:noProof/>
              </w:rPr>
              <w:t>20.2</w:t>
            </w:r>
          </w:p>
        </w:tc>
        <w:tc>
          <w:tcPr>
            <w:tcW w:w="1760" w:type="dxa"/>
            <w:shd w:val="clear" w:color="auto" w:fill="C4EFCE"/>
            <w:vAlign w:val="center"/>
            <w:hideMark/>
          </w:tcPr>
          <w:p w14:paraId="40D2FB0E" w14:textId="77777777" w:rsidR="00154AD2" w:rsidRDefault="007F6BF3">
            <w:pPr>
              <w:pStyle w:val="P68B1DB1-Normal23"/>
              <w:spacing w:after="0"/>
              <w:jc w:val="center"/>
              <w:rPr>
                <w:noProof/>
              </w:rPr>
            </w:pPr>
            <w:r>
              <w:rPr>
                <w:noProof/>
              </w:rPr>
              <w:t xml:space="preserve">TD-C20-i01 </w:t>
            </w:r>
          </w:p>
        </w:tc>
        <w:tc>
          <w:tcPr>
            <w:tcW w:w="1520" w:type="dxa"/>
            <w:shd w:val="clear" w:color="auto" w:fill="C4EFCE"/>
            <w:vAlign w:val="center"/>
            <w:hideMark/>
          </w:tcPr>
          <w:p w14:paraId="78F61C3A" w14:textId="77777777" w:rsidR="00154AD2" w:rsidRDefault="007F6BF3">
            <w:pPr>
              <w:pStyle w:val="P68B1DB1-Normal23"/>
              <w:spacing w:after="0"/>
              <w:jc w:val="center"/>
              <w:rPr>
                <w:noProof/>
              </w:rPr>
            </w:pPr>
            <w:r>
              <w:rPr>
                <w:noProof/>
              </w:rPr>
              <w:t>M</w:t>
            </w:r>
          </w:p>
        </w:tc>
        <w:tc>
          <w:tcPr>
            <w:tcW w:w="5060" w:type="dxa"/>
            <w:shd w:val="clear" w:color="auto" w:fill="C4EFCE"/>
            <w:vAlign w:val="center"/>
            <w:hideMark/>
          </w:tcPr>
          <w:p w14:paraId="14A5DC9A" w14:textId="77777777" w:rsidR="00154AD2" w:rsidRDefault="007F6BF3">
            <w:pPr>
              <w:pStyle w:val="P68B1DB1-Normal23"/>
              <w:spacing w:after="0"/>
              <w:jc w:val="both"/>
              <w:rPr>
                <w:rFonts w:eastAsia="Calibri" w:cs="Calibri"/>
                <w:noProof/>
              </w:rPr>
            </w:pPr>
            <w:r>
              <w:rPr>
                <w:noProof/>
              </w:rPr>
              <w:t>Υπογραφή συμβάσεων για την αγορά ατομικών ηλεκτρονικών υπολογιστών για μαθητές και εκπαιδευτικούς</w:t>
            </w:r>
          </w:p>
        </w:tc>
      </w:tr>
      <w:tr w:rsidR="00154AD2" w14:paraId="6E3E4880" w14:textId="77777777">
        <w:trPr>
          <w:trHeight w:val="440"/>
        </w:trPr>
        <w:tc>
          <w:tcPr>
            <w:tcW w:w="1200" w:type="dxa"/>
            <w:shd w:val="clear" w:color="auto" w:fill="C4EFCE"/>
            <w:vAlign w:val="center"/>
            <w:hideMark/>
          </w:tcPr>
          <w:p w14:paraId="1531FD90" w14:textId="77777777" w:rsidR="00154AD2" w:rsidRDefault="007F6BF3">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39D93FED" w14:textId="77777777" w:rsidR="00154AD2" w:rsidRDefault="007F6BF3">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5E762CEE" w14:textId="77777777" w:rsidR="00154AD2" w:rsidRDefault="007F6BF3">
            <w:pPr>
              <w:pStyle w:val="P68B1DB1-Normal24"/>
              <w:spacing w:after="0" w:line="240" w:lineRule="auto"/>
              <w:jc w:val="center"/>
              <w:rPr>
                <w:rFonts w:eastAsia="Times New Roman" w:cs="Calibri"/>
                <w:noProof/>
              </w:rPr>
            </w:pPr>
            <w:r>
              <w:rPr>
                <w:noProof/>
              </w:rPr>
              <w:t>Ποσό δόσης</w:t>
            </w:r>
          </w:p>
        </w:tc>
        <w:tc>
          <w:tcPr>
            <w:tcW w:w="5060" w:type="dxa"/>
            <w:shd w:val="clear" w:color="auto" w:fill="C4EFCE"/>
            <w:vAlign w:val="center"/>
            <w:hideMark/>
          </w:tcPr>
          <w:p w14:paraId="76A68B63" w14:textId="6ADCE395" w:rsidR="00154AD2" w:rsidRDefault="007F6BF3">
            <w:pPr>
              <w:pStyle w:val="P68B1DB1-Normal25"/>
              <w:spacing w:after="0" w:line="240" w:lineRule="auto"/>
              <w:jc w:val="center"/>
              <w:rPr>
                <w:rFonts w:cs="Calibri"/>
                <w:noProof/>
              </w:rPr>
            </w:pPr>
            <w:r>
              <w:rPr>
                <w:noProof/>
              </w:rPr>
              <w:t xml:space="preserve">636 139 080 EUR </w:t>
            </w:r>
          </w:p>
        </w:tc>
      </w:tr>
    </w:tbl>
    <w:p w14:paraId="66705A4C" w14:textId="77777777" w:rsidR="00154AD2" w:rsidRDefault="00154AD2">
      <w:pPr>
        <w:keepNext/>
        <w:spacing w:after="160" w:line="259" w:lineRule="auto"/>
        <w:ind w:left="1571" w:hanging="360"/>
        <w:contextualSpacing/>
        <w:jc w:val="both"/>
        <w:rPr>
          <w:rFonts w:ascii="Times New Roman" w:eastAsiaTheme="minorEastAsia" w:hAnsi="Times New Roman" w:cs="Times New Roman"/>
          <w:noProof/>
          <w:sz w:val="24"/>
        </w:rPr>
      </w:pPr>
    </w:p>
    <w:p w14:paraId="7F4502ED" w14:textId="77777777" w:rsidR="00154AD2" w:rsidRDefault="007F6BF3">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 Δεύτερη αίτηση πληρωμής (μη επιστρεπτέα στήριξη): </w:t>
      </w:r>
    </w:p>
    <w:p w14:paraId="158E3ED4" w14:textId="77777777" w:rsidR="00154AD2" w:rsidRDefault="00154AD2">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748"/>
        <w:gridCol w:w="1670"/>
        <w:gridCol w:w="4935"/>
      </w:tblGrid>
      <w:tr w:rsidR="00154AD2" w14:paraId="352FB160" w14:textId="77777777">
        <w:trPr>
          <w:trHeight w:val="509"/>
          <w:tblHeader/>
        </w:trPr>
        <w:tc>
          <w:tcPr>
            <w:tcW w:w="1200" w:type="dxa"/>
            <w:vMerge w:val="restart"/>
            <w:shd w:val="clear" w:color="auto" w:fill="BDD7EE"/>
            <w:vAlign w:val="center"/>
            <w:hideMark/>
          </w:tcPr>
          <w:p w14:paraId="0D0D00E4" w14:textId="77777777" w:rsidR="00154AD2" w:rsidRDefault="007F6BF3">
            <w:pPr>
              <w:pStyle w:val="P68B1DB1-Normal22"/>
              <w:spacing w:after="0" w:line="240" w:lineRule="auto"/>
              <w:jc w:val="center"/>
              <w:rPr>
                <w:rFonts w:eastAsia="Times New Roman" w:cs="Times New Roman"/>
                <w:noProof/>
              </w:rPr>
            </w:pPr>
            <w:r>
              <w:rPr>
                <w:noProof/>
              </w:rPr>
              <w:t>Αύξων αριθμός</w:t>
            </w:r>
          </w:p>
        </w:tc>
        <w:tc>
          <w:tcPr>
            <w:tcW w:w="1760" w:type="dxa"/>
            <w:vMerge w:val="restart"/>
            <w:shd w:val="clear" w:color="auto" w:fill="BDD7EE"/>
            <w:vAlign w:val="center"/>
            <w:hideMark/>
          </w:tcPr>
          <w:p w14:paraId="46E7F54F" w14:textId="77777777" w:rsidR="00154AD2" w:rsidRDefault="007F6BF3">
            <w:pPr>
              <w:pStyle w:val="P68B1DB1-Normal22"/>
              <w:spacing w:after="0" w:line="240" w:lineRule="auto"/>
              <w:jc w:val="center"/>
              <w:rPr>
                <w:rFonts w:eastAsia="Times New Roman" w:cs="Times New Roman"/>
                <w:noProof/>
              </w:rPr>
            </w:pPr>
            <w:r>
              <w:rPr>
                <w:noProof/>
              </w:rPr>
              <w:t>Σχετικό μέτρο (μεταρρύθμιση ή επένδυση)</w:t>
            </w:r>
          </w:p>
        </w:tc>
        <w:tc>
          <w:tcPr>
            <w:tcW w:w="1520" w:type="dxa"/>
            <w:vMerge w:val="restart"/>
            <w:shd w:val="clear" w:color="auto" w:fill="BDD7EE"/>
            <w:vAlign w:val="center"/>
            <w:hideMark/>
          </w:tcPr>
          <w:p w14:paraId="4BBAA04E" w14:textId="77777777" w:rsidR="00154AD2" w:rsidRDefault="007F6BF3">
            <w:pPr>
              <w:pStyle w:val="P68B1DB1-Normal22"/>
              <w:spacing w:after="0" w:line="240" w:lineRule="auto"/>
              <w:jc w:val="center"/>
              <w:rPr>
                <w:rFonts w:eastAsia="Times New Roman" w:cs="Times New Roman"/>
                <w:noProof/>
              </w:rPr>
            </w:pPr>
            <w:r>
              <w:rPr>
                <w:noProof/>
              </w:rPr>
              <w:t>Ορόσημο/Στόχος</w:t>
            </w:r>
          </w:p>
        </w:tc>
        <w:tc>
          <w:tcPr>
            <w:tcW w:w="5060" w:type="dxa"/>
            <w:vMerge w:val="restart"/>
            <w:shd w:val="clear" w:color="auto" w:fill="BDD7EE"/>
            <w:vAlign w:val="center"/>
            <w:hideMark/>
          </w:tcPr>
          <w:p w14:paraId="51A4AA8D" w14:textId="77777777" w:rsidR="00154AD2" w:rsidRDefault="007F6BF3">
            <w:pPr>
              <w:pStyle w:val="P68B1DB1-Normal22"/>
              <w:spacing w:after="0" w:line="240" w:lineRule="auto"/>
              <w:jc w:val="center"/>
              <w:rPr>
                <w:rFonts w:eastAsia="Times New Roman" w:cs="Times New Roman"/>
                <w:noProof/>
              </w:rPr>
            </w:pPr>
            <w:r>
              <w:rPr>
                <w:noProof/>
              </w:rPr>
              <w:t>Όνομα</w:t>
            </w:r>
          </w:p>
        </w:tc>
      </w:tr>
      <w:tr w:rsidR="00154AD2" w14:paraId="1F6741B5" w14:textId="77777777">
        <w:trPr>
          <w:trHeight w:val="509"/>
          <w:tblHeader/>
        </w:trPr>
        <w:tc>
          <w:tcPr>
            <w:tcW w:w="1200" w:type="dxa"/>
            <w:vMerge/>
            <w:vAlign w:val="center"/>
            <w:hideMark/>
          </w:tcPr>
          <w:p w14:paraId="01B474AA" w14:textId="77777777" w:rsidR="00154AD2" w:rsidRDefault="00154AD2">
            <w:pPr>
              <w:spacing w:after="0" w:line="240" w:lineRule="auto"/>
              <w:rPr>
                <w:rFonts w:ascii="Times New Roman" w:eastAsia="Times New Roman" w:hAnsi="Times New Roman" w:cs="Times New Roman"/>
                <w:noProof/>
                <w:sz w:val="20"/>
              </w:rPr>
            </w:pPr>
          </w:p>
        </w:tc>
        <w:tc>
          <w:tcPr>
            <w:tcW w:w="1760" w:type="dxa"/>
            <w:vMerge/>
            <w:vAlign w:val="center"/>
            <w:hideMark/>
          </w:tcPr>
          <w:p w14:paraId="02EC477F" w14:textId="77777777" w:rsidR="00154AD2" w:rsidRDefault="00154AD2">
            <w:pPr>
              <w:spacing w:after="0" w:line="240" w:lineRule="auto"/>
              <w:rPr>
                <w:rFonts w:ascii="Times New Roman" w:eastAsia="Times New Roman" w:hAnsi="Times New Roman" w:cs="Times New Roman"/>
                <w:noProof/>
                <w:sz w:val="20"/>
              </w:rPr>
            </w:pPr>
          </w:p>
        </w:tc>
        <w:tc>
          <w:tcPr>
            <w:tcW w:w="1520" w:type="dxa"/>
            <w:vMerge/>
            <w:vAlign w:val="center"/>
            <w:hideMark/>
          </w:tcPr>
          <w:p w14:paraId="3D7F8D49" w14:textId="77777777" w:rsidR="00154AD2" w:rsidRDefault="00154AD2">
            <w:pPr>
              <w:spacing w:after="0" w:line="240" w:lineRule="auto"/>
              <w:rPr>
                <w:rFonts w:ascii="Times New Roman" w:eastAsia="Times New Roman" w:hAnsi="Times New Roman" w:cs="Times New Roman"/>
                <w:noProof/>
                <w:sz w:val="20"/>
              </w:rPr>
            </w:pPr>
          </w:p>
        </w:tc>
        <w:tc>
          <w:tcPr>
            <w:tcW w:w="5060" w:type="dxa"/>
            <w:vMerge/>
            <w:vAlign w:val="center"/>
            <w:hideMark/>
          </w:tcPr>
          <w:p w14:paraId="615BF232" w14:textId="77777777" w:rsidR="00154AD2" w:rsidRDefault="00154AD2">
            <w:pPr>
              <w:spacing w:after="0" w:line="240" w:lineRule="auto"/>
              <w:rPr>
                <w:rFonts w:ascii="Times New Roman" w:eastAsia="Times New Roman" w:hAnsi="Times New Roman" w:cs="Times New Roman"/>
                <w:noProof/>
                <w:sz w:val="20"/>
              </w:rPr>
            </w:pPr>
          </w:p>
        </w:tc>
      </w:tr>
      <w:tr w:rsidR="00154AD2" w14:paraId="4081C04E" w14:textId="77777777">
        <w:trPr>
          <w:trHeight w:val="440"/>
        </w:trPr>
        <w:tc>
          <w:tcPr>
            <w:tcW w:w="1200" w:type="dxa"/>
            <w:shd w:val="clear" w:color="auto" w:fill="C4EFCE"/>
            <w:vAlign w:val="center"/>
            <w:hideMark/>
          </w:tcPr>
          <w:p w14:paraId="5750728D" w14:textId="77777777" w:rsidR="00154AD2" w:rsidRDefault="007F6BF3">
            <w:pPr>
              <w:pStyle w:val="P68B1DB1-Normal23"/>
              <w:spacing w:after="0"/>
              <w:jc w:val="center"/>
              <w:rPr>
                <w:rFonts w:eastAsia="Calibri" w:cs="Calibri"/>
                <w:noProof/>
              </w:rPr>
            </w:pPr>
            <w:r>
              <w:rPr>
                <w:noProof/>
              </w:rPr>
              <w:t>1.13</w:t>
            </w:r>
          </w:p>
        </w:tc>
        <w:tc>
          <w:tcPr>
            <w:tcW w:w="1760" w:type="dxa"/>
            <w:shd w:val="clear" w:color="auto" w:fill="C4EFCE"/>
            <w:vAlign w:val="center"/>
            <w:hideMark/>
          </w:tcPr>
          <w:p w14:paraId="44477519" w14:textId="77777777" w:rsidR="00154AD2" w:rsidRDefault="007F6BF3">
            <w:pPr>
              <w:pStyle w:val="P68B1DB1-Normal23"/>
              <w:spacing w:after="0"/>
              <w:jc w:val="center"/>
              <w:rPr>
                <w:rFonts w:eastAsia="Calibri" w:cs="Calibri"/>
                <w:noProof/>
              </w:rPr>
            </w:pPr>
            <w:r>
              <w:rPr>
                <w:noProof/>
              </w:rPr>
              <w:t xml:space="preserve">RE-C01-i02 </w:t>
            </w:r>
          </w:p>
        </w:tc>
        <w:tc>
          <w:tcPr>
            <w:tcW w:w="1520" w:type="dxa"/>
            <w:shd w:val="clear" w:color="auto" w:fill="C4EFCE"/>
            <w:vAlign w:val="center"/>
            <w:hideMark/>
          </w:tcPr>
          <w:p w14:paraId="04640CD0" w14:textId="77777777" w:rsidR="00154AD2" w:rsidRDefault="007F6BF3">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0D4C3B0B" w14:textId="77777777" w:rsidR="00154AD2" w:rsidRDefault="007F6BF3">
            <w:pPr>
              <w:pStyle w:val="P68B1DB1-Normal23"/>
              <w:spacing w:after="0"/>
              <w:jc w:val="both"/>
              <w:rPr>
                <w:rFonts w:eastAsia="Calibri" w:cs="Calibri"/>
                <w:noProof/>
              </w:rPr>
            </w:pPr>
            <w:r>
              <w:rPr>
                <w:noProof/>
              </w:rPr>
              <w:t>Έναρξη ισχύος των όρων για την αναφορά επεισοδίων έκτακτης ανάγκης που ελέγχονται σε λευκό, μπλε ή πράσινο στις υπηρεσίες έκτακτης ανάγκης σε νοσοκομεία για άλλους τύπους υπηρεσιών υγειονομικής περίθαλψης, συμπεριλαμβανομένων των υπηρεσιών πρωτοβάθμιας υγειονομικής περίθαλψης</w:t>
            </w:r>
          </w:p>
        </w:tc>
      </w:tr>
      <w:tr w:rsidR="00154AD2" w14:paraId="0C6EEC60" w14:textId="77777777">
        <w:trPr>
          <w:trHeight w:val="440"/>
        </w:trPr>
        <w:tc>
          <w:tcPr>
            <w:tcW w:w="1200" w:type="dxa"/>
            <w:shd w:val="clear" w:color="auto" w:fill="C4EFCE"/>
            <w:vAlign w:val="center"/>
            <w:hideMark/>
          </w:tcPr>
          <w:p w14:paraId="4CBB49BA" w14:textId="77777777" w:rsidR="00154AD2" w:rsidRDefault="007F6BF3">
            <w:pPr>
              <w:pStyle w:val="P68B1DB1-Normal23"/>
              <w:spacing w:after="0"/>
              <w:jc w:val="center"/>
              <w:rPr>
                <w:rFonts w:eastAsia="Calibri" w:cs="Calibri"/>
                <w:noProof/>
              </w:rPr>
            </w:pPr>
            <w:r>
              <w:rPr>
                <w:noProof/>
              </w:rPr>
              <w:t>1.20</w:t>
            </w:r>
          </w:p>
        </w:tc>
        <w:tc>
          <w:tcPr>
            <w:tcW w:w="1760" w:type="dxa"/>
            <w:shd w:val="clear" w:color="auto" w:fill="C4EFCE"/>
            <w:vAlign w:val="center"/>
            <w:hideMark/>
          </w:tcPr>
          <w:p w14:paraId="480832CC" w14:textId="77777777" w:rsidR="00154AD2" w:rsidRDefault="007F6BF3">
            <w:pPr>
              <w:pStyle w:val="P68B1DB1-Normal23"/>
              <w:spacing w:after="0"/>
              <w:jc w:val="center"/>
              <w:rPr>
                <w:rFonts w:eastAsia="Calibri" w:cs="Calibri"/>
                <w:noProof/>
              </w:rPr>
            </w:pPr>
            <w:r>
              <w:rPr>
                <w:noProof/>
              </w:rPr>
              <w:t xml:space="preserve">RE-C01-r03 </w:t>
            </w:r>
          </w:p>
        </w:tc>
        <w:tc>
          <w:tcPr>
            <w:tcW w:w="1520" w:type="dxa"/>
            <w:shd w:val="clear" w:color="auto" w:fill="C4EFCE"/>
            <w:vAlign w:val="center"/>
            <w:hideMark/>
          </w:tcPr>
          <w:p w14:paraId="7D9187DC" w14:textId="77777777" w:rsidR="00154AD2" w:rsidRDefault="007F6BF3">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5315F543" w14:textId="77777777" w:rsidR="00154AD2" w:rsidRDefault="007F6BF3">
            <w:pPr>
              <w:pStyle w:val="P68B1DB1-Normal23"/>
              <w:spacing w:after="0"/>
              <w:jc w:val="both"/>
              <w:rPr>
                <w:rFonts w:eastAsia="Calibri" w:cs="Calibri"/>
                <w:noProof/>
              </w:rPr>
            </w:pPr>
            <w:r>
              <w:rPr>
                <w:noProof/>
              </w:rPr>
              <w:t>Έναρξη ισχύος του κανονισμού σχετικά με τη χορήγηση χρηματοδοτικής στήριξης από τις περιφερειακές υγειονομικές αρχές</w:t>
            </w:r>
          </w:p>
        </w:tc>
      </w:tr>
      <w:tr w:rsidR="00154AD2" w14:paraId="69F0FF9C" w14:textId="77777777">
        <w:trPr>
          <w:trHeight w:val="440"/>
        </w:trPr>
        <w:tc>
          <w:tcPr>
            <w:tcW w:w="1200" w:type="dxa"/>
            <w:shd w:val="clear" w:color="auto" w:fill="C4EFCE"/>
            <w:vAlign w:val="center"/>
            <w:hideMark/>
          </w:tcPr>
          <w:p w14:paraId="166EDAF8" w14:textId="31004DB1" w:rsidR="00154AD2" w:rsidRDefault="007F6BF3">
            <w:pPr>
              <w:pStyle w:val="P68B1DB1-Normal23"/>
              <w:spacing w:after="0"/>
              <w:jc w:val="center"/>
              <w:rPr>
                <w:rFonts w:eastAsia="Calibri" w:cs="Calibri"/>
                <w:noProof/>
              </w:rPr>
            </w:pPr>
            <w:r>
              <w:rPr>
                <w:noProof/>
              </w:rPr>
              <w:t>1.6</w:t>
            </w:r>
          </w:p>
        </w:tc>
        <w:tc>
          <w:tcPr>
            <w:tcW w:w="1760" w:type="dxa"/>
            <w:shd w:val="clear" w:color="auto" w:fill="C4EFCE"/>
            <w:vAlign w:val="center"/>
            <w:hideMark/>
          </w:tcPr>
          <w:p w14:paraId="35D3297F" w14:textId="77777777" w:rsidR="00154AD2" w:rsidRDefault="007F6BF3">
            <w:pPr>
              <w:pStyle w:val="P68B1DB1-Normal23"/>
              <w:spacing w:after="0"/>
              <w:jc w:val="center"/>
              <w:rPr>
                <w:rFonts w:eastAsia="Calibri" w:cs="Calibri"/>
                <w:noProof/>
              </w:rPr>
            </w:pPr>
            <w:r>
              <w:rPr>
                <w:noProof/>
              </w:rPr>
              <w:t xml:space="preserve">RE-C01-i01 </w:t>
            </w:r>
          </w:p>
        </w:tc>
        <w:tc>
          <w:tcPr>
            <w:tcW w:w="1520" w:type="dxa"/>
            <w:shd w:val="clear" w:color="auto" w:fill="C4EFCE"/>
            <w:vAlign w:val="center"/>
            <w:hideMark/>
          </w:tcPr>
          <w:p w14:paraId="00EBB8F8" w14:textId="77777777" w:rsidR="00154AD2" w:rsidRDefault="007F6BF3">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6E23AEAC" w14:textId="77777777" w:rsidR="00154AD2" w:rsidRDefault="007F6BF3">
            <w:pPr>
              <w:pStyle w:val="P68B1DB1-Normal23"/>
              <w:spacing w:after="0"/>
              <w:jc w:val="both"/>
              <w:rPr>
                <w:rFonts w:eastAsia="Calibri" w:cs="Calibri"/>
                <w:noProof/>
              </w:rPr>
            </w:pPr>
            <w:r>
              <w:rPr>
                <w:noProof/>
              </w:rPr>
              <w:t>Έναρξη ισχύος του νέου υποδείγματος σύμβασης διαχείρισης</w:t>
            </w:r>
          </w:p>
        </w:tc>
      </w:tr>
      <w:tr w:rsidR="00154AD2" w14:paraId="5EFCE41E" w14:textId="77777777">
        <w:trPr>
          <w:trHeight w:val="440"/>
        </w:trPr>
        <w:tc>
          <w:tcPr>
            <w:tcW w:w="1200" w:type="dxa"/>
            <w:shd w:val="clear" w:color="auto" w:fill="C4EFCE"/>
            <w:vAlign w:val="center"/>
            <w:hideMark/>
          </w:tcPr>
          <w:p w14:paraId="5D8AE41A" w14:textId="77777777" w:rsidR="00154AD2" w:rsidRDefault="007F6BF3">
            <w:pPr>
              <w:pStyle w:val="P68B1DB1-Normal23"/>
              <w:spacing w:after="0"/>
              <w:jc w:val="center"/>
              <w:rPr>
                <w:rFonts w:eastAsia="Calibri" w:cs="Calibri"/>
                <w:noProof/>
              </w:rPr>
            </w:pPr>
            <w:r>
              <w:rPr>
                <w:noProof/>
              </w:rPr>
              <w:t>3.24</w:t>
            </w:r>
          </w:p>
        </w:tc>
        <w:tc>
          <w:tcPr>
            <w:tcW w:w="1760" w:type="dxa"/>
            <w:shd w:val="clear" w:color="auto" w:fill="C4EFCE"/>
            <w:vAlign w:val="center"/>
            <w:hideMark/>
          </w:tcPr>
          <w:p w14:paraId="345DB0E2" w14:textId="77777777" w:rsidR="00154AD2" w:rsidRDefault="007F6BF3">
            <w:pPr>
              <w:pStyle w:val="P68B1DB1-Normal23"/>
              <w:spacing w:after="0"/>
              <w:jc w:val="center"/>
              <w:rPr>
                <w:rFonts w:eastAsia="Calibri" w:cs="Calibri"/>
                <w:noProof/>
              </w:rPr>
            </w:pPr>
            <w:r>
              <w:rPr>
                <w:noProof/>
              </w:rPr>
              <w:t xml:space="preserve">RE-C03-i01 </w:t>
            </w:r>
          </w:p>
        </w:tc>
        <w:tc>
          <w:tcPr>
            <w:tcW w:w="1520" w:type="dxa"/>
            <w:shd w:val="clear" w:color="auto" w:fill="C4EFCE"/>
            <w:vAlign w:val="center"/>
            <w:hideMark/>
          </w:tcPr>
          <w:p w14:paraId="0957961C" w14:textId="77777777" w:rsidR="00154AD2" w:rsidRDefault="007F6BF3">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00267902" w14:textId="77777777" w:rsidR="00154AD2" w:rsidRDefault="007F6BF3">
            <w:pPr>
              <w:pStyle w:val="P68B1DB1-Normal23"/>
              <w:spacing w:after="0"/>
              <w:jc w:val="both"/>
              <w:rPr>
                <w:rFonts w:eastAsia="Calibri" w:cs="Calibri"/>
                <w:noProof/>
              </w:rPr>
            </w:pPr>
            <w:r>
              <w:rPr>
                <w:noProof/>
              </w:rPr>
              <w:t>Υπογραφή συμφωνιών μεταξύ των δήμων Λισαβόνας/Πόρτο και των τοπικών τεχνικών μονάδων που καθορίζουν το πεδίο εφαρμογής των μέτρων που πρέπει να υποστηριχθούν.</w:t>
            </w:r>
          </w:p>
        </w:tc>
      </w:tr>
      <w:tr w:rsidR="00154AD2" w14:paraId="6D1DB67B" w14:textId="77777777">
        <w:trPr>
          <w:trHeight w:val="440"/>
        </w:trPr>
        <w:tc>
          <w:tcPr>
            <w:tcW w:w="1200" w:type="dxa"/>
            <w:shd w:val="clear" w:color="auto" w:fill="C4EFCE"/>
            <w:vAlign w:val="center"/>
            <w:hideMark/>
          </w:tcPr>
          <w:p w14:paraId="26C83B0D" w14:textId="77777777" w:rsidR="00154AD2" w:rsidRDefault="007F6BF3">
            <w:pPr>
              <w:pStyle w:val="P68B1DB1-Normal23"/>
              <w:spacing w:after="0"/>
              <w:jc w:val="center"/>
              <w:rPr>
                <w:rFonts w:eastAsia="Calibri" w:cs="Calibri"/>
                <w:noProof/>
              </w:rPr>
            </w:pPr>
            <w:r>
              <w:rPr>
                <w:noProof/>
              </w:rPr>
              <w:t>3.3</w:t>
            </w:r>
          </w:p>
        </w:tc>
        <w:tc>
          <w:tcPr>
            <w:tcW w:w="1760" w:type="dxa"/>
            <w:shd w:val="clear" w:color="auto" w:fill="C4EFCE"/>
            <w:vAlign w:val="center"/>
            <w:hideMark/>
          </w:tcPr>
          <w:p w14:paraId="6A8E3604" w14:textId="77777777" w:rsidR="00154AD2" w:rsidRDefault="007F6BF3">
            <w:pPr>
              <w:pStyle w:val="P68B1DB1-Normal23"/>
              <w:spacing w:after="0"/>
              <w:jc w:val="center"/>
              <w:rPr>
                <w:rFonts w:eastAsia="Calibri" w:cs="Calibri"/>
                <w:noProof/>
              </w:rPr>
            </w:pPr>
            <w:r>
              <w:rPr>
                <w:noProof/>
              </w:rPr>
              <w:t xml:space="preserve">RE-C03-i06 </w:t>
            </w:r>
          </w:p>
        </w:tc>
        <w:tc>
          <w:tcPr>
            <w:tcW w:w="1520" w:type="dxa"/>
            <w:shd w:val="clear" w:color="auto" w:fill="C4EFCE"/>
            <w:vAlign w:val="center"/>
            <w:hideMark/>
          </w:tcPr>
          <w:p w14:paraId="6CBB1E8D" w14:textId="77777777" w:rsidR="00154AD2" w:rsidRDefault="007F6BF3">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61900507" w14:textId="77777777" w:rsidR="00154AD2" w:rsidRDefault="007F6BF3">
            <w:pPr>
              <w:pStyle w:val="P68B1DB1-Normal23"/>
              <w:spacing w:after="0"/>
              <w:jc w:val="both"/>
              <w:rPr>
                <w:rFonts w:eastAsia="Calibri" w:cs="Calibri"/>
                <w:noProof/>
              </w:rPr>
            </w:pPr>
            <w:r>
              <w:rPr>
                <w:noProof/>
              </w:rPr>
              <w:t>Ανάθεση συμβάσεων στήριξης σε φορείς προώθησης για τη δημιουργία και επέκταση του δικτύου κοινωνικών εγκαταστάσεων/κοινωνικών απαντήσεων.</w:t>
            </w:r>
          </w:p>
        </w:tc>
      </w:tr>
      <w:tr w:rsidR="00154AD2" w14:paraId="5CF43042" w14:textId="77777777">
        <w:trPr>
          <w:trHeight w:val="440"/>
        </w:trPr>
        <w:tc>
          <w:tcPr>
            <w:tcW w:w="1200" w:type="dxa"/>
            <w:shd w:val="clear" w:color="auto" w:fill="C4EFCE"/>
            <w:vAlign w:val="center"/>
            <w:hideMark/>
          </w:tcPr>
          <w:p w14:paraId="27EE7DD4" w14:textId="77777777" w:rsidR="00154AD2" w:rsidRDefault="007F6BF3">
            <w:pPr>
              <w:pStyle w:val="P68B1DB1-Normal23"/>
              <w:spacing w:after="0"/>
              <w:jc w:val="center"/>
              <w:rPr>
                <w:rFonts w:eastAsia="Calibri" w:cs="Calibri"/>
                <w:noProof/>
              </w:rPr>
            </w:pPr>
            <w:r>
              <w:rPr>
                <w:noProof/>
              </w:rPr>
              <w:t>4.1</w:t>
            </w:r>
          </w:p>
        </w:tc>
        <w:tc>
          <w:tcPr>
            <w:tcW w:w="1760" w:type="dxa"/>
            <w:shd w:val="clear" w:color="auto" w:fill="C4EFCE"/>
            <w:vAlign w:val="center"/>
            <w:hideMark/>
          </w:tcPr>
          <w:p w14:paraId="035DEC49" w14:textId="625BA17C" w:rsidR="00154AD2" w:rsidRDefault="007F6BF3">
            <w:pPr>
              <w:pStyle w:val="P68B1DB1-Normal23"/>
              <w:spacing w:after="0"/>
              <w:jc w:val="center"/>
              <w:rPr>
                <w:rFonts w:eastAsia="Calibri" w:cs="Calibri"/>
                <w:noProof/>
              </w:rPr>
            </w:pPr>
            <w:r>
              <w:rPr>
                <w:noProof/>
              </w:rPr>
              <w:t xml:space="preserve">RE-C04-i01 </w:t>
            </w:r>
          </w:p>
        </w:tc>
        <w:tc>
          <w:tcPr>
            <w:tcW w:w="1520" w:type="dxa"/>
            <w:shd w:val="clear" w:color="auto" w:fill="C4EFCE"/>
            <w:vAlign w:val="center"/>
            <w:hideMark/>
          </w:tcPr>
          <w:p w14:paraId="453E5DD3" w14:textId="77777777" w:rsidR="00154AD2" w:rsidRDefault="007F6BF3">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04A22F10" w14:textId="77777777" w:rsidR="00154AD2" w:rsidRDefault="007F6BF3">
            <w:pPr>
              <w:pStyle w:val="P68B1DB1-Normal23"/>
              <w:spacing w:after="0"/>
              <w:jc w:val="both"/>
              <w:rPr>
                <w:rFonts w:eastAsia="Calibri" w:cs="Calibri"/>
                <w:noProof/>
              </w:rPr>
            </w:pPr>
            <w:r>
              <w:rPr>
                <w:noProof/>
              </w:rPr>
              <w:t>Τεχνολογικές προδιαγραφές για το δίκτυο πολιτιστικών εγκαταστάσεων</w:t>
            </w:r>
          </w:p>
        </w:tc>
      </w:tr>
      <w:tr w:rsidR="00154AD2" w14:paraId="1D67278E" w14:textId="77777777">
        <w:trPr>
          <w:trHeight w:val="440"/>
        </w:trPr>
        <w:tc>
          <w:tcPr>
            <w:tcW w:w="1200" w:type="dxa"/>
            <w:shd w:val="clear" w:color="auto" w:fill="C4EFCE"/>
            <w:vAlign w:val="center"/>
            <w:hideMark/>
          </w:tcPr>
          <w:p w14:paraId="1EEC3DB4" w14:textId="77777777" w:rsidR="00154AD2" w:rsidRDefault="007F6BF3">
            <w:pPr>
              <w:pStyle w:val="P68B1DB1-Normal23"/>
              <w:spacing w:after="0"/>
              <w:jc w:val="center"/>
              <w:rPr>
                <w:rFonts w:eastAsia="Calibri" w:cs="Calibri"/>
                <w:noProof/>
              </w:rPr>
            </w:pPr>
            <w:r>
              <w:rPr>
                <w:noProof/>
              </w:rPr>
              <w:t>5.18</w:t>
            </w:r>
          </w:p>
        </w:tc>
        <w:tc>
          <w:tcPr>
            <w:tcW w:w="1760" w:type="dxa"/>
            <w:shd w:val="clear" w:color="auto" w:fill="C4EFCE"/>
            <w:vAlign w:val="center"/>
            <w:hideMark/>
          </w:tcPr>
          <w:p w14:paraId="6807E12E" w14:textId="77777777" w:rsidR="00154AD2" w:rsidRDefault="007F6BF3">
            <w:pPr>
              <w:pStyle w:val="P68B1DB1-Normal23"/>
              <w:spacing w:after="0"/>
              <w:jc w:val="center"/>
              <w:rPr>
                <w:rFonts w:eastAsia="Calibri" w:cs="Calibri"/>
                <w:noProof/>
              </w:rPr>
            </w:pPr>
            <w:r>
              <w:rPr>
                <w:noProof/>
              </w:rPr>
              <w:t xml:space="preserve">RE-C05-i05-RAA </w:t>
            </w:r>
          </w:p>
        </w:tc>
        <w:tc>
          <w:tcPr>
            <w:tcW w:w="1520" w:type="dxa"/>
            <w:shd w:val="clear" w:color="auto" w:fill="C4EFCE"/>
            <w:vAlign w:val="center"/>
            <w:hideMark/>
          </w:tcPr>
          <w:p w14:paraId="115683CC" w14:textId="77777777" w:rsidR="00154AD2" w:rsidRDefault="007F6BF3">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3F0AD3AB" w14:textId="77777777" w:rsidR="00154AD2" w:rsidRDefault="007F6BF3">
            <w:pPr>
              <w:pStyle w:val="P68B1DB1-Normal23"/>
              <w:spacing w:after="0"/>
              <w:jc w:val="both"/>
              <w:rPr>
                <w:rFonts w:eastAsia="Calibri" w:cs="Calibri"/>
                <w:noProof/>
              </w:rPr>
            </w:pPr>
            <w:r>
              <w:rPr>
                <w:noProof/>
              </w:rPr>
              <w:t>Δημοσίευση του προγράμματος «Γεωργική καινοτομία και ψηφιοποίηση» των Αζορών</w:t>
            </w:r>
          </w:p>
        </w:tc>
      </w:tr>
      <w:tr w:rsidR="00154AD2" w14:paraId="12652084" w14:textId="77777777">
        <w:trPr>
          <w:trHeight w:val="440"/>
        </w:trPr>
        <w:tc>
          <w:tcPr>
            <w:tcW w:w="1200" w:type="dxa"/>
            <w:shd w:val="clear" w:color="auto" w:fill="C4EFCE"/>
            <w:vAlign w:val="center"/>
            <w:hideMark/>
          </w:tcPr>
          <w:p w14:paraId="196543A9" w14:textId="77777777" w:rsidR="00154AD2" w:rsidRDefault="007F6BF3">
            <w:pPr>
              <w:pStyle w:val="P68B1DB1-Normal23"/>
              <w:spacing w:after="0"/>
              <w:jc w:val="center"/>
              <w:rPr>
                <w:rFonts w:eastAsia="Calibri" w:cs="Calibri"/>
                <w:noProof/>
              </w:rPr>
            </w:pPr>
            <w:r>
              <w:rPr>
                <w:noProof/>
              </w:rPr>
              <w:t>8.14</w:t>
            </w:r>
          </w:p>
        </w:tc>
        <w:tc>
          <w:tcPr>
            <w:tcW w:w="1760" w:type="dxa"/>
            <w:shd w:val="clear" w:color="auto" w:fill="C4EFCE"/>
            <w:vAlign w:val="center"/>
            <w:hideMark/>
          </w:tcPr>
          <w:p w14:paraId="5CE17266" w14:textId="77777777" w:rsidR="00154AD2" w:rsidRDefault="007F6BF3">
            <w:pPr>
              <w:pStyle w:val="P68B1DB1-Normal23"/>
              <w:spacing w:after="0"/>
              <w:jc w:val="center"/>
              <w:rPr>
                <w:rFonts w:eastAsia="Calibri" w:cs="Calibri"/>
                <w:noProof/>
              </w:rPr>
            </w:pPr>
            <w:r>
              <w:rPr>
                <w:noProof/>
              </w:rPr>
              <w:t xml:space="preserve">RE-C08-i02 </w:t>
            </w:r>
          </w:p>
        </w:tc>
        <w:tc>
          <w:tcPr>
            <w:tcW w:w="1520" w:type="dxa"/>
            <w:shd w:val="clear" w:color="auto" w:fill="C4EFCE"/>
            <w:vAlign w:val="center"/>
            <w:hideMark/>
          </w:tcPr>
          <w:p w14:paraId="4FEEA23F" w14:textId="77777777" w:rsidR="00154AD2" w:rsidRDefault="007F6BF3">
            <w:pPr>
              <w:pStyle w:val="P68B1DB1-Normal23"/>
              <w:spacing w:after="0"/>
              <w:jc w:val="center"/>
              <w:rPr>
                <w:rFonts w:eastAsia="Calibri" w:cs="Calibri"/>
                <w:noProof/>
              </w:rPr>
            </w:pPr>
            <w:r>
              <w:rPr>
                <w:noProof/>
              </w:rPr>
              <w:t xml:space="preserve">T </w:t>
            </w:r>
          </w:p>
        </w:tc>
        <w:tc>
          <w:tcPr>
            <w:tcW w:w="5060" w:type="dxa"/>
            <w:shd w:val="clear" w:color="auto" w:fill="C4EFCE"/>
            <w:vAlign w:val="center"/>
            <w:hideMark/>
          </w:tcPr>
          <w:p w14:paraId="10D33A02" w14:textId="77777777" w:rsidR="00154AD2" w:rsidRDefault="007F6BF3">
            <w:pPr>
              <w:pStyle w:val="P68B1DB1-Normal23"/>
              <w:spacing w:after="0"/>
              <w:jc w:val="both"/>
              <w:rPr>
                <w:rFonts w:eastAsia="Calibri" w:cs="Calibri"/>
                <w:noProof/>
              </w:rPr>
            </w:pPr>
            <w:r>
              <w:rPr>
                <w:noProof/>
              </w:rPr>
              <w:t>Δημιουργία περιφερειακών και υποπεριφερειακών δομών της Εθνικής Αρχής Έκτακτης Ανάγκης και Πολιτικής Προστασίας (ANEPC)</w:t>
            </w:r>
          </w:p>
        </w:tc>
      </w:tr>
      <w:tr w:rsidR="00154AD2" w14:paraId="35EFEA47" w14:textId="77777777">
        <w:trPr>
          <w:trHeight w:val="440"/>
        </w:trPr>
        <w:tc>
          <w:tcPr>
            <w:tcW w:w="1200" w:type="dxa"/>
            <w:shd w:val="clear" w:color="auto" w:fill="C4EFCE"/>
            <w:vAlign w:val="center"/>
            <w:hideMark/>
          </w:tcPr>
          <w:p w14:paraId="4C9D2DDC" w14:textId="77777777" w:rsidR="00154AD2" w:rsidRDefault="007F6BF3">
            <w:pPr>
              <w:pStyle w:val="P68B1DB1-Normal23"/>
              <w:spacing w:after="0"/>
              <w:jc w:val="center"/>
              <w:rPr>
                <w:rFonts w:eastAsia="Calibri" w:cs="Calibri"/>
                <w:noProof/>
              </w:rPr>
            </w:pPr>
            <w:r>
              <w:rPr>
                <w:noProof/>
              </w:rPr>
              <w:t>8.15</w:t>
            </w:r>
          </w:p>
        </w:tc>
        <w:tc>
          <w:tcPr>
            <w:tcW w:w="1760" w:type="dxa"/>
            <w:shd w:val="clear" w:color="auto" w:fill="C4EFCE"/>
            <w:vAlign w:val="center"/>
            <w:hideMark/>
          </w:tcPr>
          <w:p w14:paraId="44F53CD2" w14:textId="77777777" w:rsidR="00154AD2" w:rsidRDefault="007F6BF3">
            <w:pPr>
              <w:pStyle w:val="P68B1DB1-Normal23"/>
              <w:spacing w:after="0"/>
              <w:jc w:val="center"/>
              <w:rPr>
                <w:rFonts w:eastAsia="Calibri" w:cs="Calibri"/>
                <w:noProof/>
              </w:rPr>
            </w:pPr>
            <w:r>
              <w:rPr>
                <w:noProof/>
              </w:rPr>
              <w:t xml:space="preserve">RE-C08-i03 </w:t>
            </w:r>
          </w:p>
        </w:tc>
        <w:tc>
          <w:tcPr>
            <w:tcW w:w="1520" w:type="dxa"/>
            <w:shd w:val="clear" w:color="auto" w:fill="C4EFCE"/>
            <w:vAlign w:val="center"/>
            <w:hideMark/>
          </w:tcPr>
          <w:p w14:paraId="0F2B0D59" w14:textId="77777777" w:rsidR="00154AD2" w:rsidRDefault="007F6BF3">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01ABC6A2" w14:textId="77777777" w:rsidR="00154AD2" w:rsidRDefault="007F6BF3">
            <w:pPr>
              <w:pStyle w:val="P68B1DB1-Normal23"/>
              <w:spacing w:after="0"/>
              <w:jc w:val="both"/>
              <w:rPr>
                <w:rFonts w:eastAsia="Calibri" w:cs="Calibri"/>
                <w:noProof/>
              </w:rPr>
            </w:pPr>
            <w:r>
              <w:rPr>
                <w:noProof/>
              </w:rPr>
              <w:t>Δημοσίευση της αρχικής έκθεσης του Ινστιτούτου για την Προστασία της Φύσης και των Δασών, I.P</w:t>
            </w:r>
          </w:p>
        </w:tc>
      </w:tr>
      <w:tr w:rsidR="00154AD2" w14:paraId="07159476" w14:textId="77777777">
        <w:trPr>
          <w:trHeight w:val="440"/>
        </w:trPr>
        <w:tc>
          <w:tcPr>
            <w:tcW w:w="1200" w:type="dxa"/>
            <w:shd w:val="clear" w:color="auto" w:fill="C4EFCE"/>
            <w:vAlign w:val="center"/>
            <w:hideMark/>
          </w:tcPr>
          <w:p w14:paraId="4FFB6CD4" w14:textId="77777777" w:rsidR="00154AD2" w:rsidRDefault="007F6BF3">
            <w:pPr>
              <w:pStyle w:val="P68B1DB1-Normal23"/>
              <w:spacing w:after="0"/>
              <w:jc w:val="center"/>
              <w:rPr>
                <w:rFonts w:eastAsia="Calibri" w:cs="Calibri"/>
                <w:noProof/>
              </w:rPr>
            </w:pPr>
            <w:r>
              <w:rPr>
                <w:noProof/>
              </w:rPr>
              <w:t>8.4</w:t>
            </w:r>
          </w:p>
        </w:tc>
        <w:tc>
          <w:tcPr>
            <w:tcW w:w="1760" w:type="dxa"/>
            <w:shd w:val="clear" w:color="auto" w:fill="C4EFCE"/>
            <w:vAlign w:val="center"/>
            <w:hideMark/>
          </w:tcPr>
          <w:p w14:paraId="7B8AD2FC" w14:textId="77777777" w:rsidR="00154AD2" w:rsidRDefault="007F6BF3">
            <w:pPr>
              <w:pStyle w:val="P68B1DB1-Normal23"/>
              <w:spacing w:after="0"/>
              <w:jc w:val="center"/>
              <w:rPr>
                <w:rFonts w:eastAsia="Calibri" w:cs="Calibri"/>
                <w:noProof/>
              </w:rPr>
            </w:pPr>
            <w:r>
              <w:rPr>
                <w:noProof/>
              </w:rPr>
              <w:t xml:space="preserve">RE-C08-i05 </w:t>
            </w:r>
          </w:p>
        </w:tc>
        <w:tc>
          <w:tcPr>
            <w:tcW w:w="1520" w:type="dxa"/>
            <w:shd w:val="clear" w:color="auto" w:fill="C4EFCE"/>
            <w:vAlign w:val="center"/>
            <w:hideMark/>
          </w:tcPr>
          <w:p w14:paraId="17CD02D0" w14:textId="77777777" w:rsidR="00154AD2" w:rsidRDefault="007F6BF3">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2EF1A361" w14:textId="77777777" w:rsidR="00154AD2" w:rsidRDefault="007F6BF3">
            <w:pPr>
              <w:pStyle w:val="P68B1DB1-Normal23"/>
              <w:spacing w:after="0"/>
              <w:jc w:val="both"/>
              <w:rPr>
                <w:rFonts w:eastAsia="Calibri" w:cs="Calibri"/>
                <w:noProof/>
              </w:rPr>
            </w:pPr>
            <w:r>
              <w:rPr>
                <w:noProof/>
              </w:rPr>
              <w:t>Πορεία προς μια πλατφόρμα BUPi 2.0</w:t>
            </w:r>
          </w:p>
        </w:tc>
      </w:tr>
      <w:tr w:rsidR="00154AD2" w14:paraId="6124AF89" w14:textId="77777777">
        <w:trPr>
          <w:trHeight w:val="440"/>
        </w:trPr>
        <w:tc>
          <w:tcPr>
            <w:tcW w:w="1200" w:type="dxa"/>
            <w:shd w:val="clear" w:color="auto" w:fill="C4EFCE"/>
            <w:vAlign w:val="center"/>
            <w:hideMark/>
          </w:tcPr>
          <w:p w14:paraId="61ED2CA3" w14:textId="77777777" w:rsidR="00154AD2" w:rsidRDefault="007F6BF3">
            <w:pPr>
              <w:pStyle w:val="P68B1DB1-Normal23"/>
              <w:spacing w:after="0"/>
              <w:jc w:val="center"/>
              <w:rPr>
                <w:rFonts w:eastAsia="Calibri" w:cs="Calibri"/>
                <w:noProof/>
              </w:rPr>
            </w:pPr>
            <w:r>
              <w:rPr>
                <w:noProof/>
              </w:rPr>
              <w:t>8.7</w:t>
            </w:r>
          </w:p>
        </w:tc>
        <w:tc>
          <w:tcPr>
            <w:tcW w:w="1760" w:type="dxa"/>
            <w:shd w:val="clear" w:color="auto" w:fill="C4EFCE"/>
            <w:vAlign w:val="center"/>
            <w:hideMark/>
          </w:tcPr>
          <w:p w14:paraId="62D644C7" w14:textId="77777777" w:rsidR="00154AD2" w:rsidRDefault="007F6BF3">
            <w:pPr>
              <w:pStyle w:val="P68B1DB1-Normal23"/>
              <w:spacing w:after="0"/>
              <w:jc w:val="center"/>
              <w:rPr>
                <w:rFonts w:eastAsia="Calibri" w:cs="Calibri"/>
                <w:noProof/>
              </w:rPr>
            </w:pPr>
            <w:r>
              <w:rPr>
                <w:noProof/>
              </w:rPr>
              <w:t xml:space="preserve">RE-C08-i05 </w:t>
            </w:r>
          </w:p>
        </w:tc>
        <w:tc>
          <w:tcPr>
            <w:tcW w:w="1520" w:type="dxa"/>
            <w:shd w:val="clear" w:color="auto" w:fill="C4EFCE"/>
            <w:vAlign w:val="center"/>
            <w:hideMark/>
          </w:tcPr>
          <w:p w14:paraId="51195EC8" w14:textId="77777777" w:rsidR="00154AD2" w:rsidRDefault="007F6BF3">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55560C5A" w14:textId="77777777" w:rsidR="00154AD2" w:rsidRDefault="007F6BF3">
            <w:pPr>
              <w:pStyle w:val="P68B1DB1-Normal23"/>
              <w:spacing w:after="0"/>
              <w:jc w:val="both"/>
              <w:rPr>
                <w:rFonts w:eastAsia="Calibri" w:cs="Calibri"/>
                <w:noProof/>
              </w:rPr>
            </w:pPr>
            <w:r>
              <w:rPr>
                <w:noProof/>
              </w:rPr>
              <w:t>Δημοσίευση της σύμβασης του Δικτύου Δομήσεων Διαχείρισης Πρωτογενών Καυσίμων (RPFGC)</w:t>
            </w:r>
          </w:p>
        </w:tc>
      </w:tr>
      <w:tr w:rsidR="00154AD2" w14:paraId="119565A8" w14:textId="77777777">
        <w:trPr>
          <w:trHeight w:val="440"/>
        </w:trPr>
        <w:tc>
          <w:tcPr>
            <w:tcW w:w="1200" w:type="dxa"/>
            <w:shd w:val="clear" w:color="auto" w:fill="C4EFCE"/>
            <w:vAlign w:val="center"/>
            <w:hideMark/>
          </w:tcPr>
          <w:p w14:paraId="576F089D" w14:textId="77777777" w:rsidR="00154AD2" w:rsidRDefault="007F6BF3">
            <w:pPr>
              <w:pStyle w:val="P68B1DB1-Normal23"/>
              <w:spacing w:after="0"/>
              <w:jc w:val="center"/>
              <w:rPr>
                <w:rFonts w:eastAsia="Calibri" w:cs="Calibri"/>
                <w:noProof/>
              </w:rPr>
            </w:pPr>
            <w:r>
              <w:rPr>
                <w:noProof/>
              </w:rPr>
              <w:t>9.9</w:t>
            </w:r>
          </w:p>
        </w:tc>
        <w:tc>
          <w:tcPr>
            <w:tcW w:w="1760" w:type="dxa"/>
            <w:shd w:val="clear" w:color="auto" w:fill="C4EFCE"/>
            <w:vAlign w:val="center"/>
            <w:hideMark/>
          </w:tcPr>
          <w:p w14:paraId="59AA53D0" w14:textId="77777777" w:rsidR="00154AD2" w:rsidRDefault="007F6BF3">
            <w:pPr>
              <w:pStyle w:val="P68B1DB1-Normal23"/>
              <w:spacing w:after="0"/>
              <w:jc w:val="center"/>
              <w:rPr>
                <w:rFonts w:eastAsia="Calibri" w:cs="Calibri"/>
                <w:noProof/>
              </w:rPr>
            </w:pPr>
            <w:r>
              <w:rPr>
                <w:noProof/>
              </w:rPr>
              <w:t xml:space="preserve">RE-C09-i02 </w:t>
            </w:r>
          </w:p>
        </w:tc>
        <w:tc>
          <w:tcPr>
            <w:tcW w:w="1520" w:type="dxa"/>
            <w:shd w:val="clear" w:color="auto" w:fill="C4EFCE"/>
            <w:vAlign w:val="center"/>
            <w:hideMark/>
          </w:tcPr>
          <w:p w14:paraId="765E382A" w14:textId="77777777" w:rsidR="00154AD2" w:rsidRDefault="007F6BF3">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179D88CA" w14:textId="77777777" w:rsidR="00154AD2" w:rsidRDefault="007F6BF3">
            <w:pPr>
              <w:pStyle w:val="P68B1DB1-Normal23"/>
              <w:spacing w:after="0"/>
              <w:jc w:val="both"/>
              <w:rPr>
                <w:rFonts w:eastAsia="Calibri" w:cs="Calibri"/>
                <w:noProof/>
              </w:rPr>
            </w:pPr>
            <w:r>
              <w:rPr>
                <w:noProof/>
              </w:rPr>
              <w:t>Δημοσίευση της πολεοδομικής τεκμηρίωσης του μέτρου, ενσωματώνοντας πλήρως κάθε αποτέλεσμα και όρο από την ΕΠΕ</w:t>
            </w:r>
          </w:p>
        </w:tc>
      </w:tr>
      <w:tr w:rsidR="00154AD2" w14:paraId="22E0EAB1" w14:textId="77777777">
        <w:trPr>
          <w:trHeight w:val="440"/>
        </w:trPr>
        <w:tc>
          <w:tcPr>
            <w:tcW w:w="1200" w:type="dxa"/>
            <w:shd w:val="clear" w:color="auto" w:fill="C4EFCE"/>
            <w:vAlign w:val="center"/>
            <w:hideMark/>
          </w:tcPr>
          <w:p w14:paraId="2B69A152" w14:textId="77777777" w:rsidR="00154AD2" w:rsidRDefault="007F6BF3">
            <w:pPr>
              <w:pStyle w:val="P68B1DB1-Normal23"/>
              <w:spacing w:after="0"/>
              <w:jc w:val="center"/>
              <w:rPr>
                <w:rFonts w:eastAsia="Calibri" w:cs="Calibri"/>
                <w:noProof/>
              </w:rPr>
            </w:pPr>
            <w:r>
              <w:rPr>
                <w:noProof/>
              </w:rPr>
              <w:t>12.2</w:t>
            </w:r>
          </w:p>
        </w:tc>
        <w:tc>
          <w:tcPr>
            <w:tcW w:w="1760" w:type="dxa"/>
            <w:shd w:val="clear" w:color="auto" w:fill="C4EFCE"/>
            <w:vAlign w:val="center"/>
            <w:hideMark/>
          </w:tcPr>
          <w:p w14:paraId="0E5E7E9D" w14:textId="77777777" w:rsidR="00154AD2" w:rsidRDefault="007F6BF3">
            <w:pPr>
              <w:pStyle w:val="P68B1DB1-Normal23"/>
              <w:spacing w:after="0"/>
              <w:jc w:val="center"/>
              <w:rPr>
                <w:rFonts w:eastAsia="Calibri" w:cs="Calibri"/>
                <w:noProof/>
              </w:rPr>
            </w:pPr>
            <w:r>
              <w:rPr>
                <w:noProof/>
              </w:rPr>
              <w:t xml:space="preserve">TC-C12-I01 </w:t>
            </w:r>
          </w:p>
        </w:tc>
        <w:tc>
          <w:tcPr>
            <w:tcW w:w="1520" w:type="dxa"/>
            <w:shd w:val="clear" w:color="auto" w:fill="C4EFCE"/>
            <w:vAlign w:val="center"/>
            <w:hideMark/>
          </w:tcPr>
          <w:p w14:paraId="5A2C0CDF" w14:textId="77777777" w:rsidR="00154AD2" w:rsidRDefault="007F6BF3">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66F6BDEC" w14:textId="77777777" w:rsidR="00154AD2" w:rsidRDefault="007F6BF3">
            <w:pPr>
              <w:pStyle w:val="P68B1DB1-Normal23"/>
              <w:spacing w:after="0"/>
              <w:jc w:val="both"/>
              <w:rPr>
                <w:rFonts w:eastAsia="Calibri" w:cs="Calibri"/>
                <w:noProof/>
              </w:rPr>
            </w:pPr>
            <w:r>
              <w:rPr>
                <w:noProof/>
              </w:rPr>
              <w:t>Έγκριση των έργων που υπέβαλαν οι κοινοπραξίες για την ανάπτυξη νέων προϊόντων, τεχνολογιών και διαδικασιών βιοοικονομίας στους τομείς της κλωστοϋφαντουργίας και της ένδυσης, της υπόδησης και της φυσικής ρητίνης</w:t>
            </w:r>
          </w:p>
        </w:tc>
      </w:tr>
      <w:tr w:rsidR="00154AD2" w14:paraId="714F199C" w14:textId="77777777">
        <w:trPr>
          <w:trHeight w:val="440"/>
        </w:trPr>
        <w:tc>
          <w:tcPr>
            <w:tcW w:w="1200" w:type="dxa"/>
            <w:shd w:val="clear" w:color="auto" w:fill="C4EFCE"/>
            <w:vAlign w:val="center"/>
            <w:hideMark/>
          </w:tcPr>
          <w:p w14:paraId="2998479E" w14:textId="77777777" w:rsidR="00154AD2" w:rsidRDefault="007F6BF3">
            <w:pPr>
              <w:pStyle w:val="P68B1DB1-Normal23"/>
              <w:spacing w:after="0"/>
              <w:jc w:val="center"/>
              <w:rPr>
                <w:rFonts w:eastAsia="Calibri" w:cs="Calibri"/>
                <w:noProof/>
              </w:rPr>
            </w:pPr>
            <w:r>
              <w:rPr>
                <w:noProof/>
              </w:rPr>
              <w:t>15.10</w:t>
            </w:r>
          </w:p>
        </w:tc>
        <w:tc>
          <w:tcPr>
            <w:tcW w:w="1760" w:type="dxa"/>
            <w:shd w:val="clear" w:color="auto" w:fill="C4EFCE"/>
            <w:vAlign w:val="center"/>
            <w:hideMark/>
          </w:tcPr>
          <w:p w14:paraId="52003E88" w14:textId="77777777" w:rsidR="00154AD2" w:rsidRDefault="007F6BF3">
            <w:pPr>
              <w:pStyle w:val="P68B1DB1-Normal23"/>
              <w:spacing w:after="0"/>
              <w:jc w:val="center"/>
              <w:rPr>
                <w:rFonts w:eastAsia="Calibri" w:cs="Calibri"/>
                <w:noProof/>
              </w:rPr>
            </w:pPr>
            <w:r>
              <w:rPr>
                <w:noProof/>
              </w:rPr>
              <w:t xml:space="preserve">TC-C15-I04 </w:t>
            </w:r>
          </w:p>
        </w:tc>
        <w:tc>
          <w:tcPr>
            <w:tcW w:w="1520" w:type="dxa"/>
            <w:shd w:val="clear" w:color="auto" w:fill="C4EFCE"/>
            <w:vAlign w:val="center"/>
            <w:hideMark/>
          </w:tcPr>
          <w:p w14:paraId="6E6BC1D8" w14:textId="77777777" w:rsidR="00154AD2" w:rsidRDefault="007F6BF3">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36F85E86" w14:textId="77777777" w:rsidR="00154AD2" w:rsidRDefault="007F6BF3">
            <w:pPr>
              <w:pStyle w:val="P68B1DB1-Normal23"/>
              <w:spacing w:after="0"/>
              <w:jc w:val="both"/>
              <w:rPr>
                <w:rFonts w:eastAsia="Calibri" w:cs="Calibri"/>
                <w:noProof/>
              </w:rPr>
            </w:pPr>
            <w:r>
              <w:rPr>
                <w:noProof/>
              </w:rPr>
              <w:t>Υπογραφή της σύμβασης για την κατασκευή γραμμής ταχείας διέλευσης λεωφορείων μεταξύ Praça do Império και Praça Albuquerque Mouzinho στο Πόρτο</w:t>
            </w:r>
          </w:p>
        </w:tc>
      </w:tr>
      <w:tr w:rsidR="00154AD2" w14:paraId="533E7E79" w14:textId="77777777">
        <w:trPr>
          <w:trHeight w:val="440"/>
        </w:trPr>
        <w:tc>
          <w:tcPr>
            <w:tcW w:w="1200" w:type="dxa"/>
            <w:shd w:val="clear" w:color="auto" w:fill="C4EFCE"/>
            <w:vAlign w:val="center"/>
            <w:hideMark/>
          </w:tcPr>
          <w:p w14:paraId="02967B33" w14:textId="77777777" w:rsidR="00154AD2" w:rsidRDefault="007F6BF3">
            <w:pPr>
              <w:pStyle w:val="P68B1DB1-Normal23"/>
              <w:spacing w:after="0"/>
              <w:jc w:val="center"/>
              <w:rPr>
                <w:rFonts w:eastAsia="Calibri" w:cs="Calibri"/>
                <w:noProof/>
              </w:rPr>
            </w:pPr>
            <w:r>
              <w:rPr>
                <w:noProof/>
              </w:rPr>
              <w:t>16.1</w:t>
            </w:r>
          </w:p>
        </w:tc>
        <w:tc>
          <w:tcPr>
            <w:tcW w:w="1760" w:type="dxa"/>
            <w:shd w:val="clear" w:color="auto" w:fill="C4EFCE"/>
            <w:vAlign w:val="center"/>
            <w:hideMark/>
          </w:tcPr>
          <w:p w14:paraId="6200FB03" w14:textId="77777777" w:rsidR="00154AD2" w:rsidRDefault="007F6BF3">
            <w:pPr>
              <w:pStyle w:val="P68B1DB1-Normal23"/>
              <w:spacing w:after="0"/>
              <w:jc w:val="center"/>
              <w:rPr>
                <w:rFonts w:eastAsia="Calibri" w:cs="Calibri"/>
                <w:noProof/>
              </w:rPr>
            </w:pPr>
            <w:r>
              <w:rPr>
                <w:noProof/>
              </w:rPr>
              <w:t xml:space="preserve">TD-C16-r31 </w:t>
            </w:r>
          </w:p>
        </w:tc>
        <w:tc>
          <w:tcPr>
            <w:tcW w:w="1520" w:type="dxa"/>
            <w:shd w:val="clear" w:color="auto" w:fill="C4EFCE"/>
            <w:vAlign w:val="center"/>
            <w:hideMark/>
          </w:tcPr>
          <w:p w14:paraId="5AAA97BA" w14:textId="77777777" w:rsidR="00154AD2" w:rsidRDefault="007F6BF3">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5D8BB228" w14:textId="77777777" w:rsidR="00154AD2" w:rsidRDefault="007F6BF3">
            <w:pPr>
              <w:pStyle w:val="P68B1DB1-Normal23"/>
              <w:spacing w:after="0"/>
              <w:jc w:val="both"/>
              <w:rPr>
                <w:rFonts w:eastAsia="Calibri" w:cs="Calibri"/>
                <w:noProof/>
              </w:rPr>
            </w:pPr>
            <w:r>
              <w:rPr>
                <w:noProof/>
              </w:rPr>
              <w:t>Έναρξη ισχύος της επανεξέτασης του περιεχομένου κατάρτισης που περιλαμβάνεται στον εθνικό κατάλογο επαγγελματικών προσόντων σχετικά με τις ενότητες στον τομέα των ψηφιακών δεξιοτήτων και τη νομοθεσία ή τον κανονισμό για τη δημιουργία ψηφιακών υπογραφών και σφραγίδων</w:t>
            </w:r>
          </w:p>
        </w:tc>
      </w:tr>
      <w:tr w:rsidR="00154AD2" w14:paraId="5CC4D3D1" w14:textId="77777777">
        <w:trPr>
          <w:trHeight w:val="440"/>
        </w:trPr>
        <w:tc>
          <w:tcPr>
            <w:tcW w:w="1200" w:type="dxa"/>
            <w:shd w:val="clear" w:color="auto" w:fill="C4EFCE"/>
            <w:vAlign w:val="center"/>
            <w:hideMark/>
          </w:tcPr>
          <w:p w14:paraId="1F86CEE9" w14:textId="77777777" w:rsidR="00154AD2" w:rsidRDefault="007F6BF3">
            <w:pPr>
              <w:pStyle w:val="P68B1DB1-Normal23"/>
              <w:spacing w:after="0"/>
              <w:jc w:val="center"/>
              <w:rPr>
                <w:rFonts w:eastAsia="Calibri" w:cs="Calibri"/>
                <w:noProof/>
              </w:rPr>
            </w:pPr>
            <w:r>
              <w:rPr>
                <w:noProof/>
              </w:rPr>
              <w:t>16.2</w:t>
            </w:r>
          </w:p>
        </w:tc>
        <w:tc>
          <w:tcPr>
            <w:tcW w:w="1760" w:type="dxa"/>
            <w:shd w:val="clear" w:color="auto" w:fill="C4EFCE"/>
            <w:vAlign w:val="center"/>
            <w:hideMark/>
          </w:tcPr>
          <w:p w14:paraId="11BC8A27" w14:textId="77777777" w:rsidR="00154AD2" w:rsidRDefault="007F6BF3">
            <w:pPr>
              <w:pStyle w:val="P68B1DB1-Normal23"/>
              <w:spacing w:after="0"/>
              <w:jc w:val="center"/>
              <w:rPr>
                <w:rFonts w:eastAsia="Calibri" w:cs="Calibri"/>
                <w:noProof/>
              </w:rPr>
            </w:pPr>
            <w:r>
              <w:rPr>
                <w:noProof/>
              </w:rPr>
              <w:t xml:space="preserve">TD-C16-i01 </w:t>
            </w:r>
          </w:p>
        </w:tc>
        <w:tc>
          <w:tcPr>
            <w:tcW w:w="1520" w:type="dxa"/>
            <w:shd w:val="clear" w:color="auto" w:fill="C4EFCE"/>
            <w:vAlign w:val="center"/>
            <w:hideMark/>
          </w:tcPr>
          <w:p w14:paraId="090CB4EA" w14:textId="77777777" w:rsidR="00154AD2" w:rsidRDefault="007F6BF3">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47853812" w14:textId="77777777" w:rsidR="00154AD2" w:rsidRDefault="007F6BF3">
            <w:pPr>
              <w:pStyle w:val="P68B1DB1-Normal23"/>
              <w:spacing w:after="0"/>
              <w:jc w:val="both"/>
              <w:rPr>
                <w:rFonts w:eastAsia="Calibri" w:cs="Calibri"/>
                <w:noProof/>
              </w:rPr>
            </w:pPr>
            <w:r>
              <w:rPr>
                <w:noProof/>
              </w:rPr>
              <w:t>Έναρξη της Ψηφιακής Ακαδημίας της Πορτογαλίας και των προγραμμάτων «Απασχόληση + Ψηφιακές τεχνολογίες»</w:t>
            </w:r>
          </w:p>
        </w:tc>
      </w:tr>
      <w:tr w:rsidR="00154AD2" w14:paraId="3200DC7C" w14:textId="77777777">
        <w:trPr>
          <w:trHeight w:val="440"/>
        </w:trPr>
        <w:tc>
          <w:tcPr>
            <w:tcW w:w="1200" w:type="dxa"/>
            <w:shd w:val="clear" w:color="auto" w:fill="C4EFCE"/>
            <w:vAlign w:val="center"/>
            <w:hideMark/>
          </w:tcPr>
          <w:p w14:paraId="05FEEB7F" w14:textId="77777777" w:rsidR="00154AD2" w:rsidRDefault="007F6BF3">
            <w:pPr>
              <w:pStyle w:val="P68B1DB1-Normal23"/>
              <w:spacing w:after="0"/>
              <w:jc w:val="center"/>
              <w:rPr>
                <w:rFonts w:eastAsia="Calibri" w:cs="Calibri"/>
                <w:noProof/>
              </w:rPr>
            </w:pPr>
            <w:r>
              <w:rPr>
                <w:noProof/>
              </w:rPr>
              <w:t>17.15</w:t>
            </w:r>
          </w:p>
        </w:tc>
        <w:tc>
          <w:tcPr>
            <w:tcW w:w="1760" w:type="dxa"/>
            <w:shd w:val="clear" w:color="auto" w:fill="C4EFCE"/>
            <w:vAlign w:val="center"/>
            <w:hideMark/>
          </w:tcPr>
          <w:p w14:paraId="1F9D1033" w14:textId="77777777" w:rsidR="00154AD2" w:rsidRDefault="007F6BF3">
            <w:pPr>
              <w:pStyle w:val="P68B1DB1-Normal23"/>
              <w:spacing w:after="0"/>
              <w:jc w:val="center"/>
              <w:rPr>
                <w:rFonts w:eastAsia="Calibri" w:cs="Calibri"/>
                <w:noProof/>
              </w:rPr>
            </w:pPr>
            <w:r>
              <w:rPr>
                <w:noProof/>
              </w:rPr>
              <w:t xml:space="preserve">TD-C17-i02 </w:t>
            </w:r>
          </w:p>
        </w:tc>
        <w:tc>
          <w:tcPr>
            <w:tcW w:w="1520" w:type="dxa"/>
            <w:shd w:val="clear" w:color="auto" w:fill="C4EFCE"/>
            <w:vAlign w:val="center"/>
            <w:hideMark/>
          </w:tcPr>
          <w:p w14:paraId="67833CAE" w14:textId="77777777" w:rsidR="00154AD2" w:rsidRDefault="007F6BF3">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30BBDC58" w14:textId="77777777" w:rsidR="00154AD2" w:rsidRDefault="007F6BF3">
            <w:pPr>
              <w:pStyle w:val="P68B1DB1-Normal23"/>
              <w:spacing w:after="0"/>
              <w:jc w:val="both"/>
              <w:rPr>
                <w:rFonts w:eastAsia="Calibri" w:cs="Calibri"/>
                <w:noProof/>
              </w:rPr>
            </w:pPr>
            <w:r>
              <w:rPr>
                <w:noProof/>
              </w:rPr>
              <w:t>Ολοκλήρωση της εφαρμογής της προσυμπλήρωσης του υποδείγματος 1 της δήλωσης δημοτικού φόρου ακίνητης περιουσίας (IMI), με βάση τα στοιχεία που διαθέτει η Φορολογική και Τελωνειακή Αρχή</w:t>
            </w:r>
          </w:p>
        </w:tc>
      </w:tr>
      <w:tr w:rsidR="00154AD2" w14:paraId="67713344" w14:textId="77777777">
        <w:trPr>
          <w:trHeight w:val="440"/>
        </w:trPr>
        <w:tc>
          <w:tcPr>
            <w:tcW w:w="1200" w:type="dxa"/>
            <w:shd w:val="clear" w:color="auto" w:fill="C4EFCE"/>
            <w:vAlign w:val="center"/>
            <w:hideMark/>
          </w:tcPr>
          <w:p w14:paraId="66174395" w14:textId="77777777" w:rsidR="00154AD2" w:rsidRDefault="007F6BF3">
            <w:pPr>
              <w:pStyle w:val="P68B1DB1-Normal23"/>
              <w:spacing w:after="0"/>
              <w:jc w:val="center"/>
              <w:rPr>
                <w:rFonts w:eastAsia="Calibri" w:cs="Calibri"/>
                <w:noProof/>
              </w:rPr>
            </w:pPr>
            <w:r>
              <w:rPr>
                <w:noProof/>
              </w:rPr>
              <w:t>19.11</w:t>
            </w:r>
          </w:p>
        </w:tc>
        <w:tc>
          <w:tcPr>
            <w:tcW w:w="1760" w:type="dxa"/>
            <w:shd w:val="clear" w:color="auto" w:fill="C4EFCE"/>
            <w:vAlign w:val="center"/>
            <w:hideMark/>
          </w:tcPr>
          <w:p w14:paraId="2588905C" w14:textId="77777777" w:rsidR="00154AD2" w:rsidRDefault="007F6BF3">
            <w:pPr>
              <w:pStyle w:val="P68B1DB1-Normal23"/>
              <w:spacing w:after="0"/>
              <w:jc w:val="center"/>
              <w:rPr>
                <w:rFonts w:eastAsia="Calibri" w:cs="Calibri"/>
                <w:noProof/>
              </w:rPr>
            </w:pPr>
            <w:r>
              <w:rPr>
                <w:noProof/>
              </w:rPr>
              <w:t xml:space="preserve">TD-C19-i04 </w:t>
            </w:r>
          </w:p>
        </w:tc>
        <w:tc>
          <w:tcPr>
            <w:tcW w:w="1520" w:type="dxa"/>
            <w:shd w:val="clear" w:color="auto" w:fill="C4EFCE"/>
            <w:vAlign w:val="center"/>
            <w:hideMark/>
          </w:tcPr>
          <w:p w14:paraId="0316DC1D" w14:textId="77777777" w:rsidR="00154AD2" w:rsidRDefault="007F6BF3">
            <w:pPr>
              <w:pStyle w:val="P68B1DB1-Normal23"/>
              <w:spacing w:after="0"/>
              <w:jc w:val="center"/>
              <w:rPr>
                <w:rFonts w:eastAsia="Calibri" w:cs="Calibri"/>
                <w:noProof/>
              </w:rPr>
            </w:pPr>
            <w:r>
              <w:rPr>
                <w:noProof/>
              </w:rPr>
              <w:t xml:space="preserve">T </w:t>
            </w:r>
          </w:p>
        </w:tc>
        <w:tc>
          <w:tcPr>
            <w:tcW w:w="5060" w:type="dxa"/>
            <w:shd w:val="clear" w:color="auto" w:fill="C4EFCE"/>
            <w:vAlign w:val="center"/>
            <w:hideMark/>
          </w:tcPr>
          <w:p w14:paraId="1F06EAFA" w14:textId="77777777" w:rsidR="00154AD2" w:rsidRDefault="007F6BF3">
            <w:pPr>
              <w:pStyle w:val="P68B1DB1-Normal23"/>
              <w:spacing w:after="0"/>
              <w:jc w:val="both"/>
              <w:rPr>
                <w:rFonts w:eastAsia="Calibri" w:cs="Calibri"/>
                <w:noProof/>
              </w:rPr>
            </w:pPr>
            <w:r>
              <w:rPr>
                <w:noProof/>
              </w:rPr>
              <w:t>Ασφαλές σύστημα κινητών επικοινωνιών για κυβερνητικούς υπαλλήλους</w:t>
            </w:r>
          </w:p>
        </w:tc>
      </w:tr>
      <w:tr w:rsidR="00154AD2" w14:paraId="53A0C5D6" w14:textId="77777777">
        <w:trPr>
          <w:trHeight w:val="440"/>
        </w:trPr>
        <w:tc>
          <w:tcPr>
            <w:tcW w:w="1200" w:type="dxa"/>
            <w:shd w:val="clear" w:color="auto" w:fill="C4EFCE"/>
            <w:vAlign w:val="center"/>
            <w:hideMark/>
          </w:tcPr>
          <w:p w14:paraId="7CC89C41" w14:textId="77777777" w:rsidR="00154AD2" w:rsidRDefault="007F6BF3">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371F60AD" w14:textId="77777777" w:rsidR="00154AD2" w:rsidRDefault="007F6BF3">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49CC9873" w14:textId="77777777" w:rsidR="00154AD2" w:rsidRDefault="007F6BF3">
            <w:pPr>
              <w:pStyle w:val="P68B1DB1-Normal24"/>
              <w:spacing w:after="0" w:line="240" w:lineRule="auto"/>
              <w:jc w:val="center"/>
              <w:rPr>
                <w:rFonts w:eastAsia="Times New Roman" w:cs="Calibri"/>
                <w:noProof/>
              </w:rPr>
            </w:pPr>
            <w:r>
              <w:rPr>
                <w:noProof/>
              </w:rPr>
              <w:t>Ποσό δόσης</w:t>
            </w:r>
          </w:p>
        </w:tc>
        <w:tc>
          <w:tcPr>
            <w:tcW w:w="5060" w:type="dxa"/>
            <w:shd w:val="clear" w:color="auto" w:fill="C4EFCE"/>
            <w:vAlign w:val="center"/>
            <w:hideMark/>
          </w:tcPr>
          <w:p w14:paraId="4901582E" w14:textId="2E4933F5" w:rsidR="00154AD2" w:rsidRDefault="007F6BF3">
            <w:pPr>
              <w:pStyle w:val="P68B1DB1-Normal25"/>
              <w:spacing w:after="0" w:line="240" w:lineRule="auto"/>
              <w:jc w:val="center"/>
              <w:rPr>
                <w:rFonts w:cs="Calibri"/>
                <w:noProof/>
              </w:rPr>
            </w:pPr>
            <w:r>
              <w:rPr>
                <w:noProof/>
              </w:rPr>
              <w:t xml:space="preserve"> 1 967 365 517 EUR</w:t>
            </w:r>
          </w:p>
        </w:tc>
      </w:tr>
    </w:tbl>
    <w:p w14:paraId="59D27683"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7A195C46" w14:textId="77777777" w:rsidR="00154AD2" w:rsidRDefault="007F6BF3">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Τρίτη αίτηση πληρωμής (μη επιστρεπτέα στήριξη): </w:t>
      </w:r>
    </w:p>
    <w:p w14:paraId="39F5DDB8" w14:textId="77777777" w:rsidR="00154AD2" w:rsidRDefault="00154AD2">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750"/>
        <w:gridCol w:w="1670"/>
        <w:gridCol w:w="4933"/>
      </w:tblGrid>
      <w:tr w:rsidR="00154AD2" w14:paraId="1430A9DC" w14:textId="77777777">
        <w:trPr>
          <w:trHeight w:val="1018"/>
          <w:tblHeader/>
        </w:trPr>
        <w:tc>
          <w:tcPr>
            <w:tcW w:w="1200" w:type="dxa"/>
            <w:shd w:val="clear" w:color="auto" w:fill="BDD7EE"/>
            <w:vAlign w:val="center"/>
            <w:hideMark/>
          </w:tcPr>
          <w:p w14:paraId="2847B217" w14:textId="77777777" w:rsidR="00154AD2" w:rsidRDefault="007F6BF3">
            <w:pPr>
              <w:pStyle w:val="P68B1DB1-Normal22"/>
              <w:spacing w:after="0" w:line="240" w:lineRule="auto"/>
              <w:jc w:val="center"/>
              <w:rPr>
                <w:rFonts w:eastAsia="Times New Roman" w:cs="Times New Roman"/>
                <w:noProof/>
              </w:rPr>
            </w:pPr>
            <w:r>
              <w:rPr>
                <w:noProof/>
              </w:rPr>
              <w:t>Αύξων αριθμός</w:t>
            </w:r>
          </w:p>
        </w:tc>
        <w:tc>
          <w:tcPr>
            <w:tcW w:w="1760" w:type="dxa"/>
            <w:shd w:val="clear" w:color="auto" w:fill="BDD7EE"/>
            <w:vAlign w:val="center"/>
            <w:hideMark/>
          </w:tcPr>
          <w:p w14:paraId="6187D274" w14:textId="77777777" w:rsidR="00154AD2" w:rsidRDefault="007F6BF3">
            <w:pPr>
              <w:pStyle w:val="P68B1DB1-Normal22"/>
              <w:spacing w:after="0" w:line="240" w:lineRule="auto"/>
              <w:jc w:val="center"/>
              <w:rPr>
                <w:rFonts w:eastAsia="Times New Roman" w:cs="Times New Roman"/>
                <w:noProof/>
              </w:rPr>
            </w:pPr>
            <w:r>
              <w:rPr>
                <w:noProof/>
              </w:rPr>
              <w:t>Σχετικό μέτρο (μεταρρύθμιση ή επένδυση)</w:t>
            </w:r>
          </w:p>
        </w:tc>
        <w:tc>
          <w:tcPr>
            <w:tcW w:w="1520" w:type="dxa"/>
            <w:shd w:val="clear" w:color="auto" w:fill="BDD7EE"/>
            <w:vAlign w:val="center"/>
            <w:hideMark/>
          </w:tcPr>
          <w:p w14:paraId="32A18B87" w14:textId="77777777" w:rsidR="00154AD2" w:rsidRDefault="007F6BF3">
            <w:pPr>
              <w:pStyle w:val="P68B1DB1-Normal22"/>
              <w:spacing w:after="0" w:line="240" w:lineRule="auto"/>
              <w:jc w:val="center"/>
              <w:rPr>
                <w:rFonts w:eastAsia="Times New Roman" w:cs="Times New Roman"/>
                <w:noProof/>
              </w:rPr>
            </w:pPr>
            <w:r>
              <w:rPr>
                <w:noProof/>
              </w:rPr>
              <w:t>Ορόσημο/Στόχος</w:t>
            </w:r>
          </w:p>
        </w:tc>
        <w:tc>
          <w:tcPr>
            <w:tcW w:w="5060" w:type="dxa"/>
            <w:shd w:val="clear" w:color="auto" w:fill="BDD7EE"/>
            <w:vAlign w:val="center"/>
            <w:hideMark/>
          </w:tcPr>
          <w:p w14:paraId="7A727648" w14:textId="77777777" w:rsidR="00154AD2" w:rsidRDefault="007F6BF3">
            <w:pPr>
              <w:pStyle w:val="P68B1DB1-Normal22"/>
              <w:spacing w:after="0" w:line="240" w:lineRule="auto"/>
              <w:jc w:val="center"/>
              <w:rPr>
                <w:rFonts w:eastAsia="Times New Roman" w:cs="Times New Roman"/>
                <w:noProof/>
              </w:rPr>
            </w:pPr>
            <w:r>
              <w:rPr>
                <w:noProof/>
              </w:rPr>
              <w:t>Όνομα</w:t>
            </w:r>
          </w:p>
        </w:tc>
      </w:tr>
      <w:tr w:rsidR="00154AD2" w14:paraId="433173AD" w14:textId="77777777">
        <w:trPr>
          <w:trHeight w:val="440"/>
        </w:trPr>
        <w:tc>
          <w:tcPr>
            <w:tcW w:w="1200" w:type="dxa"/>
            <w:shd w:val="clear" w:color="auto" w:fill="C4EFCE"/>
            <w:vAlign w:val="center"/>
            <w:hideMark/>
          </w:tcPr>
          <w:p w14:paraId="29F12095" w14:textId="77777777" w:rsidR="00154AD2" w:rsidRDefault="007F6BF3">
            <w:pPr>
              <w:pStyle w:val="P68B1DB1-Normal23"/>
              <w:spacing w:after="0"/>
              <w:jc w:val="center"/>
              <w:rPr>
                <w:noProof/>
              </w:rPr>
            </w:pPr>
            <w:r>
              <w:rPr>
                <w:noProof/>
              </w:rPr>
              <w:t>1.3</w:t>
            </w:r>
          </w:p>
        </w:tc>
        <w:tc>
          <w:tcPr>
            <w:tcW w:w="1760" w:type="dxa"/>
            <w:shd w:val="clear" w:color="auto" w:fill="C4EFCE"/>
            <w:vAlign w:val="center"/>
            <w:hideMark/>
          </w:tcPr>
          <w:p w14:paraId="227BCECB" w14:textId="77777777" w:rsidR="00154AD2" w:rsidRDefault="007F6BF3">
            <w:pPr>
              <w:pStyle w:val="P68B1DB1-Normal23"/>
              <w:spacing w:after="0"/>
              <w:jc w:val="center"/>
              <w:rPr>
                <w:noProof/>
              </w:rPr>
            </w:pPr>
            <w:r>
              <w:rPr>
                <w:noProof/>
              </w:rPr>
              <w:t xml:space="preserve">RE-C01-r01 </w:t>
            </w:r>
          </w:p>
        </w:tc>
        <w:tc>
          <w:tcPr>
            <w:tcW w:w="1520" w:type="dxa"/>
            <w:shd w:val="clear" w:color="auto" w:fill="C4EFCE"/>
            <w:vAlign w:val="center"/>
            <w:hideMark/>
          </w:tcPr>
          <w:p w14:paraId="02B91359"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1127E965" w14:textId="77777777" w:rsidR="00154AD2" w:rsidRDefault="007F6BF3">
            <w:pPr>
              <w:pStyle w:val="P68B1DB1-Normal23"/>
              <w:spacing w:after="0"/>
              <w:jc w:val="both"/>
              <w:rPr>
                <w:rFonts w:eastAsia="Calibri" w:cs="Calibri"/>
                <w:noProof/>
              </w:rPr>
            </w:pPr>
            <w:r>
              <w:rPr>
                <w:noProof/>
              </w:rPr>
              <w:t>Ολοκλήρωση της διαδικασίας αποκέντρωσης των αρμοδιοτήτων στον τομέα της υγείας στους δήμους</w:t>
            </w:r>
          </w:p>
        </w:tc>
      </w:tr>
      <w:tr w:rsidR="00154AD2" w14:paraId="35C8B374" w14:textId="77777777">
        <w:trPr>
          <w:trHeight w:val="440"/>
        </w:trPr>
        <w:tc>
          <w:tcPr>
            <w:tcW w:w="1200" w:type="dxa"/>
            <w:shd w:val="clear" w:color="auto" w:fill="C4EFCE"/>
            <w:vAlign w:val="center"/>
            <w:hideMark/>
          </w:tcPr>
          <w:p w14:paraId="5B2F963A" w14:textId="77777777" w:rsidR="00154AD2" w:rsidRDefault="007F6BF3">
            <w:pPr>
              <w:pStyle w:val="P68B1DB1-Normal23"/>
              <w:spacing w:after="0"/>
              <w:jc w:val="center"/>
              <w:rPr>
                <w:noProof/>
              </w:rPr>
            </w:pPr>
            <w:r>
              <w:rPr>
                <w:noProof/>
              </w:rPr>
              <w:t>1.8</w:t>
            </w:r>
          </w:p>
        </w:tc>
        <w:tc>
          <w:tcPr>
            <w:tcW w:w="1760" w:type="dxa"/>
            <w:shd w:val="clear" w:color="auto" w:fill="C4EFCE"/>
            <w:vAlign w:val="center"/>
            <w:hideMark/>
          </w:tcPr>
          <w:p w14:paraId="4BA31BDE" w14:textId="77777777" w:rsidR="00154AD2" w:rsidRDefault="007F6BF3">
            <w:pPr>
              <w:pStyle w:val="P68B1DB1-Normal23"/>
              <w:spacing w:after="0"/>
              <w:jc w:val="center"/>
              <w:rPr>
                <w:noProof/>
              </w:rPr>
            </w:pPr>
            <w:r>
              <w:rPr>
                <w:noProof/>
              </w:rPr>
              <w:t xml:space="preserve">RE-C01-r03 </w:t>
            </w:r>
          </w:p>
        </w:tc>
        <w:tc>
          <w:tcPr>
            <w:tcW w:w="1520" w:type="dxa"/>
            <w:shd w:val="clear" w:color="auto" w:fill="C4EFCE"/>
            <w:vAlign w:val="center"/>
            <w:hideMark/>
          </w:tcPr>
          <w:p w14:paraId="4B70E399"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4D83727" w14:textId="77777777" w:rsidR="00154AD2" w:rsidRDefault="007F6BF3">
            <w:pPr>
              <w:pStyle w:val="P68B1DB1-Normal23"/>
              <w:spacing w:after="0"/>
              <w:jc w:val="both"/>
              <w:rPr>
                <w:rFonts w:eastAsia="Calibri" w:cs="Calibri"/>
                <w:noProof/>
              </w:rPr>
            </w:pPr>
            <w:r>
              <w:rPr>
                <w:noProof/>
              </w:rPr>
              <w:t>Δημιουργία νέων Ολοκληρωμένων Κέντρων Ευθύνης στα Νοσοκομεία του Εθνικού Συστήματος Υγείας</w:t>
            </w:r>
          </w:p>
        </w:tc>
      </w:tr>
      <w:tr w:rsidR="00154AD2" w14:paraId="612E7BD9" w14:textId="77777777">
        <w:trPr>
          <w:trHeight w:val="440"/>
        </w:trPr>
        <w:tc>
          <w:tcPr>
            <w:tcW w:w="1200" w:type="dxa"/>
            <w:shd w:val="clear" w:color="auto" w:fill="C4EFCE"/>
            <w:vAlign w:val="center"/>
            <w:hideMark/>
          </w:tcPr>
          <w:p w14:paraId="6F992C46" w14:textId="77777777" w:rsidR="00154AD2" w:rsidRDefault="007F6BF3">
            <w:pPr>
              <w:pStyle w:val="P68B1DB1-Normal23"/>
              <w:spacing w:after="0"/>
              <w:jc w:val="center"/>
              <w:rPr>
                <w:noProof/>
              </w:rPr>
            </w:pPr>
            <w:r>
              <w:rPr>
                <w:noProof/>
              </w:rPr>
              <w:t>1.24</w:t>
            </w:r>
          </w:p>
        </w:tc>
        <w:tc>
          <w:tcPr>
            <w:tcW w:w="1760" w:type="dxa"/>
            <w:shd w:val="clear" w:color="auto" w:fill="C4EFCE"/>
            <w:vAlign w:val="center"/>
            <w:hideMark/>
          </w:tcPr>
          <w:p w14:paraId="6244700A" w14:textId="77777777" w:rsidR="00154AD2" w:rsidRDefault="007F6BF3">
            <w:pPr>
              <w:pStyle w:val="P68B1DB1-Normal23"/>
              <w:spacing w:after="0"/>
              <w:jc w:val="center"/>
              <w:rPr>
                <w:noProof/>
              </w:rPr>
            </w:pPr>
            <w:r>
              <w:rPr>
                <w:noProof/>
              </w:rPr>
              <w:t xml:space="preserve">RE-C01-i03 </w:t>
            </w:r>
          </w:p>
        </w:tc>
        <w:tc>
          <w:tcPr>
            <w:tcW w:w="1520" w:type="dxa"/>
            <w:shd w:val="clear" w:color="auto" w:fill="C4EFCE"/>
            <w:vAlign w:val="center"/>
            <w:hideMark/>
          </w:tcPr>
          <w:p w14:paraId="768B1E26"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521094EF" w14:textId="77777777" w:rsidR="00154AD2" w:rsidRDefault="007F6BF3">
            <w:pPr>
              <w:pStyle w:val="P68B1DB1-Normal23"/>
              <w:spacing w:after="0"/>
              <w:jc w:val="both"/>
              <w:rPr>
                <w:rFonts w:eastAsia="Calibri" w:cs="Calibri"/>
                <w:noProof/>
              </w:rPr>
            </w:pPr>
            <w:r>
              <w:rPr>
                <w:noProof/>
              </w:rPr>
              <w:t>Ανάπτυξη δράσεων ευαισθητοποίησης και κατάρτισης για την «ανάπτυξη των διαδρομών των ασθενών» στο πλαίσιο της άνοιας</w:t>
            </w:r>
          </w:p>
        </w:tc>
      </w:tr>
      <w:tr w:rsidR="00154AD2" w14:paraId="16774000" w14:textId="77777777">
        <w:trPr>
          <w:trHeight w:val="440"/>
        </w:trPr>
        <w:tc>
          <w:tcPr>
            <w:tcW w:w="1200" w:type="dxa"/>
            <w:shd w:val="clear" w:color="auto" w:fill="C4EFCE"/>
            <w:vAlign w:val="center"/>
            <w:hideMark/>
          </w:tcPr>
          <w:p w14:paraId="4F522AAB" w14:textId="77777777" w:rsidR="00154AD2" w:rsidRDefault="007F6BF3">
            <w:pPr>
              <w:pStyle w:val="P68B1DB1-Normal23"/>
              <w:spacing w:after="0"/>
              <w:jc w:val="center"/>
              <w:rPr>
                <w:noProof/>
              </w:rPr>
            </w:pPr>
            <w:r>
              <w:rPr>
                <w:noProof/>
              </w:rPr>
              <w:t>1.32</w:t>
            </w:r>
          </w:p>
        </w:tc>
        <w:tc>
          <w:tcPr>
            <w:tcW w:w="1760" w:type="dxa"/>
            <w:shd w:val="clear" w:color="auto" w:fill="C4EFCE"/>
            <w:vAlign w:val="center"/>
            <w:hideMark/>
          </w:tcPr>
          <w:p w14:paraId="1E3BBF1C" w14:textId="77777777" w:rsidR="00154AD2" w:rsidRDefault="007F6BF3">
            <w:pPr>
              <w:pStyle w:val="P68B1DB1-Normal23"/>
              <w:spacing w:after="0"/>
              <w:jc w:val="center"/>
              <w:rPr>
                <w:noProof/>
              </w:rPr>
            </w:pPr>
            <w:r>
              <w:rPr>
                <w:noProof/>
              </w:rPr>
              <w:t xml:space="preserve">RE-C01-i06 </w:t>
            </w:r>
          </w:p>
        </w:tc>
        <w:tc>
          <w:tcPr>
            <w:tcW w:w="1520" w:type="dxa"/>
            <w:shd w:val="clear" w:color="auto" w:fill="C4EFCE"/>
            <w:vAlign w:val="center"/>
            <w:hideMark/>
          </w:tcPr>
          <w:p w14:paraId="751F589B"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E971E6E" w14:textId="77777777" w:rsidR="00154AD2" w:rsidRDefault="007F6BF3">
            <w:pPr>
              <w:pStyle w:val="P68B1DB1-Normal23"/>
              <w:spacing w:after="0"/>
              <w:jc w:val="both"/>
              <w:rPr>
                <w:rFonts w:eastAsia="Calibri" w:cs="Calibri"/>
                <w:noProof/>
              </w:rPr>
            </w:pPr>
            <w:r>
              <w:rPr>
                <w:noProof/>
              </w:rPr>
              <w:t>Αναβάθμιση τοπικών δικτύων τεχνολογίας πληροφοριών</w:t>
            </w:r>
          </w:p>
        </w:tc>
      </w:tr>
      <w:tr w:rsidR="00154AD2" w14:paraId="30A3EA71" w14:textId="77777777">
        <w:trPr>
          <w:trHeight w:val="440"/>
        </w:trPr>
        <w:tc>
          <w:tcPr>
            <w:tcW w:w="1200" w:type="dxa"/>
            <w:shd w:val="clear" w:color="auto" w:fill="C4EFCE"/>
            <w:vAlign w:val="center"/>
            <w:hideMark/>
          </w:tcPr>
          <w:p w14:paraId="77DEF1E6" w14:textId="77777777" w:rsidR="00154AD2" w:rsidRDefault="007F6BF3">
            <w:pPr>
              <w:pStyle w:val="P68B1DB1-Normal23"/>
              <w:spacing w:after="0"/>
              <w:jc w:val="center"/>
              <w:rPr>
                <w:noProof/>
              </w:rPr>
            </w:pPr>
            <w:r>
              <w:rPr>
                <w:noProof/>
              </w:rPr>
              <w:t>1.33</w:t>
            </w:r>
          </w:p>
        </w:tc>
        <w:tc>
          <w:tcPr>
            <w:tcW w:w="1760" w:type="dxa"/>
            <w:shd w:val="clear" w:color="auto" w:fill="C4EFCE"/>
            <w:vAlign w:val="center"/>
            <w:hideMark/>
          </w:tcPr>
          <w:p w14:paraId="3EF303B5" w14:textId="77777777" w:rsidR="00154AD2" w:rsidRDefault="007F6BF3">
            <w:pPr>
              <w:pStyle w:val="P68B1DB1-Normal23"/>
              <w:spacing w:after="0"/>
              <w:jc w:val="center"/>
              <w:rPr>
                <w:noProof/>
              </w:rPr>
            </w:pPr>
            <w:r>
              <w:rPr>
                <w:noProof/>
              </w:rPr>
              <w:t xml:space="preserve">RE-C01-i06 </w:t>
            </w:r>
          </w:p>
        </w:tc>
        <w:tc>
          <w:tcPr>
            <w:tcW w:w="1520" w:type="dxa"/>
            <w:shd w:val="clear" w:color="auto" w:fill="C4EFCE"/>
            <w:vAlign w:val="center"/>
            <w:hideMark/>
          </w:tcPr>
          <w:p w14:paraId="0BE21A0A"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C0D9898" w14:textId="77777777" w:rsidR="00154AD2" w:rsidRDefault="007F6BF3">
            <w:pPr>
              <w:pStyle w:val="P68B1DB1-Normal23"/>
              <w:spacing w:after="0"/>
              <w:jc w:val="both"/>
              <w:rPr>
                <w:rFonts w:eastAsia="Calibri" w:cs="Calibri"/>
                <w:noProof/>
              </w:rPr>
            </w:pPr>
            <w:r>
              <w:rPr>
                <w:noProof/>
              </w:rPr>
              <w:t>Εφαρμογή λειτουργικών δυνατοτήτων για την τηλευγεία και την τηλεπαρακολούθηση</w:t>
            </w:r>
          </w:p>
        </w:tc>
      </w:tr>
      <w:tr w:rsidR="00154AD2" w14:paraId="32F2658E" w14:textId="77777777">
        <w:trPr>
          <w:trHeight w:val="440"/>
        </w:trPr>
        <w:tc>
          <w:tcPr>
            <w:tcW w:w="1200" w:type="dxa"/>
            <w:shd w:val="clear" w:color="auto" w:fill="C4EFCE"/>
            <w:vAlign w:val="center"/>
            <w:hideMark/>
          </w:tcPr>
          <w:p w14:paraId="1B65C832" w14:textId="77777777" w:rsidR="00154AD2" w:rsidRDefault="007F6BF3">
            <w:pPr>
              <w:pStyle w:val="P68B1DB1-Normal23"/>
              <w:spacing w:after="0"/>
              <w:jc w:val="center"/>
              <w:rPr>
                <w:noProof/>
              </w:rPr>
            </w:pPr>
            <w:r>
              <w:rPr>
                <w:noProof/>
              </w:rPr>
              <w:t>2.1</w:t>
            </w:r>
          </w:p>
        </w:tc>
        <w:tc>
          <w:tcPr>
            <w:tcW w:w="1760" w:type="dxa"/>
            <w:shd w:val="clear" w:color="auto" w:fill="C4EFCE"/>
            <w:vAlign w:val="center"/>
            <w:hideMark/>
          </w:tcPr>
          <w:p w14:paraId="2ABDE328" w14:textId="77777777" w:rsidR="00154AD2" w:rsidRDefault="007F6BF3">
            <w:pPr>
              <w:pStyle w:val="P68B1DB1-Normal23"/>
              <w:spacing w:after="0"/>
              <w:jc w:val="center"/>
              <w:rPr>
                <w:noProof/>
              </w:rPr>
            </w:pPr>
            <w:r>
              <w:rPr>
                <w:noProof/>
              </w:rPr>
              <w:t xml:space="preserve">RE-C02-i01 </w:t>
            </w:r>
          </w:p>
        </w:tc>
        <w:tc>
          <w:tcPr>
            <w:tcW w:w="1520" w:type="dxa"/>
            <w:shd w:val="clear" w:color="auto" w:fill="C4EFCE"/>
            <w:vAlign w:val="center"/>
            <w:hideMark/>
          </w:tcPr>
          <w:p w14:paraId="51C049D3"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8DD0AC1" w14:textId="77777777" w:rsidR="00154AD2" w:rsidRDefault="007F6BF3">
            <w:pPr>
              <w:pStyle w:val="P68B1DB1-Normal23"/>
              <w:spacing w:after="0"/>
              <w:jc w:val="both"/>
              <w:rPr>
                <w:rFonts w:eastAsia="Calibri" w:cs="Calibri"/>
                <w:noProof/>
              </w:rPr>
            </w:pPr>
            <w:r>
              <w:rPr>
                <w:noProof/>
              </w:rPr>
              <w:t>Πρόγραμμα στήριξης για την πρόσβαση στη στέγαση — Συμφωνίες συνεργασίας ή χρηματοδότησης που υπογράφηκαν</w:t>
            </w:r>
          </w:p>
        </w:tc>
      </w:tr>
      <w:tr w:rsidR="00154AD2" w14:paraId="1B2D04E4" w14:textId="77777777">
        <w:trPr>
          <w:trHeight w:val="440"/>
        </w:trPr>
        <w:tc>
          <w:tcPr>
            <w:tcW w:w="1200" w:type="dxa"/>
            <w:shd w:val="clear" w:color="auto" w:fill="C4EFCE"/>
            <w:vAlign w:val="center"/>
            <w:hideMark/>
          </w:tcPr>
          <w:p w14:paraId="182ED174" w14:textId="77777777" w:rsidR="00154AD2" w:rsidRDefault="007F6BF3">
            <w:pPr>
              <w:pStyle w:val="P68B1DB1-Normal23"/>
              <w:spacing w:after="0"/>
              <w:jc w:val="center"/>
              <w:rPr>
                <w:noProof/>
              </w:rPr>
            </w:pPr>
            <w:r>
              <w:rPr>
                <w:noProof/>
              </w:rPr>
              <w:t>2.4</w:t>
            </w:r>
          </w:p>
        </w:tc>
        <w:tc>
          <w:tcPr>
            <w:tcW w:w="1760" w:type="dxa"/>
            <w:shd w:val="clear" w:color="auto" w:fill="C4EFCE"/>
            <w:vAlign w:val="center"/>
            <w:hideMark/>
          </w:tcPr>
          <w:p w14:paraId="572612F3" w14:textId="77777777" w:rsidR="00154AD2" w:rsidRDefault="007F6BF3">
            <w:pPr>
              <w:pStyle w:val="P68B1DB1-Normal23"/>
              <w:spacing w:after="0"/>
              <w:jc w:val="center"/>
              <w:rPr>
                <w:noProof/>
              </w:rPr>
            </w:pPr>
            <w:r>
              <w:rPr>
                <w:noProof/>
              </w:rPr>
              <w:t xml:space="preserve">RE-C02-i02 </w:t>
            </w:r>
          </w:p>
        </w:tc>
        <w:tc>
          <w:tcPr>
            <w:tcW w:w="1520" w:type="dxa"/>
            <w:shd w:val="clear" w:color="auto" w:fill="C4EFCE"/>
            <w:vAlign w:val="center"/>
            <w:hideMark/>
          </w:tcPr>
          <w:p w14:paraId="6AB1DCE0"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4736D18" w14:textId="77777777" w:rsidR="00154AD2" w:rsidRDefault="007F6BF3">
            <w:pPr>
              <w:pStyle w:val="P68B1DB1-Normal23"/>
              <w:spacing w:after="0"/>
              <w:jc w:val="both"/>
              <w:rPr>
                <w:rFonts w:eastAsia="Calibri" w:cs="Calibri"/>
                <w:noProof/>
              </w:rPr>
            </w:pPr>
            <w:r>
              <w:rPr>
                <w:noProof/>
              </w:rPr>
              <w:t>Εθνική επιχορήγηση έκτακτης ανάγκης και προσωρινής στέγασης — Υπογραφή συμφωνιών χρηματοδότησης για κατάλυμα έκτακτης ανάγκης και μεταβατική περίοδο</w:t>
            </w:r>
          </w:p>
        </w:tc>
      </w:tr>
      <w:tr w:rsidR="00154AD2" w14:paraId="193180B9" w14:textId="77777777">
        <w:trPr>
          <w:trHeight w:val="440"/>
        </w:trPr>
        <w:tc>
          <w:tcPr>
            <w:tcW w:w="1200" w:type="dxa"/>
            <w:shd w:val="clear" w:color="auto" w:fill="C4EFCE"/>
            <w:vAlign w:val="center"/>
            <w:hideMark/>
          </w:tcPr>
          <w:p w14:paraId="29216A22" w14:textId="77777777" w:rsidR="00154AD2" w:rsidRDefault="007F6BF3">
            <w:pPr>
              <w:pStyle w:val="P68B1DB1-Normal23"/>
              <w:spacing w:after="0"/>
              <w:jc w:val="center"/>
              <w:rPr>
                <w:noProof/>
              </w:rPr>
            </w:pPr>
            <w:r>
              <w:rPr>
                <w:noProof/>
              </w:rPr>
              <w:t>3.11</w:t>
            </w:r>
          </w:p>
        </w:tc>
        <w:tc>
          <w:tcPr>
            <w:tcW w:w="1760" w:type="dxa"/>
            <w:shd w:val="clear" w:color="auto" w:fill="C4EFCE"/>
            <w:vAlign w:val="center"/>
            <w:hideMark/>
          </w:tcPr>
          <w:p w14:paraId="01F162E3" w14:textId="77777777" w:rsidR="00154AD2" w:rsidRDefault="007F6BF3">
            <w:pPr>
              <w:pStyle w:val="P68B1DB1-Normal23"/>
              <w:spacing w:after="0"/>
              <w:jc w:val="center"/>
              <w:rPr>
                <w:noProof/>
              </w:rPr>
            </w:pPr>
            <w:r>
              <w:rPr>
                <w:noProof/>
              </w:rPr>
              <w:t xml:space="preserve">RE-C03-i03-RAM </w:t>
            </w:r>
          </w:p>
        </w:tc>
        <w:tc>
          <w:tcPr>
            <w:tcW w:w="1520" w:type="dxa"/>
            <w:shd w:val="clear" w:color="auto" w:fill="C4EFCE"/>
            <w:vAlign w:val="center"/>
            <w:hideMark/>
          </w:tcPr>
          <w:p w14:paraId="246B4B59"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336679B" w14:textId="77777777" w:rsidR="00154AD2" w:rsidRDefault="007F6BF3">
            <w:pPr>
              <w:pStyle w:val="P68B1DB1-Normal23"/>
              <w:spacing w:after="0"/>
              <w:jc w:val="both"/>
              <w:rPr>
                <w:rFonts w:eastAsia="Calibri" w:cs="Calibri"/>
                <w:noProof/>
              </w:rPr>
            </w:pPr>
            <w:r>
              <w:rPr>
                <w:noProof/>
              </w:rPr>
              <w:t>Σχέδια LIFE για την ένταξη των αστέγων.</w:t>
            </w:r>
          </w:p>
        </w:tc>
      </w:tr>
      <w:tr w:rsidR="00154AD2" w14:paraId="0BC61039" w14:textId="77777777">
        <w:trPr>
          <w:trHeight w:val="440"/>
        </w:trPr>
        <w:tc>
          <w:tcPr>
            <w:tcW w:w="1200" w:type="dxa"/>
            <w:shd w:val="clear" w:color="auto" w:fill="C4EFCE"/>
            <w:vAlign w:val="center"/>
            <w:hideMark/>
          </w:tcPr>
          <w:p w14:paraId="1B2403C3" w14:textId="77777777" w:rsidR="00154AD2" w:rsidRDefault="007F6BF3">
            <w:pPr>
              <w:pStyle w:val="P68B1DB1-Normal23"/>
              <w:spacing w:after="0"/>
              <w:jc w:val="center"/>
              <w:rPr>
                <w:noProof/>
              </w:rPr>
            </w:pPr>
            <w:r>
              <w:rPr>
                <w:noProof/>
              </w:rPr>
              <w:t>4.6</w:t>
            </w:r>
          </w:p>
        </w:tc>
        <w:tc>
          <w:tcPr>
            <w:tcW w:w="1760" w:type="dxa"/>
            <w:shd w:val="clear" w:color="auto" w:fill="C4EFCE"/>
            <w:vAlign w:val="center"/>
            <w:hideMark/>
          </w:tcPr>
          <w:p w14:paraId="4FB11F6A" w14:textId="292D12E2" w:rsidR="00154AD2" w:rsidRDefault="007F6BF3">
            <w:pPr>
              <w:pStyle w:val="P68B1DB1-Normal23"/>
              <w:spacing w:after="0"/>
              <w:jc w:val="center"/>
              <w:rPr>
                <w:noProof/>
              </w:rPr>
            </w:pPr>
            <w:r>
              <w:rPr>
                <w:noProof/>
              </w:rPr>
              <w:t xml:space="preserve">RE-C04-i02 </w:t>
            </w:r>
          </w:p>
        </w:tc>
        <w:tc>
          <w:tcPr>
            <w:tcW w:w="1520" w:type="dxa"/>
            <w:shd w:val="clear" w:color="auto" w:fill="C4EFCE"/>
            <w:vAlign w:val="center"/>
            <w:hideMark/>
          </w:tcPr>
          <w:p w14:paraId="590EFB99"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2ED71179" w14:textId="77777777" w:rsidR="00154AD2" w:rsidRDefault="007F6BF3">
            <w:pPr>
              <w:pStyle w:val="P68B1DB1-Normal23"/>
              <w:spacing w:after="0"/>
              <w:jc w:val="both"/>
              <w:rPr>
                <w:rFonts w:eastAsia="Calibri" w:cs="Calibri"/>
                <w:noProof/>
              </w:rPr>
            </w:pPr>
            <w:r>
              <w:rPr>
                <w:noProof/>
              </w:rPr>
              <w:t>Δημιουργία δικτύου «Saber Fazer»</w:t>
            </w:r>
          </w:p>
        </w:tc>
      </w:tr>
      <w:tr w:rsidR="00154AD2" w14:paraId="0D67E78F" w14:textId="77777777">
        <w:trPr>
          <w:trHeight w:val="440"/>
        </w:trPr>
        <w:tc>
          <w:tcPr>
            <w:tcW w:w="1200" w:type="dxa"/>
            <w:shd w:val="clear" w:color="auto" w:fill="C4EFCE"/>
            <w:vAlign w:val="center"/>
            <w:hideMark/>
          </w:tcPr>
          <w:p w14:paraId="48691633" w14:textId="77777777" w:rsidR="00154AD2" w:rsidRDefault="007F6BF3">
            <w:pPr>
              <w:pStyle w:val="P68B1DB1-Normal23"/>
              <w:spacing w:after="0"/>
              <w:jc w:val="center"/>
              <w:rPr>
                <w:noProof/>
              </w:rPr>
            </w:pPr>
            <w:r>
              <w:rPr>
                <w:noProof/>
              </w:rPr>
              <w:t>5.5</w:t>
            </w:r>
          </w:p>
        </w:tc>
        <w:tc>
          <w:tcPr>
            <w:tcW w:w="1760" w:type="dxa"/>
            <w:shd w:val="clear" w:color="auto" w:fill="C4EFCE"/>
            <w:vAlign w:val="center"/>
            <w:hideMark/>
          </w:tcPr>
          <w:p w14:paraId="028584EA" w14:textId="77777777" w:rsidR="00154AD2" w:rsidRDefault="007F6BF3">
            <w:pPr>
              <w:pStyle w:val="P68B1DB1-Normal23"/>
              <w:spacing w:after="0"/>
              <w:jc w:val="center"/>
              <w:rPr>
                <w:noProof/>
              </w:rPr>
            </w:pPr>
            <w:r>
              <w:rPr>
                <w:noProof/>
              </w:rPr>
              <w:t xml:space="preserve">RE-C05-i01.01 </w:t>
            </w:r>
          </w:p>
        </w:tc>
        <w:tc>
          <w:tcPr>
            <w:tcW w:w="1520" w:type="dxa"/>
            <w:shd w:val="clear" w:color="auto" w:fill="C4EFCE"/>
            <w:vAlign w:val="center"/>
            <w:hideMark/>
          </w:tcPr>
          <w:p w14:paraId="5748A513"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18F1C038" w14:textId="413A3F05" w:rsidR="00154AD2" w:rsidRDefault="007F6BF3">
            <w:pPr>
              <w:pStyle w:val="P68B1DB1-Normal23"/>
              <w:spacing w:after="0"/>
              <w:jc w:val="both"/>
              <w:rPr>
                <w:rFonts w:eastAsia="Calibri" w:cs="Calibri"/>
                <w:noProof/>
              </w:rPr>
            </w:pPr>
            <w:r>
              <w:rPr>
                <w:noProof/>
              </w:rPr>
              <w:t>Σύναψη συμβάσεων για την ανάπτυξη νέων προϊόντων, διαδικασιών ή υπηρεσιών σε σχετικούς στρατηγικούς τομείς (θεματολόγια καινοτομίας).</w:t>
            </w:r>
          </w:p>
        </w:tc>
      </w:tr>
      <w:tr w:rsidR="00154AD2" w14:paraId="6F9BDCC5" w14:textId="77777777">
        <w:trPr>
          <w:trHeight w:val="440"/>
        </w:trPr>
        <w:tc>
          <w:tcPr>
            <w:tcW w:w="1200" w:type="dxa"/>
            <w:shd w:val="clear" w:color="auto" w:fill="C4EFCE"/>
            <w:vAlign w:val="center"/>
            <w:hideMark/>
          </w:tcPr>
          <w:p w14:paraId="662B09CD" w14:textId="77777777" w:rsidR="00154AD2" w:rsidRDefault="007F6BF3">
            <w:pPr>
              <w:pStyle w:val="P68B1DB1-Normal23"/>
              <w:spacing w:after="0"/>
              <w:jc w:val="center"/>
              <w:rPr>
                <w:noProof/>
              </w:rPr>
            </w:pPr>
            <w:r>
              <w:rPr>
                <w:noProof/>
              </w:rPr>
              <w:t>5.7</w:t>
            </w:r>
          </w:p>
        </w:tc>
        <w:tc>
          <w:tcPr>
            <w:tcW w:w="1760" w:type="dxa"/>
            <w:shd w:val="clear" w:color="auto" w:fill="C4EFCE"/>
            <w:vAlign w:val="center"/>
            <w:hideMark/>
          </w:tcPr>
          <w:p w14:paraId="1C23E7CC" w14:textId="77777777" w:rsidR="00154AD2" w:rsidRDefault="007F6BF3">
            <w:pPr>
              <w:pStyle w:val="P68B1DB1-Normal23"/>
              <w:spacing w:after="0"/>
              <w:jc w:val="center"/>
              <w:rPr>
                <w:noProof/>
              </w:rPr>
            </w:pPr>
            <w:r>
              <w:rPr>
                <w:noProof/>
              </w:rPr>
              <w:t xml:space="preserve">RE-C05-i01.02 </w:t>
            </w:r>
          </w:p>
        </w:tc>
        <w:tc>
          <w:tcPr>
            <w:tcW w:w="1520" w:type="dxa"/>
            <w:shd w:val="clear" w:color="auto" w:fill="C4EFCE"/>
            <w:vAlign w:val="center"/>
            <w:hideMark/>
          </w:tcPr>
          <w:p w14:paraId="28804D49"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D21AAA1" w14:textId="598F18A7" w:rsidR="00154AD2" w:rsidRDefault="007F6BF3">
            <w:pPr>
              <w:pStyle w:val="P68B1DB1-Normal23"/>
              <w:spacing w:after="0"/>
              <w:jc w:val="both"/>
              <w:rPr>
                <w:rFonts w:eastAsia="Calibri" w:cs="Calibri"/>
                <w:noProof/>
              </w:rPr>
            </w:pPr>
            <w:r>
              <w:rPr>
                <w:noProof/>
              </w:rPr>
              <w:t>Σύναψη συμβάσεων για την ανάπτυξη νέων προϊόντων, διαδικασιών ή υπηρεσιών σε στρατηγικούς τομείς που σχετίζονται με την οικονομία χαμηλών εκπομπών διοξειδίου του άνθρακα, την ανθεκτικότητα και την προσαρμογή στην κλιματική αλλαγή</w:t>
            </w:r>
          </w:p>
        </w:tc>
      </w:tr>
      <w:tr w:rsidR="00154AD2" w14:paraId="5C327989" w14:textId="77777777">
        <w:trPr>
          <w:trHeight w:val="440"/>
        </w:trPr>
        <w:tc>
          <w:tcPr>
            <w:tcW w:w="1200" w:type="dxa"/>
            <w:shd w:val="clear" w:color="auto" w:fill="C4EFCE"/>
            <w:vAlign w:val="center"/>
            <w:hideMark/>
          </w:tcPr>
          <w:p w14:paraId="49715C30" w14:textId="77777777" w:rsidR="00154AD2" w:rsidRDefault="007F6BF3">
            <w:pPr>
              <w:pStyle w:val="P68B1DB1-Normal23"/>
              <w:spacing w:after="0"/>
              <w:jc w:val="center"/>
              <w:rPr>
                <w:noProof/>
              </w:rPr>
            </w:pPr>
            <w:r>
              <w:rPr>
                <w:noProof/>
              </w:rPr>
              <w:t>5.9</w:t>
            </w:r>
          </w:p>
        </w:tc>
        <w:tc>
          <w:tcPr>
            <w:tcW w:w="1760" w:type="dxa"/>
            <w:shd w:val="clear" w:color="auto" w:fill="C4EFCE"/>
            <w:vAlign w:val="center"/>
            <w:hideMark/>
          </w:tcPr>
          <w:p w14:paraId="1CEA8990" w14:textId="77777777" w:rsidR="00154AD2" w:rsidRDefault="007F6BF3">
            <w:pPr>
              <w:pStyle w:val="P68B1DB1-Normal23"/>
              <w:spacing w:after="0"/>
              <w:jc w:val="center"/>
              <w:rPr>
                <w:noProof/>
              </w:rPr>
            </w:pPr>
            <w:r>
              <w:rPr>
                <w:noProof/>
              </w:rPr>
              <w:t xml:space="preserve">RE-C05-i02 </w:t>
            </w:r>
          </w:p>
        </w:tc>
        <w:tc>
          <w:tcPr>
            <w:tcW w:w="1520" w:type="dxa"/>
            <w:shd w:val="clear" w:color="auto" w:fill="C4EFCE"/>
            <w:vAlign w:val="center"/>
            <w:hideMark/>
          </w:tcPr>
          <w:p w14:paraId="6CAC10E8"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20118BF2" w14:textId="77777777" w:rsidR="00154AD2" w:rsidRDefault="007F6BF3">
            <w:pPr>
              <w:pStyle w:val="P68B1DB1-Normal23"/>
              <w:spacing w:after="0"/>
              <w:jc w:val="both"/>
              <w:rPr>
                <w:rFonts w:eastAsia="Calibri" w:cs="Calibri"/>
                <w:noProof/>
              </w:rPr>
            </w:pPr>
            <w:r>
              <w:rPr>
                <w:noProof/>
              </w:rPr>
              <w:t>Συναφθείσες συμβάσεις με φορείς διασύνδεσης, συμπεριλαμβανομένων των συνεργατικών εργαστηρίων — Colabs</w:t>
            </w:r>
          </w:p>
        </w:tc>
      </w:tr>
      <w:tr w:rsidR="00154AD2" w14:paraId="03C3F9A8" w14:textId="77777777">
        <w:trPr>
          <w:trHeight w:val="440"/>
        </w:trPr>
        <w:tc>
          <w:tcPr>
            <w:tcW w:w="1200" w:type="dxa"/>
            <w:shd w:val="clear" w:color="auto" w:fill="C4EFCE"/>
            <w:vAlign w:val="center"/>
            <w:hideMark/>
          </w:tcPr>
          <w:p w14:paraId="176D6692" w14:textId="77777777" w:rsidR="00154AD2" w:rsidRDefault="007F6BF3">
            <w:pPr>
              <w:pStyle w:val="P68B1DB1-Normal23"/>
              <w:spacing w:after="0"/>
              <w:jc w:val="center"/>
              <w:rPr>
                <w:noProof/>
              </w:rPr>
            </w:pPr>
            <w:r>
              <w:rPr>
                <w:noProof/>
              </w:rPr>
              <w:t>6.15</w:t>
            </w:r>
          </w:p>
        </w:tc>
        <w:tc>
          <w:tcPr>
            <w:tcW w:w="1760" w:type="dxa"/>
            <w:shd w:val="clear" w:color="auto" w:fill="C4EFCE"/>
            <w:vAlign w:val="center"/>
            <w:hideMark/>
          </w:tcPr>
          <w:p w14:paraId="5B04B4CC" w14:textId="77777777" w:rsidR="00154AD2" w:rsidRDefault="007F6BF3">
            <w:pPr>
              <w:pStyle w:val="P68B1DB1-Normal23"/>
              <w:spacing w:after="0"/>
              <w:jc w:val="center"/>
              <w:rPr>
                <w:noProof/>
              </w:rPr>
            </w:pPr>
            <w:r>
              <w:rPr>
                <w:noProof/>
              </w:rPr>
              <w:t xml:space="preserve">RE-C06-r16 </w:t>
            </w:r>
          </w:p>
        </w:tc>
        <w:tc>
          <w:tcPr>
            <w:tcW w:w="1520" w:type="dxa"/>
            <w:shd w:val="clear" w:color="auto" w:fill="C4EFCE"/>
            <w:vAlign w:val="center"/>
            <w:hideMark/>
          </w:tcPr>
          <w:p w14:paraId="5E98D411"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280C87D7" w14:textId="77777777" w:rsidR="00154AD2" w:rsidRDefault="007F6BF3">
            <w:pPr>
              <w:pStyle w:val="P68B1DB1-Normal23"/>
              <w:spacing w:after="0"/>
              <w:jc w:val="both"/>
              <w:rPr>
                <w:rFonts w:eastAsia="Calibri" w:cs="Calibri"/>
                <w:noProof/>
              </w:rPr>
            </w:pPr>
            <w:r>
              <w:rPr>
                <w:noProof/>
              </w:rPr>
              <w:t>Έναρξη ισχύος του νόμου για τα νομοθετικά κατοχυρωμένα επαγγέλματα</w:t>
            </w:r>
          </w:p>
        </w:tc>
      </w:tr>
      <w:tr w:rsidR="00154AD2" w14:paraId="4983771D" w14:textId="77777777">
        <w:trPr>
          <w:trHeight w:val="440"/>
        </w:trPr>
        <w:tc>
          <w:tcPr>
            <w:tcW w:w="1200" w:type="dxa"/>
            <w:shd w:val="clear" w:color="auto" w:fill="C4EFCE"/>
            <w:vAlign w:val="center"/>
            <w:hideMark/>
          </w:tcPr>
          <w:p w14:paraId="104D5E80" w14:textId="77777777" w:rsidR="00154AD2" w:rsidRDefault="007F6BF3">
            <w:pPr>
              <w:pStyle w:val="P68B1DB1-Normal23"/>
              <w:spacing w:after="0"/>
              <w:jc w:val="center"/>
              <w:rPr>
                <w:noProof/>
              </w:rPr>
            </w:pPr>
            <w:r>
              <w:rPr>
                <w:noProof/>
              </w:rPr>
              <w:t>7.1</w:t>
            </w:r>
          </w:p>
        </w:tc>
        <w:tc>
          <w:tcPr>
            <w:tcW w:w="1760" w:type="dxa"/>
            <w:shd w:val="clear" w:color="auto" w:fill="C4EFCE"/>
            <w:vAlign w:val="center"/>
            <w:hideMark/>
          </w:tcPr>
          <w:p w14:paraId="032F1E62" w14:textId="77777777" w:rsidR="00154AD2" w:rsidRDefault="007F6BF3">
            <w:pPr>
              <w:pStyle w:val="P68B1DB1-Normal23"/>
              <w:spacing w:after="0"/>
              <w:jc w:val="center"/>
              <w:rPr>
                <w:noProof/>
              </w:rPr>
            </w:pPr>
            <w:r>
              <w:rPr>
                <w:noProof/>
              </w:rPr>
              <w:t xml:space="preserve">RE-C07-i00 </w:t>
            </w:r>
          </w:p>
        </w:tc>
        <w:tc>
          <w:tcPr>
            <w:tcW w:w="1520" w:type="dxa"/>
            <w:shd w:val="clear" w:color="auto" w:fill="C4EFCE"/>
            <w:vAlign w:val="center"/>
            <w:hideMark/>
          </w:tcPr>
          <w:p w14:paraId="41AD4CD3"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0690F7A" w14:textId="7B4FDF4A" w:rsidR="00154AD2" w:rsidRDefault="007F6BF3">
            <w:pPr>
              <w:pStyle w:val="P68B1DB1-Normal23"/>
              <w:spacing w:after="0"/>
              <w:jc w:val="both"/>
              <w:rPr>
                <w:rFonts w:eastAsia="Calibri" w:cs="Calibri"/>
                <w:noProof/>
              </w:rPr>
            </w:pPr>
            <w:r>
              <w:rPr>
                <w:noProof/>
              </w:rPr>
              <w:t>Δημοσίως προσβάσιμα σημεία επαναφόρτισης ηλεκτρικών οχημάτων</w:t>
            </w:r>
          </w:p>
        </w:tc>
      </w:tr>
      <w:tr w:rsidR="00154AD2" w14:paraId="70665A7A" w14:textId="77777777">
        <w:trPr>
          <w:trHeight w:val="440"/>
        </w:trPr>
        <w:tc>
          <w:tcPr>
            <w:tcW w:w="1200" w:type="dxa"/>
            <w:shd w:val="clear" w:color="auto" w:fill="C4EFCE"/>
            <w:vAlign w:val="center"/>
            <w:hideMark/>
          </w:tcPr>
          <w:p w14:paraId="537D6B6D" w14:textId="77777777" w:rsidR="00154AD2" w:rsidRDefault="007F6BF3">
            <w:pPr>
              <w:pStyle w:val="P68B1DB1-Normal23"/>
              <w:spacing w:after="0"/>
              <w:jc w:val="center"/>
              <w:rPr>
                <w:noProof/>
              </w:rPr>
            </w:pPr>
            <w:r>
              <w:rPr>
                <w:noProof/>
              </w:rPr>
              <w:t>7.7</w:t>
            </w:r>
          </w:p>
        </w:tc>
        <w:tc>
          <w:tcPr>
            <w:tcW w:w="1760" w:type="dxa"/>
            <w:shd w:val="clear" w:color="auto" w:fill="C4EFCE"/>
            <w:vAlign w:val="center"/>
            <w:hideMark/>
          </w:tcPr>
          <w:p w14:paraId="0D8F10EA" w14:textId="77777777" w:rsidR="00154AD2" w:rsidRDefault="007F6BF3">
            <w:pPr>
              <w:pStyle w:val="P68B1DB1-Normal23"/>
              <w:spacing w:after="0"/>
              <w:jc w:val="center"/>
              <w:rPr>
                <w:noProof/>
              </w:rPr>
            </w:pPr>
            <w:r>
              <w:rPr>
                <w:noProof/>
              </w:rPr>
              <w:t xml:space="preserve">RE-C07-i02 </w:t>
            </w:r>
          </w:p>
        </w:tc>
        <w:tc>
          <w:tcPr>
            <w:tcW w:w="1520" w:type="dxa"/>
            <w:shd w:val="clear" w:color="auto" w:fill="C4EFCE"/>
            <w:vAlign w:val="center"/>
            <w:hideMark/>
          </w:tcPr>
          <w:p w14:paraId="44888C17"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5733934" w14:textId="77777777" w:rsidR="00154AD2" w:rsidRDefault="007F6BF3">
            <w:pPr>
              <w:pStyle w:val="P68B1DB1-Normal23"/>
              <w:spacing w:after="0"/>
              <w:jc w:val="both"/>
              <w:rPr>
                <w:rFonts w:eastAsia="Calibri" w:cs="Calibri"/>
                <w:noProof/>
              </w:rPr>
            </w:pPr>
            <w:r>
              <w:rPr>
                <w:noProof/>
              </w:rPr>
              <w:t>Υπογραφή σύμβασης για 2 έργα οδοποιίας</w:t>
            </w:r>
          </w:p>
        </w:tc>
      </w:tr>
      <w:tr w:rsidR="00154AD2" w14:paraId="621AF830" w14:textId="77777777">
        <w:trPr>
          <w:trHeight w:val="440"/>
        </w:trPr>
        <w:tc>
          <w:tcPr>
            <w:tcW w:w="1200" w:type="dxa"/>
            <w:shd w:val="clear" w:color="auto" w:fill="C4EFCE"/>
            <w:vAlign w:val="center"/>
            <w:hideMark/>
          </w:tcPr>
          <w:p w14:paraId="21A9EB50" w14:textId="77777777" w:rsidR="00154AD2" w:rsidRDefault="007F6BF3">
            <w:pPr>
              <w:pStyle w:val="P68B1DB1-Normal23"/>
              <w:spacing w:after="0"/>
              <w:jc w:val="center"/>
              <w:rPr>
                <w:noProof/>
              </w:rPr>
            </w:pPr>
            <w:r>
              <w:rPr>
                <w:noProof/>
              </w:rPr>
              <w:t>8.18</w:t>
            </w:r>
          </w:p>
        </w:tc>
        <w:tc>
          <w:tcPr>
            <w:tcW w:w="1760" w:type="dxa"/>
            <w:shd w:val="clear" w:color="auto" w:fill="C4EFCE"/>
            <w:vAlign w:val="center"/>
            <w:hideMark/>
          </w:tcPr>
          <w:p w14:paraId="0EB5329C" w14:textId="77777777" w:rsidR="00154AD2" w:rsidRDefault="007F6BF3">
            <w:pPr>
              <w:pStyle w:val="P68B1DB1-Normal23"/>
              <w:spacing w:after="0"/>
              <w:jc w:val="center"/>
              <w:rPr>
                <w:noProof/>
              </w:rPr>
            </w:pPr>
            <w:r>
              <w:rPr>
                <w:noProof/>
              </w:rPr>
              <w:t xml:space="preserve">RE-C08-r20 </w:t>
            </w:r>
          </w:p>
        </w:tc>
        <w:tc>
          <w:tcPr>
            <w:tcW w:w="1520" w:type="dxa"/>
            <w:shd w:val="clear" w:color="auto" w:fill="C4EFCE"/>
            <w:vAlign w:val="center"/>
            <w:hideMark/>
          </w:tcPr>
          <w:p w14:paraId="58633647"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126370E" w14:textId="77777777" w:rsidR="00154AD2" w:rsidRDefault="007F6BF3">
            <w:pPr>
              <w:pStyle w:val="P68B1DB1-Normal23"/>
              <w:spacing w:after="0"/>
              <w:jc w:val="both"/>
              <w:rPr>
                <w:rFonts w:eastAsia="Calibri" w:cs="Calibri"/>
                <w:noProof/>
              </w:rPr>
            </w:pPr>
            <w:r>
              <w:rPr>
                <w:noProof/>
              </w:rPr>
              <w:t>Σύστημα παρακολούθησης κάλυψης γης (SMOS)</w:t>
            </w:r>
          </w:p>
        </w:tc>
      </w:tr>
      <w:tr w:rsidR="00154AD2" w14:paraId="19D4139A" w14:textId="77777777">
        <w:trPr>
          <w:trHeight w:val="440"/>
        </w:trPr>
        <w:tc>
          <w:tcPr>
            <w:tcW w:w="1200" w:type="dxa"/>
            <w:shd w:val="clear" w:color="auto" w:fill="C4EFCE"/>
            <w:vAlign w:val="center"/>
            <w:hideMark/>
          </w:tcPr>
          <w:p w14:paraId="3FB03D0D" w14:textId="77777777" w:rsidR="00154AD2" w:rsidRDefault="007F6BF3">
            <w:pPr>
              <w:pStyle w:val="P68B1DB1-Normal23"/>
              <w:spacing w:after="0"/>
              <w:jc w:val="center"/>
              <w:rPr>
                <w:noProof/>
              </w:rPr>
            </w:pPr>
            <w:r>
              <w:rPr>
                <w:noProof/>
              </w:rPr>
              <w:t>12.6</w:t>
            </w:r>
          </w:p>
        </w:tc>
        <w:tc>
          <w:tcPr>
            <w:tcW w:w="1760" w:type="dxa"/>
            <w:shd w:val="clear" w:color="auto" w:fill="C4EFCE"/>
            <w:vAlign w:val="center"/>
            <w:hideMark/>
          </w:tcPr>
          <w:p w14:paraId="6722FFFA" w14:textId="77777777" w:rsidR="00154AD2" w:rsidRDefault="007F6BF3">
            <w:pPr>
              <w:pStyle w:val="P68B1DB1-Normal23"/>
              <w:spacing w:after="0"/>
              <w:jc w:val="center"/>
              <w:rPr>
                <w:noProof/>
              </w:rPr>
            </w:pPr>
            <w:r>
              <w:rPr>
                <w:noProof/>
              </w:rPr>
              <w:t xml:space="preserve">TC-C12-r25 </w:t>
            </w:r>
          </w:p>
        </w:tc>
        <w:tc>
          <w:tcPr>
            <w:tcW w:w="1520" w:type="dxa"/>
            <w:shd w:val="clear" w:color="auto" w:fill="C4EFCE"/>
            <w:vAlign w:val="center"/>
            <w:hideMark/>
          </w:tcPr>
          <w:p w14:paraId="44C2F502"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063E29BE" w14:textId="77777777" w:rsidR="00154AD2" w:rsidRDefault="007F6BF3">
            <w:pPr>
              <w:pStyle w:val="P68B1DB1-Normal23"/>
              <w:spacing w:after="0"/>
              <w:jc w:val="both"/>
              <w:rPr>
                <w:rFonts w:eastAsia="Calibri" w:cs="Calibri"/>
                <w:noProof/>
              </w:rPr>
            </w:pPr>
            <w:r>
              <w:rPr>
                <w:noProof/>
              </w:rPr>
              <w:t>Έναρξη ισχύος της αναθεωρημένης εθνικής στρατηγικής για τις πράσινες δημόσιες συμβάσεις</w:t>
            </w:r>
          </w:p>
        </w:tc>
      </w:tr>
      <w:tr w:rsidR="00154AD2" w14:paraId="41FFE3C7" w14:textId="77777777">
        <w:trPr>
          <w:trHeight w:val="440"/>
        </w:trPr>
        <w:tc>
          <w:tcPr>
            <w:tcW w:w="1200" w:type="dxa"/>
            <w:shd w:val="clear" w:color="auto" w:fill="C4EFCE"/>
            <w:vAlign w:val="center"/>
            <w:hideMark/>
          </w:tcPr>
          <w:p w14:paraId="7800A98C" w14:textId="77777777" w:rsidR="00154AD2" w:rsidRDefault="007F6BF3">
            <w:pPr>
              <w:pStyle w:val="P68B1DB1-Normal23"/>
              <w:spacing w:after="0"/>
              <w:jc w:val="center"/>
              <w:rPr>
                <w:noProof/>
              </w:rPr>
            </w:pPr>
            <w:r>
              <w:rPr>
                <w:noProof/>
              </w:rPr>
              <w:t>15.12</w:t>
            </w:r>
          </w:p>
        </w:tc>
        <w:tc>
          <w:tcPr>
            <w:tcW w:w="1760" w:type="dxa"/>
            <w:shd w:val="clear" w:color="auto" w:fill="C4EFCE"/>
            <w:vAlign w:val="center"/>
            <w:hideMark/>
          </w:tcPr>
          <w:p w14:paraId="4C755F50" w14:textId="77777777" w:rsidR="00154AD2" w:rsidRDefault="007F6BF3">
            <w:pPr>
              <w:pStyle w:val="P68B1DB1-Normal23"/>
              <w:spacing w:after="0"/>
              <w:jc w:val="center"/>
              <w:rPr>
                <w:noProof/>
              </w:rPr>
            </w:pPr>
            <w:r>
              <w:rPr>
                <w:noProof/>
              </w:rPr>
              <w:t xml:space="preserve">TC-C15-I05 </w:t>
            </w:r>
          </w:p>
        </w:tc>
        <w:tc>
          <w:tcPr>
            <w:tcW w:w="1520" w:type="dxa"/>
            <w:shd w:val="clear" w:color="auto" w:fill="C4EFCE"/>
            <w:vAlign w:val="center"/>
            <w:hideMark/>
          </w:tcPr>
          <w:p w14:paraId="4DD658DA"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331B8667" w14:textId="77777777" w:rsidR="00154AD2" w:rsidRDefault="007F6BF3">
            <w:pPr>
              <w:pStyle w:val="P68B1DB1-Normal23"/>
              <w:spacing w:after="0"/>
              <w:jc w:val="both"/>
              <w:rPr>
                <w:rFonts w:eastAsia="Calibri" w:cs="Calibri"/>
                <w:noProof/>
              </w:rPr>
            </w:pPr>
            <w:r>
              <w:rPr>
                <w:noProof/>
              </w:rPr>
              <w:t>Υπογραφή σύμβασης για την αγορά καθαρών λεωφορείων στο πλαίσιο του προγράμματος απαλλαγής από τις ανθρακούχες εκπομπές στον τομέα των δημόσιων μεταφορών</w:t>
            </w:r>
          </w:p>
        </w:tc>
      </w:tr>
      <w:tr w:rsidR="00154AD2" w14:paraId="39E8616F" w14:textId="77777777">
        <w:trPr>
          <w:trHeight w:val="440"/>
        </w:trPr>
        <w:tc>
          <w:tcPr>
            <w:tcW w:w="1200" w:type="dxa"/>
            <w:shd w:val="clear" w:color="auto" w:fill="C4EFCE"/>
            <w:vAlign w:val="center"/>
            <w:hideMark/>
          </w:tcPr>
          <w:p w14:paraId="10D21247" w14:textId="77777777" w:rsidR="00154AD2" w:rsidRDefault="007F6BF3">
            <w:pPr>
              <w:pStyle w:val="P68B1DB1-Normal23"/>
              <w:spacing w:after="0"/>
              <w:jc w:val="center"/>
              <w:rPr>
                <w:noProof/>
              </w:rPr>
            </w:pPr>
            <w:r>
              <w:rPr>
                <w:noProof/>
              </w:rPr>
              <w:t>16.7</w:t>
            </w:r>
          </w:p>
        </w:tc>
        <w:tc>
          <w:tcPr>
            <w:tcW w:w="1760" w:type="dxa"/>
            <w:shd w:val="clear" w:color="auto" w:fill="C4EFCE"/>
            <w:vAlign w:val="center"/>
            <w:hideMark/>
          </w:tcPr>
          <w:p w14:paraId="6613DE1F" w14:textId="77777777" w:rsidR="00154AD2" w:rsidRDefault="007F6BF3">
            <w:pPr>
              <w:pStyle w:val="P68B1DB1-Normal23"/>
              <w:spacing w:after="0"/>
              <w:jc w:val="center"/>
              <w:rPr>
                <w:noProof/>
              </w:rPr>
            </w:pPr>
            <w:r>
              <w:rPr>
                <w:noProof/>
              </w:rPr>
              <w:t xml:space="preserve">TD-C16-i02 </w:t>
            </w:r>
          </w:p>
        </w:tc>
        <w:tc>
          <w:tcPr>
            <w:tcW w:w="1520" w:type="dxa"/>
            <w:shd w:val="clear" w:color="auto" w:fill="C4EFCE"/>
            <w:vAlign w:val="center"/>
            <w:hideMark/>
          </w:tcPr>
          <w:p w14:paraId="233D2B2C"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CADFDA3" w14:textId="77777777" w:rsidR="00154AD2" w:rsidRDefault="007F6BF3">
            <w:pPr>
              <w:pStyle w:val="P68B1DB1-Normal23"/>
              <w:spacing w:after="0"/>
              <w:jc w:val="both"/>
              <w:rPr>
                <w:rFonts w:eastAsia="Calibri" w:cs="Calibri"/>
                <w:noProof/>
              </w:rPr>
            </w:pPr>
            <w:r>
              <w:rPr>
                <w:noProof/>
              </w:rPr>
              <w:t>Δοκιμαστικοί Beds που επιλέγονται για το εθνικό δίκτυο βάσεων δοκιμών</w:t>
            </w:r>
          </w:p>
        </w:tc>
      </w:tr>
      <w:tr w:rsidR="00154AD2" w14:paraId="209EA40D" w14:textId="77777777">
        <w:trPr>
          <w:trHeight w:val="440"/>
        </w:trPr>
        <w:tc>
          <w:tcPr>
            <w:tcW w:w="1200" w:type="dxa"/>
            <w:shd w:val="clear" w:color="auto" w:fill="C4EFCE"/>
            <w:vAlign w:val="center"/>
            <w:hideMark/>
          </w:tcPr>
          <w:p w14:paraId="22EEA5AF" w14:textId="77777777" w:rsidR="00154AD2" w:rsidRDefault="007F6BF3">
            <w:pPr>
              <w:pStyle w:val="P68B1DB1-Normal23"/>
              <w:spacing w:after="0"/>
              <w:jc w:val="center"/>
              <w:rPr>
                <w:noProof/>
              </w:rPr>
            </w:pPr>
            <w:r>
              <w:rPr>
                <w:noProof/>
              </w:rPr>
              <w:t>17.1</w:t>
            </w:r>
          </w:p>
        </w:tc>
        <w:tc>
          <w:tcPr>
            <w:tcW w:w="1760" w:type="dxa"/>
            <w:shd w:val="clear" w:color="auto" w:fill="C4EFCE"/>
            <w:vAlign w:val="center"/>
            <w:hideMark/>
          </w:tcPr>
          <w:p w14:paraId="3856F38E" w14:textId="77777777" w:rsidR="00154AD2" w:rsidRDefault="007F6BF3">
            <w:pPr>
              <w:pStyle w:val="P68B1DB1-Normal23"/>
              <w:spacing w:after="0"/>
              <w:jc w:val="center"/>
              <w:rPr>
                <w:noProof/>
              </w:rPr>
            </w:pPr>
            <w:r>
              <w:rPr>
                <w:noProof/>
              </w:rPr>
              <w:t xml:space="preserve">TD-C17-r32 </w:t>
            </w:r>
          </w:p>
        </w:tc>
        <w:tc>
          <w:tcPr>
            <w:tcW w:w="1520" w:type="dxa"/>
            <w:shd w:val="clear" w:color="auto" w:fill="C4EFCE"/>
            <w:vAlign w:val="center"/>
            <w:hideMark/>
          </w:tcPr>
          <w:p w14:paraId="7ACA6546"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19C34B4" w14:textId="77777777" w:rsidR="00154AD2" w:rsidRDefault="007F6BF3">
            <w:pPr>
              <w:pStyle w:val="P68B1DB1-Normal23"/>
              <w:spacing w:after="0"/>
              <w:jc w:val="both"/>
              <w:rPr>
                <w:rFonts w:eastAsia="Calibri" w:cs="Calibri"/>
                <w:noProof/>
              </w:rPr>
            </w:pPr>
            <w:r>
              <w:rPr>
                <w:noProof/>
              </w:rPr>
              <w:t>Ολοκλήρωση του σχεδιασμού και της εφαρμογής νέων μοντέλων δημόσιων συμβάσεων για το εθνικό κεντρικό σύστημα δημόσιων συμβάσεων, όπως προβλέπεται στο στρατηγικό σχέδιο 2020-2023 του φορέα κοινών υπηρεσιών της δημόσιας διοίκησης</w:t>
            </w:r>
          </w:p>
        </w:tc>
      </w:tr>
      <w:tr w:rsidR="00154AD2" w14:paraId="3F6B3ED7" w14:textId="77777777">
        <w:trPr>
          <w:trHeight w:val="440"/>
        </w:trPr>
        <w:tc>
          <w:tcPr>
            <w:tcW w:w="1200" w:type="dxa"/>
            <w:shd w:val="clear" w:color="auto" w:fill="C4EFCE"/>
            <w:vAlign w:val="center"/>
            <w:hideMark/>
          </w:tcPr>
          <w:p w14:paraId="01084538" w14:textId="77777777" w:rsidR="00154AD2" w:rsidRDefault="007F6BF3">
            <w:pPr>
              <w:pStyle w:val="P68B1DB1-Normal23"/>
              <w:spacing w:after="0"/>
              <w:jc w:val="center"/>
              <w:rPr>
                <w:noProof/>
              </w:rPr>
            </w:pPr>
            <w:r>
              <w:rPr>
                <w:noProof/>
              </w:rPr>
              <w:t>17.2</w:t>
            </w:r>
          </w:p>
        </w:tc>
        <w:tc>
          <w:tcPr>
            <w:tcW w:w="1760" w:type="dxa"/>
            <w:shd w:val="clear" w:color="auto" w:fill="C4EFCE"/>
            <w:vAlign w:val="center"/>
            <w:hideMark/>
          </w:tcPr>
          <w:p w14:paraId="35541530" w14:textId="77777777" w:rsidR="00154AD2" w:rsidRDefault="007F6BF3">
            <w:pPr>
              <w:pStyle w:val="P68B1DB1-Normal23"/>
              <w:spacing w:after="0"/>
              <w:jc w:val="center"/>
              <w:rPr>
                <w:noProof/>
              </w:rPr>
            </w:pPr>
            <w:r>
              <w:rPr>
                <w:noProof/>
              </w:rPr>
              <w:t xml:space="preserve">TD-C17-r32 </w:t>
            </w:r>
          </w:p>
        </w:tc>
        <w:tc>
          <w:tcPr>
            <w:tcW w:w="1520" w:type="dxa"/>
            <w:shd w:val="clear" w:color="auto" w:fill="C4EFCE"/>
            <w:vAlign w:val="center"/>
            <w:hideMark/>
          </w:tcPr>
          <w:p w14:paraId="75BDB3D8"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09A94FE8" w14:textId="77777777" w:rsidR="00154AD2" w:rsidRDefault="007F6BF3">
            <w:pPr>
              <w:pStyle w:val="P68B1DB1-Normal23"/>
              <w:spacing w:after="0"/>
              <w:jc w:val="both"/>
              <w:rPr>
                <w:rFonts w:eastAsia="Calibri" w:cs="Calibri"/>
                <w:noProof/>
              </w:rPr>
            </w:pPr>
            <w:r>
              <w:rPr>
                <w:noProof/>
              </w:rPr>
              <w:t>Έναρξη ισχύος της νομοθεσίας στην οποία βασίζεται η κρατική λογιστική οντότητα</w:t>
            </w:r>
          </w:p>
        </w:tc>
      </w:tr>
      <w:tr w:rsidR="00154AD2" w14:paraId="63E30D88" w14:textId="77777777">
        <w:trPr>
          <w:trHeight w:val="440"/>
        </w:trPr>
        <w:tc>
          <w:tcPr>
            <w:tcW w:w="1200" w:type="dxa"/>
            <w:shd w:val="clear" w:color="auto" w:fill="C4EFCE"/>
            <w:vAlign w:val="center"/>
            <w:hideMark/>
          </w:tcPr>
          <w:p w14:paraId="1056837E" w14:textId="77777777" w:rsidR="00154AD2" w:rsidRDefault="007F6BF3">
            <w:pPr>
              <w:pStyle w:val="P68B1DB1-Normal23"/>
              <w:spacing w:after="0"/>
              <w:jc w:val="center"/>
              <w:rPr>
                <w:noProof/>
              </w:rPr>
            </w:pPr>
            <w:r>
              <w:rPr>
                <w:noProof/>
              </w:rPr>
              <w:t>17.3</w:t>
            </w:r>
          </w:p>
        </w:tc>
        <w:tc>
          <w:tcPr>
            <w:tcW w:w="1760" w:type="dxa"/>
            <w:shd w:val="clear" w:color="auto" w:fill="C4EFCE"/>
            <w:vAlign w:val="center"/>
            <w:hideMark/>
          </w:tcPr>
          <w:p w14:paraId="61FF33E4" w14:textId="77777777" w:rsidR="00154AD2" w:rsidRDefault="007F6BF3">
            <w:pPr>
              <w:pStyle w:val="P68B1DB1-Normal23"/>
              <w:spacing w:after="0"/>
              <w:jc w:val="center"/>
              <w:rPr>
                <w:noProof/>
              </w:rPr>
            </w:pPr>
            <w:r>
              <w:rPr>
                <w:noProof/>
              </w:rPr>
              <w:t xml:space="preserve">TD-C17-r32 </w:t>
            </w:r>
          </w:p>
        </w:tc>
        <w:tc>
          <w:tcPr>
            <w:tcW w:w="1520" w:type="dxa"/>
            <w:shd w:val="clear" w:color="auto" w:fill="C4EFCE"/>
            <w:vAlign w:val="center"/>
            <w:hideMark/>
          </w:tcPr>
          <w:p w14:paraId="167697BC"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5EA7BBF8" w14:textId="77777777" w:rsidR="00154AD2" w:rsidRDefault="007F6BF3">
            <w:pPr>
              <w:pStyle w:val="P68B1DB1-Normal23"/>
              <w:spacing w:after="0"/>
              <w:jc w:val="both"/>
              <w:rPr>
                <w:rFonts w:eastAsia="Calibri" w:cs="Calibri"/>
                <w:noProof/>
              </w:rPr>
            </w:pPr>
            <w:r>
              <w:rPr>
                <w:noProof/>
              </w:rPr>
              <w:t>Ολοκλήρωση και έγκριση του μοντέλου παρακολούθησης της δημοσιονομικής και χρηματοοικονομικής εκτέλεσης της Γενικής Κυβέρνησης</w:t>
            </w:r>
          </w:p>
        </w:tc>
      </w:tr>
      <w:tr w:rsidR="00154AD2" w14:paraId="341F280E" w14:textId="77777777">
        <w:trPr>
          <w:trHeight w:val="440"/>
        </w:trPr>
        <w:tc>
          <w:tcPr>
            <w:tcW w:w="1200" w:type="dxa"/>
            <w:shd w:val="clear" w:color="auto" w:fill="C4EFCE"/>
            <w:vAlign w:val="center"/>
            <w:hideMark/>
          </w:tcPr>
          <w:p w14:paraId="188AFE97" w14:textId="77777777" w:rsidR="00154AD2" w:rsidRDefault="007F6BF3">
            <w:pPr>
              <w:pStyle w:val="P68B1DB1-Normal23"/>
              <w:spacing w:after="0"/>
              <w:jc w:val="center"/>
              <w:rPr>
                <w:noProof/>
              </w:rPr>
            </w:pPr>
            <w:r>
              <w:rPr>
                <w:noProof/>
              </w:rPr>
              <w:t>17.7</w:t>
            </w:r>
          </w:p>
        </w:tc>
        <w:tc>
          <w:tcPr>
            <w:tcW w:w="1760" w:type="dxa"/>
            <w:shd w:val="clear" w:color="auto" w:fill="C4EFCE"/>
            <w:vAlign w:val="center"/>
            <w:hideMark/>
          </w:tcPr>
          <w:p w14:paraId="275594B7" w14:textId="77777777" w:rsidR="00154AD2" w:rsidRDefault="007F6BF3">
            <w:pPr>
              <w:pStyle w:val="P68B1DB1-Normal23"/>
              <w:spacing w:after="0"/>
              <w:jc w:val="center"/>
              <w:rPr>
                <w:noProof/>
              </w:rPr>
            </w:pPr>
            <w:r>
              <w:rPr>
                <w:noProof/>
              </w:rPr>
              <w:t xml:space="preserve">TD-C17-r32 </w:t>
            </w:r>
          </w:p>
        </w:tc>
        <w:tc>
          <w:tcPr>
            <w:tcW w:w="1520" w:type="dxa"/>
            <w:shd w:val="clear" w:color="auto" w:fill="C4EFCE"/>
            <w:vAlign w:val="center"/>
            <w:hideMark/>
          </w:tcPr>
          <w:p w14:paraId="1936EA41"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6AC574CF" w14:textId="77777777" w:rsidR="00154AD2" w:rsidRDefault="007F6BF3">
            <w:pPr>
              <w:pStyle w:val="P68B1DB1-Normal23"/>
              <w:spacing w:after="0"/>
              <w:jc w:val="both"/>
              <w:rPr>
                <w:rFonts w:eastAsia="Calibri" w:cs="Calibri"/>
                <w:noProof/>
              </w:rPr>
            </w:pPr>
            <w:r>
              <w:rPr>
                <w:noProof/>
              </w:rPr>
              <w:t>Έναρξη ισχύος του νέου μοντέλου ανάλυσης και γνωστοποίησης της οικονομικής κατάστασης και των επιδόσεων των κρατικών επιχειρήσεων</w:t>
            </w:r>
          </w:p>
        </w:tc>
      </w:tr>
      <w:tr w:rsidR="00154AD2" w14:paraId="3B0F106A" w14:textId="77777777">
        <w:trPr>
          <w:trHeight w:val="440"/>
        </w:trPr>
        <w:tc>
          <w:tcPr>
            <w:tcW w:w="1200" w:type="dxa"/>
            <w:shd w:val="clear" w:color="auto" w:fill="C4EFCE"/>
            <w:vAlign w:val="center"/>
            <w:hideMark/>
          </w:tcPr>
          <w:p w14:paraId="2A50687F" w14:textId="77777777" w:rsidR="00154AD2" w:rsidRDefault="007F6BF3">
            <w:pPr>
              <w:pStyle w:val="P68B1DB1-Normal23"/>
              <w:spacing w:after="0"/>
              <w:jc w:val="center"/>
              <w:rPr>
                <w:noProof/>
              </w:rPr>
            </w:pPr>
            <w:r>
              <w:rPr>
                <w:noProof/>
              </w:rPr>
              <w:t>19.1</w:t>
            </w:r>
          </w:p>
        </w:tc>
        <w:tc>
          <w:tcPr>
            <w:tcW w:w="1760" w:type="dxa"/>
            <w:shd w:val="clear" w:color="auto" w:fill="C4EFCE"/>
            <w:vAlign w:val="center"/>
            <w:hideMark/>
          </w:tcPr>
          <w:p w14:paraId="69C58795" w14:textId="77777777" w:rsidR="00154AD2" w:rsidRDefault="007F6BF3">
            <w:pPr>
              <w:pStyle w:val="P68B1DB1-Normal23"/>
              <w:spacing w:after="0"/>
              <w:jc w:val="center"/>
              <w:rPr>
                <w:noProof/>
              </w:rPr>
            </w:pPr>
            <w:r>
              <w:rPr>
                <w:noProof/>
              </w:rPr>
              <w:t xml:space="preserve">TD-C19-i01 </w:t>
            </w:r>
          </w:p>
        </w:tc>
        <w:tc>
          <w:tcPr>
            <w:tcW w:w="1520" w:type="dxa"/>
            <w:shd w:val="clear" w:color="auto" w:fill="C4EFCE"/>
            <w:vAlign w:val="center"/>
            <w:hideMark/>
          </w:tcPr>
          <w:p w14:paraId="59EF48DA"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BCAB859" w14:textId="77777777" w:rsidR="00154AD2" w:rsidRDefault="007F6BF3">
            <w:pPr>
              <w:pStyle w:val="P68B1DB1-Normal23"/>
              <w:spacing w:after="0"/>
              <w:jc w:val="both"/>
              <w:rPr>
                <w:rFonts w:eastAsia="Calibri" w:cs="Calibri"/>
                <w:noProof/>
              </w:rPr>
            </w:pPr>
            <w:r>
              <w:rPr>
                <w:noProof/>
              </w:rPr>
              <w:t>Δημόσιες υπηρεσίες διαθέσιμες με απλουστευμένο και συνεκτικό τρόπο μέσω διαφόρων διαύλων</w:t>
            </w:r>
          </w:p>
        </w:tc>
      </w:tr>
      <w:tr w:rsidR="00154AD2" w14:paraId="6A1F9585" w14:textId="77777777">
        <w:trPr>
          <w:trHeight w:val="440"/>
        </w:trPr>
        <w:tc>
          <w:tcPr>
            <w:tcW w:w="1200" w:type="dxa"/>
            <w:shd w:val="clear" w:color="auto" w:fill="C4EFCE"/>
            <w:vAlign w:val="center"/>
            <w:hideMark/>
          </w:tcPr>
          <w:p w14:paraId="4BF5836E" w14:textId="77777777" w:rsidR="00154AD2" w:rsidRDefault="007F6BF3">
            <w:pPr>
              <w:pStyle w:val="P68B1DB1-Normal23"/>
              <w:spacing w:after="0"/>
              <w:jc w:val="center"/>
              <w:rPr>
                <w:noProof/>
              </w:rPr>
            </w:pPr>
            <w:r>
              <w:rPr>
                <w:noProof/>
              </w:rPr>
              <w:t>19.4</w:t>
            </w:r>
          </w:p>
        </w:tc>
        <w:tc>
          <w:tcPr>
            <w:tcW w:w="1760" w:type="dxa"/>
            <w:shd w:val="clear" w:color="auto" w:fill="C4EFCE"/>
            <w:vAlign w:val="center"/>
            <w:hideMark/>
          </w:tcPr>
          <w:p w14:paraId="24BFF365" w14:textId="77777777" w:rsidR="00154AD2" w:rsidRDefault="007F6BF3">
            <w:pPr>
              <w:pStyle w:val="P68B1DB1-Normal23"/>
              <w:spacing w:after="0"/>
              <w:jc w:val="center"/>
              <w:rPr>
                <w:noProof/>
              </w:rPr>
            </w:pPr>
            <w:r>
              <w:rPr>
                <w:noProof/>
              </w:rPr>
              <w:t xml:space="preserve">TD-C19-i02 </w:t>
            </w:r>
          </w:p>
        </w:tc>
        <w:tc>
          <w:tcPr>
            <w:tcW w:w="1520" w:type="dxa"/>
            <w:shd w:val="clear" w:color="auto" w:fill="C4EFCE"/>
            <w:vAlign w:val="center"/>
            <w:hideMark/>
          </w:tcPr>
          <w:p w14:paraId="72E93AC3"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8803935" w14:textId="77777777" w:rsidR="00154AD2" w:rsidRDefault="007F6BF3">
            <w:pPr>
              <w:pStyle w:val="P68B1DB1-Normal23"/>
              <w:spacing w:after="0"/>
              <w:jc w:val="both"/>
              <w:rPr>
                <w:rFonts w:eastAsia="Calibri" w:cs="Calibri"/>
                <w:noProof/>
              </w:rPr>
            </w:pPr>
            <w:r>
              <w:rPr>
                <w:noProof/>
              </w:rPr>
              <w:t>Δημόσιες υπηρεσίες με ασφαλή πρόσβαση μέσω ηλεκτρονικής ταυτότητας και με σεβασμό της αρχής «μόνον άπαξ»</w:t>
            </w:r>
          </w:p>
        </w:tc>
      </w:tr>
      <w:tr w:rsidR="00154AD2" w14:paraId="4FC6C1D5" w14:textId="77777777">
        <w:trPr>
          <w:trHeight w:val="440"/>
        </w:trPr>
        <w:tc>
          <w:tcPr>
            <w:tcW w:w="1200" w:type="dxa"/>
            <w:shd w:val="clear" w:color="auto" w:fill="C4EFCE"/>
            <w:vAlign w:val="center"/>
            <w:hideMark/>
          </w:tcPr>
          <w:p w14:paraId="58B8057A" w14:textId="77777777" w:rsidR="00154AD2" w:rsidRDefault="007F6BF3">
            <w:pPr>
              <w:pStyle w:val="P68B1DB1-Normal23"/>
              <w:spacing w:after="0"/>
              <w:jc w:val="center"/>
              <w:rPr>
                <w:noProof/>
              </w:rPr>
            </w:pPr>
            <w:r>
              <w:rPr>
                <w:noProof/>
              </w:rPr>
              <w:t>20.3</w:t>
            </w:r>
          </w:p>
        </w:tc>
        <w:tc>
          <w:tcPr>
            <w:tcW w:w="1760" w:type="dxa"/>
            <w:shd w:val="clear" w:color="auto" w:fill="C4EFCE"/>
            <w:vAlign w:val="center"/>
            <w:hideMark/>
          </w:tcPr>
          <w:p w14:paraId="26B70452" w14:textId="77777777" w:rsidR="00154AD2" w:rsidRDefault="007F6BF3">
            <w:pPr>
              <w:pStyle w:val="P68B1DB1-Normal23"/>
              <w:spacing w:after="0"/>
              <w:jc w:val="center"/>
              <w:rPr>
                <w:noProof/>
              </w:rPr>
            </w:pPr>
            <w:r>
              <w:rPr>
                <w:noProof/>
              </w:rPr>
              <w:t xml:space="preserve">TD-C20-i01 </w:t>
            </w:r>
          </w:p>
        </w:tc>
        <w:tc>
          <w:tcPr>
            <w:tcW w:w="1520" w:type="dxa"/>
            <w:shd w:val="clear" w:color="auto" w:fill="C4EFCE"/>
            <w:vAlign w:val="center"/>
            <w:hideMark/>
          </w:tcPr>
          <w:p w14:paraId="562D7FF3"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2A927607" w14:textId="77777777" w:rsidR="00154AD2" w:rsidRDefault="007F6BF3">
            <w:pPr>
              <w:pStyle w:val="P68B1DB1-Normal23"/>
              <w:spacing w:after="0"/>
              <w:jc w:val="both"/>
              <w:rPr>
                <w:rFonts w:eastAsia="Calibri" w:cs="Calibri"/>
                <w:noProof/>
              </w:rPr>
            </w:pPr>
            <w:r>
              <w:rPr>
                <w:noProof/>
              </w:rPr>
              <w:t>Ηλεκτρονικοί υπολογιστές για την ατομική χρήση μαθητών και εκπαιδευτικών</w:t>
            </w:r>
          </w:p>
        </w:tc>
      </w:tr>
      <w:tr w:rsidR="00154AD2" w14:paraId="6F9EE469" w14:textId="77777777">
        <w:trPr>
          <w:trHeight w:val="440"/>
        </w:trPr>
        <w:tc>
          <w:tcPr>
            <w:tcW w:w="1200" w:type="dxa"/>
            <w:shd w:val="clear" w:color="auto" w:fill="C4EFCE"/>
            <w:vAlign w:val="center"/>
            <w:hideMark/>
          </w:tcPr>
          <w:p w14:paraId="1706F9AC" w14:textId="77777777" w:rsidR="00154AD2" w:rsidRDefault="007F6BF3">
            <w:pPr>
              <w:pStyle w:val="P68B1DB1-Normal23"/>
              <w:spacing w:after="0"/>
              <w:jc w:val="center"/>
              <w:rPr>
                <w:noProof/>
              </w:rPr>
            </w:pPr>
            <w:r>
              <w:rPr>
                <w:noProof/>
              </w:rPr>
              <w:t>20.10</w:t>
            </w:r>
          </w:p>
        </w:tc>
        <w:tc>
          <w:tcPr>
            <w:tcW w:w="1760" w:type="dxa"/>
            <w:shd w:val="clear" w:color="auto" w:fill="C4EFCE"/>
            <w:vAlign w:val="center"/>
            <w:hideMark/>
          </w:tcPr>
          <w:p w14:paraId="01A5078A" w14:textId="77777777" w:rsidR="00154AD2" w:rsidRDefault="007F6BF3">
            <w:pPr>
              <w:pStyle w:val="P68B1DB1-Normal23"/>
              <w:spacing w:after="0"/>
              <w:jc w:val="center"/>
              <w:rPr>
                <w:noProof/>
              </w:rPr>
            </w:pPr>
            <w:r>
              <w:rPr>
                <w:noProof/>
              </w:rPr>
              <w:t xml:space="preserve">TD-C20-i02-RAA </w:t>
            </w:r>
          </w:p>
        </w:tc>
        <w:tc>
          <w:tcPr>
            <w:tcW w:w="1520" w:type="dxa"/>
            <w:shd w:val="clear" w:color="auto" w:fill="C4EFCE"/>
            <w:vAlign w:val="center"/>
            <w:hideMark/>
          </w:tcPr>
          <w:p w14:paraId="331EFA9F"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6817629" w14:textId="77777777" w:rsidR="00154AD2" w:rsidRDefault="007F6BF3">
            <w:pPr>
              <w:pStyle w:val="P68B1DB1-Normal23"/>
              <w:spacing w:after="0"/>
              <w:jc w:val="both"/>
              <w:rPr>
                <w:rFonts w:eastAsia="Calibri" w:cs="Calibri"/>
                <w:noProof/>
              </w:rPr>
            </w:pPr>
            <w:r>
              <w:rPr>
                <w:noProof/>
              </w:rPr>
              <w:t>Μαζικά ανοικτά διαδικτυακά μαθήματα για εκπαιδευτικούς και γονείς στην ARA</w:t>
            </w:r>
          </w:p>
        </w:tc>
      </w:tr>
      <w:tr w:rsidR="00154AD2" w14:paraId="218A5DAF" w14:textId="77777777">
        <w:trPr>
          <w:trHeight w:val="440"/>
        </w:trPr>
        <w:tc>
          <w:tcPr>
            <w:tcW w:w="1200" w:type="dxa"/>
            <w:shd w:val="clear" w:color="auto" w:fill="C4EFCE"/>
            <w:vAlign w:val="center"/>
            <w:hideMark/>
          </w:tcPr>
          <w:p w14:paraId="3DAD8CAD" w14:textId="77777777" w:rsidR="00154AD2" w:rsidRDefault="007F6BF3">
            <w:pPr>
              <w:pStyle w:val="P68B1DB1-Normal23"/>
              <w:spacing w:after="0"/>
              <w:jc w:val="center"/>
              <w:rPr>
                <w:noProof/>
              </w:rPr>
            </w:pPr>
            <w:r>
              <w:rPr>
                <w:noProof/>
              </w:rPr>
              <w:t>20.14</w:t>
            </w:r>
          </w:p>
        </w:tc>
        <w:tc>
          <w:tcPr>
            <w:tcW w:w="1760" w:type="dxa"/>
            <w:shd w:val="clear" w:color="auto" w:fill="C4EFCE"/>
            <w:vAlign w:val="center"/>
            <w:hideMark/>
          </w:tcPr>
          <w:p w14:paraId="45FA9E7E" w14:textId="77777777" w:rsidR="00154AD2" w:rsidRDefault="007F6BF3">
            <w:pPr>
              <w:pStyle w:val="P68B1DB1-Normal23"/>
              <w:spacing w:after="0"/>
              <w:jc w:val="center"/>
              <w:rPr>
                <w:noProof/>
              </w:rPr>
            </w:pPr>
            <w:r>
              <w:rPr>
                <w:noProof/>
              </w:rPr>
              <w:t xml:space="preserve">TD-C20-i03-RAM </w:t>
            </w:r>
          </w:p>
        </w:tc>
        <w:tc>
          <w:tcPr>
            <w:tcW w:w="1520" w:type="dxa"/>
            <w:shd w:val="clear" w:color="auto" w:fill="C4EFCE"/>
            <w:vAlign w:val="center"/>
            <w:hideMark/>
          </w:tcPr>
          <w:p w14:paraId="3A9F12DA"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03A30F30" w14:textId="77777777" w:rsidR="00154AD2" w:rsidRDefault="007F6BF3">
            <w:pPr>
              <w:pStyle w:val="P68B1DB1-Normal23"/>
              <w:spacing w:after="0"/>
              <w:jc w:val="both"/>
              <w:rPr>
                <w:rFonts w:eastAsia="Calibri" w:cs="Calibri"/>
                <w:noProof/>
              </w:rPr>
            </w:pPr>
            <w:r>
              <w:rPr>
                <w:noProof/>
              </w:rPr>
              <w:t>Ψηφιακά εγχειρίδια για μαθητές του 2ου και 3ου κύκλου και για μαθητές δευτεροβάθμιας εκπαίδευσης</w:t>
            </w:r>
          </w:p>
        </w:tc>
      </w:tr>
      <w:tr w:rsidR="00154AD2" w14:paraId="13FE7E31" w14:textId="77777777">
        <w:trPr>
          <w:trHeight w:val="440"/>
        </w:trPr>
        <w:tc>
          <w:tcPr>
            <w:tcW w:w="1200" w:type="dxa"/>
            <w:shd w:val="clear" w:color="auto" w:fill="C4EFCE"/>
            <w:vAlign w:val="center"/>
          </w:tcPr>
          <w:p w14:paraId="0B18E216" w14:textId="6C76CE3F" w:rsidR="00154AD2" w:rsidRDefault="007F6BF3">
            <w:pPr>
              <w:pStyle w:val="P68B1DB1-Normal23"/>
              <w:spacing w:after="0"/>
              <w:jc w:val="center"/>
              <w:rPr>
                <w:rFonts w:eastAsia="Calibri" w:cs="Calibri"/>
                <w:noProof/>
              </w:rPr>
            </w:pPr>
            <w:r>
              <w:rPr>
                <w:noProof/>
              </w:rPr>
              <w:t>22.1</w:t>
            </w:r>
          </w:p>
        </w:tc>
        <w:tc>
          <w:tcPr>
            <w:tcW w:w="1760" w:type="dxa"/>
            <w:shd w:val="clear" w:color="auto" w:fill="C4EFCE"/>
            <w:vAlign w:val="center"/>
          </w:tcPr>
          <w:p w14:paraId="54A61AAA" w14:textId="7F5F0C12" w:rsidR="00154AD2" w:rsidRDefault="007F6BF3">
            <w:pPr>
              <w:pStyle w:val="P68B1DB1-Normal23"/>
              <w:spacing w:after="0"/>
              <w:jc w:val="center"/>
              <w:rPr>
                <w:rFonts w:eastAsia="Calibri" w:cs="Calibri"/>
                <w:noProof/>
              </w:rPr>
            </w:pPr>
            <w:r>
              <w:rPr>
                <w:noProof/>
              </w:rPr>
              <w:t>RE-C22-r49</w:t>
            </w:r>
          </w:p>
        </w:tc>
        <w:tc>
          <w:tcPr>
            <w:tcW w:w="1520" w:type="dxa"/>
            <w:shd w:val="clear" w:color="auto" w:fill="C4EFCE"/>
            <w:vAlign w:val="center"/>
          </w:tcPr>
          <w:p w14:paraId="0359E033" w14:textId="53239CA4"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tcPr>
          <w:p w14:paraId="29FAC258" w14:textId="2F0164F0" w:rsidR="00154AD2" w:rsidRDefault="007F6BF3">
            <w:pPr>
              <w:pStyle w:val="P68B1DB1-Normal23"/>
              <w:spacing w:after="0"/>
              <w:jc w:val="both"/>
              <w:rPr>
                <w:rFonts w:eastAsia="Calibri" w:cs="Calibri"/>
                <w:noProof/>
              </w:rPr>
            </w:pPr>
            <w:r>
              <w:rPr>
                <w:noProof/>
              </w:rPr>
              <w:t>Τροποποίηση των συμβάσεων χρηματοδότησης μεταξύ του ΕΕΠΜ και των φορέων υλοποίησης ώστε να συμπεριληφθεί η υποχρέωση διενέργειας εκτίμησης κινδύνου απάτης</w:t>
            </w:r>
          </w:p>
        </w:tc>
      </w:tr>
      <w:tr w:rsidR="00154AD2" w14:paraId="1692F67E" w14:textId="77777777">
        <w:trPr>
          <w:trHeight w:val="440"/>
        </w:trPr>
        <w:tc>
          <w:tcPr>
            <w:tcW w:w="1200" w:type="dxa"/>
            <w:shd w:val="clear" w:color="auto" w:fill="C4EFCE"/>
            <w:vAlign w:val="center"/>
          </w:tcPr>
          <w:p w14:paraId="1B2C4316" w14:textId="01C57EEC" w:rsidR="00154AD2" w:rsidRDefault="007F6BF3">
            <w:pPr>
              <w:pStyle w:val="P68B1DB1-Normal23"/>
              <w:spacing w:after="0"/>
              <w:jc w:val="center"/>
              <w:rPr>
                <w:rFonts w:eastAsia="Calibri" w:cs="Calibri"/>
                <w:noProof/>
              </w:rPr>
            </w:pPr>
            <w:r>
              <w:rPr>
                <w:noProof/>
              </w:rPr>
              <w:t>22.2</w:t>
            </w:r>
          </w:p>
        </w:tc>
        <w:tc>
          <w:tcPr>
            <w:tcW w:w="1760" w:type="dxa"/>
            <w:shd w:val="clear" w:color="auto" w:fill="C4EFCE"/>
            <w:vAlign w:val="center"/>
          </w:tcPr>
          <w:p w14:paraId="0C165A5E" w14:textId="0D1FBC0D" w:rsidR="00154AD2" w:rsidRDefault="007F6BF3">
            <w:pPr>
              <w:pStyle w:val="P68B1DB1-Normal23"/>
              <w:spacing w:after="0"/>
              <w:jc w:val="center"/>
              <w:rPr>
                <w:rFonts w:eastAsia="Calibri" w:cs="Calibri"/>
                <w:noProof/>
              </w:rPr>
            </w:pPr>
            <w:r>
              <w:rPr>
                <w:noProof/>
              </w:rPr>
              <w:t>RE-C22-r49</w:t>
            </w:r>
          </w:p>
        </w:tc>
        <w:tc>
          <w:tcPr>
            <w:tcW w:w="1520" w:type="dxa"/>
            <w:shd w:val="clear" w:color="auto" w:fill="C4EFCE"/>
            <w:vAlign w:val="center"/>
          </w:tcPr>
          <w:p w14:paraId="5095848A" w14:textId="060F218F"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tcPr>
          <w:p w14:paraId="130A8B69" w14:textId="638A0661" w:rsidR="00154AD2" w:rsidRDefault="007F6BF3">
            <w:pPr>
              <w:pStyle w:val="P68B1DB1-Normal23"/>
              <w:spacing w:after="0"/>
              <w:jc w:val="both"/>
              <w:rPr>
                <w:rFonts w:eastAsia="Calibri" w:cs="Calibri"/>
                <w:noProof/>
              </w:rPr>
            </w:pPr>
            <w:r>
              <w:rPr>
                <w:noProof/>
              </w:rPr>
              <w:t>Καθιέρωση διασταυρούμενων ελέγχων για διπλή χρηματοδότηση</w:t>
            </w:r>
          </w:p>
        </w:tc>
      </w:tr>
      <w:tr w:rsidR="00154AD2" w14:paraId="74CD506E" w14:textId="77777777">
        <w:trPr>
          <w:trHeight w:val="440"/>
        </w:trPr>
        <w:tc>
          <w:tcPr>
            <w:tcW w:w="1200" w:type="dxa"/>
            <w:shd w:val="clear" w:color="auto" w:fill="C4EFCE"/>
            <w:vAlign w:val="center"/>
            <w:hideMark/>
          </w:tcPr>
          <w:p w14:paraId="5438D3B8" w14:textId="77777777" w:rsidR="00154AD2" w:rsidRDefault="007F6BF3">
            <w:pPr>
              <w:pStyle w:val="P68B1DB1-Normal8"/>
              <w:spacing w:after="0"/>
              <w:jc w:val="center"/>
              <w:rPr>
                <w:noProof/>
              </w:rPr>
            </w:pPr>
            <w:r>
              <w:rPr>
                <w:noProof/>
              </w:rPr>
              <w:t xml:space="preserve"> </w:t>
            </w:r>
          </w:p>
        </w:tc>
        <w:tc>
          <w:tcPr>
            <w:tcW w:w="1760" w:type="dxa"/>
            <w:shd w:val="clear" w:color="auto" w:fill="C4EFCE"/>
            <w:vAlign w:val="center"/>
            <w:hideMark/>
          </w:tcPr>
          <w:p w14:paraId="231F2F2F" w14:textId="77777777" w:rsidR="00154AD2" w:rsidRDefault="007F6BF3">
            <w:pPr>
              <w:pStyle w:val="P68B1DB1-Normal8"/>
              <w:spacing w:after="0"/>
              <w:rPr>
                <w:noProof/>
              </w:rPr>
            </w:pPr>
            <w:r>
              <w:rPr>
                <w:noProof/>
              </w:rPr>
              <w:t xml:space="preserve"> </w:t>
            </w:r>
          </w:p>
        </w:tc>
        <w:tc>
          <w:tcPr>
            <w:tcW w:w="1520" w:type="dxa"/>
            <w:shd w:val="clear" w:color="auto" w:fill="C4EFCE"/>
            <w:vAlign w:val="center"/>
            <w:hideMark/>
          </w:tcPr>
          <w:p w14:paraId="7E61E2C8" w14:textId="77777777" w:rsidR="00154AD2" w:rsidRDefault="007F6BF3">
            <w:pPr>
              <w:pStyle w:val="P68B1DB1-Normal24"/>
              <w:spacing w:after="0"/>
              <w:jc w:val="center"/>
              <w:rPr>
                <w:noProof/>
              </w:rPr>
            </w:pPr>
            <w:r>
              <w:rPr>
                <w:noProof/>
              </w:rPr>
              <w:t xml:space="preserve">Ποσό δόσης </w:t>
            </w:r>
          </w:p>
        </w:tc>
        <w:tc>
          <w:tcPr>
            <w:tcW w:w="5060" w:type="dxa"/>
            <w:shd w:val="clear" w:color="auto" w:fill="C4EFCE"/>
            <w:vAlign w:val="center"/>
            <w:hideMark/>
          </w:tcPr>
          <w:p w14:paraId="0C460227" w14:textId="75B7960E" w:rsidR="00154AD2" w:rsidRDefault="007F6BF3">
            <w:pPr>
              <w:pStyle w:val="P68B1DB1-Normal25"/>
              <w:spacing w:after="0"/>
              <w:jc w:val="center"/>
              <w:rPr>
                <w:noProof/>
              </w:rPr>
            </w:pPr>
            <w:r>
              <w:rPr>
                <w:noProof/>
              </w:rPr>
              <w:t>2 010 220 573 EUR</w:t>
            </w:r>
          </w:p>
        </w:tc>
      </w:tr>
    </w:tbl>
    <w:p w14:paraId="039389FF" w14:textId="77777777" w:rsidR="00154AD2" w:rsidRDefault="00154AD2">
      <w:pPr>
        <w:rPr>
          <w:noProof/>
        </w:rPr>
      </w:pPr>
    </w:p>
    <w:p w14:paraId="4E219CD4" w14:textId="77777777" w:rsidR="00154AD2" w:rsidRDefault="00154AD2">
      <w:pPr>
        <w:keepNext/>
        <w:spacing w:before="40" w:after="160" w:line="259" w:lineRule="auto"/>
        <w:contextualSpacing/>
        <w:jc w:val="both"/>
        <w:rPr>
          <w:rFonts w:ascii="Times New Roman" w:eastAsiaTheme="minorEastAsia" w:hAnsi="Times New Roman" w:cs="Times New Roman"/>
          <w:noProof/>
          <w:sz w:val="24"/>
        </w:rPr>
      </w:pPr>
    </w:p>
    <w:p w14:paraId="7A8A5CC2" w14:textId="77777777" w:rsidR="00154AD2" w:rsidRDefault="007F6BF3">
      <w:pPr>
        <w:pStyle w:val="P68B1DB1-Normal4"/>
        <w:keepNext/>
        <w:keepLines/>
        <w:numPr>
          <w:ilvl w:val="1"/>
          <w:numId w:val="19"/>
        </w:numPr>
        <w:spacing w:before="40" w:after="160" w:line="259" w:lineRule="auto"/>
        <w:contextualSpacing/>
        <w:jc w:val="both"/>
        <w:rPr>
          <w:rFonts w:eastAsiaTheme="minorEastAsia" w:cs="Times New Roman"/>
          <w:noProof/>
        </w:rPr>
      </w:pPr>
      <w:r>
        <w:rPr>
          <w:noProof/>
        </w:rPr>
        <w:t xml:space="preserve">Τέταρτη αίτηση πληρωμής (μη επιστρεπτέα στήριξη): </w:t>
      </w:r>
    </w:p>
    <w:p w14:paraId="29158653" w14:textId="77777777" w:rsidR="00154AD2" w:rsidRDefault="00154AD2">
      <w:pPr>
        <w:keepNext/>
        <w:keepLines/>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Look w:val="04A0" w:firstRow="1" w:lastRow="0" w:firstColumn="1" w:lastColumn="0" w:noHBand="0" w:noVBand="1"/>
      </w:tblPr>
      <w:tblGrid>
        <w:gridCol w:w="1189"/>
        <w:gridCol w:w="1750"/>
        <w:gridCol w:w="1670"/>
        <w:gridCol w:w="4931"/>
      </w:tblGrid>
      <w:tr w:rsidR="00154AD2" w14:paraId="56ED83EA" w14:textId="77777777">
        <w:trPr>
          <w:trHeight w:val="1018"/>
        </w:trPr>
        <w:tc>
          <w:tcPr>
            <w:tcW w:w="120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9CEDDC4" w14:textId="77777777" w:rsidR="00154AD2" w:rsidRDefault="007F6BF3">
            <w:pPr>
              <w:pStyle w:val="P68B1DB1-Normal22"/>
              <w:keepNext/>
              <w:keepLines/>
              <w:spacing w:after="0" w:line="240" w:lineRule="auto"/>
              <w:jc w:val="center"/>
              <w:rPr>
                <w:rFonts w:eastAsia="Times New Roman" w:cs="Times New Roman"/>
                <w:noProof/>
              </w:rPr>
            </w:pPr>
            <w:r>
              <w:rPr>
                <w:noProof/>
              </w:rPr>
              <w:t>Αύξων αριθμός</w:t>
            </w:r>
          </w:p>
        </w:tc>
        <w:tc>
          <w:tcPr>
            <w:tcW w:w="17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01E8A35" w14:textId="77777777" w:rsidR="00154AD2" w:rsidRDefault="007F6BF3">
            <w:pPr>
              <w:pStyle w:val="P68B1DB1-Normal22"/>
              <w:keepNext/>
              <w:keepLines/>
              <w:spacing w:after="0" w:line="240" w:lineRule="auto"/>
              <w:jc w:val="center"/>
              <w:rPr>
                <w:rFonts w:eastAsia="Times New Roman" w:cs="Times New Roman"/>
                <w:noProof/>
              </w:rPr>
            </w:pPr>
            <w:r>
              <w:rPr>
                <w:noProof/>
              </w:rPr>
              <w:t>Σχετικό μέτρο (μεταρρύθμιση ή επένδυση)</w:t>
            </w:r>
          </w:p>
        </w:tc>
        <w:tc>
          <w:tcPr>
            <w:tcW w:w="152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EA90392" w14:textId="77777777" w:rsidR="00154AD2" w:rsidRDefault="007F6BF3">
            <w:pPr>
              <w:pStyle w:val="P68B1DB1-Normal22"/>
              <w:keepNext/>
              <w:keepLines/>
              <w:spacing w:after="0" w:line="240" w:lineRule="auto"/>
              <w:jc w:val="center"/>
              <w:rPr>
                <w:rFonts w:eastAsia="Times New Roman" w:cs="Times New Roman"/>
                <w:noProof/>
              </w:rPr>
            </w:pPr>
            <w:r>
              <w:rPr>
                <w:noProof/>
              </w:rPr>
              <w:t>Ορόσημο/Στόχος</w:t>
            </w:r>
          </w:p>
        </w:tc>
        <w:tc>
          <w:tcPr>
            <w:tcW w:w="50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4FADC97" w14:textId="77777777" w:rsidR="00154AD2" w:rsidRDefault="007F6BF3">
            <w:pPr>
              <w:pStyle w:val="P68B1DB1-Normal22"/>
              <w:keepNext/>
              <w:keepLines/>
              <w:spacing w:after="0" w:line="240" w:lineRule="auto"/>
              <w:jc w:val="center"/>
              <w:rPr>
                <w:rFonts w:eastAsia="Times New Roman" w:cs="Times New Roman"/>
                <w:noProof/>
              </w:rPr>
            </w:pPr>
            <w:r>
              <w:rPr>
                <w:noProof/>
              </w:rPr>
              <w:t>Όνομα</w:t>
            </w:r>
          </w:p>
        </w:tc>
      </w:tr>
      <w:tr w:rsidR="00154AD2" w14:paraId="7FF8649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0EA99F9" w14:textId="77777777" w:rsidR="00154AD2" w:rsidRDefault="007F6BF3">
            <w:pPr>
              <w:pStyle w:val="P68B1DB1-Normal23"/>
              <w:spacing w:after="0"/>
              <w:jc w:val="center"/>
              <w:rPr>
                <w:rFonts w:eastAsia="Calibri" w:cs="Calibri"/>
                <w:noProof/>
              </w:rPr>
            </w:pPr>
            <w:r>
              <w:rPr>
                <w:noProof/>
              </w:rPr>
              <w:t>1.1</w:t>
            </w:r>
          </w:p>
        </w:tc>
        <w:tc>
          <w:tcPr>
            <w:tcW w:w="1760" w:type="dxa"/>
            <w:tcBorders>
              <w:top w:val="nil"/>
              <w:left w:val="nil"/>
              <w:bottom w:val="single" w:sz="4" w:space="0" w:color="auto"/>
              <w:right w:val="single" w:sz="4" w:space="0" w:color="auto"/>
            </w:tcBorders>
            <w:shd w:val="clear" w:color="auto" w:fill="C4EFCE"/>
            <w:vAlign w:val="center"/>
            <w:hideMark/>
          </w:tcPr>
          <w:p w14:paraId="7321C9DC" w14:textId="77777777" w:rsidR="00154AD2" w:rsidRDefault="007F6BF3">
            <w:pPr>
              <w:pStyle w:val="P68B1DB1-Normal23"/>
              <w:spacing w:after="0"/>
              <w:jc w:val="center"/>
              <w:rPr>
                <w:rFonts w:eastAsia="Calibri" w:cs="Calibri"/>
                <w:noProof/>
              </w:rPr>
            </w:pPr>
            <w:r>
              <w:rPr>
                <w:noProof/>
              </w:rPr>
              <w:t xml:space="preserve">RE-C01-r01  </w:t>
            </w:r>
          </w:p>
        </w:tc>
        <w:tc>
          <w:tcPr>
            <w:tcW w:w="1520" w:type="dxa"/>
            <w:tcBorders>
              <w:top w:val="nil"/>
              <w:left w:val="nil"/>
              <w:bottom w:val="single" w:sz="4" w:space="0" w:color="auto"/>
              <w:right w:val="single" w:sz="4" w:space="0" w:color="auto"/>
            </w:tcBorders>
            <w:shd w:val="clear" w:color="auto" w:fill="C4EFCE"/>
            <w:vAlign w:val="center"/>
            <w:hideMark/>
          </w:tcPr>
          <w:p w14:paraId="7249E60B"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80B2E35" w14:textId="77777777" w:rsidR="00154AD2" w:rsidRDefault="007F6BF3">
            <w:pPr>
              <w:pStyle w:val="P68B1DB1-Normal23"/>
              <w:spacing w:after="0"/>
              <w:jc w:val="both"/>
              <w:rPr>
                <w:rFonts w:eastAsia="Calibri" w:cs="Calibri"/>
                <w:noProof/>
              </w:rPr>
            </w:pPr>
            <w:r>
              <w:rPr>
                <w:noProof/>
              </w:rPr>
              <w:t>Έναρξη ισχύος νομικών πράξεων στον τομέα της πρωτοβάθμιας υγειονομικής περίθαλψης</w:t>
            </w:r>
          </w:p>
        </w:tc>
      </w:tr>
      <w:tr w:rsidR="00154AD2" w14:paraId="289CD21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738F888" w14:textId="77777777" w:rsidR="00154AD2" w:rsidRDefault="007F6BF3">
            <w:pPr>
              <w:pStyle w:val="P68B1DB1-Normal23"/>
              <w:spacing w:after="0"/>
              <w:jc w:val="center"/>
              <w:rPr>
                <w:rFonts w:eastAsia="Calibri" w:cs="Calibri"/>
                <w:noProof/>
              </w:rPr>
            </w:pPr>
            <w:r>
              <w:rPr>
                <w:noProof/>
              </w:rPr>
              <w:t>1.5</w:t>
            </w:r>
          </w:p>
        </w:tc>
        <w:tc>
          <w:tcPr>
            <w:tcW w:w="1760" w:type="dxa"/>
            <w:tcBorders>
              <w:top w:val="nil"/>
              <w:left w:val="nil"/>
              <w:bottom w:val="single" w:sz="4" w:space="0" w:color="auto"/>
              <w:right w:val="single" w:sz="4" w:space="0" w:color="auto"/>
            </w:tcBorders>
            <w:shd w:val="clear" w:color="auto" w:fill="C4EFCE"/>
            <w:vAlign w:val="center"/>
            <w:hideMark/>
          </w:tcPr>
          <w:p w14:paraId="5FA3726A" w14:textId="77777777" w:rsidR="00154AD2" w:rsidRDefault="007F6BF3">
            <w:pPr>
              <w:pStyle w:val="P68B1DB1-Normal23"/>
              <w:spacing w:after="0"/>
              <w:jc w:val="center"/>
              <w:rPr>
                <w:rFonts w:eastAsia="Calibri" w:cs="Calibri"/>
                <w:noProof/>
              </w:rPr>
            </w:pPr>
            <w:r>
              <w:rPr>
                <w:noProof/>
              </w:rPr>
              <w:t xml:space="preserve">RE-C01-r02  </w:t>
            </w:r>
          </w:p>
        </w:tc>
        <w:tc>
          <w:tcPr>
            <w:tcW w:w="1520" w:type="dxa"/>
            <w:tcBorders>
              <w:top w:val="nil"/>
              <w:left w:val="nil"/>
              <w:bottom w:val="single" w:sz="4" w:space="0" w:color="auto"/>
              <w:right w:val="single" w:sz="4" w:space="0" w:color="auto"/>
            </w:tcBorders>
            <w:shd w:val="clear" w:color="auto" w:fill="C4EFCE"/>
            <w:vAlign w:val="center"/>
            <w:hideMark/>
          </w:tcPr>
          <w:p w14:paraId="1C6933D6"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AF65EBB" w14:textId="77777777" w:rsidR="00154AD2" w:rsidRDefault="007F6BF3">
            <w:pPr>
              <w:pStyle w:val="P68B1DB1-Normal23"/>
              <w:spacing w:after="0"/>
              <w:jc w:val="both"/>
              <w:rPr>
                <w:rFonts w:eastAsia="Calibri" w:cs="Calibri"/>
                <w:noProof/>
              </w:rPr>
            </w:pPr>
            <w:r>
              <w:rPr>
                <w:noProof/>
              </w:rPr>
              <w:t>Έναρξη ισχύος του νέου νόμου για την ψυχική υγεία, ο οποίος θεσπίζει τις αρχές σχετικά με τα δικαιώματα των ατόμων με ψυχική ασθένεια και ρυθμίζει την υποχρεωτική νοσηλεία ή θεραπεία</w:t>
            </w:r>
          </w:p>
        </w:tc>
      </w:tr>
      <w:tr w:rsidR="00154AD2" w14:paraId="55EB5FF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333E7D7" w14:textId="77777777" w:rsidR="00154AD2" w:rsidRDefault="007F6BF3">
            <w:pPr>
              <w:pStyle w:val="P68B1DB1-Normal23"/>
              <w:spacing w:after="0"/>
              <w:jc w:val="center"/>
              <w:rPr>
                <w:rFonts w:eastAsia="Calibri" w:cs="Calibri"/>
                <w:noProof/>
              </w:rPr>
            </w:pPr>
            <w:r>
              <w:rPr>
                <w:noProof/>
              </w:rPr>
              <w:t>1.12</w:t>
            </w:r>
          </w:p>
        </w:tc>
        <w:tc>
          <w:tcPr>
            <w:tcW w:w="1760" w:type="dxa"/>
            <w:tcBorders>
              <w:top w:val="nil"/>
              <w:left w:val="nil"/>
              <w:bottom w:val="single" w:sz="4" w:space="0" w:color="auto"/>
              <w:right w:val="single" w:sz="4" w:space="0" w:color="auto"/>
            </w:tcBorders>
            <w:shd w:val="clear" w:color="auto" w:fill="C4EFCE"/>
            <w:vAlign w:val="center"/>
            <w:hideMark/>
          </w:tcPr>
          <w:p w14:paraId="1951DAC8" w14:textId="77777777" w:rsidR="00154AD2" w:rsidRDefault="007F6BF3">
            <w:pPr>
              <w:pStyle w:val="P68B1DB1-Normal23"/>
              <w:spacing w:after="0"/>
              <w:jc w:val="center"/>
              <w:rPr>
                <w:rFonts w:eastAsia="Calibri" w:cs="Calibri"/>
                <w:noProof/>
              </w:rPr>
            </w:pPr>
            <w:r>
              <w:rPr>
                <w:noProof/>
              </w:rPr>
              <w:t xml:space="preserve">RE-C01-r03  </w:t>
            </w:r>
          </w:p>
        </w:tc>
        <w:tc>
          <w:tcPr>
            <w:tcW w:w="1520" w:type="dxa"/>
            <w:tcBorders>
              <w:top w:val="nil"/>
              <w:left w:val="nil"/>
              <w:bottom w:val="single" w:sz="4" w:space="0" w:color="auto"/>
              <w:right w:val="single" w:sz="4" w:space="0" w:color="auto"/>
            </w:tcBorders>
            <w:shd w:val="clear" w:color="auto" w:fill="C4EFCE"/>
            <w:vAlign w:val="center"/>
            <w:hideMark/>
          </w:tcPr>
          <w:p w14:paraId="7442DC8E"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41432BD" w14:textId="0F743D6C" w:rsidR="00154AD2" w:rsidRDefault="007F6BF3">
            <w:pPr>
              <w:pStyle w:val="P68B1DB1-Normal23"/>
              <w:spacing w:after="0"/>
              <w:jc w:val="both"/>
              <w:rPr>
                <w:rFonts w:eastAsia="Calibri" w:cs="Calibri"/>
                <w:noProof/>
              </w:rPr>
            </w:pPr>
            <w:r>
              <w:rPr>
                <w:noProof/>
              </w:rPr>
              <w:t>Έναρξη ισχύος του νέου καθεστώτος πλήρους απασχόλησης στο Εθνικό Σύστημα Υγείας</w:t>
            </w:r>
          </w:p>
        </w:tc>
      </w:tr>
      <w:tr w:rsidR="00154AD2" w14:paraId="2915F7B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1CC6DE1" w14:textId="77777777" w:rsidR="00154AD2" w:rsidRDefault="007F6BF3">
            <w:pPr>
              <w:pStyle w:val="P68B1DB1-Normal23"/>
              <w:spacing w:after="0"/>
              <w:jc w:val="center"/>
              <w:rPr>
                <w:rFonts w:eastAsia="Calibri" w:cs="Calibri"/>
                <w:noProof/>
              </w:rPr>
            </w:pPr>
            <w:r>
              <w:rPr>
                <w:noProof/>
              </w:rPr>
              <w:t>5.39</w:t>
            </w:r>
          </w:p>
        </w:tc>
        <w:tc>
          <w:tcPr>
            <w:tcW w:w="1760" w:type="dxa"/>
            <w:tcBorders>
              <w:top w:val="nil"/>
              <w:left w:val="nil"/>
              <w:bottom w:val="single" w:sz="4" w:space="0" w:color="auto"/>
              <w:right w:val="single" w:sz="4" w:space="0" w:color="auto"/>
            </w:tcBorders>
            <w:shd w:val="clear" w:color="auto" w:fill="C4EFCE"/>
            <w:vAlign w:val="center"/>
            <w:hideMark/>
          </w:tcPr>
          <w:p w14:paraId="5AA01599" w14:textId="77777777" w:rsidR="00154AD2" w:rsidRDefault="007F6BF3">
            <w:pPr>
              <w:pStyle w:val="P68B1DB1-Normal23"/>
              <w:spacing w:after="0"/>
              <w:jc w:val="center"/>
              <w:rPr>
                <w:rFonts w:eastAsia="Calibri" w:cs="Calibri"/>
                <w:noProof/>
              </w:rPr>
            </w:pPr>
            <w:r>
              <w:rPr>
                <w:noProof/>
              </w:rPr>
              <w:t xml:space="preserve">RE-C05-i09  </w:t>
            </w:r>
          </w:p>
        </w:tc>
        <w:tc>
          <w:tcPr>
            <w:tcW w:w="1520" w:type="dxa"/>
            <w:tcBorders>
              <w:top w:val="nil"/>
              <w:left w:val="nil"/>
              <w:bottom w:val="single" w:sz="4" w:space="0" w:color="auto"/>
              <w:right w:val="single" w:sz="4" w:space="0" w:color="auto"/>
            </w:tcBorders>
            <w:shd w:val="clear" w:color="auto" w:fill="C4EFCE"/>
            <w:vAlign w:val="center"/>
            <w:hideMark/>
          </w:tcPr>
          <w:p w14:paraId="4A6965A6"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86D6DB1" w14:textId="77777777" w:rsidR="00154AD2" w:rsidRDefault="007F6BF3">
            <w:pPr>
              <w:pStyle w:val="P68B1DB1-Normal23"/>
              <w:spacing w:after="0"/>
              <w:jc w:val="both"/>
              <w:rPr>
                <w:rFonts w:eastAsia="Calibri" w:cs="Calibri"/>
                <w:noProof/>
              </w:rPr>
            </w:pPr>
            <w:r>
              <w:rPr>
                <w:noProof/>
              </w:rPr>
              <w:t>Σύναψη συμβάσεων για την ανάπτυξη νέων προϊόντων, διαδικασιών ή υπηρεσιών σε σχετικούς στρατηγικούς τομείς (θεματολόγια καινοτομίας).</w:t>
            </w:r>
          </w:p>
        </w:tc>
      </w:tr>
      <w:tr w:rsidR="00154AD2" w14:paraId="248B141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ACD0E35" w14:textId="77777777" w:rsidR="00154AD2" w:rsidRDefault="007F6BF3">
            <w:pPr>
              <w:pStyle w:val="P68B1DB1-Normal23"/>
              <w:spacing w:after="0"/>
              <w:jc w:val="center"/>
              <w:rPr>
                <w:rFonts w:eastAsia="Calibri" w:cs="Calibri"/>
                <w:noProof/>
              </w:rPr>
            </w:pPr>
            <w:r>
              <w:rPr>
                <w:noProof/>
              </w:rPr>
              <w:t>5.41</w:t>
            </w:r>
          </w:p>
        </w:tc>
        <w:tc>
          <w:tcPr>
            <w:tcW w:w="1760" w:type="dxa"/>
            <w:tcBorders>
              <w:top w:val="nil"/>
              <w:left w:val="nil"/>
              <w:bottom w:val="single" w:sz="4" w:space="0" w:color="auto"/>
              <w:right w:val="single" w:sz="4" w:space="0" w:color="auto"/>
            </w:tcBorders>
            <w:shd w:val="clear" w:color="auto" w:fill="C4EFCE"/>
            <w:vAlign w:val="center"/>
            <w:hideMark/>
          </w:tcPr>
          <w:p w14:paraId="37A6E238" w14:textId="77777777" w:rsidR="00154AD2" w:rsidRDefault="007F6BF3">
            <w:pPr>
              <w:pStyle w:val="P68B1DB1-Normal23"/>
              <w:spacing w:after="0"/>
              <w:jc w:val="center"/>
              <w:rPr>
                <w:rFonts w:eastAsia="Calibri" w:cs="Calibri"/>
                <w:noProof/>
              </w:rPr>
            </w:pPr>
            <w:r>
              <w:rPr>
                <w:noProof/>
              </w:rPr>
              <w:t xml:space="preserve">RE-C05-i10 </w:t>
            </w:r>
          </w:p>
        </w:tc>
        <w:tc>
          <w:tcPr>
            <w:tcW w:w="1520" w:type="dxa"/>
            <w:tcBorders>
              <w:top w:val="nil"/>
              <w:left w:val="nil"/>
              <w:bottom w:val="single" w:sz="4" w:space="0" w:color="auto"/>
              <w:right w:val="single" w:sz="4" w:space="0" w:color="auto"/>
            </w:tcBorders>
            <w:shd w:val="clear" w:color="auto" w:fill="C4EFCE"/>
            <w:vAlign w:val="center"/>
            <w:hideMark/>
          </w:tcPr>
          <w:p w14:paraId="18414574"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B123515" w14:textId="77777777" w:rsidR="00154AD2" w:rsidRDefault="007F6BF3">
            <w:pPr>
              <w:pStyle w:val="P68B1DB1-Normal23"/>
              <w:spacing w:after="0"/>
              <w:jc w:val="both"/>
              <w:rPr>
                <w:rFonts w:eastAsia="Calibri" w:cs="Calibri"/>
                <w:noProof/>
              </w:rPr>
            </w:pPr>
            <w:r>
              <w:rPr>
                <w:noProof/>
              </w:rPr>
              <w:t>Σύναψη συμβάσεων για την ανάπτυξη νέων προϊόντων, διαδικασιών ή υπηρεσιών σε στρατηγικούς τομείς που σχετίζονται με την οικονομία χαμηλών εκπομπών διοξειδίου του άνθρακα, την ανθεκτικότητα και την προσαρμογή στην κλιματική αλλαγή.</w:t>
            </w:r>
          </w:p>
        </w:tc>
      </w:tr>
      <w:tr w:rsidR="00154AD2" w14:paraId="52B40B8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68F59D5" w14:textId="77777777" w:rsidR="00154AD2" w:rsidRDefault="007F6BF3">
            <w:pPr>
              <w:pStyle w:val="P68B1DB1-Normal23"/>
              <w:spacing w:after="0"/>
              <w:jc w:val="center"/>
              <w:rPr>
                <w:rFonts w:eastAsia="Calibri" w:cs="Calibri"/>
                <w:noProof/>
              </w:rPr>
            </w:pPr>
            <w:r>
              <w:rPr>
                <w:noProof/>
              </w:rPr>
              <w:t>6.16</w:t>
            </w:r>
          </w:p>
        </w:tc>
        <w:tc>
          <w:tcPr>
            <w:tcW w:w="1760" w:type="dxa"/>
            <w:tcBorders>
              <w:top w:val="nil"/>
              <w:left w:val="nil"/>
              <w:bottom w:val="single" w:sz="4" w:space="0" w:color="auto"/>
              <w:right w:val="single" w:sz="4" w:space="0" w:color="auto"/>
            </w:tcBorders>
            <w:shd w:val="clear" w:color="auto" w:fill="C4EFCE"/>
            <w:vAlign w:val="center"/>
            <w:hideMark/>
          </w:tcPr>
          <w:p w14:paraId="4475E3D2" w14:textId="77777777" w:rsidR="00154AD2" w:rsidRDefault="007F6BF3">
            <w:pPr>
              <w:pStyle w:val="P68B1DB1-Normal23"/>
              <w:spacing w:after="0"/>
              <w:jc w:val="center"/>
              <w:rPr>
                <w:rFonts w:eastAsia="Calibri" w:cs="Calibri"/>
                <w:noProof/>
              </w:rPr>
            </w:pPr>
            <w:r>
              <w:rPr>
                <w:noProof/>
              </w:rPr>
              <w:t xml:space="preserve">RE-C06-r17  </w:t>
            </w:r>
          </w:p>
        </w:tc>
        <w:tc>
          <w:tcPr>
            <w:tcW w:w="1520" w:type="dxa"/>
            <w:tcBorders>
              <w:top w:val="nil"/>
              <w:left w:val="nil"/>
              <w:bottom w:val="single" w:sz="4" w:space="0" w:color="auto"/>
              <w:right w:val="single" w:sz="4" w:space="0" w:color="auto"/>
            </w:tcBorders>
            <w:shd w:val="clear" w:color="auto" w:fill="C4EFCE"/>
            <w:vAlign w:val="center"/>
            <w:hideMark/>
          </w:tcPr>
          <w:p w14:paraId="79B1C5E7"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4022E39" w14:textId="77777777" w:rsidR="00154AD2" w:rsidRDefault="007F6BF3">
            <w:pPr>
              <w:pStyle w:val="P68B1DB1-Normal23"/>
              <w:spacing w:after="0"/>
              <w:jc w:val="both"/>
              <w:rPr>
                <w:rFonts w:eastAsia="Calibri" w:cs="Calibri"/>
                <w:noProof/>
              </w:rPr>
            </w:pPr>
            <w:r>
              <w:rPr>
                <w:noProof/>
              </w:rPr>
              <w:t>Έναρξη ισχύος του νόμου που διέπει την εργασία σε πλατφόρμα</w:t>
            </w:r>
          </w:p>
        </w:tc>
      </w:tr>
      <w:tr w:rsidR="00154AD2" w14:paraId="38DB135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02C5865" w14:textId="77777777" w:rsidR="00154AD2" w:rsidRDefault="007F6BF3">
            <w:pPr>
              <w:pStyle w:val="P68B1DB1-Normal23"/>
              <w:spacing w:after="0"/>
              <w:jc w:val="center"/>
              <w:rPr>
                <w:rFonts w:eastAsia="Calibri" w:cs="Calibri"/>
                <w:noProof/>
              </w:rPr>
            </w:pPr>
            <w:r>
              <w:rPr>
                <w:noProof/>
              </w:rPr>
              <w:t>8.10</w:t>
            </w:r>
          </w:p>
        </w:tc>
        <w:tc>
          <w:tcPr>
            <w:tcW w:w="1760" w:type="dxa"/>
            <w:tcBorders>
              <w:top w:val="nil"/>
              <w:left w:val="nil"/>
              <w:bottom w:val="single" w:sz="4" w:space="0" w:color="auto"/>
              <w:right w:val="single" w:sz="4" w:space="0" w:color="auto"/>
            </w:tcBorders>
            <w:shd w:val="clear" w:color="auto" w:fill="C4EFCE"/>
            <w:vAlign w:val="center"/>
            <w:hideMark/>
          </w:tcPr>
          <w:p w14:paraId="204806AA" w14:textId="77777777" w:rsidR="00154AD2" w:rsidRDefault="007F6BF3">
            <w:pPr>
              <w:pStyle w:val="P68B1DB1-Normal23"/>
              <w:spacing w:after="0"/>
              <w:jc w:val="center"/>
              <w:rPr>
                <w:rFonts w:eastAsia="Calibri" w:cs="Calibri"/>
                <w:noProof/>
              </w:rPr>
            </w:pPr>
            <w:r>
              <w:rPr>
                <w:noProof/>
              </w:rPr>
              <w:t xml:space="preserve">RE-C08-i04  </w:t>
            </w:r>
          </w:p>
        </w:tc>
        <w:tc>
          <w:tcPr>
            <w:tcW w:w="1520" w:type="dxa"/>
            <w:tcBorders>
              <w:top w:val="nil"/>
              <w:left w:val="nil"/>
              <w:bottom w:val="single" w:sz="4" w:space="0" w:color="auto"/>
              <w:right w:val="single" w:sz="4" w:space="0" w:color="auto"/>
            </w:tcBorders>
            <w:shd w:val="clear" w:color="auto" w:fill="C4EFCE"/>
            <w:vAlign w:val="center"/>
            <w:hideMark/>
          </w:tcPr>
          <w:p w14:paraId="063477C9"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5E40D33" w14:textId="77777777" w:rsidR="00154AD2" w:rsidRDefault="007F6BF3">
            <w:pPr>
              <w:pStyle w:val="P68B1DB1-Normal23"/>
              <w:spacing w:after="0"/>
              <w:jc w:val="both"/>
              <w:rPr>
                <w:rFonts w:eastAsia="Calibri" w:cs="Calibri"/>
                <w:noProof/>
              </w:rPr>
            </w:pPr>
            <w:r>
              <w:rPr>
                <w:noProof/>
              </w:rPr>
              <w:t>Παράδοση οχημάτων, μηχανημάτων και εξοπλισμού</w:t>
            </w:r>
          </w:p>
        </w:tc>
      </w:tr>
      <w:tr w:rsidR="00154AD2" w14:paraId="74B7890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7814107" w14:textId="77777777" w:rsidR="00154AD2" w:rsidRDefault="007F6BF3">
            <w:pPr>
              <w:pStyle w:val="P68B1DB1-Normal23"/>
              <w:spacing w:after="0"/>
              <w:jc w:val="center"/>
              <w:rPr>
                <w:rFonts w:eastAsia="Calibri" w:cs="Calibri"/>
                <w:noProof/>
              </w:rPr>
            </w:pPr>
            <w:r>
              <w:rPr>
                <w:noProof/>
              </w:rPr>
              <w:t>17.22</w:t>
            </w:r>
          </w:p>
        </w:tc>
        <w:tc>
          <w:tcPr>
            <w:tcW w:w="1760" w:type="dxa"/>
            <w:tcBorders>
              <w:top w:val="nil"/>
              <w:left w:val="nil"/>
              <w:bottom w:val="single" w:sz="4" w:space="0" w:color="auto"/>
              <w:right w:val="single" w:sz="4" w:space="0" w:color="auto"/>
            </w:tcBorders>
            <w:shd w:val="clear" w:color="auto" w:fill="C4EFCE"/>
            <w:vAlign w:val="center"/>
            <w:hideMark/>
          </w:tcPr>
          <w:p w14:paraId="44A87645" w14:textId="1EE980F9" w:rsidR="00154AD2" w:rsidRDefault="007F6BF3">
            <w:pPr>
              <w:pStyle w:val="P68B1DB1-Normal23"/>
              <w:spacing w:after="0"/>
              <w:jc w:val="center"/>
              <w:rPr>
                <w:rFonts w:eastAsia="Calibri" w:cs="Calibri"/>
                <w:noProof/>
              </w:rPr>
            </w:pPr>
            <w:r>
              <w:rPr>
                <w:noProof/>
              </w:rPr>
              <w:t>TD-C17-r40</w:t>
            </w:r>
          </w:p>
        </w:tc>
        <w:tc>
          <w:tcPr>
            <w:tcW w:w="1520" w:type="dxa"/>
            <w:tcBorders>
              <w:top w:val="nil"/>
              <w:left w:val="nil"/>
              <w:bottom w:val="single" w:sz="4" w:space="0" w:color="auto"/>
              <w:right w:val="single" w:sz="4" w:space="0" w:color="auto"/>
            </w:tcBorders>
            <w:shd w:val="clear" w:color="auto" w:fill="C4EFCE"/>
            <w:vAlign w:val="center"/>
            <w:hideMark/>
          </w:tcPr>
          <w:p w14:paraId="0DCE0EE9"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51EABF4" w14:textId="77777777" w:rsidR="00154AD2" w:rsidRDefault="007F6BF3">
            <w:pPr>
              <w:pStyle w:val="P68B1DB1-Normal23"/>
              <w:spacing w:after="0"/>
              <w:jc w:val="both"/>
              <w:rPr>
                <w:rFonts w:eastAsia="Calibri" w:cs="Calibri"/>
                <w:noProof/>
              </w:rPr>
            </w:pPr>
            <w:r>
              <w:rPr>
                <w:noProof/>
              </w:rPr>
              <w:t>Έναρξη ισχύος νομικής πράξης για την τροποποίηση του νομικού πλαισίου επιλεγμένων φορολογικών πλεονεκτημάτων</w:t>
            </w:r>
          </w:p>
        </w:tc>
      </w:tr>
      <w:tr w:rsidR="00154AD2" w14:paraId="2E70FE7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010C622" w14:textId="77777777" w:rsidR="00154AD2" w:rsidRDefault="007F6BF3">
            <w:pPr>
              <w:pStyle w:val="P68B1DB1-Normal23"/>
              <w:spacing w:after="0"/>
              <w:jc w:val="center"/>
              <w:rPr>
                <w:rFonts w:eastAsia="Calibri" w:cs="Calibri"/>
                <w:noProof/>
              </w:rPr>
            </w:pPr>
            <w:r>
              <w:rPr>
                <w:noProof/>
              </w:rPr>
              <w:t>18.1</w:t>
            </w:r>
          </w:p>
        </w:tc>
        <w:tc>
          <w:tcPr>
            <w:tcW w:w="1760" w:type="dxa"/>
            <w:tcBorders>
              <w:top w:val="nil"/>
              <w:left w:val="nil"/>
              <w:bottom w:val="single" w:sz="4" w:space="0" w:color="auto"/>
              <w:right w:val="single" w:sz="4" w:space="0" w:color="auto"/>
            </w:tcBorders>
            <w:shd w:val="clear" w:color="auto" w:fill="C4EFCE"/>
            <w:vAlign w:val="center"/>
            <w:hideMark/>
          </w:tcPr>
          <w:p w14:paraId="5E8DD21A" w14:textId="77777777" w:rsidR="00154AD2" w:rsidRDefault="007F6BF3">
            <w:pPr>
              <w:pStyle w:val="P68B1DB1-Normal23"/>
              <w:spacing w:after="0"/>
              <w:jc w:val="center"/>
              <w:rPr>
                <w:rFonts w:eastAsia="Calibri" w:cs="Calibri"/>
                <w:noProof/>
              </w:rPr>
            </w:pPr>
            <w:r>
              <w:rPr>
                <w:noProof/>
              </w:rPr>
              <w:t xml:space="preserve">TD-C18-r33  </w:t>
            </w:r>
          </w:p>
        </w:tc>
        <w:tc>
          <w:tcPr>
            <w:tcW w:w="1520" w:type="dxa"/>
            <w:tcBorders>
              <w:top w:val="nil"/>
              <w:left w:val="nil"/>
              <w:bottom w:val="single" w:sz="4" w:space="0" w:color="auto"/>
              <w:right w:val="single" w:sz="4" w:space="0" w:color="auto"/>
            </w:tcBorders>
            <w:shd w:val="clear" w:color="auto" w:fill="C4EFCE"/>
            <w:vAlign w:val="center"/>
            <w:hideMark/>
          </w:tcPr>
          <w:p w14:paraId="01C221CA"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F96FCE8" w14:textId="77777777" w:rsidR="00154AD2" w:rsidRDefault="007F6BF3">
            <w:pPr>
              <w:pStyle w:val="P68B1DB1-Normal23"/>
              <w:spacing w:after="0"/>
              <w:jc w:val="both"/>
              <w:rPr>
                <w:rFonts w:eastAsia="Calibri" w:cs="Calibri"/>
                <w:noProof/>
              </w:rPr>
            </w:pPr>
            <w:r>
              <w:rPr>
                <w:noProof/>
              </w:rPr>
              <w:t>Δημιουργία ειδικευμένων τμημάτων στα ανώτερα διοικητικά και φορολογικά δικαστήρια</w:t>
            </w:r>
          </w:p>
        </w:tc>
      </w:tr>
      <w:tr w:rsidR="00154AD2" w14:paraId="09209F8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FDDFB55" w14:textId="77777777" w:rsidR="00154AD2" w:rsidRDefault="007F6BF3">
            <w:pPr>
              <w:pStyle w:val="P68B1DB1-Normal23"/>
              <w:spacing w:after="0"/>
              <w:jc w:val="center"/>
              <w:rPr>
                <w:rFonts w:eastAsia="Calibri" w:cs="Calibri"/>
                <w:noProof/>
              </w:rPr>
            </w:pPr>
            <w:r>
              <w:rPr>
                <w:noProof/>
              </w:rPr>
              <w:t>18.2</w:t>
            </w:r>
          </w:p>
        </w:tc>
        <w:tc>
          <w:tcPr>
            <w:tcW w:w="1760" w:type="dxa"/>
            <w:tcBorders>
              <w:top w:val="nil"/>
              <w:left w:val="nil"/>
              <w:bottom w:val="single" w:sz="4" w:space="0" w:color="auto"/>
              <w:right w:val="single" w:sz="4" w:space="0" w:color="auto"/>
            </w:tcBorders>
            <w:shd w:val="clear" w:color="auto" w:fill="C4EFCE"/>
            <w:vAlign w:val="center"/>
            <w:hideMark/>
          </w:tcPr>
          <w:p w14:paraId="41FFD441" w14:textId="77777777" w:rsidR="00154AD2" w:rsidRDefault="007F6BF3">
            <w:pPr>
              <w:pStyle w:val="P68B1DB1-Normal23"/>
              <w:spacing w:after="0"/>
              <w:jc w:val="center"/>
              <w:rPr>
                <w:rFonts w:eastAsia="Calibri" w:cs="Calibri"/>
                <w:noProof/>
              </w:rPr>
            </w:pPr>
            <w:r>
              <w:rPr>
                <w:noProof/>
              </w:rPr>
              <w:t xml:space="preserve">TD-C18-r33  </w:t>
            </w:r>
          </w:p>
        </w:tc>
        <w:tc>
          <w:tcPr>
            <w:tcW w:w="1520" w:type="dxa"/>
            <w:tcBorders>
              <w:top w:val="nil"/>
              <w:left w:val="nil"/>
              <w:bottom w:val="single" w:sz="4" w:space="0" w:color="auto"/>
              <w:right w:val="single" w:sz="4" w:space="0" w:color="auto"/>
            </w:tcBorders>
            <w:shd w:val="clear" w:color="auto" w:fill="C4EFCE"/>
            <w:vAlign w:val="center"/>
            <w:hideMark/>
          </w:tcPr>
          <w:p w14:paraId="0E7E9C6E"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A43E122" w14:textId="77777777" w:rsidR="00154AD2" w:rsidRDefault="007F6BF3">
            <w:pPr>
              <w:pStyle w:val="P68B1DB1-Normal23"/>
              <w:spacing w:after="0"/>
              <w:jc w:val="both"/>
              <w:rPr>
                <w:rFonts w:eastAsia="Calibri" w:cs="Calibri"/>
                <w:noProof/>
              </w:rPr>
            </w:pPr>
            <w:r>
              <w:rPr>
                <w:noProof/>
              </w:rPr>
              <w:t>Έναρξη ισχύος νομικού καθεστώτος για την ενθάρρυνση της δικαστικής και εξωδικαστικής επίλυσης διαφορών</w:t>
            </w:r>
          </w:p>
        </w:tc>
      </w:tr>
      <w:tr w:rsidR="00154AD2" w14:paraId="3A1781E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394F780" w14:textId="77777777" w:rsidR="00154AD2" w:rsidRDefault="007F6BF3">
            <w:pPr>
              <w:pStyle w:val="P68B1DB1-Normal8"/>
              <w:spacing w:after="0"/>
              <w:jc w:val="center"/>
              <w:rPr>
                <w:noProof/>
              </w:rPr>
            </w:pPr>
            <w:r>
              <w:rPr>
                <w:noProof/>
              </w:rPr>
              <w:t xml:space="preserve">  </w:t>
            </w:r>
          </w:p>
        </w:tc>
        <w:tc>
          <w:tcPr>
            <w:tcW w:w="1760" w:type="dxa"/>
            <w:tcBorders>
              <w:top w:val="nil"/>
              <w:left w:val="nil"/>
              <w:bottom w:val="single" w:sz="4" w:space="0" w:color="auto"/>
              <w:right w:val="single" w:sz="4" w:space="0" w:color="auto"/>
            </w:tcBorders>
            <w:shd w:val="clear" w:color="auto" w:fill="C4EFCE"/>
            <w:vAlign w:val="center"/>
            <w:hideMark/>
          </w:tcPr>
          <w:p w14:paraId="44E7D433" w14:textId="77777777" w:rsidR="00154AD2" w:rsidRDefault="007F6BF3">
            <w:pPr>
              <w:pStyle w:val="P68B1DB1-Normal8"/>
              <w:spacing w:after="0"/>
              <w:jc w:val="center"/>
              <w:rPr>
                <w:noProof/>
              </w:rPr>
            </w:pPr>
            <w:r>
              <w:rPr>
                <w:noProof/>
              </w:rPr>
              <w:t xml:space="preserve">  </w:t>
            </w:r>
          </w:p>
        </w:tc>
        <w:tc>
          <w:tcPr>
            <w:tcW w:w="1520" w:type="dxa"/>
            <w:tcBorders>
              <w:top w:val="nil"/>
              <w:left w:val="nil"/>
              <w:bottom w:val="single" w:sz="4" w:space="0" w:color="auto"/>
              <w:right w:val="single" w:sz="4" w:space="0" w:color="auto"/>
            </w:tcBorders>
            <w:shd w:val="clear" w:color="auto" w:fill="C4EFCE"/>
            <w:vAlign w:val="center"/>
            <w:hideMark/>
          </w:tcPr>
          <w:p w14:paraId="0CC4752F" w14:textId="77777777" w:rsidR="00154AD2" w:rsidRDefault="007F6BF3">
            <w:pPr>
              <w:pStyle w:val="P68B1DB1-Normal24"/>
              <w:spacing w:after="0"/>
              <w:jc w:val="center"/>
              <w:rPr>
                <w:noProof/>
              </w:rPr>
            </w:pPr>
            <w:r>
              <w:rPr>
                <w:noProof/>
              </w:rPr>
              <w:t xml:space="preserve">Ποσό δόσης </w:t>
            </w:r>
          </w:p>
        </w:tc>
        <w:tc>
          <w:tcPr>
            <w:tcW w:w="5060" w:type="dxa"/>
            <w:tcBorders>
              <w:top w:val="nil"/>
              <w:left w:val="nil"/>
              <w:bottom w:val="single" w:sz="4" w:space="0" w:color="auto"/>
              <w:right w:val="single" w:sz="4" w:space="0" w:color="auto"/>
            </w:tcBorders>
            <w:shd w:val="clear" w:color="auto" w:fill="C4EFCE"/>
            <w:vAlign w:val="center"/>
            <w:hideMark/>
          </w:tcPr>
          <w:p w14:paraId="67D03894" w14:textId="4661012E" w:rsidR="00154AD2" w:rsidRDefault="007F6BF3">
            <w:pPr>
              <w:pStyle w:val="P68B1DB1-Normal25"/>
              <w:spacing w:after="0"/>
              <w:jc w:val="center"/>
              <w:rPr>
                <w:noProof/>
              </w:rPr>
            </w:pPr>
            <w:r>
              <w:rPr>
                <w:noProof/>
              </w:rPr>
              <w:t xml:space="preserve"> 937 165 319 EUR </w:t>
            </w:r>
          </w:p>
        </w:tc>
      </w:tr>
    </w:tbl>
    <w:p w14:paraId="32E013C0" w14:textId="77777777" w:rsidR="00154AD2" w:rsidRDefault="00154AD2">
      <w:pPr>
        <w:rPr>
          <w:noProof/>
        </w:rPr>
      </w:pPr>
    </w:p>
    <w:p w14:paraId="59627E7F" w14:textId="77777777" w:rsidR="00154AD2" w:rsidRDefault="00154AD2">
      <w:pPr>
        <w:keepNext/>
        <w:spacing w:before="40" w:after="160" w:line="259" w:lineRule="auto"/>
        <w:contextualSpacing/>
        <w:jc w:val="both"/>
        <w:rPr>
          <w:rFonts w:ascii="Times New Roman" w:eastAsiaTheme="minorEastAsia" w:hAnsi="Times New Roman" w:cs="Times New Roman"/>
          <w:noProof/>
          <w:sz w:val="24"/>
        </w:rPr>
      </w:pPr>
    </w:p>
    <w:p w14:paraId="329BAE7F" w14:textId="77777777" w:rsidR="00154AD2" w:rsidRDefault="007F6BF3">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Πέμπτη αίτηση πληρωμής (μη επιστρεπτέα στήριξη): </w:t>
      </w:r>
    </w:p>
    <w:p w14:paraId="1982083E" w14:textId="77777777" w:rsidR="00154AD2" w:rsidRDefault="00154AD2">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Look w:val="04A0" w:firstRow="1" w:lastRow="0" w:firstColumn="1" w:lastColumn="0" w:noHBand="0" w:noVBand="1"/>
      </w:tblPr>
      <w:tblGrid>
        <w:gridCol w:w="1188"/>
        <w:gridCol w:w="1749"/>
        <w:gridCol w:w="1670"/>
        <w:gridCol w:w="4933"/>
      </w:tblGrid>
      <w:tr w:rsidR="00154AD2" w14:paraId="6670DD18" w14:textId="77777777">
        <w:trPr>
          <w:trHeight w:val="1018"/>
          <w:tblHeader/>
        </w:trPr>
        <w:tc>
          <w:tcPr>
            <w:tcW w:w="120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C82FEA7" w14:textId="77777777" w:rsidR="00154AD2" w:rsidRDefault="007F6BF3">
            <w:pPr>
              <w:pStyle w:val="P68B1DB1-Normal22"/>
              <w:spacing w:after="0" w:line="240" w:lineRule="auto"/>
              <w:jc w:val="center"/>
              <w:rPr>
                <w:rFonts w:eastAsia="Times New Roman" w:cs="Times New Roman"/>
                <w:noProof/>
              </w:rPr>
            </w:pPr>
            <w:r>
              <w:rPr>
                <w:noProof/>
              </w:rPr>
              <w:t>Αύξων αριθμός</w:t>
            </w:r>
          </w:p>
        </w:tc>
        <w:tc>
          <w:tcPr>
            <w:tcW w:w="17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8701520" w14:textId="77777777" w:rsidR="00154AD2" w:rsidRDefault="007F6BF3">
            <w:pPr>
              <w:pStyle w:val="P68B1DB1-Normal22"/>
              <w:spacing w:after="0" w:line="240" w:lineRule="auto"/>
              <w:jc w:val="center"/>
              <w:rPr>
                <w:rFonts w:eastAsia="Times New Roman" w:cs="Times New Roman"/>
                <w:noProof/>
              </w:rPr>
            </w:pPr>
            <w:r>
              <w:rPr>
                <w:noProof/>
              </w:rPr>
              <w:t>Σχετικό μέτρο (μεταρρύθμιση ή επένδυση)</w:t>
            </w:r>
          </w:p>
        </w:tc>
        <w:tc>
          <w:tcPr>
            <w:tcW w:w="152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EE738E7" w14:textId="77777777" w:rsidR="00154AD2" w:rsidRDefault="007F6BF3">
            <w:pPr>
              <w:pStyle w:val="P68B1DB1-Normal22"/>
              <w:spacing w:after="0" w:line="240" w:lineRule="auto"/>
              <w:jc w:val="center"/>
              <w:rPr>
                <w:rFonts w:eastAsia="Times New Roman" w:cs="Times New Roman"/>
                <w:noProof/>
              </w:rPr>
            </w:pPr>
            <w:r>
              <w:rPr>
                <w:noProof/>
              </w:rPr>
              <w:t>Ορόσημο/Στόχος</w:t>
            </w:r>
          </w:p>
        </w:tc>
        <w:tc>
          <w:tcPr>
            <w:tcW w:w="50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77ECC4F" w14:textId="77777777" w:rsidR="00154AD2" w:rsidRDefault="007F6BF3">
            <w:pPr>
              <w:pStyle w:val="P68B1DB1-Normal22"/>
              <w:spacing w:after="0" w:line="240" w:lineRule="auto"/>
              <w:jc w:val="center"/>
              <w:rPr>
                <w:rFonts w:eastAsia="Times New Roman" w:cs="Times New Roman"/>
                <w:noProof/>
              </w:rPr>
            </w:pPr>
            <w:r>
              <w:rPr>
                <w:noProof/>
              </w:rPr>
              <w:t>Όνομα</w:t>
            </w:r>
          </w:p>
        </w:tc>
      </w:tr>
      <w:tr w:rsidR="00154AD2" w14:paraId="1A126B1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2DEDF3A" w14:textId="77777777" w:rsidR="00154AD2" w:rsidRDefault="007F6BF3">
            <w:pPr>
              <w:pStyle w:val="P68B1DB1-Normal23"/>
              <w:spacing w:after="0"/>
              <w:jc w:val="center"/>
              <w:rPr>
                <w:rFonts w:eastAsia="Calibri" w:cs="Calibri"/>
                <w:noProof/>
              </w:rPr>
            </w:pPr>
            <w:r>
              <w:rPr>
                <w:noProof/>
              </w:rPr>
              <w:t>1.2</w:t>
            </w:r>
          </w:p>
        </w:tc>
        <w:tc>
          <w:tcPr>
            <w:tcW w:w="1760" w:type="dxa"/>
            <w:tcBorders>
              <w:top w:val="nil"/>
              <w:left w:val="nil"/>
              <w:bottom w:val="single" w:sz="4" w:space="0" w:color="auto"/>
              <w:right w:val="single" w:sz="4" w:space="0" w:color="auto"/>
            </w:tcBorders>
            <w:shd w:val="clear" w:color="auto" w:fill="C4EFCE"/>
            <w:vAlign w:val="center"/>
            <w:hideMark/>
          </w:tcPr>
          <w:p w14:paraId="0B267111" w14:textId="77777777" w:rsidR="00154AD2" w:rsidRDefault="007F6BF3">
            <w:pPr>
              <w:pStyle w:val="P68B1DB1-Normal23"/>
              <w:spacing w:after="0"/>
              <w:jc w:val="center"/>
              <w:rPr>
                <w:rFonts w:eastAsia="Calibri" w:cs="Calibri"/>
                <w:noProof/>
              </w:rPr>
            </w:pPr>
            <w:r>
              <w:rPr>
                <w:noProof/>
              </w:rPr>
              <w:t xml:space="preserve">RE-C01-i01  </w:t>
            </w:r>
          </w:p>
        </w:tc>
        <w:tc>
          <w:tcPr>
            <w:tcW w:w="1520" w:type="dxa"/>
            <w:tcBorders>
              <w:top w:val="nil"/>
              <w:left w:val="nil"/>
              <w:bottom w:val="single" w:sz="4" w:space="0" w:color="auto"/>
              <w:right w:val="single" w:sz="4" w:space="0" w:color="auto"/>
            </w:tcBorders>
            <w:shd w:val="clear" w:color="auto" w:fill="C4EFCE"/>
            <w:vAlign w:val="center"/>
            <w:hideMark/>
          </w:tcPr>
          <w:p w14:paraId="5CCC471B"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3D0BDE9" w14:textId="77777777" w:rsidR="00154AD2" w:rsidRDefault="007F6BF3">
            <w:pPr>
              <w:pStyle w:val="P68B1DB1-Normal23"/>
              <w:spacing w:after="0"/>
              <w:jc w:val="both"/>
              <w:rPr>
                <w:rFonts w:eastAsia="Calibri" w:cs="Calibri"/>
                <w:noProof/>
              </w:rPr>
            </w:pPr>
            <w:r>
              <w:rPr>
                <w:noProof/>
              </w:rPr>
              <w:t>Παροχή πρόσβασης στο μέσο διαστρωμάτωσης κινδύνου για την υποστήριξη της κλινικής διακυβέρνησης στις λειτουργικές μονάδες των ομάδων κέντρων υγείας</w:t>
            </w:r>
          </w:p>
        </w:tc>
      </w:tr>
      <w:tr w:rsidR="00154AD2" w14:paraId="625203C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FA303DB" w14:textId="77777777" w:rsidR="00154AD2" w:rsidRDefault="007F6BF3">
            <w:pPr>
              <w:pStyle w:val="P68B1DB1-Normal23"/>
              <w:spacing w:after="0"/>
              <w:jc w:val="center"/>
              <w:rPr>
                <w:rFonts w:eastAsia="Calibri" w:cs="Calibri"/>
                <w:noProof/>
              </w:rPr>
            </w:pPr>
            <w:r>
              <w:rPr>
                <w:noProof/>
              </w:rPr>
              <w:t>1.40</w:t>
            </w:r>
          </w:p>
        </w:tc>
        <w:tc>
          <w:tcPr>
            <w:tcW w:w="1760" w:type="dxa"/>
            <w:tcBorders>
              <w:top w:val="nil"/>
              <w:left w:val="nil"/>
              <w:bottom w:val="single" w:sz="4" w:space="0" w:color="auto"/>
              <w:right w:val="single" w:sz="4" w:space="0" w:color="auto"/>
            </w:tcBorders>
            <w:shd w:val="clear" w:color="auto" w:fill="C4EFCE"/>
            <w:vAlign w:val="center"/>
            <w:hideMark/>
          </w:tcPr>
          <w:p w14:paraId="3BD7D2BC" w14:textId="77777777" w:rsidR="00154AD2" w:rsidRDefault="007F6BF3">
            <w:pPr>
              <w:pStyle w:val="P68B1DB1-Normal23"/>
              <w:spacing w:after="0"/>
              <w:jc w:val="center"/>
              <w:rPr>
                <w:rFonts w:eastAsia="Calibri" w:cs="Calibri"/>
                <w:noProof/>
              </w:rPr>
            </w:pPr>
            <w:r>
              <w:rPr>
                <w:noProof/>
              </w:rPr>
              <w:t>RE-C01-i04</w:t>
            </w:r>
          </w:p>
        </w:tc>
        <w:tc>
          <w:tcPr>
            <w:tcW w:w="1520" w:type="dxa"/>
            <w:tcBorders>
              <w:top w:val="nil"/>
              <w:left w:val="nil"/>
              <w:bottom w:val="single" w:sz="4" w:space="0" w:color="auto"/>
              <w:right w:val="single" w:sz="4" w:space="0" w:color="auto"/>
            </w:tcBorders>
            <w:shd w:val="clear" w:color="auto" w:fill="C4EFCE"/>
            <w:vAlign w:val="center"/>
            <w:hideMark/>
          </w:tcPr>
          <w:p w14:paraId="61BC3888"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CD1A921" w14:textId="2016AD4F" w:rsidR="00154AD2" w:rsidRDefault="007F6BF3">
            <w:pPr>
              <w:pStyle w:val="P68B1DB1-Normal23"/>
              <w:spacing w:after="0"/>
              <w:jc w:val="both"/>
              <w:rPr>
                <w:rFonts w:eastAsia="Calibri" w:cs="Calibri"/>
                <w:noProof/>
              </w:rPr>
            </w:pPr>
            <w:r>
              <w:rPr>
                <w:noProof/>
              </w:rPr>
              <w:t>Υπογραφή της σύμβασης διαχείρισης για την κατασκευή του ανατολικού νοσοκομείου της Λισαβόνας</w:t>
            </w:r>
          </w:p>
        </w:tc>
      </w:tr>
      <w:tr w:rsidR="00154AD2" w14:paraId="4B53C68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F687469" w14:textId="77777777" w:rsidR="00154AD2" w:rsidRDefault="007F6BF3">
            <w:pPr>
              <w:pStyle w:val="P68B1DB1-Normal23"/>
              <w:spacing w:after="0"/>
              <w:jc w:val="center"/>
              <w:rPr>
                <w:rFonts w:eastAsia="Calibri" w:cs="Calibri"/>
                <w:noProof/>
              </w:rPr>
            </w:pPr>
            <w:r>
              <w:rPr>
                <w:noProof/>
              </w:rPr>
              <w:t>1.41</w:t>
            </w:r>
          </w:p>
        </w:tc>
        <w:tc>
          <w:tcPr>
            <w:tcW w:w="1760" w:type="dxa"/>
            <w:tcBorders>
              <w:top w:val="nil"/>
              <w:left w:val="nil"/>
              <w:bottom w:val="single" w:sz="4" w:space="0" w:color="auto"/>
              <w:right w:val="single" w:sz="4" w:space="0" w:color="auto"/>
            </w:tcBorders>
            <w:shd w:val="clear" w:color="auto" w:fill="C4EFCE"/>
            <w:vAlign w:val="center"/>
            <w:hideMark/>
          </w:tcPr>
          <w:p w14:paraId="6546CF09" w14:textId="77777777" w:rsidR="00154AD2" w:rsidRDefault="007F6BF3">
            <w:pPr>
              <w:pStyle w:val="P68B1DB1-Normal23"/>
              <w:spacing w:after="0"/>
              <w:jc w:val="center"/>
              <w:rPr>
                <w:rFonts w:eastAsia="Calibri" w:cs="Calibri"/>
                <w:noProof/>
              </w:rPr>
            </w:pPr>
            <w:r>
              <w:rPr>
                <w:noProof/>
              </w:rPr>
              <w:t>RE-C01-i10</w:t>
            </w:r>
          </w:p>
        </w:tc>
        <w:tc>
          <w:tcPr>
            <w:tcW w:w="1520" w:type="dxa"/>
            <w:tcBorders>
              <w:top w:val="nil"/>
              <w:left w:val="nil"/>
              <w:bottom w:val="single" w:sz="4" w:space="0" w:color="auto"/>
              <w:right w:val="single" w:sz="4" w:space="0" w:color="auto"/>
            </w:tcBorders>
            <w:shd w:val="clear" w:color="auto" w:fill="C4EFCE"/>
            <w:vAlign w:val="center"/>
            <w:hideMark/>
          </w:tcPr>
          <w:p w14:paraId="688185E0"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BF9DB02" w14:textId="77777777" w:rsidR="00154AD2" w:rsidRDefault="007F6BF3">
            <w:pPr>
              <w:pStyle w:val="P68B1DB1-Normal23"/>
              <w:spacing w:after="0"/>
              <w:jc w:val="both"/>
              <w:rPr>
                <w:rFonts w:eastAsia="Calibri" w:cs="Calibri"/>
                <w:noProof/>
              </w:rPr>
            </w:pPr>
            <w:r>
              <w:rPr>
                <w:noProof/>
              </w:rPr>
              <w:t>Έγκριση της έκθεσης για τον προσδιορισμό των αναγκών του ΕΣΥ για βαρύ ιατρικό εξοπλισμό</w:t>
            </w:r>
          </w:p>
        </w:tc>
      </w:tr>
      <w:tr w:rsidR="00154AD2" w14:paraId="370C58D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7F2F01E" w14:textId="77777777" w:rsidR="00154AD2" w:rsidRDefault="007F6BF3">
            <w:pPr>
              <w:pStyle w:val="P68B1DB1-Normal23"/>
              <w:spacing w:after="0"/>
              <w:jc w:val="center"/>
              <w:rPr>
                <w:rFonts w:eastAsia="Calibri" w:cs="Calibri"/>
                <w:noProof/>
              </w:rPr>
            </w:pPr>
            <w:r>
              <w:rPr>
                <w:noProof/>
              </w:rPr>
              <w:t>2.2</w:t>
            </w:r>
          </w:p>
        </w:tc>
        <w:tc>
          <w:tcPr>
            <w:tcW w:w="1760" w:type="dxa"/>
            <w:tcBorders>
              <w:top w:val="nil"/>
              <w:left w:val="nil"/>
              <w:bottom w:val="single" w:sz="4" w:space="0" w:color="auto"/>
              <w:right w:val="single" w:sz="4" w:space="0" w:color="auto"/>
            </w:tcBorders>
            <w:shd w:val="clear" w:color="auto" w:fill="C4EFCE"/>
            <w:vAlign w:val="center"/>
            <w:hideMark/>
          </w:tcPr>
          <w:p w14:paraId="6DF2A402" w14:textId="77777777" w:rsidR="00154AD2" w:rsidRDefault="007F6BF3">
            <w:pPr>
              <w:pStyle w:val="P68B1DB1-Normal23"/>
              <w:spacing w:after="0"/>
              <w:jc w:val="center"/>
              <w:rPr>
                <w:rFonts w:eastAsia="Calibri" w:cs="Calibri"/>
                <w:noProof/>
              </w:rPr>
            </w:pPr>
            <w:r>
              <w:rPr>
                <w:noProof/>
              </w:rPr>
              <w:t>RE-C01-i10</w:t>
            </w:r>
          </w:p>
        </w:tc>
        <w:tc>
          <w:tcPr>
            <w:tcW w:w="1520" w:type="dxa"/>
            <w:tcBorders>
              <w:top w:val="nil"/>
              <w:left w:val="nil"/>
              <w:bottom w:val="single" w:sz="4" w:space="0" w:color="auto"/>
              <w:right w:val="single" w:sz="4" w:space="0" w:color="auto"/>
            </w:tcBorders>
            <w:shd w:val="clear" w:color="auto" w:fill="C4EFCE"/>
            <w:vAlign w:val="center"/>
            <w:hideMark/>
          </w:tcPr>
          <w:p w14:paraId="108ADD43"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A57029F" w14:textId="77777777" w:rsidR="00154AD2" w:rsidRDefault="007F6BF3">
            <w:pPr>
              <w:pStyle w:val="P68B1DB1-Normal23"/>
              <w:spacing w:after="0"/>
              <w:jc w:val="both"/>
              <w:rPr>
                <w:rFonts w:eastAsia="Calibri" w:cs="Calibri"/>
                <w:noProof/>
              </w:rPr>
            </w:pPr>
            <w:r>
              <w:rPr>
                <w:noProof/>
              </w:rPr>
              <w:t>Πρόγραμμα στήριξης για την πρόσβαση σε στέγαση — Αγορασμένες, κατασκευασμένες (υψηλής ενεργειακής απόδοσης) ή αποκατεστημένες (με βελτιωμένη ενεργειακή απόδοση) κατοικίες που παρέχονται σε νοικοκυριά</w:t>
            </w:r>
          </w:p>
        </w:tc>
      </w:tr>
      <w:tr w:rsidR="00154AD2" w14:paraId="3DE77A0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FB90A17" w14:textId="77777777" w:rsidR="00154AD2" w:rsidRDefault="007F6BF3">
            <w:pPr>
              <w:pStyle w:val="P68B1DB1-Normal23"/>
              <w:spacing w:after="0"/>
              <w:jc w:val="center"/>
              <w:rPr>
                <w:rFonts w:eastAsia="Calibri" w:cs="Calibri"/>
                <w:noProof/>
              </w:rPr>
            </w:pPr>
            <w:r>
              <w:rPr>
                <w:noProof/>
              </w:rPr>
              <w:t>2.6</w:t>
            </w:r>
          </w:p>
        </w:tc>
        <w:tc>
          <w:tcPr>
            <w:tcW w:w="1760" w:type="dxa"/>
            <w:tcBorders>
              <w:top w:val="nil"/>
              <w:left w:val="nil"/>
              <w:bottom w:val="single" w:sz="4" w:space="0" w:color="auto"/>
              <w:right w:val="single" w:sz="4" w:space="0" w:color="auto"/>
            </w:tcBorders>
            <w:shd w:val="clear" w:color="auto" w:fill="C4EFCE"/>
            <w:vAlign w:val="center"/>
            <w:hideMark/>
          </w:tcPr>
          <w:p w14:paraId="28C51A54" w14:textId="77777777" w:rsidR="00154AD2" w:rsidRDefault="007F6BF3">
            <w:pPr>
              <w:pStyle w:val="P68B1DB1-Normal23"/>
              <w:spacing w:after="0"/>
              <w:jc w:val="center"/>
              <w:rPr>
                <w:rFonts w:eastAsia="Calibri" w:cs="Calibri"/>
                <w:noProof/>
              </w:rPr>
            </w:pPr>
            <w:r>
              <w:rPr>
                <w:noProof/>
              </w:rPr>
              <w:t xml:space="preserve">RE-C02-i01  </w:t>
            </w:r>
          </w:p>
        </w:tc>
        <w:tc>
          <w:tcPr>
            <w:tcW w:w="1520" w:type="dxa"/>
            <w:tcBorders>
              <w:top w:val="nil"/>
              <w:left w:val="nil"/>
              <w:bottom w:val="single" w:sz="4" w:space="0" w:color="auto"/>
              <w:right w:val="single" w:sz="4" w:space="0" w:color="auto"/>
            </w:tcBorders>
            <w:shd w:val="clear" w:color="auto" w:fill="C4EFCE"/>
            <w:vAlign w:val="center"/>
            <w:hideMark/>
          </w:tcPr>
          <w:p w14:paraId="2C8FD9AA"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59E1DBC" w14:textId="04B7C21A" w:rsidR="00154AD2" w:rsidRDefault="007F6BF3">
            <w:pPr>
              <w:pStyle w:val="P68B1DB1-Normal23"/>
              <w:spacing w:after="0"/>
              <w:jc w:val="both"/>
              <w:rPr>
                <w:rFonts w:eastAsia="Calibri" w:cs="Calibri"/>
                <w:noProof/>
              </w:rPr>
            </w:pPr>
            <w:r>
              <w:rPr>
                <w:noProof/>
              </w:rPr>
              <w:t>Εθνική επιχορήγηση έκτακτης ανάγκης και προσωρινής στέγασης — Κατασκευές με έναρξη ή αγορά κατασκευαστικών εργασιών για καταλύματα έκτακτης ανάγκης και μετάβασης (που πρόκειται να κατασκευαστούν ή να αγοραστούν με πρότυπα ενεργειακής απόδοσης ή να αποκατασταθούν με βελτιωμένη ενεργειακή απόδοση) υπό κατασκευή</w:t>
            </w:r>
          </w:p>
        </w:tc>
      </w:tr>
      <w:tr w:rsidR="00154AD2" w14:paraId="1443E2D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44067DB" w14:textId="77777777" w:rsidR="00154AD2" w:rsidRDefault="007F6BF3">
            <w:pPr>
              <w:pStyle w:val="P68B1DB1-Normal23"/>
              <w:spacing w:after="0"/>
              <w:jc w:val="center"/>
              <w:rPr>
                <w:rFonts w:eastAsia="Calibri" w:cs="Calibri"/>
                <w:noProof/>
              </w:rPr>
            </w:pPr>
            <w:r>
              <w:rPr>
                <w:noProof/>
              </w:rPr>
              <w:t>2.16</w:t>
            </w:r>
          </w:p>
        </w:tc>
        <w:tc>
          <w:tcPr>
            <w:tcW w:w="1760" w:type="dxa"/>
            <w:tcBorders>
              <w:top w:val="nil"/>
              <w:left w:val="nil"/>
              <w:bottom w:val="single" w:sz="4" w:space="0" w:color="auto"/>
              <w:right w:val="single" w:sz="4" w:space="0" w:color="auto"/>
            </w:tcBorders>
            <w:shd w:val="clear" w:color="auto" w:fill="C4EFCE"/>
            <w:vAlign w:val="center"/>
            <w:hideMark/>
          </w:tcPr>
          <w:p w14:paraId="65DD212F" w14:textId="77777777" w:rsidR="00154AD2" w:rsidRDefault="007F6BF3">
            <w:pPr>
              <w:pStyle w:val="P68B1DB1-Normal23"/>
              <w:spacing w:after="0"/>
              <w:jc w:val="center"/>
              <w:rPr>
                <w:rFonts w:eastAsia="Calibri" w:cs="Calibri"/>
                <w:noProof/>
              </w:rPr>
            </w:pPr>
            <w:r>
              <w:rPr>
                <w:noProof/>
              </w:rPr>
              <w:t xml:space="preserve">RE-C02-i04-RAA  </w:t>
            </w:r>
          </w:p>
        </w:tc>
        <w:tc>
          <w:tcPr>
            <w:tcW w:w="1520" w:type="dxa"/>
            <w:tcBorders>
              <w:top w:val="nil"/>
              <w:left w:val="nil"/>
              <w:bottom w:val="single" w:sz="4" w:space="0" w:color="auto"/>
              <w:right w:val="single" w:sz="4" w:space="0" w:color="auto"/>
            </w:tcBorders>
            <w:shd w:val="clear" w:color="auto" w:fill="C4EFCE"/>
            <w:vAlign w:val="center"/>
            <w:hideMark/>
          </w:tcPr>
          <w:p w14:paraId="6F4F062D"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5ACE116" w14:textId="77777777" w:rsidR="00154AD2" w:rsidRDefault="007F6BF3">
            <w:pPr>
              <w:pStyle w:val="P68B1DB1-Normal23"/>
              <w:spacing w:after="0"/>
              <w:jc w:val="both"/>
              <w:rPr>
                <w:rFonts w:eastAsia="Calibri" w:cs="Calibri"/>
                <w:noProof/>
              </w:rPr>
            </w:pPr>
            <w:r>
              <w:rPr>
                <w:noProof/>
              </w:rPr>
              <w:t>Παρεμβάσεις στο απόθεμα δημόσιων κατοικιών της Αυτόνομης Περιφέρειας Αζορών — ανακαίνιση</w:t>
            </w:r>
          </w:p>
        </w:tc>
      </w:tr>
      <w:tr w:rsidR="00154AD2" w14:paraId="3C8F603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0B61D70E" w14:textId="77777777" w:rsidR="00154AD2" w:rsidRDefault="007F6BF3">
            <w:pPr>
              <w:pStyle w:val="P68B1DB1-Normal23"/>
              <w:spacing w:after="0"/>
              <w:jc w:val="center"/>
              <w:rPr>
                <w:rFonts w:eastAsia="Calibri" w:cs="Calibri"/>
                <w:noProof/>
              </w:rPr>
            </w:pPr>
            <w:r>
              <w:rPr>
                <w:noProof/>
              </w:rPr>
              <w:t>4.7</w:t>
            </w:r>
          </w:p>
        </w:tc>
        <w:tc>
          <w:tcPr>
            <w:tcW w:w="1760" w:type="dxa"/>
            <w:tcBorders>
              <w:top w:val="nil"/>
              <w:left w:val="nil"/>
              <w:bottom w:val="single" w:sz="4" w:space="0" w:color="auto"/>
              <w:right w:val="single" w:sz="4" w:space="0" w:color="auto"/>
            </w:tcBorders>
            <w:shd w:val="clear" w:color="auto" w:fill="C4EFCE"/>
            <w:vAlign w:val="center"/>
          </w:tcPr>
          <w:p w14:paraId="4383E71D" w14:textId="77777777" w:rsidR="00154AD2" w:rsidRDefault="007F6BF3">
            <w:pPr>
              <w:pStyle w:val="P68B1DB1-Normal23"/>
              <w:spacing w:after="0"/>
              <w:jc w:val="center"/>
              <w:rPr>
                <w:rFonts w:eastAsia="Calibri" w:cs="Calibri"/>
                <w:noProof/>
              </w:rPr>
            </w:pPr>
            <w:r>
              <w:rPr>
                <w:noProof/>
              </w:rPr>
              <w:t>RE-C04-i02</w:t>
            </w:r>
          </w:p>
        </w:tc>
        <w:tc>
          <w:tcPr>
            <w:tcW w:w="1520" w:type="dxa"/>
            <w:tcBorders>
              <w:top w:val="nil"/>
              <w:left w:val="nil"/>
              <w:bottom w:val="single" w:sz="4" w:space="0" w:color="auto"/>
              <w:right w:val="single" w:sz="4" w:space="0" w:color="auto"/>
            </w:tcBorders>
            <w:shd w:val="clear" w:color="auto" w:fill="C4EFCE"/>
            <w:vAlign w:val="center"/>
          </w:tcPr>
          <w:p w14:paraId="364611C3"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39243198" w14:textId="77777777" w:rsidR="00154AD2" w:rsidRDefault="007F6BF3">
            <w:pPr>
              <w:pStyle w:val="P68B1DB1-Normal23"/>
              <w:spacing w:after="0"/>
              <w:jc w:val="both"/>
              <w:rPr>
                <w:rFonts w:eastAsia="Calibri" w:cs="Calibri"/>
                <w:noProof/>
              </w:rPr>
            </w:pPr>
            <w:r>
              <w:rPr>
                <w:noProof/>
              </w:rPr>
              <w:t>Υπογραφείσες συμβάσεις για την αποκατάσταση και διατήρηση κτιρίων πολιτιστικής κληρονομιάς και εθνικών θεάτρων</w:t>
            </w:r>
          </w:p>
        </w:tc>
      </w:tr>
      <w:tr w:rsidR="00154AD2" w14:paraId="0E46631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36A3F0B" w14:textId="77777777" w:rsidR="00154AD2" w:rsidRDefault="007F6BF3">
            <w:pPr>
              <w:pStyle w:val="P68B1DB1-Normal23"/>
              <w:spacing w:after="0"/>
              <w:jc w:val="center"/>
              <w:rPr>
                <w:rFonts w:eastAsia="Calibri" w:cs="Calibri"/>
                <w:noProof/>
              </w:rPr>
            </w:pPr>
            <w:r>
              <w:rPr>
                <w:noProof/>
              </w:rPr>
              <w:t>4.9</w:t>
            </w:r>
          </w:p>
        </w:tc>
        <w:tc>
          <w:tcPr>
            <w:tcW w:w="1760" w:type="dxa"/>
            <w:tcBorders>
              <w:top w:val="nil"/>
              <w:left w:val="nil"/>
              <w:bottom w:val="single" w:sz="4" w:space="0" w:color="auto"/>
              <w:right w:val="single" w:sz="4" w:space="0" w:color="auto"/>
            </w:tcBorders>
            <w:shd w:val="clear" w:color="auto" w:fill="C4EFCE"/>
            <w:vAlign w:val="center"/>
            <w:hideMark/>
          </w:tcPr>
          <w:p w14:paraId="7E0183E0" w14:textId="77777777" w:rsidR="00154AD2" w:rsidRDefault="007F6BF3">
            <w:pPr>
              <w:pStyle w:val="P68B1DB1-Normal23"/>
              <w:spacing w:after="0"/>
              <w:jc w:val="center"/>
              <w:rPr>
                <w:rFonts w:eastAsia="Calibri" w:cs="Calibri"/>
                <w:noProof/>
              </w:rPr>
            </w:pPr>
            <w:r>
              <w:rPr>
                <w:noProof/>
              </w:rPr>
              <w:t xml:space="preserve">RE-C04-i01  </w:t>
            </w:r>
          </w:p>
        </w:tc>
        <w:tc>
          <w:tcPr>
            <w:tcW w:w="1520" w:type="dxa"/>
            <w:tcBorders>
              <w:top w:val="nil"/>
              <w:left w:val="nil"/>
              <w:bottom w:val="single" w:sz="4" w:space="0" w:color="auto"/>
              <w:right w:val="single" w:sz="4" w:space="0" w:color="auto"/>
            </w:tcBorders>
            <w:shd w:val="clear" w:color="auto" w:fill="C4EFCE"/>
            <w:vAlign w:val="center"/>
            <w:hideMark/>
          </w:tcPr>
          <w:p w14:paraId="1B2D2462"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DD98EC2" w14:textId="77777777" w:rsidR="00154AD2" w:rsidRDefault="007F6BF3">
            <w:pPr>
              <w:pStyle w:val="P68B1DB1-Normal23"/>
              <w:spacing w:after="0"/>
              <w:jc w:val="both"/>
              <w:rPr>
                <w:rFonts w:eastAsia="Calibri" w:cs="Calibri"/>
                <w:noProof/>
              </w:rPr>
            </w:pPr>
            <w:r>
              <w:rPr>
                <w:noProof/>
              </w:rPr>
              <w:t>Τεχνολογικός εκσυγχρονισμός του ANIM — Εθνικό Αρχείο Κινητικών Εικόνων</w:t>
            </w:r>
          </w:p>
        </w:tc>
      </w:tr>
      <w:tr w:rsidR="00154AD2" w14:paraId="11D11A0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D538507" w14:textId="77777777" w:rsidR="00154AD2" w:rsidRDefault="007F6BF3">
            <w:pPr>
              <w:pStyle w:val="P68B1DB1-Normal23"/>
              <w:spacing w:after="0"/>
              <w:jc w:val="center"/>
              <w:rPr>
                <w:rFonts w:eastAsia="Calibri" w:cs="Calibri"/>
                <w:noProof/>
              </w:rPr>
            </w:pPr>
            <w:r>
              <w:rPr>
                <w:noProof/>
              </w:rPr>
              <w:t>6.3</w:t>
            </w:r>
          </w:p>
        </w:tc>
        <w:tc>
          <w:tcPr>
            <w:tcW w:w="1760" w:type="dxa"/>
            <w:tcBorders>
              <w:top w:val="nil"/>
              <w:left w:val="nil"/>
              <w:bottom w:val="single" w:sz="4" w:space="0" w:color="auto"/>
              <w:right w:val="single" w:sz="4" w:space="0" w:color="auto"/>
            </w:tcBorders>
            <w:shd w:val="clear" w:color="auto" w:fill="C4EFCE"/>
            <w:vAlign w:val="center"/>
            <w:hideMark/>
          </w:tcPr>
          <w:p w14:paraId="48232F11" w14:textId="77777777" w:rsidR="00154AD2" w:rsidRDefault="007F6BF3">
            <w:pPr>
              <w:pStyle w:val="P68B1DB1-Normal23"/>
              <w:spacing w:after="0"/>
              <w:jc w:val="center"/>
              <w:rPr>
                <w:rFonts w:eastAsia="Calibri" w:cs="Calibri"/>
                <w:noProof/>
              </w:rPr>
            </w:pPr>
            <w:r>
              <w:rPr>
                <w:noProof/>
              </w:rPr>
              <w:t>RE-C06-i01</w:t>
            </w:r>
          </w:p>
        </w:tc>
        <w:tc>
          <w:tcPr>
            <w:tcW w:w="1520" w:type="dxa"/>
            <w:tcBorders>
              <w:top w:val="nil"/>
              <w:left w:val="nil"/>
              <w:bottom w:val="single" w:sz="4" w:space="0" w:color="auto"/>
              <w:right w:val="single" w:sz="4" w:space="0" w:color="auto"/>
            </w:tcBorders>
            <w:shd w:val="clear" w:color="auto" w:fill="C4EFCE"/>
            <w:vAlign w:val="center"/>
            <w:hideMark/>
          </w:tcPr>
          <w:p w14:paraId="08D16AA2"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4F478F4" w14:textId="77777777" w:rsidR="00154AD2" w:rsidRDefault="007F6BF3">
            <w:pPr>
              <w:pStyle w:val="P68B1DB1-Normal23"/>
              <w:spacing w:after="0"/>
              <w:jc w:val="both"/>
              <w:rPr>
                <w:rFonts w:eastAsia="Calibri" w:cs="Calibri"/>
                <w:noProof/>
              </w:rPr>
            </w:pPr>
            <w:r>
              <w:rPr>
                <w:noProof/>
              </w:rPr>
              <w:t>Αναβαθμισμένοι σταθμοί κατάρτισης</w:t>
            </w:r>
          </w:p>
        </w:tc>
      </w:tr>
      <w:tr w:rsidR="00154AD2" w14:paraId="11B5A58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DDF91C0" w14:textId="77777777" w:rsidR="00154AD2" w:rsidRDefault="007F6BF3">
            <w:pPr>
              <w:pStyle w:val="P68B1DB1-Normal23"/>
              <w:spacing w:after="0"/>
              <w:jc w:val="center"/>
              <w:rPr>
                <w:rFonts w:eastAsia="Calibri" w:cs="Calibri"/>
                <w:noProof/>
              </w:rPr>
            </w:pPr>
            <w:r>
              <w:rPr>
                <w:noProof/>
              </w:rPr>
              <w:t>7.14</w:t>
            </w:r>
          </w:p>
        </w:tc>
        <w:tc>
          <w:tcPr>
            <w:tcW w:w="1760" w:type="dxa"/>
            <w:tcBorders>
              <w:top w:val="nil"/>
              <w:left w:val="nil"/>
              <w:bottom w:val="single" w:sz="4" w:space="0" w:color="auto"/>
              <w:right w:val="single" w:sz="4" w:space="0" w:color="auto"/>
            </w:tcBorders>
            <w:shd w:val="clear" w:color="auto" w:fill="C4EFCE"/>
            <w:vAlign w:val="center"/>
            <w:hideMark/>
          </w:tcPr>
          <w:p w14:paraId="24E7301E" w14:textId="77777777" w:rsidR="00154AD2" w:rsidRDefault="007F6BF3">
            <w:pPr>
              <w:pStyle w:val="P68B1DB1-Normal23"/>
              <w:spacing w:after="0"/>
              <w:jc w:val="center"/>
              <w:rPr>
                <w:rFonts w:eastAsia="Calibri" w:cs="Calibri"/>
                <w:noProof/>
              </w:rPr>
            </w:pPr>
            <w:r>
              <w:rPr>
                <w:noProof/>
              </w:rPr>
              <w:t>RE-C07-i05-RAA</w:t>
            </w:r>
          </w:p>
        </w:tc>
        <w:tc>
          <w:tcPr>
            <w:tcW w:w="1520" w:type="dxa"/>
            <w:tcBorders>
              <w:top w:val="nil"/>
              <w:left w:val="nil"/>
              <w:bottom w:val="single" w:sz="4" w:space="0" w:color="auto"/>
              <w:right w:val="single" w:sz="4" w:space="0" w:color="auto"/>
            </w:tcBorders>
            <w:shd w:val="clear" w:color="auto" w:fill="C4EFCE"/>
            <w:vAlign w:val="center"/>
            <w:hideMark/>
          </w:tcPr>
          <w:p w14:paraId="542DBFAC"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A1EFBFA" w14:textId="77777777" w:rsidR="00154AD2" w:rsidRDefault="007F6BF3">
            <w:pPr>
              <w:pStyle w:val="P68B1DB1-Normal23"/>
              <w:spacing w:after="0"/>
              <w:jc w:val="both"/>
              <w:rPr>
                <w:rFonts w:eastAsia="Calibri" w:cs="Calibri"/>
                <w:noProof/>
              </w:rPr>
            </w:pPr>
            <w:r>
              <w:rPr>
                <w:noProof/>
              </w:rPr>
              <w:t>Υπογραφή σύμβασης για 8 έργα οδοποιίας</w:t>
            </w:r>
          </w:p>
        </w:tc>
      </w:tr>
      <w:tr w:rsidR="00154AD2" w14:paraId="0D73086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09AE6C3" w14:textId="77777777" w:rsidR="00154AD2" w:rsidRDefault="007F6BF3">
            <w:pPr>
              <w:pStyle w:val="P68B1DB1-Normal23"/>
              <w:spacing w:after="0"/>
              <w:jc w:val="center"/>
              <w:rPr>
                <w:rFonts w:eastAsia="Calibri" w:cs="Calibri"/>
                <w:noProof/>
              </w:rPr>
            </w:pPr>
            <w:r>
              <w:rPr>
                <w:noProof/>
              </w:rPr>
              <w:t>8.5</w:t>
            </w:r>
          </w:p>
        </w:tc>
        <w:tc>
          <w:tcPr>
            <w:tcW w:w="1760" w:type="dxa"/>
            <w:tcBorders>
              <w:top w:val="nil"/>
              <w:left w:val="nil"/>
              <w:bottom w:val="single" w:sz="4" w:space="0" w:color="auto"/>
              <w:right w:val="single" w:sz="4" w:space="0" w:color="auto"/>
            </w:tcBorders>
            <w:shd w:val="clear" w:color="auto" w:fill="C4EFCE"/>
            <w:vAlign w:val="center"/>
            <w:hideMark/>
          </w:tcPr>
          <w:p w14:paraId="51937059" w14:textId="77777777" w:rsidR="00154AD2" w:rsidRDefault="007F6BF3">
            <w:pPr>
              <w:pStyle w:val="P68B1DB1-Normal23"/>
              <w:spacing w:after="0"/>
              <w:jc w:val="center"/>
              <w:rPr>
                <w:rFonts w:eastAsia="Calibri" w:cs="Calibri"/>
                <w:noProof/>
              </w:rPr>
            </w:pPr>
            <w:r>
              <w:rPr>
                <w:noProof/>
              </w:rPr>
              <w:t>RE-C08-i02</w:t>
            </w:r>
          </w:p>
        </w:tc>
        <w:tc>
          <w:tcPr>
            <w:tcW w:w="1520" w:type="dxa"/>
            <w:tcBorders>
              <w:top w:val="nil"/>
              <w:left w:val="nil"/>
              <w:bottom w:val="single" w:sz="4" w:space="0" w:color="auto"/>
              <w:right w:val="single" w:sz="4" w:space="0" w:color="auto"/>
            </w:tcBorders>
            <w:shd w:val="clear" w:color="auto" w:fill="C4EFCE"/>
            <w:vAlign w:val="center"/>
            <w:hideMark/>
          </w:tcPr>
          <w:p w14:paraId="2049F84D"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0C76B7A" w14:textId="77777777" w:rsidR="00154AD2" w:rsidRDefault="007F6BF3">
            <w:pPr>
              <w:pStyle w:val="P68B1DB1-Normal23"/>
              <w:spacing w:after="0"/>
              <w:jc w:val="both"/>
              <w:rPr>
                <w:rFonts w:eastAsia="Calibri" w:cs="Calibri"/>
                <w:noProof/>
              </w:rPr>
            </w:pPr>
            <w:r>
              <w:rPr>
                <w:noProof/>
              </w:rPr>
              <w:t>Κατάρτιση σχετικά με το BUPi</w:t>
            </w:r>
          </w:p>
        </w:tc>
      </w:tr>
      <w:tr w:rsidR="00154AD2" w14:paraId="674B7DE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1172706" w14:textId="77777777" w:rsidR="00154AD2" w:rsidRDefault="007F6BF3">
            <w:pPr>
              <w:pStyle w:val="P68B1DB1-Normal23"/>
              <w:spacing w:after="0"/>
              <w:jc w:val="center"/>
              <w:rPr>
                <w:rFonts w:eastAsia="Calibri" w:cs="Calibri"/>
                <w:noProof/>
              </w:rPr>
            </w:pPr>
            <w:r>
              <w:rPr>
                <w:noProof/>
              </w:rPr>
              <w:t>8.12</w:t>
            </w:r>
          </w:p>
        </w:tc>
        <w:tc>
          <w:tcPr>
            <w:tcW w:w="1760" w:type="dxa"/>
            <w:tcBorders>
              <w:top w:val="nil"/>
              <w:left w:val="nil"/>
              <w:bottom w:val="single" w:sz="4" w:space="0" w:color="auto"/>
              <w:right w:val="single" w:sz="4" w:space="0" w:color="auto"/>
            </w:tcBorders>
            <w:shd w:val="clear" w:color="auto" w:fill="C4EFCE"/>
            <w:vAlign w:val="center"/>
            <w:hideMark/>
          </w:tcPr>
          <w:p w14:paraId="4040DA76" w14:textId="77777777" w:rsidR="00154AD2" w:rsidRDefault="007F6BF3">
            <w:pPr>
              <w:pStyle w:val="P68B1DB1-Normal23"/>
              <w:spacing w:after="0"/>
              <w:jc w:val="center"/>
              <w:rPr>
                <w:rFonts w:eastAsia="Calibri" w:cs="Calibri"/>
                <w:noProof/>
              </w:rPr>
            </w:pPr>
            <w:r>
              <w:rPr>
                <w:noProof/>
              </w:rPr>
              <w:t>RE-C08-i04</w:t>
            </w:r>
          </w:p>
        </w:tc>
        <w:tc>
          <w:tcPr>
            <w:tcW w:w="1520" w:type="dxa"/>
            <w:tcBorders>
              <w:top w:val="nil"/>
              <w:left w:val="nil"/>
              <w:bottom w:val="single" w:sz="4" w:space="0" w:color="auto"/>
              <w:right w:val="single" w:sz="4" w:space="0" w:color="auto"/>
            </w:tcBorders>
            <w:shd w:val="clear" w:color="auto" w:fill="C4EFCE"/>
            <w:vAlign w:val="center"/>
            <w:hideMark/>
          </w:tcPr>
          <w:p w14:paraId="1309AD13"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5415AF6" w14:textId="77777777" w:rsidR="00154AD2" w:rsidRDefault="007F6BF3">
            <w:pPr>
              <w:pStyle w:val="P68B1DB1-Normal23"/>
              <w:spacing w:after="0"/>
              <w:jc w:val="both"/>
              <w:rPr>
                <w:rFonts w:eastAsia="Calibri" w:cs="Calibri"/>
                <w:noProof/>
              </w:rPr>
            </w:pPr>
            <w:r>
              <w:rPr>
                <w:noProof/>
              </w:rPr>
              <w:t>Εγκατάσταση ραντάρ διπλής πόλωσης</w:t>
            </w:r>
          </w:p>
        </w:tc>
      </w:tr>
      <w:tr w:rsidR="00154AD2" w14:paraId="6B56409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629444E" w14:textId="77777777" w:rsidR="00154AD2" w:rsidRDefault="007F6BF3">
            <w:pPr>
              <w:pStyle w:val="P68B1DB1-Normal23"/>
              <w:spacing w:after="0"/>
              <w:jc w:val="center"/>
              <w:rPr>
                <w:rFonts w:eastAsia="Calibri" w:cs="Calibri"/>
                <w:noProof/>
              </w:rPr>
            </w:pPr>
            <w:r>
              <w:rPr>
                <w:noProof/>
              </w:rPr>
              <w:t>10.8</w:t>
            </w:r>
          </w:p>
        </w:tc>
        <w:tc>
          <w:tcPr>
            <w:tcW w:w="1760" w:type="dxa"/>
            <w:tcBorders>
              <w:top w:val="nil"/>
              <w:left w:val="nil"/>
              <w:bottom w:val="single" w:sz="4" w:space="0" w:color="auto"/>
              <w:right w:val="single" w:sz="4" w:space="0" w:color="auto"/>
            </w:tcBorders>
            <w:shd w:val="clear" w:color="auto" w:fill="C4EFCE"/>
            <w:vAlign w:val="center"/>
            <w:hideMark/>
          </w:tcPr>
          <w:p w14:paraId="082E522F" w14:textId="77777777" w:rsidR="00154AD2" w:rsidRDefault="007F6BF3">
            <w:pPr>
              <w:pStyle w:val="P68B1DB1-Normal23"/>
              <w:spacing w:after="0"/>
              <w:jc w:val="center"/>
              <w:rPr>
                <w:rFonts w:eastAsia="Calibri" w:cs="Calibri"/>
                <w:noProof/>
              </w:rPr>
            </w:pPr>
            <w:r>
              <w:rPr>
                <w:noProof/>
              </w:rPr>
              <w:t>TC-C10-i04-RAA</w:t>
            </w:r>
          </w:p>
        </w:tc>
        <w:tc>
          <w:tcPr>
            <w:tcW w:w="1520" w:type="dxa"/>
            <w:tcBorders>
              <w:top w:val="nil"/>
              <w:left w:val="nil"/>
              <w:bottom w:val="single" w:sz="4" w:space="0" w:color="auto"/>
              <w:right w:val="single" w:sz="4" w:space="0" w:color="auto"/>
            </w:tcBorders>
            <w:shd w:val="clear" w:color="auto" w:fill="C4EFCE"/>
            <w:vAlign w:val="center"/>
            <w:hideMark/>
          </w:tcPr>
          <w:p w14:paraId="7413937D"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E0E0804" w14:textId="77777777" w:rsidR="00154AD2" w:rsidRDefault="007F6BF3">
            <w:pPr>
              <w:pStyle w:val="P68B1DB1-Normal23"/>
              <w:spacing w:after="0"/>
              <w:jc w:val="both"/>
              <w:rPr>
                <w:rFonts w:eastAsia="Calibri" w:cs="Calibri"/>
                <w:noProof/>
              </w:rPr>
            </w:pPr>
            <w:r>
              <w:rPr>
                <w:noProof/>
              </w:rPr>
              <w:t>Έναρξη Σύμβασης Δημοσίων Έργων για το Τεχνικό Κέντρο MARTEC</w:t>
            </w:r>
          </w:p>
        </w:tc>
      </w:tr>
      <w:tr w:rsidR="00154AD2" w14:paraId="17B7232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6F9CBF5" w14:textId="77777777" w:rsidR="00154AD2" w:rsidRDefault="007F6BF3">
            <w:pPr>
              <w:pStyle w:val="P68B1DB1-Normal23"/>
              <w:spacing w:after="0"/>
              <w:jc w:val="center"/>
              <w:rPr>
                <w:rFonts w:eastAsia="Calibri" w:cs="Calibri"/>
                <w:noProof/>
              </w:rPr>
            </w:pPr>
            <w:r>
              <w:rPr>
                <w:noProof/>
              </w:rPr>
              <w:t>11.2</w:t>
            </w:r>
          </w:p>
        </w:tc>
        <w:tc>
          <w:tcPr>
            <w:tcW w:w="1760" w:type="dxa"/>
            <w:tcBorders>
              <w:top w:val="nil"/>
              <w:left w:val="nil"/>
              <w:bottom w:val="single" w:sz="4" w:space="0" w:color="auto"/>
              <w:right w:val="single" w:sz="4" w:space="0" w:color="auto"/>
            </w:tcBorders>
            <w:shd w:val="clear" w:color="auto" w:fill="C4EFCE"/>
            <w:vAlign w:val="center"/>
            <w:hideMark/>
          </w:tcPr>
          <w:p w14:paraId="181258D6" w14:textId="77777777" w:rsidR="00154AD2" w:rsidRDefault="007F6BF3">
            <w:pPr>
              <w:pStyle w:val="P68B1DB1-Normal23"/>
              <w:spacing w:after="0"/>
              <w:jc w:val="center"/>
              <w:rPr>
                <w:rFonts w:eastAsia="Calibri" w:cs="Calibri"/>
                <w:noProof/>
              </w:rPr>
            </w:pPr>
            <w:r>
              <w:rPr>
                <w:noProof/>
              </w:rPr>
              <w:t>TC-C11-I01</w:t>
            </w:r>
          </w:p>
        </w:tc>
        <w:tc>
          <w:tcPr>
            <w:tcW w:w="1520" w:type="dxa"/>
            <w:tcBorders>
              <w:top w:val="nil"/>
              <w:left w:val="nil"/>
              <w:bottom w:val="single" w:sz="4" w:space="0" w:color="auto"/>
              <w:right w:val="single" w:sz="4" w:space="0" w:color="auto"/>
            </w:tcBorders>
            <w:shd w:val="clear" w:color="auto" w:fill="C4EFCE"/>
            <w:vAlign w:val="center"/>
            <w:hideMark/>
          </w:tcPr>
          <w:p w14:paraId="12E6D3A0"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C515859" w14:textId="77777777" w:rsidR="00154AD2" w:rsidRDefault="007F6BF3">
            <w:pPr>
              <w:pStyle w:val="P68B1DB1-Normal23"/>
              <w:spacing w:after="0"/>
              <w:jc w:val="both"/>
              <w:rPr>
                <w:rFonts w:eastAsia="Calibri" w:cs="Calibri"/>
                <w:noProof/>
              </w:rPr>
            </w:pPr>
            <w:r>
              <w:rPr>
                <w:noProof/>
              </w:rPr>
              <w:t>Υπογραφή συμβάσεων για τη χορήγηση χρηματοδοτικής στήριξης</w:t>
            </w:r>
          </w:p>
        </w:tc>
      </w:tr>
      <w:tr w:rsidR="00154AD2" w14:paraId="5A90F30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7CC5A52" w14:textId="77777777" w:rsidR="00154AD2" w:rsidRDefault="007F6BF3">
            <w:pPr>
              <w:pStyle w:val="P68B1DB1-Normal23"/>
              <w:spacing w:after="0"/>
              <w:jc w:val="center"/>
              <w:rPr>
                <w:rFonts w:eastAsia="Calibri" w:cs="Calibri"/>
                <w:noProof/>
              </w:rPr>
            </w:pPr>
            <w:r>
              <w:rPr>
                <w:noProof/>
              </w:rPr>
              <w:t>12.7</w:t>
            </w:r>
          </w:p>
        </w:tc>
        <w:tc>
          <w:tcPr>
            <w:tcW w:w="1760" w:type="dxa"/>
            <w:tcBorders>
              <w:top w:val="nil"/>
              <w:left w:val="nil"/>
              <w:bottom w:val="single" w:sz="4" w:space="0" w:color="auto"/>
              <w:right w:val="single" w:sz="4" w:space="0" w:color="auto"/>
            </w:tcBorders>
            <w:shd w:val="clear" w:color="auto" w:fill="C4EFCE"/>
            <w:vAlign w:val="center"/>
            <w:hideMark/>
          </w:tcPr>
          <w:p w14:paraId="25B1DCC0" w14:textId="77777777" w:rsidR="00154AD2" w:rsidRDefault="007F6BF3">
            <w:pPr>
              <w:pStyle w:val="P68B1DB1-Normal23"/>
              <w:spacing w:after="0"/>
              <w:jc w:val="center"/>
              <w:rPr>
                <w:rFonts w:eastAsia="Calibri" w:cs="Calibri"/>
                <w:noProof/>
              </w:rPr>
            </w:pPr>
            <w:r>
              <w:rPr>
                <w:noProof/>
              </w:rPr>
              <w:t>TC-C12-r39</w:t>
            </w:r>
          </w:p>
        </w:tc>
        <w:tc>
          <w:tcPr>
            <w:tcW w:w="1520" w:type="dxa"/>
            <w:tcBorders>
              <w:top w:val="nil"/>
              <w:left w:val="nil"/>
              <w:bottom w:val="single" w:sz="4" w:space="0" w:color="auto"/>
              <w:right w:val="single" w:sz="4" w:space="0" w:color="auto"/>
            </w:tcBorders>
            <w:shd w:val="clear" w:color="auto" w:fill="C4EFCE"/>
            <w:vAlign w:val="center"/>
            <w:hideMark/>
          </w:tcPr>
          <w:p w14:paraId="336E66E0"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D6D70E6" w14:textId="77777777" w:rsidR="00154AD2" w:rsidRDefault="007F6BF3">
            <w:pPr>
              <w:pStyle w:val="P68B1DB1-Normal23"/>
              <w:spacing w:after="0"/>
              <w:jc w:val="both"/>
              <w:rPr>
                <w:rFonts w:eastAsia="Calibri" w:cs="Calibri"/>
                <w:noProof/>
              </w:rPr>
            </w:pPr>
            <w:r>
              <w:rPr>
                <w:noProof/>
              </w:rPr>
              <w:t>Έναρξη ισχύος του εναρμονισμένου ορισμού των κριτηρίων για την οικολογική διαφοροποίηση</w:t>
            </w:r>
          </w:p>
        </w:tc>
      </w:tr>
      <w:tr w:rsidR="00154AD2" w14:paraId="7D943D7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5C76A33" w14:textId="77777777" w:rsidR="00154AD2" w:rsidRDefault="007F6BF3">
            <w:pPr>
              <w:pStyle w:val="P68B1DB1-Normal23"/>
              <w:spacing w:after="0"/>
              <w:jc w:val="center"/>
              <w:rPr>
                <w:rFonts w:eastAsia="Calibri" w:cs="Calibri"/>
                <w:noProof/>
              </w:rPr>
            </w:pPr>
            <w:r>
              <w:rPr>
                <w:noProof/>
              </w:rPr>
              <w:t>12.8</w:t>
            </w:r>
          </w:p>
        </w:tc>
        <w:tc>
          <w:tcPr>
            <w:tcW w:w="1760" w:type="dxa"/>
            <w:tcBorders>
              <w:top w:val="nil"/>
              <w:left w:val="nil"/>
              <w:bottom w:val="single" w:sz="4" w:space="0" w:color="auto"/>
              <w:right w:val="single" w:sz="4" w:space="0" w:color="auto"/>
            </w:tcBorders>
            <w:shd w:val="clear" w:color="auto" w:fill="C4EFCE"/>
            <w:vAlign w:val="center"/>
            <w:hideMark/>
          </w:tcPr>
          <w:p w14:paraId="4E41CB2B" w14:textId="77777777" w:rsidR="00154AD2" w:rsidRDefault="007F6BF3">
            <w:pPr>
              <w:pStyle w:val="P68B1DB1-Normal23"/>
              <w:spacing w:after="0"/>
              <w:jc w:val="center"/>
              <w:rPr>
                <w:rFonts w:eastAsia="Calibri" w:cs="Calibri"/>
                <w:noProof/>
              </w:rPr>
            </w:pPr>
            <w:r>
              <w:rPr>
                <w:noProof/>
              </w:rPr>
              <w:t>TC-C12-r39</w:t>
            </w:r>
          </w:p>
        </w:tc>
        <w:tc>
          <w:tcPr>
            <w:tcW w:w="1520" w:type="dxa"/>
            <w:tcBorders>
              <w:top w:val="nil"/>
              <w:left w:val="nil"/>
              <w:bottom w:val="single" w:sz="4" w:space="0" w:color="auto"/>
              <w:right w:val="single" w:sz="4" w:space="0" w:color="auto"/>
            </w:tcBorders>
            <w:shd w:val="clear" w:color="auto" w:fill="C4EFCE"/>
            <w:vAlign w:val="center"/>
            <w:hideMark/>
          </w:tcPr>
          <w:p w14:paraId="4D1C03A4"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6C48E4F" w14:textId="77777777" w:rsidR="00154AD2" w:rsidRDefault="007F6BF3">
            <w:pPr>
              <w:pStyle w:val="P68B1DB1-Normal23"/>
              <w:spacing w:after="0"/>
              <w:jc w:val="both"/>
              <w:rPr>
                <w:rFonts w:eastAsia="Calibri" w:cs="Calibri"/>
                <w:noProof/>
              </w:rPr>
            </w:pPr>
            <w:r>
              <w:rPr>
                <w:noProof/>
              </w:rPr>
              <w:t>Σύστημα παροχής κινήτρων για την ανάκτηση (σύστημα εγγύησης και επιστροφής χρημάτων) για μη επαναχρησιμοποιήσιμες πλαστικές φιάλες, σιδηρούχα μέταλλα και αλουμίνιο</w:t>
            </w:r>
          </w:p>
        </w:tc>
      </w:tr>
      <w:tr w:rsidR="00154AD2" w14:paraId="4A314B4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071D74" w14:textId="77777777" w:rsidR="00154AD2" w:rsidRDefault="007F6BF3">
            <w:pPr>
              <w:pStyle w:val="P68B1DB1-Normal23"/>
              <w:spacing w:after="0"/>
              <w:jc w:val="center"/>
              <w:rPr>
                <w:rFonts w:eastAsia="Calibri" w:cs="Calibri"/>
                <w:noProof/>
              </w:rPr>
            </w:pPr>
            <w:r>
              <w:rPr>
                <w:noProof/>
              </w:rPr>
              <w:t>15.1</w:t>
            </w:r>
          </w:p>
        </w:tc>
        <w:tc>
          <w:tcPr>
            <w:tcW w:w="1760" w:type="dxa"/>
            <w:tcBorders>
              <w:top w:val="nil"/>
              <w:left w:val="nil"/>
              <w:bottom w:val="single" w:sz="4" w:space="0" w:color="auto"/>
              <w:right w:val="single" w:sz="4" w:space="0" w:color="auto"/>
            </w:tcBorders>
            <w:shd w:val="clear" w:color="auto" w:fill="C4EFCE"/>
            <w:vAlign w:val="center"/>
            <w:hideMark/>
          </w:tcPr>
          <w:p w14:paraId="1B01C488" w14:textId="77777777" w:rsidR="00154AD2" w:rsidRDefault="007F6BF3">
            <w:pPr>
              <w:pStyle w:val="P68B1DB1-Normal23"/>
              <w:spacing w:after="0"/>
              <w:jc w:val="center"/>
              <w:rPr>
                <w:rFonts w:eastAsia="Calibri" w:cs="Calibri"/>
                <w:noProof/>
              </w:rPr>
            </w:pPr>
            <w:r>
              <w:rPr>
                <w:noProof/>
              </w:rPr>
              <w:t>TC-C15-I01</w:t>
            </w:r>
          </w:p>
        </w:tc>
        <w:tc>
          <w:tcPr>
            <w:tcW w:w="1520" w:type="dxa"/>
            <w:tcBorders>
              <w:top w:val="nil"/>
              <w:left w:val="nil"/>
              <w:bottom w:val="single" w:sz="4" w:space="0" w:color="auto"/>
              <w:right w:val="single" w:sz="4" w:space="0" w:color="auto"/>
            </w:tcBorders>
            <w:shd w:val="clear" w:color="auto" w:fill="C4EFCE"/>
            <w:vAlign w:val="center"/>
            <w:hideMark/>
          </w:tcPr>
          <w:p w14:paraId="2DDD63A2"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144099B" w14:textId="77777777" w:rsidR="00154AD2" w:rsidRDefault="007F6BF3">
            <w:pPr>
              <w:pStyle w:val="P68B1DB1-Normal23"/>
              <w:spacing w:after="0"/>
              <w:jc w:val="both"/>
              <w:rPr>
                <w:rFonts w:eastAsia="Calibri" w:cs="Calibri"/>
                <w:noProof/>
              </w:rPr>
            </w:pPr>
            <w:r>
              <w:rPr>
                <w:noProof/>
              </w:rPr>
              <w:t>Υπογραφή της σύμβασης για την επέκταση του δικτύου Metro της Λισαβόνας</w:t>
            </w:r>
          </w:p>
        </w:tc>
      </w:tr>
      <w:tr w:rsidR="00154AD2" w14:paraId="36710B7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0221066" w14:textId="77777777" w:rsidR="00154AD2" w:rsidRDefault="007F6BF3">
            <w:pPr>
              <w:pStyle w:val="P68B1DB1-Normal23"/>
              <w:spacing w:after="0"/>
              <w:jc w:val="center"/>
              <w:rPr>
                <w:rFonts w:eastAsia="Calibri" w:cs="Calibri"/>
                <w:noProof/>
              </w:rPr>
            </w:pPr>
            <w:r>
              <w:rPr>
                <w:noProof/>
              </w:rPr>
              <w:t>15.4</w:t>
            </w:r>
          </w:p>
        </w:tc>
        <w:tc>
          <w:tcPr>
            <w:tcW w:w="1760" w:type="dxa"/>
            <w:tcBorders>
              <w:top w:val="nil"/>
              <w:left w:val="nil"/>
              <w:bottom w:val="single" w:sz="4" w:space="0" w:color="auto"/>
              <w:right w:val="single" w:sz="4" w:space="0" w:color="auto"/>
            </w:tcBorders>
            <w:shd w:val="clear" w:color="auto" w:fill="C4EFCE"/>
            <w:vAlign w:val="center"/>
            <w:hideMark/>
          </w:tcPr>
          <w:p w14:paraId="15DC13F1" w14:textId="77777777" w:rsidR="00154AD2" w:rsidRDefault="007F6BF3">
            <w:pPr>
              <w:pStyle w:val="P68B1DB1-Normal23"/>
              <w:spacing w:after="0"/>
              <w:jc w:val="center"/>
              <w:rPr>
                <w:rFonts w:eastAsia="Calibri" w:cs="Calibri"/>
                <w:noProof/>
              </w:rPr>
            </w:pPr>
            <w:r>
              <w:rPr>
                <w:noProof/>
              </w:rPr>
              <w:t>TC-C15-I02</w:t>
            </w:r>
          </w:p>
        </w:tc>
        <w:tc>
          <w:tcPr>
            <w:tcW w:w="1520" w:type="dxa"/>
            <w:tcBorders>
              <w:top w:val="nil"/>
              <w:left w:val="nil"/>
              <w:bottom w:val="single" w:sz="4" w:space="0" w:color="auto"/>
              <w:right w:val="single" w:sz="4" w:space="0" w:color="auto"/>
            </w:tcBorders>
            <w:shd w:val="clear" w:color="auto" w:fill="C4EFCE"/>
            <w:vAlign w:val="center"/>
            <w:hideMark/>
          </w:tcPr>
          <w:p w14:paraId="36F5B3D5"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B00BD76" w14:textId="77777777" w:rsidR="00154AD2" w:rsidRDefault="007F6BF3">
            <w:pPr>
              <w:pStyle w:val="P68B1DB1-Normal23"/>
              <w:spacing w:after="0"/>
              <w:jc w:val="both"/>
              <w:rPr>
                <w:rFonts w:eastAsia="Calibri" w:cs="Calibri"/>
                <w:noProof/>
              </w:rPr>
            </w:pPr>
            <w:r>
              <w:rPr>
                <w:noProof/>
              </w:rPr>
              <w:t>Υπογραφή της σύμβασης επέκτασης του δικτύου του Porto Metro</w:t>
            </w:r>
          </w:p>
        </w:tc>
      </w:tr>
      <w:tr w:rsidR="00154AD2" w14:paraId="66F49B4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9D2C062" w14:textId="77777777" w:rsidR="00154AD2" w:rsidRDefault="007F6BF3">
            <w:pPr>
              <w:pStyle w:val="P68B1DB1-Normal23"/>
              <w:spacing w:after="0"/>
              <w:jc w:val="center"/>
              <w:rPr>
                <w:rFonts w:eastAsia="Calibri" w:cs="Calibri"/>
                <w:noProof/>
              </w:rPr>
            </w:pPr>
            <w:r>
              <w:rPr>
                <w:noProof/>
              </w:rPr>
              <w:t>15.13</w:t>
            </w:r>
          </w:p>
        </w:tc>
        <w:tc>
          <w:tcPr>
            <w:tcW w:w="1760" w:type="dxa"/>
            <w:tcBorders>
              <w:top w:val="nil"/>
              <w:left w:val="nil"/>
              <w:bottom w:val="single" w:sz="4" w:space="0" w:color="auto"/>
              <w:right w:val="single" w:sz="4" w:space="0" w:color="auto"/>
            </w:tcBorders>
            <w:shd w:val="clear" w:color="auto" w:fill="C4EFCE"/>
            <w:vAlign w:val="center"/>
            <w:hideMark/>
          </w:tcPr>
          <w:p w14:paraId="152B40C0" w14:textId="77777777" w:rsidR="00154AD2" w:rsidRDefault="007F6BF3">
            <w:pPr>
              <w:pStyle w:val="P68B1DB1-Normal23"/>
              <w:spacing w:after="0"/>
              <w:jc w:val="center"/>
              <w:rPr>
                <w:rFonts w:eastAsia="Calibri" w:cs="Calibri"/>
                <w:noProof/>
              </w:rPr>
            </w:pPr>
            <w:r>
              <w:rPr>
                <w:noProof/>
              </w:rPr>
              <w:t xml:space="preserve">TC-C15-I05  </w:t>
            </w:r>
          </w:p>
        </w:tc>
        <w:tc>
          <w:tcPr>
            <w:tcW w:w="1520" w:type="dxa"/>
            <w:tcBorders>
              <w:top w:val="nil"/>
              <w:left w:val="nil"/>
              <w:bottom w:val="single" w:sz="4" w:space="0" w:color="auto"/>
              <w:right w:val="single" w:sz="4" w:space="0" w:color="auto"/>
            </w:tcBorders>
            <w:shd w:val="clear" w:color="auto" w:fill="C4EFCE"/>
            <w:vAlign w:val="center"/>
            <w:hideMark/>
          </w:tcPr>
          <w:p w14:paraId="375FD4BA"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270A847" w14:textId="77777777" w:rsidR="00154AD2" w:rsidRDefault="007F6BF3">
            <w:pPr>
              <w:pStyle w:val="P68B1DB1-Normal23"/>
              <w:spacing w:after="0"/>
              <w:jc w:val="both"/>
              <w:rPr>
                <w:rFonts w:eastAsia="Calibri" w:cs="Calibri"/>
                <w:noProof/>
              </w:rPr>
            </w:pPr>
            <w:r>
              <w:rPr>
                <w:noProof/>
              </w:rPr>
              <w:t>Αγορά νέων λεωφορείων μηδενικών εκπομπών (ηλεκτρικών ή υδρογονοκίνητων) που χρησιμοποιούνται στις δημόσιες συγκοινωνίες</w:t>
            </w:r>
          </w:p>
        </w:tc>
      </w:tr>
      <w:tr w:rsidR="00154AD2" w14:paraId="716C2BF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0F62426" w14:textId="77777777" w:rsidR="00154AD2" w:rsidRDefault="007F6BF3">
            <w:pPr>
              <w:pStyle w:val="P68B1DB1-Normal23"/>
              <w:spacing w:after="0"/>
              <w:jc w:val="center"/>
              <w:rPr>
                <w:rFonts w:eastAsia="Calibri" w:cs="Calibri"/>
                <w:noProof/>
              </w:rPr>
            </w:pPr>
            <w:r>
              <w:rPr>
                <w:noProof/>
              </w:rPr>
              <w:t>15.14</w:t>
            </w:r>
          </w:p>
        </w:tc>
        <w:tc>
          <w:tcPr>
            <w:tcW w:w="1760" w:type="dxa"/>
            <w:tcBorders>
              <w:top w:val="nil"/>
              <w:left w:val="nil"/>
              <w:bottom w:val="single" w:sz="4" w:space="0" w:color="auto"/>
              <w:right w:val="single" w:sz="4" w:space="0" w:color="auto"/>
            </w:tcBorders>
            <w:shd w:val="clear" w:color="auto" w:fill="C4EFCE"/>
            <w:vAlign w:val="center"/>
            <w:hideMark/>
          </w:tcPr>
          <w:p w14:paraId="0DD59D79" w14:textId="77777777" w:rsidR="00154AD2" w:rsidRDefault="007F6BF3">
            <w:pPr>
              <w:pStyle w:val="P68B1DB1-Normal23"/>
              <w:spacing w:after="0"/>
              <w:jc w:val="center"/>
              <w:rPr>
                <w:rFonts w:eastAsia="Calibri" w:cs="Calibri"/>
                <w:noProof/>
              </w:rPr>
            </w:pPr>
            <w:r>
              <w:rPr>
                <w:noProof/>
              </w:rPr>
              <w:t xml:space="preserve">TC-C15-r30  </w:t>
            </w:r>
          </w:p>
        </w:tc>
        <w:tc>
          <w:tcPr>
            <w:tcW w:w="1520" w:type="dxa"/>
            <w:tcBorders>
              <w:top w:val="nil"/>
              <w:left w:val="nil"/>
              <w:bottom w:val="single" w:sz="4" w:space="0" w:color="auto"/>
              <w:right w:val="single" w:sz="4" w:space="0" w:color="auto"/>
            </w:tcBorders>
            <w:shd w:val="clear" w:color="auto" w:fill="C4EFCE"/>
            <w:vAlign w:val="center"/>
            <w:hideMark/>
          </w:tcPr>
          <w:p w14:paraId="5706F25D"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08CB798" w14:textId="77777777" w:rsidR="00154AD2" w:rsidRDefault="007F6BF3">
            <w:pPr>
              <w:pStyle w:val="P68B1DB1-Normal23"/>
              <w:spacing w:after="0"/>
              <w:jc w:val="both"/>
              <w:rPr>
                <w:rFonts w:eastAsia="Calibri" w:cs="Calibri"/>
                <w:noProof/>
              </w:rPr>
            </w:pPr>
            <w:r>
              <w:rPr>
                <w:noProof/>
              </w:rPr>
              <w:t>Υπογράφηκαν συμβάσεις για δημόσιες επιβατικές μεταφορές σε μητροπολιτικές περιοχές και διαδημοτικές κοινότητες</w:t>
            </w:r>
          </w:p>
        </w:tc>
      </w:tr>
      <w:tr w:rsidR="00154AD2" w14:paraId="1F86FB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1200" w:type="dxa"/>
            <w:shd w:val="clear" w:color="auto" w:fill="C4EFCE"/>
            <w:vAlign w:val="center"/>
            <w:hideMark/>
          </w:tcPr>
          <w:p w14:paraId="5DDEA1B4" w14:textId="77777777" w:rsidR="00154AD2" w:rsidRDefault="007F6BF3">
            <w:pPr>
              <w:pStyle w:val="P68B1DB1-Normal23"/>
              <w:spacing w:after="0"/>
              <w:jc w:val="center"/>
              <w:rPr>
                <w:noProof/>
              </w:rPr>
            </w:pPr>
            <w:r>
              <w:rPr>
                <w:noProof/>
              </w:rPr>
              <w:t>16.14</w:t>
            </w:r>
          </w:p>
        </w:tc>
        <w:tc>
          <w:tcPr>
            <w:tcW w:w="1760" w:type="dxa"/>
            <w:shd w:val="clear" w:color="auto" w:fill="C4EFCE"/>
            <w:vAlign w:val="center"/>
            <w:hideMark/>
          </w:tcPr>
          <w:p w14:paraId="40EE589F" w14:textId="77777777" w:rsidR="00154AD2" w:rsidRDefault="007F6BF3">
            <w:pPr>
              <w:pStyle w:val="P68B1DB1-Normal23"/>
              <w:spacing w:after="0"/>
              <w:jc w:val="center"/>
              <w:rPr>
                <w:noProof/>
              </w:rPr>
            </w:pPr>
            <w:r>
              <w:rPr>
                <w:noProof/>
              </w:rPr>
              <w:t xml:space="preserve">TD-C16-i03 </w:t>
            </w:r>
          </w:p>
        </w:tc>
        <w:tc>
          <w:tcPr>
            <w:tcW w:w="1520" w:type="dxa"/>
            <w:shd w:val="clear" w:color="auto" w:fill="C4EFCE"/>
            <w:vAlign w:val="center"/>
            <w:hideMark/>
          </w:tcPr>
          <w:p w14:paraId="12CAAAA0"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04006DF5" w14:textId="3316D69D" w:rsidR="00154AD2" w:rsidRDefault="007F6BF3">
            <w:pPr>
              <w:pStyle w:val="P68B1DB1-Normal23"/>
              <w:spacing w:after="0"/>
              <w:jc w:val="both"/>
              <w:rPr>
                <w:rFonts w:eastAsia="Calibri" w:cs="Calibri"/>
                <w:noProof/>
              </w:rPr>
            </w:pPr>
            <w:r>
              <w:rPr>
                <w:noProof/>
              </w:rPr>
              <w:t>Δημιουργία υπηρεσιών για την αποστολή ψηφιακών τιμολογίων και πιστοποιήσεων κυβερνοασφάλειας, ιδιωτικότητας, χρηστικότητας και βιωσιμότητας</w:t>
            </w:r>
          </w:p>
        </w:tc>
      </w:tr>
      <w:tr w:rsidR="00154AD2" w14:paraId="09C48AE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869C532" w14:textId="77777777" w:rsidR="00154AD2" w:rsidRDefault="007F6BF3">
            <w:pPr>
              <w:pStyle w:val="P68B1DB1-Normal23"/>
              <w:spacing w:after="0"/>
              <w:jc w:val="center"/>
              <w:rPr>
                <w:rFonts w:eastAsia="Calibri" w:cs="Calibri"/>
                <w:noProof/>
              </w:rPr>
            </w:pPr>
            <w:r>
              <w:rPr>
                <w:noProof/>
              </w:rPr>
              <w:t>16.16</w:t>
            </w:r>
          </w:p>
        </w:tc>
        <w:tc>
          <w:tcPr>
            <w:tcW w:w="1760" w:type="dxa"/>
            <w:tcBorders>
              <w:top w:val="nil"/>
              <w:left w:val="nil"/>
              <w:bottom w:val="single" w:sz="4" w:space="0" w:color="auto"/>
              <w:right w:val="single" w:sz="4" w:space="0" w:color="auto"/>
            </w:tcBorders>
            <w:shd w:val="clear" w:color="auto" w:fill="C4EFCE"/>
            <w:vAlign w:val="center"/>
            <w:hideMark/>
          </w:tcPr>
          <w:p w14:paraId="2CBED526" w14:textId="77777777" w:rsidR="00154AD2" w:rsidRDefault="007F6BF3">
            <w:pPr>
              <w:pStyle w:val="P68B1DB1-Normal23"/>
              <w:spacing w:after="0"/>
              <w:jc w:val="center"/>
              <w:rPr>
                <w:rFonts w:eastAsia="Calibri" w:cs="Calibri"/>
                <w:noProof/>
              </w:rPr>
            </w:pPr>
            <w:r>
              <w:rPr>
                <w:noProof/>
              </w:rPr>
              <w:t>TD-C16-i04</w:t>
            </w:r>
          </w:p>
        </w:tc>
        <w:tc>
          <w:tcPr>
            <w:tcW w:w="1520" w:type="dxa"/>
            <w:tcBorders>
              <w:top w:val="nil"/>
              <w:left w:val="nil"/>
              <w:bottom w:val="single" w:sz="4" w:space="0" w:color="auto"/>
              <w:right w:val="single" w:sz="4" w:space="0" w:color="auto"/>
            </w:tcBorders>
            <w:shd w:val="clear" w:color="auto" w:fill="C4EFCE"/>
            <w:vAlign w:val="center"/>
            <w:hideMark/>
          </w:tcPr>
          <w:p w14:paraId="3003DF4F"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F9A9EA3" w14:textId="77777777" w:rsidR="00154AD2" w:rsidRDefault="007F6BF3">
            <w:pPr>
              <w:pStyle w:val="P68B1DB1-Normal23"/>
              <w:spacing w:after="0"/>
              <w:jc w:val="both"/>
              <w:rPr>
                <w:rFonts w:eastAsia="Calibri" w:cs="Calibri"/>
                <w:noProof/>
              </w:rPr>
            </w:pPr>
            <w:r>
              <w:rPr>
                <w:noProof/>
              </w:rPr>
              <w:t>Επιλογή έργων της Βιομηχανίας 4.0</w:t>
            </w:r>
          </w:p>
        </w:tc>
      </w:tr>
      <w:tr w:rsidR="00154AD2" w14:paraId="0EE345A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410FEBB" w14:textId="77777777" w:rsidR="00154AD2" w:rsidRDefault="007F6BF3">
            <w:pPr>
              <w:pStyle w:val="P68B1DB1-Normal23"/>
              <w:spacing w:after="0"/>
              <w:jc w:val="center"/>
              <w:rPr>
                <w:rFonts w:eastAsia="Calibri" w:cs="Calibri"/>
                <w:noProof/>
              </w:rPr>
            </w:pPr>
            <w:r>
              <w:rPr>
                <w:noProof/>
              </w:rPr>
              <w:t>17.21</w:t>
            </w:r>
          </w:p>
        </w:tc>
        <w:tc>
          <w:tcPr>
            <w:tcW w:w="1760" w:type="dxa"/>
            <w:tcBorders>
              <w:top w:val="nil"/>
              <w:left w:val="nil"/>
              <w:bottom w:val="single" w:sz="4" w:space="0" w:color="auto"/>
              <w:right w:val="single" w:sz="4" w:space="0" w:color="auto"/>
            </w:tcBorders>
            <w:shd w:val="clear" w:color="auto" w:fill="C4EFCE"/>
            <w:vAlign w:val="center"/>
            <w:hideMark/>
          </w:tcPr>
          <w:p w14:paraId="2B0924BA" w14:textId="77777777" w:rsidR="00154AD2" w:rsidRDefault="007F6BF3">
            <w:pPr>
              <w:pStyle w:val="P68B1DB1-Normal23"/>
              <w:spacing w:after="0"/>
              <w:jc w:val="center"/>
              <w:rPr>
                <w:rFonts w:eastAsia="Calibri" w:cs="Calibri"/>
                <w:noProof/>
              </w:rPr>
            </w:pPr>
            <w:r>
              <w:rPr>
                <w:noProof/>
              </w:rPr>
              <w:t>TD-C17-i02</w:t>
            </w:r>
          </w:p>
        </w:tc>
        <w:tc>
          <w:tcPr>
            <w:tcW w:w="1520" w:type="dxa"/>
            <w:tcBorders>
              <w:top w:val="nil"/>
              <w:left w:val="nil"/>
              <w:bottom w:val="single" w:sz="4" w:space="0" w:color="auto"/>
              <w:right w:val="single" w:sz="4" w:space="0" w:color="auto"/>
            </w:tcBorders>
            <w:shd w:val="clear" w:color="auto" w:fill="C4EFCE"/>
            <w:vAlign w:val="center"/>
            <w:hideMark/>
          </w:tcPr>
          <w:p w14:paraId="18D2B06A"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5C698DD" w14:textId="77777777" w:rsidR="00154AD2" w:rsidRDefault="007F6BF3">
            <w:pPr>
              <w:pStyle w:val="P68B1DB1-Normal23"/>
              <w:spacing w:after="0"/>
              <w:jc w:val="both"/>
              <w:rPr>
                <w:rFonts w:eastAsia="Calibri" w:cs="Calibri"/>
                <w:noProof/>
              </w:rPr>
            </w:pPr>
            <w:r>
              <w:rPr>
                <w:noProof/>
              </w:rPr>
              <w:t>Ολοκλήρωση της εκτέλεσης της προ-συμπλήρωσης συγκεκριμένης πράξης που υπόκειται στο τέλος χαρτοσήμου</w:t>
            </w:r>
          </w:p>
        </w:tc>
      </w:tr>
      <w:tr w:rsidR="00154AD2" w14:paraId="7D6C04E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FF3082E" w14:textId="77777777" w:rsidR="00154AD2" w:rsidRDefault="007F6BF3">
            <w:pPr>
              <w:pStyle w:val="P68B1DB1-Normal23"/>
              <w:spacing w:after="0"/>
              <w:jc w:val="center"/>
              <w:rPr>
                <w:rFonts w:eastAsia="Calibri" w:cs="Calibri"/>
                <w:noProof/>
              </w:rPr>
            </w:pPr>
            <w:r>
              <w:rPr>
                <w:noProof/>
              </w:rPr>
              <w:t>17.23</w:t>
            </w:r>
          </w:p>
        </w:tc>
        <w:tc>
          <w:tcPr>
            <w:tcW w:w="1760" w:type="dxa"/>
            <w:tcBorders>
              <w:top w:val="nil"/>
              <w:left w:val="nil"/>
              <w:bottom w:val="single" w:sz="4" w:space="0" w:color="auto"/>
              <w:right w:val="single" w:sz="4" w:space="0" w:color="auto"/>
            </w:tcBorders>
            <w:shd w:val="clear" w:color="auto" w:fill="C4EFCE"/>
            <w:vAlign w:val="center"/>
            <w:hideMark/>
          </w:tcPr>
          <w:p w14:paraId="698DAC9E" w14:textId="665ACA7C" w:rsidR="00154AD2" w:rsidRDefault="007F6BF3">
            <w:pPr>
              <w:pStyle w:val="P68B1DB1-Normal23"/>
              <w:spacing w:after="0"/>
              <w:jc w:val="center"/>
              <w:rPr>
                <w:rFonts w:eastAsia="Calibri" w:cs="Calibri"/>
                <w:noProof/>
              </w:rPr>
            </w:pPr>
            <w:r>
              <w:rPr>
                <w:noProof/>
              </w:rPr>
              <w:t>TD-C17-r40</w:t>
            </w:r>
          </w:p>
        </w:tc>
        <w:tc>
          <w:tcPr>
            <w:tcW w:w="1520" w:type="dxa"/>
            <w:tcBorders>
              <w:top w:val="nil"/>
              <w:left w:val="nil"/>
              <w:bottom w:val="single" w:sz="4" w:space="0" w:color="auto"/>
              <w:right w:val="single" w:sz="4" w:space="0" w:color="auto"/>
            </w:tcBorders>
            <w:shd w:val="clear" w:color="auto" w:fill="C4EFCE"/>
            <w:vAlign w:val="center"/>
            <w:hideMark/>
          </w:tcPr>
          <w:p w14:paraId="7B24166A"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27CEBBA" w14:textId="77777777" w:rsidR="00154AD2" w:rsidRDefault="007F6BF3">
            <w:pPr>
              <w:pStyle w:val="P68B1DB1-Normal23"/>
              <w:spacing w:after="0"/>
              <w:jc w:val="both"/>
              <w:rPr>
                <w:rFonts w:eastAsia="Calibri" w:cs="Calibri"/>
                <w:noProof/>
              </w:rPr>
            </w:pPr>
            <w:r>
              <w:rPr>
                <w:noProof/>
              </w:rPr>
              <w:t>Έναρξη ισχύος της νομικής πράξης για τη δημιουργία της μόνιμης μονάδας τεχνικής φορολογικής πολιτικής Unidade Técnica de Avaliação Tributária e Aduaneira (U-TAX)</w:t>
            </w:r>
          </w:p>
        </w:tc>
      </w:tr>
      <w:tr w:rsidR="00154AD2" w14:paraId="1B76570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405E771" w14:textId="77777777" w:rsidR="00154AD2" w:rsidRDefault="007F6BF3">
            <w:pPr>
              <w:pStyle w:val="P68B1DB1-Normal23"/>
              <w:spacing w:after="0"/>
              <w:jc w:val="center"/>
              <w:rPr>
                <w:rFonts w:eastAsia="Calibri" w:cs="Calibri"/>
                <w:noProof/>
              </w:rPr>
            </w:pPr>
            <w:r>
              <w:rPr>
                <w:noProof/>
              </w:rPr>
              <w:t>18.5</w:t>
            </w:r>
          </w:p>
        </w:tc>
        <w:tc>
          <w:tcPr>
            <w:tcW w:w="1760" w:type="dxa"/>
            <w:tcBorders>
              <w:top w:val="nil"/>
              <w:left w:val="nil"/>
              <w:bottom w:val="single" w:sz="4" w:space="0" w:color="auto"/>
              <w:right w:val="single" w:sz="4" w:space="0" w:color="auto"/>
            </w:tcBorders>
            <w:shd w:val="clear" w:color="auto" w:fill="C4EFCE"/>
            <w:vAlign w:val="center"/>
            <w:hideMark/>
          </w:tcPr>
          <w:p w14:paraId="618CB0E4" w14:textId="77777777" w:rsidR="00154AD2" w:rsidRDefault="007F6BF3">
            <w:pPr>
              <w:pStyle w:val="P68B1DB1-Normal23"/>
              <w:spacing w:after="0"/>
              <w:jc w:val="center"/>
              <w:rPr>
                <w:rFonts w:eastAsia="Calibri" w:cs="Calibri"/>
                <w:noProof/>
              </w:rPr>
            </w:pPr>
            <w:r>
              <w:rPr>
                <w:noProof/>
              </w:rPr>
              <w:t>TD-C18-i01</w:t>
            </w:r>
          </w:p>
        </w:tc>
        <w:tc>
          <w:tcPr>
            <w:tcW w:w="1520" w:type="dxa"/>
            <w:tcBorders>
              <w:top w:val="nil"/>
              <w:left w:val="nil"/>
              <w:bottom w:val="single" w:sz="4" w:space="0" w:color="auto"/>
              <w:right w:val="single" w:sz="4" w:space="0" w:color="auto"/>
            </w:tcBorders>
            <w:shd w:val="clear" w:color="auto" w:fill="C4EFCE"/>
            <w:vAlign w:val="center"/>
            <w:hideMark/>
          </w:tcPr>
          <w:p w14:paraId="6D6B08AC"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E389343" w14:textId="77777777" w:rsidR="00154AD2" w:rsidRDefault="007F6BF3">
            <w:pPr>
              <w:pStyle w:val="P68B1DB1-Normal23"/>
              <w:spacing w:after="0"/>
              <w:jc w:val="both"/>
              <w:rPr>
                <w:rFonts w:eastAsia="Calibri" w:cs="Calibri"/>
                <w:noProof/>
              </w:rPr>
            </w:pPr>
            <w:r>
              <w:rPr>
                <w:noProof/>
              </w:rPr>
              <w:t>Εκσυγχρονισμένο σύστημα ΤΠ για την ποινική έρευνα</w:t>
            </w:r>
          </w:p>
        </w:tc>
      </w:tr>
      <w:tr w:rsidR="00154AD2" w14:paraId="1F76A1E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5F520F4" w14:textId="77777777" w:rsidR="00154AD2" w:rsidRDefault="007F6BF3">
            <w:pPr>
              <w:pStyle w:val="P68B1DB1-Normal23"/>
              <w:spacing w:after="0"/>
              <w:jc w:val="center"/>
              <w:rPr>
                <w:rFonts w:eastAsia="Calibri" w:cs="Calibri"/>
                <w:noProof/>
              </w:rPr>
            </w:pPr>
            <w:r>
              <w:rPr>
                <w:noProof/>
              </w:rPr>
              <w:t>19.12</w:t>
            </w:r>
          </w:p>
        </w:tc>
        <w:tc>
          <w:tcPr>
            <w:tcW w:w="1760" w:type="dxa"/>
            <w:tcBorders>
              <w:top w:val="nil"/>
              <w:left w:val="nil"/>
              <w:bottom w:val="single" w:sz="4" w:space="0" w:color="auto"/>
              <w:right w:val="single" w:sz="4" w:space="0" w:color="auto"/>
            </w:tcBorders>
            <w:shd w:val="clear" w:color="auto" w:fill="C4EFCE"/>
            <w:vAlign w:val="center"/>
            <w:hideMark/>
          </w:tcPr>
          <w:p w14:paraId="47FDE4B7" w14:textId="77777777" w:rsidR="00154AD2" w:rsidRDefault="007F6BF3">
            <w:pPr>
              <w:pStyle w:val="P68B1DB1-Normal23"/>
              <w:spacing w:after="0"/>
              <w:jc w:val="center"/>
              <w:rPr>
                <w:rFonts w:eastAsia="Calibri" w:cs="Calibri"/>
                <w:noProof/>
              </w:rPr>
            </w:pPr>
            <w:r>
              <w:rPr>
                <w:noProof/>
              </w:rPr>
              <w:t>TD-C19-i04</w:t>
            </w:r>
          </w:p>
        </w:tc>
        <w:tc>
          <w:tcPr>
            <w:tcW w:w="1520" w:type="dxa"/>
            <w:tcBorders>
              <w:top w:val="nil"/>
              <w:left w:val="nil"/>
              <w:bottom w:val="single" w:sz="4" w:space="0" w:color="auto"/>
              <w:right w:val="single" w:sz="4" w:space="0" w:color="auto"/>
            </w:tcBorders>
            <w:shd w:val="clear" w:color="auto" w:fill="C4EFCE"/>
            <w:vAlign w:val="center"/>
            <w:hideMark/>
          </w:tcPr>
          <w:p w14:paraId="723C2388"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82C1D8F" w14:textId="77777777" w:rsidR="00154AD2" w:rsidRDefault="007F6BF3">
            <w:pPr>
              <w:pStyle w:val="P68B1DB1-Normal23"/>
              <w:spacing w:after="0"/>
              <w:jc w:val="both"/>
              <w:rPr>
                <w:rFonts w:eastAsia="Calibri" w:cs="Calibri"/>
                <w:noProof/>
              </w:rPr>
            </w:pPr>
            <w:r>
              <w:rPr>
                <w:noProof/>
              </w:rPr>
              <w:t>Ολοκλήρωση αναβαθμίσεων σε κρίσιμες ψηφιακές υποδομές</w:t>
            </w:r>
          </w:p>
        </w:tc>
      </w:tr>
      <w:tr w:rsidR="00154AD2" w14:paraId="68EBFC9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52D3804" w14:textId="77777777" w:rsidR="00154AD2" w:rsidRDefault="007F6BF3">
            <w:pPr>
              <w:pStyle w:val="P68B1DB1-Normal23"/>
              <w:spacing w:after="0"/>
              <w:jc w:val="center"/>
              <w:rPr>
                <w:rFonts w:eastAsia="Calibri" w:cs="Calibri"/>
                <w:noProof/>
              </w:rPr>
            </w:pPr>
            <w:r>
              <w:rPr>
                <w:noProof/>
              </w:rPr>
              <w:t>19.19</w:t>
            </w:r>
          </w:p>
        </w:tc>
        <w:tc>
          <w:tcPr>
            <w:tcW w:w="1760" w:type="dxa"/>
            <w:tcBorders>
              <w:top w:val="nil"/>
              <w:left w:val="nil"/>
              <w:bottom w:val="single" w:sz="4" w:space="0" w:color="auto"/>
              <w:right w:val="single" w:sz="4" w:space="0" w:color="auto"/>
            </w:tcBorders>
            <w:shd w:val="clear" w:color="auto" w:fill="C4EFCE"/>
            <w:vAlign w:val="center"/>
            <w:hideMark/>
          </w:tcPr>
          <w:p w14:paraId="52CAADEB" w14:textId="77777777" w:rsidR="00154AD2" w:rsidRDefault="007F6BF3">
            <w:pPr>
              <w:pStyle w:val="P68B1DB1-Normal23"/>
              <w:spacing w:after="0"/>
              <w:jc w:val="center"/>
              <w:rPr>
                <w:rFonts w:eastAsia="Calibri" w:cs="Calibri"/>
                <w:noProof/>
              </w:rPr>
            </w:pPr>
            <w:r>
              <w:rPr>
                <w:noProof/>
              </w:rPr>
              <w:t>TD-C19-i07</w:t>
            </w:r>
          </w:p>
        </w:tc>
        <w:tc>
          <w:tcPr>
            <w:tcW w:w="1520" w:type="dxa"/>
            <w:tcBorders>
              <w:top w:val="nil"/>
              <w:left w:val="nil"/>
              <w:bottom w:val="single" w:sz="4" w:space="0" w:color="auto"/>
              <w:right w:val="single" w:sz="4" w:space="0" w:color="auto"/>
            </w:tcBorders>
            <w:shd w:val="clear" w:color="auto" w:fill="C4EFCE"/>
            <w:vAlign w:val="center"/>
            <w:hideMark/>
          </w:tcPr>
          <w:p w14:paraId="447F009D"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747649F" w14:textId="77777777" w:rsidR="00154AD2" w:rsidRDefault="007F6BF3">
            <w:pPr>
              <w:pStyle w:val="P68B1DB1-Normal23"/>
              <w:spacing w:after="0"/>
              <w:jc w:val="both"/>
              <w:rPr>
                <w:rFonts w:eastAsia="Calibri" w:cs="Calibri"/>
                <w:noProof/>
              </w:rPr>
            </w:pPr>
            <w:r>
              <w:rPr>
                <w:noProof/>
              </w:rPr>
              <w:t>Πρόγραμμα πρακτικής άσκησης για πτυχιούχους</w:t>
            </w:r>
          </w:p>
        </w:tc>
      </w:tr>
      <w:tr w:rsidR="00154AD2" w14:paraId="0EEF05D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045AB48" w14:textId="77777777" w:rsidR="00154AD2" w:rsidRDefault="007F6BF3">
            <w:pPr>
              <w:pStyle w:val="P68B1DB1-Normal23"/>
              <w:spacing w:after="0"/>
              <w:jc w:val="center"/>
              <w:rPr>
                <w:rFonts w:eastAsia="Calibri" w:cs="Calibri"/>
                <w:noProof/>
              </w:rPr>
            </w:pPr>
            <w:r>
              <w:rPr>
                <w:noProof/>
              </w:rPr>
              <w:t>19.20</w:t>
            </w:r>
          </w:p>
        </w:tc>
        <w:tc>
          <w:tcPr>
            <w:tcW w:w="1760" w:type="dxa"/>
            <w:tcBorders>
              <w:top w:val="nil"/>
              <w:left w:val="nil"/>
              <w:bottom w:val="single" w:sz="4" w:space="0" w:color="auto"/>
              <w:right w:val="single" w:sz="4" w:space="0" w:color="auto"/>
            </w:tcBorders>
            <w:shd w:val="clear" w:color="auto" w:fill="C4EFCE"/>
            <w:vAlign w:val="center"/>
            <w:hideMark/>
          </w:tcPr>
          <w:p w14:paraId="4BC8CA1D" w14:textId="77777777" w:rsidR="00154AD2" w:rsidRDefault="007F6BF3">
            <w:pPr>
              <w:pStyle w:val="P68B1DB1-Normal23"/>
              <w:spacing w:after="0"/>
              <w:jc w:val="center"/>
              <w:rPr>
                <w:rFonts w:eastAsia="Calibri" w:cs="Calibri"/>
                <w:noProof/>
              </w:rPr>
            </w:pPr>
            <w:r>
              <w:rPr>
                <w:noProof/>
              </w:rPr>
              <w:t>TD-C19-i07</w:t>
            </w:r>
          </w:p>
        </w:tc>
        <w:tc>
          <w:tcPr>
            <w:tcW w:w="1520" w:type="dxa"/>
            <w:tcBorders>
              <w:top w:val="nil"/>
              <w:left w:val="nil"/>
              <w:bottom w:val="single" w:sz="4" w:space="0" w:color="auto"/>
              <w:right w:val="single" w:sz="4" w:space="0" w:color="auto"/>
            </w:tcBorders>
            <w:shd w:val="clear" w:color="auto" w:fill="C4EFCE"/>
            <w:vAlign w:val="center"/>
            <w:hideMark/>
          </w:tcPr>
          <w:p w14:paraId="70FE9605"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1CE35B3" w14:textId="77777777" w:rsidR="00154AD2" w:rsidRDefault="007F6BF3">
            <w:pPr>
              <w:pStyle w:val="P68B1DB1-Normal23"/>
              <w:spacing w:after="0"/>
              <w:jc w:val="both"/>
              <w:rPr>
                <w:rFonts w:eastAsia="Calibri" w:cs="Calibri"/>
                <w:noProof/>
              </w:rPr>
            </w:pPr>
            <w:r>
              <w:rPr>
                <w:noProof/>
              </w:rPr>
              <w:t>Υπάλληλοι του δημόσιου τομέα στην τηλεργασία</w:t>
            </w:r>
          </w:p>
        </w:tc>
      </w:tr>
      <w:tr w:rsidR="00154AD2" w14:paraId="3C08254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2C00604" w14:textId="77777777" w:rsidR="00154AD2" w:rsidRDefault="007F6BF3">
            <w:pPr>
              <w:pStyle w:val="P68B1DB1-Normal23"/>
              <w:spacing w:after="0"/>
              <w:jc w:val="center"/>
              <w:rPr>
                <w:rFonts w:eastAsia="Calibri" w:cs="Calibri"/>
                <w:noProof/>
              </w:rPr>
            </w:pPr>
            <w:r>
              <w:rPr>
                <w:noProof/>
              </w:rPr>
              <w:t>19.23</w:t>
            </w:r>
          </w:p>
        </w:tc>
        <w:tc>
          <w:tcPr>
            <w:tcW w:w="1760" w:type="dxa"/>
            <w:tcBorders>
              <w:top w:val="nil"/>
              <w:left w:val="nil"/>
              <w:bottom w:val="single" w:sz="4" w:space="0" w:color="auto"/>
              <w:right w:val="single" w:sz="4" w:space="0" w:color="auto"/>
            </w:tcBorders>
            <w:shd w:val="clear" w:color="auto" w:fill="C4EFCE"/>
            <w:vAlign w:val="center"/>
            <w:hideMark/>
          </w:tcPr>
          <w:p w14:paraId="1BB37310" w14:textId="77777777" w:rsidR="00154AD2" w:rsidRDefault="007F6BF3">
            <w:pPr>
              <w:pStyle w:val="P68B1DB1-Normal23"/>
              <w:spacing w:after="0"/>
              <w:jc w:val="center"/>
              <w:rPr>
                <w:rFonts w:eastAsia="Calibri" w:cs="Calibri"/>
                <w:noProof/>
              </w:rPr>
            </w:pPr>
            <w:r>
              <w:rPr>
                <w:noProof/>
              </w:rPr>
              <w:t>TD-C19-r35</w:t>
            </w:r>
          </w:p>
        </w:tc>
        <w:tc>
          <w:tcPr>
            <w:tcW w:w="1520" w:type="dxa"/>
            <w:tcBorders>
              <w:top w:val="nil"/>
              <w:left w:val="nil"/>
              <w:bottom w:val="single" w:sz="4" w:space="0" w:color="auto"/>
              <w:right w:val="single" w:sz="4" w:space="0" w:color="auto"/>
            </w:tcBorders>
            <w:shd w:val="clear" w:color="auto" w:fill="C4EFCE"/>
            <w:vAlign w:val="center"/>
            <w:hideMark/>
          </w:tcPr>
          <w:p w14:paraId="4E51FBB7"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A32703A" w14:textId="77777777" w:rsidR="00154AD2" w:rsidRDefault="007F6BF3">
            <w:pPr>
              <w:pStyle w:val="P68B1DB1-Normal23"/>
              <w:spacing w:after="0"/>
              <w:jc w:val="both"/>
              <w:rPr>
                <w:rFonts w:eastAsia="Calibri" w:cs="Calibri"/>
                <w:noProof/>
              </w:rPr>
            </w:pPr>
            <w:r>
              <w:rPr>
                <w:noProof/>
              </w:rPr>
              <w:t>Έναρξη ισχύος της νομοθετικής δέσμης για την αναδιοργάνωση της δημόσιας διοίκησης</w:t>
            </w:r>
          </w:p>
        </w:tc>
      </w:tr>
      <w:tr w:rsidR="00154AD2" w14:paraId="742A12B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F8A13B2" w14:textId="77777777" w:rsidR="00154AD2" w:rsidRDefault="007F6BF3">
            <w:pPr>
              <w:pStyle w:val="P68B1DB1-Normal23"/>
              <w:spacing w:after="0"/>
              <w:jc w:val="center"/>
              <w:rPr>
                <w:rFonts w:eastAsia="Calibri" w:cs="Calibri"/>
                <w:noProof/>
              </w:rPr>
            </w:pPr>
            <w:r>
              <w:rPr>
                <w:noProof/>
              </w:rPr>
              <w:t>21.7</w:t>
            </w:r>
          </w:p>
        </w:tc>
        <w:tc>
          <w:tcPr>
            <w:tcW w:w="1760" w:type="dxa"/>
            <w:tcBorders>
              <w:top w:val="nil"/>
              <w:left w:val="nil"/>
              <w:bottom w:val="single" w:sz="4" w:space="0" w:color="auto"/>
              <w:right w:val="single" w:sz="4" w:space="0" w:color="auto"/>
            </w:tcBorders>
            <w:shd w:val="clear" w:color="auto" w:fill="C4EFCE"/>
            <w:vAlign w:val="center"/>
            <w:hideMark/>
          </w:tcPr>
          <w:p w14:paraId="0F22486B" w14:textId="690F2EF9" w:rsidR="00154AD2" w:rsidRDefault="007F6BF3">
            <w:pPr>
              <w:pStyle w:val="P68B1DB1-Normal23"/>
              <w:spacing w:after="0"/>
              <w:jc w:val="center"/>
              <w:rPr>
                <w:rFonts w:eastAsia="Calibri" w:cs="Calibri"/>
                <w:noProof/>
              </w:rPr>
            </w:pPr>
            <w:r>
              <w:rPr>
                <w:noProof/>
              </w:rPr>
              <w:t>RP-C21-r43</w:t>
            </w:r>
          </w:p>
        </w:tc>
        <w:tc>
          <w:tcPr>
            <w:tcW w:w="1520" w:type="dxa"/>
            <w:tcBorders>
              <w:top w:val="nil"/>
              <w:left w:val="nil"/>
              <w:bottom w:val="single" w:sz="4" w:space="0" w:color="auto"/>
              <w:right w:val="single" w:sz="4" w:space="0" w:color="auto"/>
            </w:tcBorders>
            <w:shd w:val="clear" w:color="auto" w:fill="C4EFCE"/>
            <w:vAlign w:val="center"/>
            <w:hideMark/>
          </w:tcPr>
          <w:p w14:paraId="3140DF8D"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0CD0448" w14:textId="77777777" w:rsidR="00154AD2" w:rsidRDefault="007F6BF3">
            <w:pPr>
              <w:pStyle w:val="P68B1DB1-Normal23"/>
              <w:spacing w:after="0"/>
              <w:jc w:val="both"/>
              <w:rPr>
                <w:rFonts w:eastAsia="Calibri" w:cs="Calibri"/>
                <w:noProof/>
              </w:rPr>
            </w:pPr>
            <w:r>
              <w:rPr>
                <w:noProof/>
              </w:rPr>
              <w:t>Έναρξη ισχύος της νομοθεσίας για την ίδρυση του Εθνικού Παρατηρητηρίου Ενεργειακής Φτώχειας (ONPE)</w:t>
            </w:r>
          </w:p>
        </w:tc>
      </w:tr>
      <w:tr w:rsidR="00154AD2" w14:paraId="144F24A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D1E2C5D" w14:textId="77777777" w:rsidR="00154AD2" w:rsidRDefault="007F6BF3">
            <w:pPr>
              <w:pStyle w:val="P68B1DB1-Normal23"/>
              <w:spacing w:after="0"/>
              <w:jc w:val="center"/>
              <w:rPr>
                <w:rFonts w:eastAsia="Calibri" w:cs="Calibri"/>
                <w:noProof/>
              </w:rPr>
            </w:pPr>
            <w:r>
              <w:rPr>
                <w:noProof/>
              </w:rPr>
              <w:t>21.9</w:t>
            </w:r>
          </w:p>
        </w:tc>
        <w:tc>
          <w:tcPr>
            <w:tcW w:w="1760" w:type="dxa"/>
            <w:tcBorders>
              <w:top w:val="nil"/>
              <w:left w:val="nil"/>
              <w:bottom w:val="single" w:sz="4" w:space="0" w:color="auto"/>
              <w:right w:val="single" w:sz="4" w:space="0" w:color="auto"/>
            </w:tcBorders>
            <w:shd w:val="clear" w:color="auto" w:fill="C4EFCE"/>
            <w:vAlign w:val="center"/>
            <w:hideMark/>
          </w:tcPr>
          <w:p w14:paraId="5998B2BE" w14:textId="7C8A24E2" w:rsidR="00154AD2" w:rsidRDefault="007F6BF3">
            <w:pPr>
              <w:pStyle w:val="P68B1DB1-Normal23"/>
              <w:spacing w:after="0"/>
              <w:jc w:val="center"/>
              <w:rPr>
                <w:rFonts w:eastAsia="Calibri" w:cs="Calibri"/>
                <w:noProof/>
              </w:rPr>
            </w:pPr>
            <w:r>
              <w:rPr>
                <w:noProof/>
              </w:rPr>
              <w:t>RP-C21-r44</w:t>
            </w:r>
          </w:p>
        </w:tc>
        <w:tc>
          <w:tcPr>
            <w:tcW w:w="1520" w:type="dxa"/>
            <w:tcBorders>
              <w:top w:val="nil"/>
              <w:left w:val="nil"/>
              <w:bottom w:val="single" w:sz="4" w:space="0" w:color="auto"/>
              <w:right w:val="single" w:sz="4" w:space="0" w:color="auto"/>
            </w:tcBorders>
            <w:shd w:val="clear" w:color="auto" w:fill="C4EFCE"/>
            <w:vAlign w:val="center"/>
            <w:hideMark/>
          </w:tcPr>
          <w:p w14:paraId="520DFD63"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DBE9B0C" w14:textId="77777777" w:rsidR="00154AD2" w:rsidRDefault="007F6BF3">
            <w:pPr>
              <w:pStyle w:val="P68B1DB1-Normal23"/>
              <w:spacing w:after="0"/>
              <w:jc w:val="both"/>
              <w:rPr>
                <w:rFonts w:eastAsia="Calibri" w:cs="Calibri"/>
                <w:noProof/>
              </w:rPr>
            </w:pPr>
            <w:r>
              <w:rPr>
                <w:noProof/>
              </w:rPr>
              <w:t>Υπογραφή πρωτοκόλλου συνεργασίας</w:t>
            </w:r>
          </w:p>
        </w:tc>
      </w:tr>
      <w:tr w:rsidR="00154AD2" w14:paraId="470BD8F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3D0556" w14:textId="77777777" w:rsidR="00154AD2" w:rsidRDefault="007F6BF3">
            <w:pPr>
              <w:pStyle w:val="P68B1DB1-Normal23"/>
              <w:spacing w:after="0"/>
              <w:jc w:val="center"/>
              <w:rPr>
                <w:rFonts w:eastAsia="Calibri" w:cs="Calibri"/>
                <w:noProof/>
              </w:rPr>
            </w:pPr>
            <w:r>
              <w:rPr>
                <w:noProof/>
              </w:rPr>
              <w:t>21.16</w:t>
            </w:r>
          </w:p>
        </w:tc>
        <w:tc>
          <w:tcPr>
            <w:tcW w:w="1760" w:type="dxa"/>
            <w:tcBorders>
              <w:top w:val="nil"/>
              <w:left w:val="nil"/>
              <w:bottom w:val="single" w:sz="4" w:space="0" w:color="auto"/>
              <w:right w:val="single" w:sz="4" w:space="0" w:color="auto"/>
            </w:tcBorders>
            <w:shd w:val="clear" w:color="auto" w:fill="C4EFCE"/>
            <w:vAlign w:val="center"/>
            <w:hideMark/>
          </w:tcPr>
          <w:p w14:paraId="2F028DB5" w14:textId="57F1A9AD" w:rsidR="00154AD2" w:rsidRDefault="007F6BF3">
            <w:pPr>
              <w:pStyle w:val="P68B1DB1-Normal23"/>
              <w:spacing w:after="0"/>
              <w:jc w:val="center"/>
              <w:rPr>
                <w:rFonts w:eastAsia="Calibri" w:cs="Calibri"/>
                <w:noProof/>
              </w:rPr>
            </w:pPr>
            <w:r>
              <w:rPr>
                <w:noProof/>
              </w:rPr>
              <w:t>RP-C21-r46</w:t>
            </w:r>
          </w:p>
        </w:tc>
        <w:tc>
          <w:tcPr>
            <w:tcW w:w="1520" w:type="dxa"/>
            <w:tcBorders>
              <w:top w:val="nil"/>
              <w:left w:val="nil"/>
              <w:bottom w:val="single" w:sz="4" w:space="0" w:color="auto"/>
              <w:right w:val="single" w:sz="4" w:space="0" w:color="auto"/>
            </w:tcBorders>
            <w:shd w:val="clear" w:color="auto" w:fill="C4EFCE"/>
            <w:vAlign w:val="center"/>
            <w:hideMark/>
          </w:tcPr>
          <w:p w14:paraId="10032DF3"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5068AE8" w14:textId="77777777" w:rsidR="00154AD2" w:rsidRDefault="007F6BF3">
            <w:pPr>
              <w:pStyle w:val="P68B1DB1-Normal23"/>
              <w:spacing w:after="0"/>
              <w:jc w:val="both"/>
              <w:rPr>
                <w:rFonts w:eastAsia="Calibri" w:cs="Calibri"/>
                <w:noProof/>
              </w:rPr>
            </w:pPr>
            <w:r>
              <w:rPr>
                <w:noProof/>
              </w:rPr>
              <w:t>Έναρξη ισχύος του κυβερνητικού διατάγματος για το ανανεώσιμο υδρογόνο</w:t>
            </w:r>
          </w:p>
        </w:tc>
      </w:tr>
      <w:tr w:rsidR="00154AD2" w14:paraId="1D045AB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C908C00" w14:textId="77777777" w:rsidR="00154AD2" w:rsidRDefault="007F6BF3">
            <w:pPr>
              <w:pStyle w:val="P68B1DB1-Normal23"/>
              <w:spacing w:after="0"/>
              <w:jc w:val="center"/>
              <w:rPr>
                <w:rFonts w:eastAsia="Calibri" w:cs="Calibri"/>
                <w:noProof/>
              </w:rPr>
            </w:pPr>
            <w:r>
              <w:rPr>
                <w:noProof/>
              </w:rPr>
              <w:t>21.18</w:t>
            </w:r>
          </w:p>
        </w:tc>
        <w:tc>
          <w:tcPr>
            <w:tcW w:w="1760" w:type="dxa"/>
            <w:tcBorders>
              <w:top w:val="nil"/>
              <w:left w:val="nil"/>
              <w:bottom w:val="single" w:sz="4" w:space="0" w:color="auto"/>
              <w:right w:val="single" w:sz="4" w:space="0" w:color="auto"/>
            </w:tcBorders>
            <w:shd w:val="clear" w:color="auto" w:fill="C4EFCE"/>
            <w:vAlign w:val="center"/>
            <w:hideMark/>
          </w:tcPr>
          <w:p w14:paraId="40579BEA" w14:textId="1D5A61F1" w:rsidR="00154AD2" w:rsidRDefault="007F6BF3">
            <w:pPr>
              <w:pStyle w:val="P68B1DB1-Normal23"/>
              <w:spacing w:after="0"/>
              <w:jc w:val="center"/>
              <w:rPr>
                <w:rFonts w:eastAsia="Calibri" w:cs="Calibri"/>
                <w:noProof/>
              </w:rPr>
            </w:pPr>
            <w:r>
              <w:rPr>
                <w:noProof/>
              </w:rPr>
              <w:t>RP-C21-r47</w:t>
            </w:r>
          </w:p>
        </w:tc>
        <w:tc>
          <w:tcPr>
            <w:tcW w:w="1520" w:type="dxa"/>
            <w:tcBorders>
              <w:top w:val="nil"/>
              <w:left w:val="nil"/>
              <w:bottom w:val="single" w:sz="4" w:space="0" w:color="auto"/>
              <w:right w:val="single" w:sz="4" w:space="0" w:color="auto"/>
            </w:tcBorders>
            <w:shd w:val="clear" w:color="auto" w:fill="C4EFCE"/>
            <w:vAlign w:val="center"/>
            <w:hideMark/>
          </w:tcPr>
          <w:p w14:paraId="7C053785"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F2FEF83" w14:textId="77777777" w:rsidR="00154AD2" w:rsidRDefault="007F6BF3">
            <w:pPr>
              <w:pStyle w:val="P68B1DB1-Normal23"/>
              <w:spacing w:after="0"/>
              <w:jc w:val="both"/>
              <w:rPr>
                <w:rFonts w:eastAsia="Calibri" w:cs="Calibri"/>
                <w:noProof/>
              </w:rPr>
            </w:pPr>
            <w:r>
              <w:rPr>
                <w:noProof/>
              </w:rPr>
              <w:t>Έναρξη της πρώτης δημοπρασίας κεντρικής αγοράς βιώσιμου βιομεθανίου</w:t>
            </w:r>
          </w:p>
        </w:tc>
      </w:tr>
      <w:tr w:rsidR="00154AD2" w14:paraId="08D90CD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B190E7F" w14:textId="77777777" w:rsidR="00154AD2" w:rsidRDefault="007F6BF3">
            <w:pPr>
              <w:pStyle w:val="P68B1DB1-Normal23"/>
              <w:spacing w:after="0"/>
              <w:jc w:val="center"/>
              <w:rPr>
                <w:rFonts w:eastAsia="Calibri" w:cs="Calibri"/>
                <w:noProof/>
              </w:rPr>
            </w:pPr>
            <w:r>
              <w:rPr>
                <w:noProof/>
              </w:rPr>
              <w:t>21.20</w:t>
            </w:r>
          </w:p>
        </w:tc>
        <w:tc>
          <w:tcPr>
            <w:tcW w:w="1760" w:type="dxa"/>
            <w:tcBorders>
              <w:top w:val="nil"/>
              <w:left w:val="nil"/>
              <w:bottom w:val="single" w:sz="4" w:space="0" w:color="auto"/>
              <w:right w:val="single" w:sz="4" w:space="0" w:color="auto"/>
            </w:tcBorders>
            <w:shd w:val="clear" w:color="auto" w:fill="C4EFCE"/>
            <w:vAlign w:val="center"/>
            <w:hideMark/>
          </w:tcPr>
          <w:p w14:paraId="1B4E0D2F" w14:textId="42ABC8CD" w:rsidR="00154AD2" w:rsidRDefault="007F6BF3">
            <w:pPr>
              <w:pStyle w:val="P68B1DB1-Normal23"/>
              <w:spacing w:after="0"/>
              <w:jc w:val="center"/>
              <w:rPr>
                <w:rFonts w:eastAsia="Calibri" w:cs="Calibri"/>
                <w:noProof/>
              </w:rPr>
            </w:pPr>
            <w:r>
              <w:rPr>
                <w:noProof/>
              </w:rPr>
              <w:t>RP-C21-r48</w:t>
            </w:r>
          </w:p>
        </w:tc>
        <w:tc>
          <w:tcPr>
            <w:tcW w:w="1520" w:type="dxa"/>
            <w:tcBorders>
              <w:top w:val="nil"/>
              <w:left w:val="nil"/>
              <w:bottom w:val="single" w:sz="4" w:space="0" w:color="auto"/>
              <w:right w:val="single" w:sz="4" w:space="0" w:color="auto"/>
            </w:tcBorders>
            <w:shd w:val="clear" w:color="auto" w:fill="C4EFCE"/>
            <w:vAlign w:val="center"/>
            <w:hideMark/>
          </w:tcPr>
          <w:p w14:paraId="1C5C7EE5"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37CE139" w14:textId="77777777" w:rsidR="00154AD2" w:rsidRDefault="007F6BF3">
            <w:pPr>
              <w:pStyle w:val="P68B1DB1-Normal23"/>
              <w:spacing w:after="0"/>
              <w:jc w:val="both"/>
              <w:rPr>
                <w:rFonts w:eastAsia="Calibri" w:cs="Calibri"/>
                <w:noProof/>
              </w:rPr>
            </w:pPr>
            <w:r>
              <w:rPr>
                <w:noProof/>
              </w:rPr>
              <w:t>Εγκατάσταση του συνδυασμού 2030</w:t>
            </w:r>
          </w:p>
        </w:tc>
      </w:tr>
      <w:tr w:rsidR="00154AD2" w14:paraId="4DEAB17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9CF6D3B" w14:textId="77777777" w:rsidR="00154AD2" w:rsidRDefault="007F6BF3">
            <w:pPr>
              <w:pStyle w:val="P68B1DB1-Normal23"/>
              <w:spacing w:after="0"/>
              <w:jc w:val="center"/>
              <w:rPr>
                <w:rFonts w:eastAsia="Calibri" w:cs="Calibri"/>
                <w:noProof/>
              </w:rPr>
            </w:pPr>
            <w:r>
              <w:rPr>
                <w:noProof/>
              </w:rPr>
              <w:t>21.21</w:t>
            </w:r>
          </w:p>
        </w:tc>
        <w:tc>
          <w:tcPr>
            <w:tcW w:w="1760" w:type="dxa"/>
            <w:tcBorders>
              <w:top w:val="nil"/>
              <w:left w:val="nil"/>
              <w:bottom w:val="single" w:sz="4" w:space="0" w:color="auto"/>
              <w:right w:val="single" w:sz="4" w:space="0" w:color="auto"/>
            </w:tcBorders>
            <w:shd w:val="clear" w:color="auto" w:fill="C4EFCE"/>
            <w:vAlign w:val="center"/>
            <w:hideMark/>
          </w:tcPr>
          <w:p w14:paraId="759E15F8" w14:textId="0BC1ACC6" w:rsidR="00154AD2" w:rsidRDefault="007F6BF3">
            <w:pPr>
              <w:pStyle w:val="P68B1DB1-Normal23"/>
              <w:spacing w:after="0"/>
              <w:jc w:val="center"/>
              <w:rPr>
                <w:rFonts w:eastAsia="Calibri" w:cs="Calibri"/>
                <w:noProof/>
              </w:rPr>
            </w:pPr>
            <w:r>
              <w:rPr>
                <w:noProof/>
              </w:rPr>
              <w:t>RP-C21-r48</w:t>
            </w:r>
          </w:p>
        </w:tc>
        <w:tc>
          <w:tcPr>
            <w:tcW w:w="1520" w:type="dxa"/>
            <w:tcBorders>
              <w:top w:val="nil"/>
              <w:left w:val="nil"/>
              <w:bottom w:val="single" w:sz="4" w:space="0" w:color="auto"/>
              <w:right w:val="single" w:sz="4" w:space="0" w:color="auto"/>
            </w:tcBorders>
            <w:shd w:val="clear" w:color="auto" w:fill="C4EFCE"/>
            <w:vAlign w:val="center"/>
            <w:hideMark/>
          </w:tcPr>
          <w:p w14:paraId="4CBDCB5F"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82FD427" w14:textId="77777777" w:rsidR="00154AD2" w:rsidRDefault="007F6BF3">
            <w:pPr>
              <w:pStyle w:val="P68B1DB1-Normal23"/>
              <w:spacing w:after="0"/>
              <w:jc w:val="both"/>
              <w:rPr>
                <w:rFonts w:eastAsia="Calibri" w:cs="Calibri"/>
                <w:noProof/>
              </w:rPr>
            </w:pPr>
            <w:r>
              <w:rPr>
                <w:noProof/>
              </w:rPr>
              <w:t>Έναρξη ισχύος του κανονισμού για τη χορήγηση δημοτικών αδειών σε έργα ανανεώσιμης ενέργειας και αποθήκευσης</w:t>
            </w:r>
          </w:p>
        </w:tc>
      </w:tr>
      <w:tr w:rsidR="00154AD2" w14:paraId="544DFB9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FA5E44A" w14:textId="77777777" w:rsidR="00154AD2" w:rsidRDefault="007F6BF3">
            <w:pPr>
              <w:pStyle w:val="P68B1DB1-Normal23"/>
              <w:spacing w:after="0"/>
              <w:jc w:val="center"/>
              <w:rPr>
                <w:rFonts w:eastAsia="Calibri" w:cs="Calibri"/>
                <w:noProof/>
              </w:rPr>
            </w:pPr>
            <w:r>
              <w:rPr>
                <w:noProof/>
              </w:rPr>
              <w:t>21.24</w:t>
            </w:r>
          </w:p>
        </w:tc>
        <w:tc>
          <w:tcPr>
            <w:tcW w:w="1760" w:type="dxa"/>
            <w:tcBorders>
              <w:top w:val="nil"/>
              <w:left w:val="nil"/>
              <w:bottom w:val="single" w:sz="4" w:space="0" w:color="auto"/>
              <w:right w:val="single" w:sz="4" w:space="0" w:color="auto"/>
            </w:tcBorders>
            <w:shd w:val="clear" w:color="auto" w:fill="C4EFCE"/>
            <w:vAlign w:val="center"/>
            <w:hideMark/>
          </w:tcPr>
          <w:p w14:paraId="5A33B31D" w14:textId="1FC01E9E" w:rsidR="00154AD2" w:rsidRDefault="007F6BF3">
            <w:pPr>
              <w:pStyle w:val="P68B1DB1-Normal23"/>
              <w:spacing w:after="0"/>
              <w:jc w:val="center"/>
              <w:rPr>
                <w:rFonts w:eastAsia="Calibri" w:cs="Calibri"/>
                <w:noProof/>
              </w:rPr>
            </w:pPr>
            <w:r>
              <w:rPr>
                <w:noProof/>
              </w:rPr>
              <w:t>RP-C21-i06</w:t>
            </w:r>
          </w:p>
        </w:tc>
        <w:tc>
          <w:tcPr>
            <w:tcW w:w="1520" w:type="dxa"/>
            <w:tcBorders>
              <w:top w:val="nil"/>
              <w:left w:val="nil"/>
              <w:bottom w:val="single" w:sz="4" w:space="0" w:color="auto"/>
              <w:right w:val="single" w:sz="4" w:space="0" w:color="auto"/>
            </w:tcBorders>
            <w:shd w:val="clear" w:color="auto" w:fill="C4EFCE"/>
            <w:vAlign w:val="center"/>
            <w:hideMark/>
          </w:tcPr>
          <w:p w14:paraId="0C6B3D46"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91A62D3" w14:textId="77777777" w:rsidR="00154AD2" w:rsidRDefault="007F6BF3">
            <w:pPr>
              <w:pStyle w:val="P68B1DB1-Normal23"/>
              <w:spacing w:after="0"/>
              <w:jc w:val="both"/>
              <w:rPr>
                <w:rFonts w:eastAsia="Calibri" w:cs="Calibri"/>
                <w:noProof/>
              </w:rPr>
            </w:pPr>
            <w:r>
              <w:rPr>
                <w:noProof/>
              </w:rPr>
              <w:t>Πρόσκληση υποβολής προσφορών για έργα παραγωγής αερίου από ανανεώσιμες πηγές</w:t>
            </w:r>
          </w:p>
        </w:tc>
      </w:tr>
      <w:tr w:rsidR="00154AD2" w14:paraId="449FA24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EB8A505" w14:textId="77777777" w:rsidR="00154AD2" w:rsidRDefault="007F6BF3">
            <w:pPr>
              <w:pStyle w:val="P68B1DB1-Normal23"/>
              <w:spacing w:after="0"/>
              <w:jc w:val="center"/>
              <w:rPr>
                <w:rFonts w:eastAsia="Calibri" w:cs="Calibri"/>
                <w:noProof/>
              </w:rPr>
            </w:pPr>
            <w:r>
              <w:rPr>
                <w:noProof/>
              </w:rPr>
              <w:t xml:space="preserve"> </w:t>
            </w:r>
          </w:p>
        </w:tc>
        <w:tc>
          <w:tcPr>
            <w:tcW w:w="1760" w:type="dxa"/>
            <w:tcBorders>
              <w:top w:val="nil"/>
              <w:left w:val="nil"/>
              <w:bottom w:val="single" w:sz="4" w:space="0" w:color="auto"/>
              <w:right w:val="single" w:sz="4" w:space="0" w:color="auto"/>
            </w:tcBorders>
            <w:shd w:val="clear" w:color="auto" w:fill="C4EFCE"/>
            <w:vAlign w:val="center"/>
            <w:hideMark/>
          </w:tcPr>
          <w:p w14:paraId="1C9F8543" w14:textId="77777777" w:rsidR="00154AD2" w:rsidRDefault="007F6BF3">
            <w:pPr>
              <w:pStyle w:val="P68B1DB1-Normal23"/>
              <w:spacing w:after="0"/>
              <w:jc w:val="center"/>
              <w:rPr>
                <w:rFonts w:eastAsia="Calibri" w:cs="Calibri"/>
                <w:noProof/>
              </w:rPr>
            </w:pPr>
            <w:r>
              <w:rPr>
                <w:noProof/>
              </w:rPr>
              <w:t xml:space="preserve">  </w:t>
            </w:r>
          </w:p>
        </w:tc>
        <w:tc>
          <w:tcPr>
            <w:tcW w:w="1520" w:type="dxa"/>
            <w:tcBorders>
              <w:top w:val="nil"/>
              <w:left w:val="nil"/>
              <w:bottom w:val="single" w:sz="4" w:space="0" w:color="auto"/>
              <w:right w:val="single" w:sz="4" w:space="0" w:color="auto"/>
            </w:tcBorders>
            <w:shd w:val="clear" w:color="auto" w:fill="C4EFCE"/>
            <w:vAlign w:val="center"/>
            <w:hideMark/>
          </w:tcPr>
          <w:p w14:paraId="2EC82A04" w14:textId="77777777" w:rsidR="00154AD2" w:rsidRDefault="007F6BF3">
            <w:pPr>
              <w:pStyle w:val="P68B1DB1-Normal23"/>
              <w:spacing w:after="0"/>
              <w:jc w:val="center"/>
              <w:rPr>
                <w:rFonts w:eastAsia="Calibri" w:cs="Calibri"/>
                <w:noProof/>
              </w:rPr>
            </w:pPr>
            <w:r>
              <w:rPr>
                <w:noProof/>
              </w:rPr>
              <w:t xml:space="preserve">Ποσό δόσης </w:t>
            </w:r>
          </w:p>
        </w:tc>
        <w:tc>
          <w:tcPr>
            <w:tcW w:w="5060" w:type="dxa"/>
            <w:tcBorders>
              <w:top w:val="nil"/>
              <w:left w:val="nil"/>
              <w:bottom w:val="single" w:sz="4" w:space="0" w:color="auto"/>
              <w:right w:val="single" w:sz="4" w:space="0" w:color="auto"/>
            </w:tcBorders>
            <w:shd w:val="clear" w:color="auto" w:fill="C4EFCE"/>
            <w:vAlign w:val="center"/>
            <w:hideMark/>
          </w:tcPr>
          <w:p w14:paraId="5000AAA7" w14:textId="4A9A28C1" w:rsidR="00154AD2" w:rsidRDefault="007F6BF3">
            <w:pPr>
              <w:pStyle w:val="P68B1DB1-Normal25"/>
              <w:spacing w:after="0"/>
              <w:jc w:val="center"/>
              <w:rPr>
                <w:rFonts w:eastAsia="Calibri" w:cs="Calibri"/>
                <w:noProof/>
                <w:sz w:val="18"/>
              </w:rPr>
            </w:pPr>
            <w:r>
              <w:rPr>
                <w:noProof/>
              </w:rPr>
              <w:t xml:space="preserve">1 877 616 715 EUR </w:t>
            </w:r>
          </w:p>
        </w:tc>
      </w:tr>
    </w:tbl>
    <w:p w14:paraId="3B218749" w14:textId="77777777" w:rsidR="00154AD2" w:rsidRDefault="00154AD2">
      <w:pPr>
        <w:rPr>
          <w:noProof/>
          <w:sz w:val="18"/>
        </w:rPr>
      </w:pPr>
    </w:p>
    <w:p w14:paraId="104FE146" w14:textId="77777777" w:rsidR="00154AD2" w:rsidRDefault="007F6BF3">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Έκτο αίτημα πληρωμής (μη επιστρεπτέα στήριξη): </w:t>
      </w:r>
    </w:p>
    <w:p w14:paraId="63820787" w14:textId="77777777" w:rsidR="00154AD2" w:rsidRDefault="00154AD2">
      <w:pPr>
        <w:keepNext/>
        <w:spacing w:before="40" w:after="160" w:line="259" w:lineRule="auto"/>
        <w:contextualSpacing/>
        <w:jc w:val="both"/>
        <w:rPr>
          <w:rFonts w:ascii="Times New Roman" w:eastAsiaTheme="minorEastAsia" w:hAnsi="Times New Roman" w:cs="Times New Roman"/>
          <w:noProof/>
          <w:sz w:val="18"/>
        </w:rPr>
      </w:pPr>
    </w:p>
    <w:tbl>
      <w:tblPr>
        <w:tblW w:w="9540" w:type="dxa"/>
        <w:tblInd w:w="113" w:type="dxa"/>
        <w:tblLook w:val="04A0" w:firstRow="1" w:lastRow="0" w:firstColumn="1" w:lastColumn="0" w:noHBand="0" w:noVBand="1"/>
      </w:tblPr>
      <w:tblGrid>
        <w:gridCol w:w="1174"/>
        <w:gridCol w:w="1728"/>
        <w:gridCol w:w="1525"/>
        <w:gridCol w:w="4891"/>
        <w:gridCol w:w="222"/>
      </w:tblGrid>
      <w:tr w:rsidR="00154AD2" w14:paraId="5C1078BA" w14:textId="77777777">
        <w:trPr>
          <w:trHeight w:val="1065"/>
          <w:tblHeader/>
        </w:trPr>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hideMark/>
          </w:tcPr>
          <w:p w14:paraId="0E67C2BA" w14:textId="77777777" w:rsidR="00154AD2" w:rsidRDefault="007F6BF3">
            <w:pPr>
              <w:pStyle w:val="P68B1DB1-Normal6"/>
              <w:spacing w:after="0" w:line="240" w:lineRule="auto"/>
              <w:jc w:val="center"/>
              <w:rPr>
                <w:rFonts w:eastAsia="Times New Roman" w:cs="Times New Roman"/>
                <w:noProof/>
              </w:rPr>
            </w:pPr>
            <w:r>
              <w:rPr>
                <w:noProof/>
              </w:rPr>
              <w:t>Αύξων αριθμός</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hideMark/>
          </w:tcPr>
          <w:p w14:paraId="3DA616A3" w14:textId="77777777" w:rsidR="00154AD2" w:rsidRDefault="007F6BF3">
            <w:pPr>
              <w:pStyle w:val="P68B1DB1-Normal6"/>
              <w:spacing w:after="0" w:line="240" w:lineRule="auto"/>
              <w:jc w:val="center"/>
              <w:rPr>
                <w:rFonts w:eastAsia="Times New Roman" w:cs="Times New Roman"/>
                <w:noProof/>
              </w:rPr>
            </w:pPr>
            <w:r>
              <w:rPr>
                <w:noProof/>
              </w:rPr>
              <w:t>Σχετικό μέτρο (μεταρρύθμιση ή επένδυση)</w:t>
            </w:r>
          </w:p>
        </w:tc>
        <w:tc>
          <w:tcPr>
            <w:tcW w:w="14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hideMark/>
          </w:tcPr>
          <w:p w14:paraId="27BF467B" w14:textId="77777777" w:rsidR="00154AD2" w:rsidRDefault="007F6BF3">
            <w:pPr>
              <w:pStyle w:val="P68B1DB1-Normal6"/>
              <w:spacing w:after="0" w:line="240" w:lineRule="auto"/>
              <w:jc w:val="center"/>
              <w:rPr>
                <w:rFonts w:eastAsia="Times New Roman" w:cs="Times New Roman"/>
                <w:noProof/>
              </w:rPr>
            </w:pPr>
            <w:r>
              <w:rPr>
                <w:noProof/>
              </w:rPr>
              <w:t>Ορόσημο/Στόχος</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hideMark/>
          </w:tcPr>
          <w:p w14:paraId="6FFF994C" w14:textId="77777777" w:rsidR="00154AD2" w:rsidRDefault="007F6BF3">
            <w:pPr>
              <w:pStyle w:val="P68B1DB1-Normal6"/>
              <w:spacing w:after="0" w:line="240" w:lineRule="auto"/>
              <w:jc w:val="center"/>
              <w:rPr>
                <w:rFonts w:eastAsia="Times New Roman" w:cs="Times New Roman"/>
                <w:noProof/>
              </w:rPr>
            </w:pPr>
            <w:r>
              <w:rPr>
                <w:noProof/>
              </w:rPr>
              <w:t>Όνομα</w:t>
            </w:r>
          </w:p>
        </w:tc>
        <w:tc>
          <w:tcPr>
            <w:tcW w:w="0" w:type="auto"/>
          </w:tcPr>
          <w:p w14:paraId="3BA8F6CA" w14:textId="77777777" w:rsidR="00154AD2" w:rsidRDefault="00154AD2">
            <w:pPr>
              <w:spacing w:after="0" w:line="240" w:lineRule="auto"/>
              <w:rPr>
                <w:noProof/>
                <w:sz w:val="18"/>
              </w:rPr>
            </w:pPr>
          </w:p>
        </w:tc>
      </w:tr>
      <w:tr w:rsidR="00154AD2" w14:paraId="40A55A26" w14:textId="77777777">
        <w:trPr>
          <w:gridAfter w:val="1"/>
          <w:trHeight w:val="440"/>
        </w:trPr>
        <w:tc>
          <w:tcPr>
            <w:tcW w:w="1177" w:type="dxa"/>
            <w:tcBorders>
              <w:top w:val="nil"/>
              <w:left w:val="single" w:sz="4" w:space="0" w:color="000000" w:themeColor="text1"/>
              <w:bottom w:val="single" w:sz="4" w:space="0" w:color="000000" w:themeColor="text1"/>
              <w:right w:val="single" w:sz="4" w:space="0" w:color="000000" w:themeColor="text1"/>
            </w:tcBorders>
            <w:shd w:val="clear" w:color="auto" w:fill="C4EFCE"/>
            <w:vAlign w:val="center"/>
            <w:hideMark/>
          </w:tcPr>
          <w:p w14:paraId="7EF44D23" w14:textId="77777777" w:rsidR="00154AD2" w:rsidRDefault="007F6BF3">
            <w:pPr>
              <w:pStyle w:val="P68B1DB1-Normal23"/>
              <w:spacing w:after="0"/>
              <w:jc w:val="center"/>
              <w:rPr>
                <w:rFonts w:eastAsia="Calibri" w:cs="Calibri"/>
                <w:noProof/>
              </w:rPr>
            </w:pPr>
            <w:r>
              <w:rPr>
                <w:noProof/>
              </w:rPr>
              <w:t>1.7</w:t>
            </w:r>
          </w:p>
        </w:tc>
        <w:tc>
          <w:tcPr>
            <w:tcW w:w="1731" w:type="dxa"/>
            <w:tcBorders>
              <w:top w:val="nil"/>
              <w:left w:val="nil"/>
              <w:bottom w:val="single" w:sz="4" w:space="0" w:color="000000" w:themeColor="text1"/>
              <w:right w:val="single" w:sz="4" w:space="0" w:color="000000" w:themeColor="text1"/>
            </w:tcBorders>
            <w:shd w:val="clear" w:color="auto" w:fill="C4EFCE"/>
            <w:vAlign w:val="center"/>
            <w:hideMark/>
          </w:tcPr>
          <w:p w14:paraId="7D40222F" w14:textId="77777777" w:rsidR="00154AD2" w:rsidRDefault="007F6BF3">
            <w:pPr>
              <w:pStyle w:val="P68B1DB1-Normal23"/>
              <w:spacing w:after="0"/>
              <w:jc w:val="center"/>
              <w:rPr>
                <w:rFonts w:eastAsia="Calibri" w:cs="Calibri"/>
                <w:noProof/>
              </w:rPr>
            </w:pPr>
            <w:r>
              <w:rPr>
                <w:noProof/>
              </w:rPr>
              <w:t xml:space="preserve">RE-C01-r03  </w:t>
            </w:r>
          </w:p>
        </w:tc>
        <w:tc>
          <w:tcPr>
            <w:tcW w:w="1491" w:type="dxa"/>
            <w:tcBorders>
              <w:top w:val="nil"/>
              <w:left w:val="nil"/>
              <w:bottom w:val="single" w:sz="4" w:space="0" w:color="000000" w:themeColor="text1"/>
              <w:right w:val="single" w:sz="4" w:space="0" w:color="000000" w:themeColor="text1"/>
            </w:tcBorders>
            <w:shd w:val="clear" w:color="auto" w:fill="C4EFCE"/>
            <w:vAlign w:val="center"/>
            <w:hideMark/>
          </w:tcPr>
          <w:p w14:paraId="206C69A0" w14:textId="77777777" w:rsidR="00154AD2" w:rsidRDefault="007F6BF3">
            <w:pPr>
              <w:pStyle w:val="P68B1DB1-Normal23"/>
              <w:spacing w:after="0"/>
              <w:jc w:val="center"/>
              <w:rPr>
                <w:rFonts w:eastAsia="Calibri" w:cs="Calibri"/>
                <w:noProof/>
              </w:rPr>
            </w:pPr>
            <w:r>
              <w:rPr>
                <w:noProof/>
              </w:rPr>
              <w:t>M</w:t>
            </w:r>
          </w:p>
        </w:tc>
        <w:tc>
          <w:tcPr>
            <w:tcW w:w="4919" w:type="dxa"/>
            <w:tcBorders>
              <w:top w:val="nil"/>
              <w:left w:val="nil"/>
              <w:bottom w:val="single" w:sz="4" w:space="0" w:color="000000" w:themeColor="text1"/>
              <w:right w:val="single" w:sz="4" w:space="0" w:color="000000" w:themeColor="text1"/>
            </w:tcBorders>
            <w:shd w:val="clear" w:color="auto" w:fill="C4EFCE"/>
            <w:vAlign w:val="center"/>
            <w:hideMark/>
          </w:tcPr>
          <w:p w14:paraId="7A1CDF09" w14:textId="77777777" w:rsidR="00154AD2" w:rsidRDefault="007F6BF3">
            <w:pPr>
              <w:pStyle w:val="P68B1DB1-Normal23"/>
              <w:spacing w:after="0"/>
              <w:jc w:val="both"/>
              <w:rPr>
                <w:rFonts w:eastAsia="Calibri" w:cs="Calibri"/>
                <w:noProof/>
              </w:rPr>
            </w:pPr>
            <w:r>
              <w:rPr>
                <w:noProof/>
              </w:rPr>
              <w:t>Έναρξη ισχύος του νέου διαχειριστικού λογιστικού σχεδίου του Εθνικού Συστήματος Υγείας</w:t>
            </w:r>
          </w:p>
        </w:tc>
      </w:tr>
      <w:tr w:rsidR="00154AD2" w14:paraId="66751B46" w14:textId="77777777">
        <w:trPr>
          <w:trHeight w:val="440"/>
        </w:trPr>
        <w:tc>
          <w:tcPr>
            <w:tcW w:w="1177" w:type="dxa"/>
            <w:tcBorders>
              <w:top w:val="nil"/>
              <w:left w:val="single" w:sz="4" w:space="0" w:color="000000" w:themeColor="text1"/>
              <w:bottom w:val="single" w:sz="4" w:space="0" w:color="000000" w:themeColor="text1"/>
              <w:right w:val="single" w:sz="4" w:space="0" w:color="000000" w:themeColor="text1"/>
            </w:tcBorders>
            <w:shd w:val="clear" w:color="auto" w:fill="C4EFCE"/>
            <w:vAlign w:val="center"/>
            <w:hideMark/>
          </w:tcPr>
          <w:p w14:paraId="228043A4" w14:textId="77777777" w:rsidR="00154AD2" w:rsidRDefault="007F6BF3">
            <w:pPr>
              <w:pStyle w:val="P68B1DB1-Normal23"/>
              <w:spacing w:after="0"/>
              <w:jc w:val="center"/>
              <w:rPr>
                <w:rFonts w:eastAsia="Calibri" w:cs="Calibri"/>
                <w:noProof/>
              </w:rPr>
            </w:pPr>
            <w:r>
              <w:rPr>
                <w:noProof/>
              </w:rPr>
              <w:t>1.11</w:t>
            </w:r>
          </w:p>
        </w:tc>
        <w:tc>
          <w:tcPr>
            <w:tcW w:w="1731" w:type="dxa"/>
            <w:tcBorders>
              <w:top w:val="nil"/>
              <w:left w:val="nil"/>
              <w:bottom w:val="single" w:sz="4" w:space="0" w:color="000000" w:themeColor="text1"/>
              <w:right w:val="single" w:sz="4" w:space="0" w:color="000000" w:themeColor="text1"/>
            </w:tcBorders>
            <w:shd w:val="clear" w:color="auto" w:fill="C4EFCE"/>
            <w:vAlign w:val="center"/>
            <w:hideMark/>
          </w:tcPr>
          <w:p w14:paraId="2DAFAA45" w14:textId="77777777" w:rsidR="00154AD2" w:rsidRDefault="007F6BF3">
            <w:pPr>
              <w:pStyle w:val="P68B1DB1-Normal23"/>
              <w:spacing w:after="0"/>
              <w:jc w:val="center"/>
              <w:rPr>
                <w:rFonts w:eastAsia="Calibri" w:cs="Calibri"/>
                <w:noProof/>
              </w:rPr>
            </w:pPr>
            <w:r>
              <w:rPr>
                <w:noProof/>
              </w:rPr>
              <w:t xml:space="preserve">RE-C01-r03  </w:t>
            </w:r>
          </w:p>
        </w:tc>
        <w:tc>
          <w:tcPr>
            <w:tcW w:w="1491" w:type="dxa"/>
            <w:tcBorders>
              <w:top w:val="nil"/>
              <w:left w:val="nil"/>
              <w:bottom w:val="single" w:sz="4" w:space="0" w:color="000000" w:themeColor="text1"/>
              <w:right w:val="single" w:sz="4" w:space="0" w:color="000000" w:themeColor="text1"/>
            </w:tcBorders>
            <w:shd w:val="clear" w:color="auto" w:fill="C4EFCE"/>
            <w:vAlign w:val="center"/>
            <w:hideMark/>
          </w:tcPr>
          <w:p w14:paraId="4723DBAD" w14:textId="77777777" w:rsidR="00154AD2" w:rsidRDefault="007F6BF3">
            <w:pPr>
              <w:pStyle w:val="P68B1DB1-Normal23"/>
              <w:spacing w:after="0"/>
              <w:jc w:val="center"/>
              <w:rPr>
                <w:rFonts w:eastAsia="Calibri" w:cs="Calibri"/>
                <w:noProof/>
              </w:rPr>
            </w:pPr>
            <w:r>
              <w:rPr>
                <w:noProof/>
              </w:rPr>
              <w:t>M</w:t>
            </w:r>
          </w:p>
        </w:tc>
        <w:tc>
          <w:tcPr>
            <w:tcW w:w="4919" w:type="dxa"/>
            <w:tcBorders>
              <w:top w:val="nil"/>
              <w:left w:val="nil"/>
              <w:bottom w:val="single" w:sz="4" w:space="0" w:color="000000" w:themeColor="text1"/>
              <w:right w:val="single" w:sz="4" w:space="0" w:color="000000" w:themeColor="text1"/>
            </w:tcBorders>
            <w:shd w:val="clear" w:color="auto" w:fill="C4EFCE"/>
            <w:vAlign w:val="center"/>
            <w:hideMark/>
          </w:tcPr>
          <w:p w14:paraId="45AF680B" w14:textId="77777777" w:rsidR="00154AD2" w:rsidRDefault="007F6BF3">
            <w:pPr>
              <w:pStyle w:val="P68B1DB1-Normal23"/>
              <w:spacing w:after="0"/>
              <w:jc w:val="both"/>
              <w:rPr>
                <w:rFonts w:eastAsia="Calibri" w:cs="Calibri"/>
                <w:noProof/>
              </w:rPr>
            </w:pPr>
            <w:r>
              <w:rPr>
                <w:noProof/>
              </w:rPr>
              <w:t>Έναρξη ισχύος του σχεδίου δράσης για την ενίσχυση των κεντρικών μηχανισμών αγοράς φαρμάκων</w:t>
            </w:r>
          </w:p>
        </w:tc>
        <w:tc>
          <w:tcPr>
            <w:tcW w:w="0" w:type="auto"/>
          </w:tcPr>
          <w:p w14:paraId="753752EC" w14:textId="77777777" w:rsidR="00154AD2" w:rsidRDefault="00154AD2">
            <w:pPr>
              <w:spacing w:after="0" w:line="240" w:lineRule="auto"/>
              <w:rPr>
                <w:noProof/>
                <w:sz w:val="18"/>
              </w:rPr>
            </w:pPr>
          </w:p>
        </w:tc>
      </w:tr>
      <w:tr w:rsidR="00154AD2" w14:paraId="1808919D" w14:textId="77777777">
        <w:trPr>
          <w:gridAfter w:val="1"/>
          <w:trHeight w:val="440"/>
        </w:trPr>
        <w:tc>
          <w:tcPr>
            <w:tcW w:w="1177" w:type="dxa"/>
            <w:tcBorders>
              <w:top w:val="nil"/>
              <w:left w:val="single" w:sz="4" w:space="0" w:color="000000" w:themeColor="text1"/>
              <w:bottom w:val="single" w:sz="4" w:space="0" w:color="000000" w:themeColor="text1"/>
              <w:right w:val="single" w:sz="4" w:space="0" w:color="000000" w:themeColor="text1"/>
            </w:tcBorders>
            <w:shd w:val="clear" w:color="auto" w:fill="C4EFCE"/>
            <w:vAlign w:val="center"/>
            <w:hideMark/>
          </w:tcPr>
          <w:p w14:paraId="35A429DE" w14:textId="77777777" w:rsidR="00154AD2" w:rsidRDefault="007F6BF3">
            <w:pPr>
              <w:pStyle w:val="P68B1DB1-Normal23"/>
              <w:spacing w:after="0"/>
              <w:jc w:val="center"/>
              <w:rPr>
                <w:rFonts w:eastAsia="Calibri" w:cs="Calibri"/>
                <w:noProof/>
              </w:rPr>
            </w:pPr>
            <w:r>
              <w:rPr>
                <w:noProof/>
              </w:rPr>
              <w:t>1.22</w:t>
            </w:r>
          </w:p>
        </w:tc>
        <w:tc>
          <w:tcPr>
            <w:tcW w:w="1731" w:type="dxa"/>
            <w:tcBorders>
              <w:top w:val="nil"/>
              <w:left w:val="nil"/>
              <w:bottom w:val="single" w:sz="4" w:space="0" w:color="000000" w:themeColor="text1"/>
              <w:right w:val="single" w:sz="4" w:space="0" w:color="000000" w:themeColor="text1"/>
            </w:tcBorders>
            <w:shd w:val="clear" w:color="auto" w:fill="C4EFCE"/>
            <w:vAlign w:val="center"/>
            <w:hideMark/>
          </w:tcPr>
          <w:p w14:paraId="75E6F087" w14:textId="77777777" w:rsidR="00154AD2" w:rsidRDefault="007F6BF3">
            <w:pPr>
              <w:pStyle w:val="P68B1DB1-Normal23"/>
              <w:spacing w:after="0"/>
              <w:jc w:val="center"/>
              <w:rPr>
                <w:rFonts w:eastAsia="Calibri" w:cs="Calibri"/>
                <w:noProof/>
              </w:rPr>
            </w:pPr>
            <w:r>
              <w:rPr>
                <w:noProof/>
              </w:rPr>
              <w:t>RE-C01-i02</w:t>
            </w:r>
          </w:p>
        </w:tc>
        <w:tc>
          <w:tcPr>
            <w:tcW w:w="1491" w:type="dxa"/>
            <w:tcBorders>
              <w:top w:val="nil"/>
              <w:left w:val="nil"/>
              <w:bottom w:val="single" w:sz="4" w:space="0" w:color="000000" w:themeColor="text1"/>
              <w:right w:val="single" w:sz="4" w:space="0" w:color="000000" w:themeColor="text1"/>
            </w:tcBorders>
            <w:shd w:val="clear" w:color="auto" w:fill="C4EFCE"/>
            <w:vAlign w:val="center"/>
            <w:hideMark/>
          </w:tcPr>
          <w:p w14:paraId="37A664CD" w14:textId="77777777" w:rsidR="00154AD2" w:rsidRDefault="007F6BF3">
            <w:pPr>
              <w:pStyle w:val="P68B1DB1-Normal23"/>
              <w:spacing w:after="0"/>
              <w:jc w:val="center"/>
              <w:rPr>
                <w:rFonts w:eastAsia="Calibri" w:cs="Calibri"/>
                <w:noProof/>
              </w:rPr>
            </w:pPr>
            <w:r>
              <w:rPr>
                <w:noProof/>
              </w:rPr>
              <w:t>T</w:t>
            </w:r>
          </w:p>
        </w:tc>
        <w:tc>
          <w:tcPr>
            <w:tcW w:w="4919" w:type="dxa"/>
            <w:tcBorders>
              <w:top w:val="nil"/>
              <w:left w:val="nil"/>
              <w:bottom w:val="single" w:sz="4" w:space="0" w:color="000000" w:themeColor="text1"/>
              <w:right w:val="single" w:sz="4" w:space="0" w:color="000000" w:themeColor="text1"/>
            </w:tcBorders>
            <w:shd w:val="clear" w:color="auto" w:fill="C4EFCE"/>
            <w:vAlign w:val="center"/>
            <w:hideMark/>
          </w:tcPr>
          <w:p w14:paraId="0575ECC2" w14:textId="77777777" w:rsidR="00154AD2" w:rsidRDefault="007F6BF3">
            <w:pPr>
              <w:pStyle w:val="P68B1DB1-Normal23"/>
              <w:spacing w:after="0"/>
              <w:jc w:val="both"/>
              <w:rPr>
                <w:rFonts w:eastAsia="Calibri" w:cs="Calibri"/>
                <w:noProof/>
              </w:rPr>
            </w:pPr>
            <w:r>
              <w:rPr>
                <w:noProof/>
              </w:rPr>
              <w:t>Ενίσχυση της ικανότητας αντίδρασης των εθνικών δικτύων ολοκληρωμένων υπηρεσιών συνεχούς φροντίδας και παρηγορητικής φροντίδας στην κατ’ οίκον φροντίδα</w:t>
            </w:r>
          </w:p>
        </w:tc>
      </w:tr>
      <w:tr w:rsidR="00154AD2" w14:paraId="40001357" w14:textId="77777777">
        <w:trPr>
          <w:gridAfter w:val="1"/>
          <w:trHeight w:val="440"/>
        </w:trPr>
        <w:tc>
          <w:tcPr>
            <w:tcW w:w="1177" w:type="dxa"/>
            <w:tcBorders>
              <w:top w:val="nil"/>
              <w:left w:val="single" w:sz="4" w:space="0" w:color="000000" w:themeColor="text1"/>
              <w:bottom w:val="single" w:sz="4" w:space="0" w:color="000000" w:themeColor="text1"/>
              <w:right w:val="single" w:sz="4" w:space="0" w:color="000000" w:themeColor="text1"/>
            </w:tcBorders>
            <w:shd w:val="clear" w:color="auto" w:fill="C4EFCE"/>
            <w:vAlign w:val="center"/>
            <w:hideMark/>
          </w:tcPr>
          <w:p w14:paraId="1BC70449" w14:textId="77777777" w:rsidR="00154AD2" w:rsidRDefault="007F6BF3">
            <w:pPr>
              <w:pStyle w:val="P68B1DB1-Normal23"/>
              <w:spacing w:after="0"/>
              <w:jc w:val="center"/>
              <w:rPr>
                <w:rFonts w:eastAsia="Calibri" w:cs="Calibri"/>
                <w:noProof/>
              </w:rPr>
            </w:pPr>
            <w:r>
              <w:rPr>
                <w:noProof/>
              </w:rPr>
              <w:t>3.6</w:t>
            </w:r>
          </w:p>
        </w:tc>
        <w:tc>
          <w:tcPr>
            <w:tcW w:w="1731" w:type="dxa"/>
            <w:tcBorders>
              <w:top w:val="nil"/>
              <w:left w:val="nil"/>
              <w:bottom w:val="single" w:sz="4" w:space="0" w:color="000000" w:themeColor="text1"/>
              <w:right w:val="single" w:sz="4" w:space="0" w:color="000000" w:themeColor="text1"/>
            </w:tcBorders>
            <w:shd w:val="clear" w:color="auto" w:fill="C4EFCE"/>
            <w:vAlign w:val="center"/>
            <w:hideMark/>
          </w:tcPr>
          <w:p w14:paraId="3CFC2C9A" w14:textId="77777777" w:rsidR="00154AD2" w:rsidRDefault="007F6BF3">
            <w:pPr>
              <w:pStyle w:val="P68B1DB1-Normal23"/>
              <w:spacing w:after="0"/>
              <w:jc w:val="center"/>
              <w:rPr>
                <w:rFonts w:eastAsia="Calibri" w:cs="Calibri"/>
                <w:noProof/>
              </w:rPr>
            </w:pPr>
            <w:r>
              <w:rPr>
                <w:noProof/>
              </w:rPr>
              <w:t xml:space="preserve">RE-C01-i02  </w:t>
            </w:r>
          </w:p>
        </w:tc>
        <w:tc>
          <w:tcPr>
            <w:tcW w:w="1491" w:type="dxa"/>
            <w:tcBorders>
              <w:top w:val="nil"/>
              <w:left w:val="nil"/>
              <w:bottom w:val="single" w:sz="4" w:space="0" w:color="000000" w:themeColor="text1"/>
              <w:right w:val="single" w:sz="4" w:space="0" w:color="000000" w:themeColor="text1"/>
            </w:tcBorders>
            <w:shd w:val="clear" w:color="auto" w:fill="C4EFCE"/>
            <w:vAlign w:val="center"/>
            <w:hideMark/>
          </w:tcPr>
          <w:p w14:paraId="3147DFBF" w14:textId="77777777" w:rsidR="00154AD2" w:rsidRDefault="007F6BF3">
            <w:pPr>
              <w:pStyle w:val="P68B1DB1-Normal23"/>
              <w:spacing w:after="0"/>
              <w:jc w:val="center"/>
              <w:rPr>
                <w:rFonts w:eastAsia="Calibri" w:cs="Calibri"/>
                <w:noProof/>
              </w:rPr>
            </w:pPr>
            <w:r>
              <w:rPr>
                <w:noProof/>
              </w:rPr>
              <w:t>T</w:t>
            </w:r>
          </w:p>
        </w:tc>
        <w:tc>
          <w:tcPr>
            <w:tcW w:w="4919" w:type="dxa"/>
            <w:tcBorders>
              <w:top w:val="nil"/>
              <w:left w:val="nil"/>
              <w:bottom w:val="single" w:sz="4" w:space="0" w:color="000000" w:themeColor="text1"/>
              <w:right w:val="single" w:sz="4" w:space="0" w:color="000000" w:themeColor="text1"/>
            </w:tcBorders>
            <w:shd w:val="clear" w:color="auto" w:fill="C4EFCE"/>
            <w:vAlign w:val="center"/>
            <w:hideMark/>
          </w:tcPr>
          <w:p w14:paraId="2D5F6706" w14:textId="77777777" w:rsidR="00154AD2" w:rsidRDefault="007F6BF3">
            <w:pPr>
              <w:pStyle w:val="P68B1DB1-Normal23"/>
              <w:spacing w:after="0"/>
              <w:jc w:val="both"/>
              <w:rPr>
                <w:rFonts w:eastAsia="Calibri" w:cs="Calibri"/>
                <w:noProof/>
              </w:rPr>
            </w:pPr>
            <w:r>
              <w:rPr>
                <w:noProof/>
              </w:rPr>
              <w:t>Κατοικίες με βελτιωμένη προσβασιμότητα για άτομα μειωμένης κινητικότητας</w:t>
            </w:r>
          </w:p>
        </w:tc>
      </w:tr>
      <w:tr w:rsidR="00154AD2" w14:paraId="6146DE32" w14:textId="77777777">
        <w:trPr>
          <w:gridAfter w:val="1"/>
          <w:trHeight w:val="440"/>
        </w:trPr>
        <w:tc>
          <w:tcPr>
            <w:tcW w:w="1177" w:type="dxa"/>
            <w:tcBorders>
              <w:top w:val="nil"/>
              <w:left w:val="single" w:sz="4" w:space="0" w:color="000000" w:themeColor="text1"/>
              <w:bottom w:val="single" w:sz="4" w:space="0" w:color="000000" w:themeColor="text1"/>
              <w:right w:val="single" w:sz="4" w:space="0" w:color="000000" w:themeColor="text1"/>
            </w:tcBorders>
            <w:shd w:val="clear" w:color="auto" w:fill="C4EFCE"/>
            <w:vAlign w:val="center"/>
            <w:hideMark/>
          </w:tcPr>
          <w:p w14:paraId="5DF2D95B" w14:textId="77777777" w:rsidR="00154AD2" w:rsidRDefault="007F6BF3">
            <w:pPr>
              <w:pStyle w:val="P68B1DB1-Normal23"/>
              <w:spacing w:after="0"/>
              <w:jc w:val="center"/>
              <w:rPr>
                <w:rFonts w:eastAsia="Calibri" w:cs="Calibri"/>
                <w:noProof/>
              </w:rPr>
            </w:pPr>
            <w:r>
              <w:rPr>
                <w:noProof/>
              </w:rPr>
              <w:t>3.25</w:t>
            </w:r>
          </w:p>
        </w:tc>
        <w:tc>
          <w:tcPr>
            <w:tcW w:w="1731" w:type="dxa"/>
            <w:tcBorders>
              <w:top w:val="nil"/>
              <w:left w:val="nil"/>
              <w:bottom w:val="single" w:sz="4" w:space="0" w:color="000000" w:themeColor="text1"/>
              <w:right w:val="single" w:sz="4" w:space="0" w:color="000000" w:themeColor="text1"/>
            </w:tcBorders>
            <w:shd w:val="clear" w:color="auto" w:fill="C4EFCE"/>
            <w:vAlign w:val="center"/>
            <w:hideMark/>
          </w:tcPr>
          <w:p w14:paraId="48894F5A" w14:textId="77777777" w:rsidR="00154AD2" w:rsidRDefault="007F6BF3">
            <w:pPr>
              <w:pStyle w:val="P68B1DB1-Normal23"/>
              <w:spacing w:after="0"/>
              <w:jc w:val="center"/>
              <w:rPr>
                <w:rFonts w:eastAsia="Calibri" w:cs="Calibri"/>
                <w:noProof/>
              </w:rPr>
            </w:pPr>
            <w:r>
              <w:rPr>
                <w:noProof/>
              </w:rPr>
              <w:t>RE-C01-i06</w:t>
            </w:r>
          </w:p>
        </w:tc>
        <w:tc>
          <w:tcPr>
            <w:tcW w:w="1491" w:type="dxa"/>
            <w:tcBorders>
              <w:top w:val="nil"/>
              <w:left w:val="nil"/>
              <w:bottom w:val="single" w:sz="4" w:space="0" w:color="000000" w:themeColor="text1"/>
              <w:right w:val="single" w:sz="4" w:space="0" w:color="000000" w:themeColor="text1"/>
            </w:tcBorders>
            <w:shd w:val="clear" w:color="auto" w:fill="C4EFCE"/>
            <w:vAlign w:val="center"/>
            <w:hideMark/>
          </w:tcPr>
          <w:p w14:paraId="56B5FA9F" w14:textId="77777777" w:rsidR="00154AD2" w:rsidRDefault="007F6BF3">
            <w:pPr>
              <w:pStyle w:val="P68B1DB1-Normal23"/>
              <w:spacing w:after="0"/>
              <w:jc w:val="center"/>
              <w:rPr>
                <w:rFonts w:eastAsia="Calibri" w:cs="Calibri"/>
                <w:noProof/>
              </w:rPr>
            </w:pPr>
            <w:r>
              <w:rPr>
                <w:noProof/>
              </w:rPr>
              <w:t>M</w:t>
            </w:r>
          </w:p>
        </w:tc>
        <w:tc>
          <w:tcPr>
            <w:tcW w:w="4919" w:type="dxa"/>
            <w:tcBorders>
              <w:top w:val="nil"/>
              <w:left w:val="nil"/>
              <w:bottom w:val="single" w:sz="4" w:space="0" w:color="000000" w:themeColor="text1"/>
              <w:right w:val="single" w:sz="4" w:space="0" w:color="000000" w:themeColor="text1"/>
            </w:tcBorders>
            <w:shd w:val="clear" w:color="auto" w:fill="C4EFCE"/>
            <w:vAlign w:val="center"/>
            <w:hideMark/>
          </w:tcPr>
          <w:p w14:paraId="1E5C982E" w14:textId="77777777" w:rsidR="00154AD2" w:rsidRDefault="007F6BF3">
            <w:pPr>
              <w:pStyle w:val="P68B1DB1-Normal23"/>
              <w:spacing w:after="0"/>
              <w:jc w:val="both"/>
              <w:rPr>
                <w:rFonts w:eastAsia="Calibri" w:cs="Calibri"/>
                <w:noProof/>
              </w:rPr>
            </w:pPr>
            <w:r>
              <w:rPr>
                <w:noProof/>
              </w:rPr>
              <w:t>Δημοσίευση έκθεσης παρακολούθησης από τις μητροπολιτικές περιοχές του Πόρτο και της Λισαβόνας σχετικά με τα μέτρα που ελήφθησαν σε καθέναν από τους 12 τομείς παρέμβασης.</w:t>
            </w:r>
          </w:p>
        </w:tc>
      </w:tr>
      <w:tr w:rsidR="00154AD2" w14:paraId="0020D0F3"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76C71AEC" w14:textId="77777777" w:rsidR="00154AD2" w:rsidRDefault="007F6BF3">
            <w:pPr>
              <w:pStyle w:val="P68B1DB1-Normal23"/>
              <w:spacing w:after="0"/>
              <w:jc w:val="center"/>
              <w:rPr>
                <w:rFonts w:eastAsia="Calibri" w:cs="Calibri"/>
                <w:noProof/>
              </w:rPr>
            </w:pPr>
            <w:r>
              <w:rPr>
                <w:noProof/>
              </w:rPr>
              <w:t>5.33</w:t>
            </w:r>
          </w:p>
        </w:tc>
        <w:tc>
          <w:tcPr>
            <w:tcW w:w="1731" w:type="dxa"/>
            <w:tcBorders>
              <w:top w:val="nil"/>
              <w:left w:val="nil"/>
              <w:bottom w:val="single" w:sz="4" w:space="0" w:color="auto"/>
              <w:right w:val="single" w:sz="4" w:space="0" w:color="auto"/>
            </w:tcBorders>
            <w:shd w:val="clear" w:color="auto" w:fill="C4EFCE"/>
            <w:vAlign w:val="center"/>
            <w:hideMark/>
          </w:tcPr>
          <w:p w14:paraId="4F60CC1D" w14:textId="6EDC4274" w:rsidR="00154AD2" w:rsidRDefault="007F6BF3">
            <w:pPr>
              <w:pStyle w:val="P68B1DB1-Normal23"/>
              <w:spacing w:after="0"/>
              <w:jc w:val="center"/>
              <w:rPr>
                <w:rFonts w:eastAsia="Calibri" w:cs="Calibri"/>
                <w:noProof/>
              </w:rPr>
            </w:pPr>
            <w:r>
              <w:rPr>
                <w:noProof/>
              </w:rPr>
              <w:t xml:space="preserve">RE-C05-i07-RAM </w:t>
            </w:r>
          </w:p>
        </w:tc>
        <w:tc>
          <w:tcPr>
            <w:tcW w:w="1491" w:type="dxa"/>
            <w:tcBorders>
              <w:top w:val="nil"/>
              <w:left w:val="nil"/>
              <w:bottom w:val="single" w:sz="4" w:space="0" w:color="auto"/>
              <w:right w:val="single" w:sz="4" w:space="0" w:color="auto"/>
            </w:tcBorders>
            <w:shd w:val="clear" w:color="auto" w:fill="C4EFCE"/>
            <w:vAlign w:val="center"/>
            <w:hideMark/>
          </w:tcPr>
          <w:p w14:paraId="4F836274" w14:textId="77777777" w:rsidR="00154AD2" w:rsidRDefault="007F6BF3">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7E64E7E2" w14:textId="77777777" w:rsidR="00154AD2" w:rsidRDefault="007F6BF3">
            <w:pPr>
              <w:pStyle w:val="P68B1DB1-Normal23"/>
              <w:spacing w:after="0"/>
              <w:jc w:val="both"/>
              <w:rPr>
                <w:rFonts w:eastAsia="Calibri" w:cs="Calibri"/>
                <w:noProof/>
              </w:rPr>
            </w:pPr>
            <w:r>
              <w:rPr>
                <w:noProof/>
              </w:rPr>
              <w:t>Υπογραφή της συμφωνίας εφαρμογής (πρωτόκολλο) μεταξύ της Banco Português de Fomento, του Instituto de Desenvolvimento Empresarial και επιλεγμένων ενδιάμεσων χρηματοπιστωτικών οργανισμών</w:t>
            </w:r>
          </w:p>
        </w:tc>
      </w:tr>
      <w:tr w:rsidR="00154AD2" w14:paraId="30129324"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05FCB9E5" w14:textId="77777777" w:rsidR="00154AD2" w:rsidRDefault="007F6BF3">
            <w:pPr>
              <w:pStyle w:val="P68B1DB1-Normal23"/>
              <w:spacing w:after="0"/>
              <w:jc w:val="center"/>
              <w:rPr>
                <w:rFonts w:eastAsia="Calibri" w:cs="Calibri"/>
                <w:noProof/>
              </w:rPr>
            </w:pPr>
            <w:r>
              <w:rPr>
                <w:noProof/>
              </w:rPr>
              <w:t>8.21</w:t>
            </w:r>
          </w:p>
        </w:tc>
        <w:tc>
          <w:tcPr>
            <w:tcW w:w="1731" w:type="dxa"/>
            <w:tcBorders>
              <w:top w:val="nil"/>
              <w:left w:val="nil"/>
              <w:bottom w:val="single" w:sz="4" w:space="0" w:color="auto"/>
              <w:right w:val="single" w:sz="4" w:space="0" w:color="auto"/>
            </w:tcBorders>
            <w:shd w:val="clear" w:color="auto" w:fill="C4EFCE"/>
            <w:vAlign w:val="center"/>
            <w:hideMark/>
          </w:tcPr>
          <w:p w14:paraId="4B7441D6" w14:textId="77777777" w:rsidR="00154AD2" w:rsidRDefault="007F6BF3">
            <w:pPr>
              <w:pStyle w:val="P68B1DB1-Normal23"/>
              <w:spacing w:after="0"/>
              <w:jc w:val="center"/>
              <w:rPr>
                <w:rFonts w:eastAsia="Calibri" w:cs="Calibri"/>
                <w:noProof/>
              </w:rPr>
            </w:pPr>
            <w:r>
              <w:rPr>
                <w:noProof/>
              </w:rPr>
              <w:t>RE-C08-i05</w:t>
            </w:r>
          </w:p>
        </w:tc>
        <w:tc>
          <w:tcPr>
            <w:tcW w:w="1491" w:type="dxa"/>
            <w:tcBorders>
              <w:top w:val="nil"/>
              <w:left w:val="nil"/>
              <w:bottom w:val="single" w:sz="4" w:space="0" w:color="auto"/>
              <w:right w:val="single" w:sz="4" w:space="0" w:color="auto"/>
            </w:tcBorders>
            <w:shd w:val="clear" w:color="auto" w:fill="C4EFCE"/>
            <w:vAlign w:val="center"/>
            <w:hideMark/>
          </w:tcPr>
          <w:p w14:paraId="460E8712" w14:textId="77777777" w:rsidR="00154AD2" w:rsidRDefault="007F6BF3">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36608672" w14:textId="77777777" w:rsidR="00154AD2" w:rsidRDefault="007F6BF3">
            <w:pPr>
              <w:pStyle w:val="P68B1DB1-Normal23"/>
              <w:spacing w:after="0"/>
              <w:jc w:val="both"/>
              <w:rPr>
                <w:rFonts w:eastAsia="Calibri" w:cs="Calibri"/>
                <w:noProof/>
              </w:rPr>
            </w:pPr>
            <w:r>
              <w:rPr>
                <w:noProof/>
              </w:rPr>
              <w:t>Ανάπτυξη εκστρατείας ευαισθητοποίησης για την πρόληψη επικίνδυνων συμπεριφορών</w:t>
            </w:r>
          </w:p>
        </w:tc>
      </w:tr>
      <w:tr w:rsidR="00154AD2" w14:paraId="143CDEBF"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53A389BE" w14:textId="77777777" w:rsidR="00154AD2" w:rsidRDefault="007F6BF3">
            <w:pPr>
              <w:pStyle w:val="P68B1DB1-Normal23"/>
              <w:spacing w:after="0"/>
              <w:jc w:val="center"/>
              <w:rPr>
                <w:rFonts w:eastAsia="Calibri" w:cs="Calibri"/>
                <w:noProof/>
              </w:rPr>
            </w:pPr>
            <w:r>
              <w:rPr>
                <w:noProof/>
              </w:rPr>
              <w:t>10.13</w:t>
            </w:r>
          </w:p>
        </w:tc>
        <w:tc>
          <w:tcPr>
            <w:tcW w:w="1731" w:type="dxa"/>
            <w:tcBorders>
              <w:top w:val="nil"/>
              <w:left w:val="nil"/>
              <w:bottom w:val="single" w:sz="4" w:space="0" w:color="auto"/>
              <w:right w:val="single" w:sz="4" w:space="0" w:color="auto"/>
            </w:tcBorders>
            <w:shd w:val="clear" w:color="auto" w:fill="C4EFCE"/>
            <w:vAlign w:val="center"/>
            <w:hideMark/>
          </w:tcPr>
          <w:p w14:paraId="43E82AAB" w14:textId="5D3C7004" w:rsidR="00154AD2" w:rsidRDefault="007F6BF3">
            <w:pPr>
              <w:pStyle w:val="P68B1DB1-Normal23"/>
              <w:spacing w:after="0"/>
              <w:jc w:val="center"/>
              <w:rPr>
                <w:rFonts w:eastAsia="Calibri" w:cs="Calibri"/>
                <w:noProof/>
              </w:rPr>
            </w:pPr>
            <w:r>
              <w:rPr>
                <w:noProof/>
              </w:rPr>
              <w:t xml:space="preserve">TC-C10-i06-RAM </w:t>
            </w:r>
          </w:p>
        </w:tc>
        <w:tc>
          <w:tcPr>
            <w:tcW w:w="1491" w:type="dxa"/>
            <w:tcBorders>
              <w:top w:val="nil"/>
              <w:left w:val="nil"/>
              <w:bottom w:val="single" w:sz="4" w:space="0" w:color="auto"/>
              <w:right w:val="single" w:sz="4" w:space="0" w:color="auto"/>
            </w:tcBorders>
            <w:shd w:val="clear" w:color="auto" w:fill="C4EFCE"/>
            <w:vAlign w:val="center"/>
            <w:hideMark/>
          </w:tcPr>
          <w:p w14:paraId="3CB9CA7F" w14:textId="77777777" w:rsidR="00154AD2" w:rsidRDefault="007F6BF3">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3E9A44F3" w14:textId="77777777" w:rsidR="00154AD2" w:rsidRDefault="007F6BF3">
            <w:pPr>
              <w:pStyle w:val="P68B1DB1-Normal23"/>
              <w:spacing w:after="0"/>
              <w:jc w:val="both"/>
              <w:rPr>
                <w:rFonts w:eastAsia="Calibri" w:cs="Calibri"/>
                <w:noProof/>
              </w:rPr>
            </w:pPr>
            <w:r>
              <w:rPr>
                <w:noProof/>
              </w:rPr>
              <w:t>Υπογραφή σύμβασης για ερευνητικό σκάφος πολλαπλών χρήσεων</w:t>
            </w:r>
          </w:p>
        </w:tc>
        <w:tc>
          <w:tcPr>
            <w:tcW w:w="0" w:type="auto"/>
          </w:tcPr>
          <w:p w14:paraId="3F53FDD0" w14:textId="77777777" w:rsidR="00154AD2" w:rsidRDefault="00154AD2">
            <w:pPr>
              <w:spacing w:after="0" w:line="240" w:lineRule="auto"/>
              <w:rPr>
                <w:noProof/>
                <w:sz w:val="18"/>
              </w:rPr>
            </w:pPr>
          </w:p>
        </w:tc>
      </w:tr>
      <w:tr w:rsidR="00154AD2" w14:paraId="1B11DFC4"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7E39F21E" w14:textId="77777777" w:rsidR="00154AD2" w:rsidRDefault="007F6BF3">
            <w:pPr>
              <w:pStyle w:val="P68B1DB1-Normal23"/>
              <w:spacing w:after="0"/>
              <w:jc w:val="center"/>
              <w:rPr>
                <w:rFonts w:eastAsia="Calibri" w:cs="Calibri"/>
                <w:noProof/>
              </w:rPr>
            </w:pPr>
            <w:r>
              <w:rPr>
                <w:noProof/>
              </w:rPr>
              <w:t>13.1</w:t>
            </w:r>
          </w:p>
        </w:tc>
        <w:tc>
          <w:tcPr>
            <w:tcW w:w="1731" w:type="dxa"/>
            <w:tcBorders>
              <w:top w:val="nil"/>
              <w:left w:val="nil"/>
              <w:bottom w:val="single" w:sz="4" w:space="0" w:color="auto"/>
              <w:right w:val="single" w:sz="4" w:space="0" w:color="auto"/>
            </w:tcBorders>
            <w:shd w:val="clear" w:color="auto" w:fill="C4EFCE"/>
            <w:vAlign w:val="center"/>
            <w:hideMark/>
          </w:tcPr>
          <w:p w14:paraId="100A5399" w14:textId="77777777" w:rsidR="00154AD2" w:rsidRDefault="007F6BF3">
            <w:pPr>
              <w:pStyle w:val="P68B1DB1-Normal23"/>
              <w:spacing w:after="0"/>
              <w:jc w:val="center"/>
              <w:rPr>
                <w:rFonts w:eastAsia="Calibri" w:cs="Calibri"/>
                <w:noProof/>
              </w:rPr>
            </w:pPr>
            <w:r>
              <w:rPr>
                <w:noProof/>
              </w:rPr>
              <w:t xml:space="preserve">TC-C13-I01  </w:t>
            </w:r>
          </w:p>
        </w:tc>
        <w:tc>
          <w:tcPr>
            <w:tcW w:w="1491" w:type="dxa"/>
            <w:tcBorders>
              <w:top w:val="nil"/>
              <w:left w:val="nil"/>
              <w:bottom w:val="single" w:sz="4" w:space="0" w:color="auto"/>
              <w:right w:val="single" w:sz="4" w:space="0" w:color="auto"/>
            </w:tcBorders>
            <w:shd w:val="clear" w:color="auto" w:fill="C4EFCE"/>
            <w:vAlign w:val="center"/>
            <w:hideMark/>
          </w:tcPr>
          <w:p w14:paraId="7735E13B" w14:textId="77777777" w:rsidR="00154AD2" w:rsidRDefault="007F6BF3">
            <w:pPr>
              <w:pStyle w:val="P68B1DB1-Normal23"/>
              <w:spacing w:after="0"/>
              <w:jc w:val="center"/>
              <w:rPr>
                <w:rFonts w:eastAsia="Calibri" w:cs="Calibri"/>
                <w:noProof/>
              </w:rPr>
            </w:pPr>
            <w:r>
              <w:rPr>
                <w:noProof/>
              </w:rPr>
              <w:t>T</w:t>
            </w:r>
          </w:p>
        </w:tc>
        <w:tc>
          <w:tcPr>
            <w:tcW w:w="4919" w:type="dxa"/>
            <w:tcBorders>
              <w:top w:val="nil"/>
              <w:left w:val="nil"/>
              <w:bottom w:val="single" w:sz="4" w:space="0" w:color="auto"/>
              <w:right w:val="single" w:sz="4" w:space="0" w:color="auto"/>
            </w:tcBorders>
            <w:shd w:val="clear" w:color="auto" w:fill="C4EFCE"/>
            <w:vAlign w:val="center"/>
            <w:hideMark/>
          </w:tcPr>
          <w:p w14:paraId="690E8DAA" w14:textId="77777777" w:rsidR="00154AD2" w:rsidRDefault="007F6BF3">
            <w:pPr>
              <w:pStyle w:val="P68B1DB1-Normal23"/>
              <w:spacing w:after="0"/>
              <w:jc w:val="both"/>
              <w:rPr>
                <w:rFonts w:eastAsia="Calibri" w:cs="Calibri"/>
                <w:noProof/>
              </w:rPr>
            </w:pPr>
            <w:r>
              <w:rPr>
                <w:noProof/>
              </w:rPr>
              <w:t>Ενεργειακή απόδοση ανακαινίσεων ιδιωτικών οικιστικών κτιρίων</w:t>
            </w:r>
          </w:p>
        </w:tc>
        <w:tc>
          <w:tcPr>
            <w:tcW w:w="0" w:type="auto"/>
          </w:tcPr>
          <w:p w14:paraId="6E5DAF10" w14:textId="77777777" w:rsidR="00154AD2" w:rsidRDefault="00154AD2">
            <w:pPr>
              <w:spacing w:after="0" w:line="240" w:lineRule="auto"/>
              <w:rPr>
                <w:noProof/>
                <w:sz w:val="18"/>
              </w:rPr>
            </w:pPr>
          </w:p>
        </w:tc>
      </w:tr>
      <w:tr w:rsidR="00154AD2" w14:paraId="04772B67"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17C22BDC" w14:textId="77777777" w:rsidR="00154AD2" w:rsidRDefault="007F6BF3">
            <w:pPr>
              <w:pStyle w:val="P68B1DB1-Normal23"/>
              <w:spacing w:after="0"/>
              <w:jc w:val="center"/>
              <w:rPr>
                <w:rFonts w:eastAsia="Calibri" w:cs="Calibri"/>
                <w:noProof/>
              </w:rPr>
            </w:pPr>
            <w:r>
              <w:rPr>
                <w:noProof/>
              </w:rPr>
              <w:t>14.12</w:t>
            </w:r>
          </w:p>
        </w:tc>
        <w:tc>
          <w:tcPr>
            <w:tcW w:w="1731" w:type="dxa"/>
            <w:tcBorders>
              <w:top w:val="nil"/>
              <w:left w:val="nil"/>
              <w:bottom w:val="single" w:sz="4" w:space="0" w:color="auto"/>
              <w:right w:val="single" w:sz="4" w:space="0" w:color="auto"/>
            </w:tcBorders>
            <w:shd w:val="clear" w:color="auto" w:fill="C4EFCE"/>
            <w:vAlign w:val="center"/>
            <w:hideMark/>
          </w:tcPr>
          <w:p w14:paraId="0F195F9B" w14:textId="77777777" w:rsidR="00154AD2" w:rsidRDefault="007F6BF3">
            <w:pPr>
              <w:pStyle w:val="P68B1DB1-Normal23"/>
              <w:spacing w:after="0"/>
              <w:jc w:val="center"/>
              <w:rPr>
                <w:rFonts w:eastAsia="Calibri" w:cs="Calibri"/>
                <w:noProof/>
              </w:rPr>
            </w:pPr>
            <w:r>
              <w:rPr>
                <w:noProof/>
              </w:rPr>
              <w:t>TC-C14-i03-RAA</w:t>
            </w:r>
          </w:p>
        </w:tc>
        <w:tc>
          <w:tcPr>
            <w:tcW w:w="1491" w:type="dxa"/>
            <w:tcBorders>
              <w:top w:val="nil"/>
              <w:left w:val="nil"/>
              <w:bottom w:val="single" w:sz="4" w:space="0" w:color="auto"/>
              <w:right w:val="single" w:sz="4" w:space="0" w:color="auto"/>
            </w:tcBorders>
            <w:shd w:val="clear" w:color="auto" w:fill="C4EFCE"/>
            <w:vAlign w:val="center"/>
            <w:hideMark/>
          </w:tcPr>
          <w:p w14:paraId="5B757820" w14:textId="77777777" w:rsidR="00154AD2" w:rsidRDefault="007F6BF3">
            <w:pPr>
              <w:pStyle w:val="P68B1DB1-Normal23"/>
              <w:spacing w:after="0"/>
              <w:jc w:val="center"/>
              <w:rPr>
                <w:rFonts w:eastAsia="Calibri" w:cs="Calibri"/>
                <w:noProof/>
              </w:rPr>
            </w:pPr>
            <w:r>
              <w:rPr>
                <w:noProof/>
              </w:rPr>
              <w:t>T</w:t>
            </w:r>
          </w:p>
        </w:tc>
        <w:tc>
          <w:tcPr>
            <w:tcW w:w="4919" w:type="dxa"/>
            <w:tcBorders>
              <w:top w:val="nil"/>
              <w:left w:val="nil"/>
              <w:bottom w:val="single" w:sz="4" w:space="0" w:color="auto"/>
              <w:right w:val="single" w:sz="4" w:space="0" w:color="auto"/>
            </w:tcBorders>
            <w:shd w:val="clear" w:color="auto" w:fill="C4EFCE"/>
            <w:vAlign w:val="center"/>
            <w:hideMark/>
          </w:tcPr>
          <w:p w14:paraId="448E5404" w14:textId="77777777" w:rsidR="00154AD2" w:rsidRDefault="007F6BF3">
            <w:pPr>
              <w:pStyle w:val="P68B1DB1-Normal23"/>
              <w:spacing w:after="0"/>
              <w:jc w:val="both"/>
              <w:rPr>
                <w:rFonts w:eastAsia="Calibri" w:cs="Calibri"/>
                <w:noProof/>
              </w:rPr>
            </w:pPr>
            <w:r>
              <w:rPr>
                <w:noProof/>
              </w:rPr>
              <w:t>Πρόσθετη παραγωγή ηλεκτρικής ενέργειας από ανανεώσιμες πηγές στο Corvo</w:t>
            </w:r>
          </w:p>
        </w:tc>
        <w:tc>
          <w:tcPr>
            <w:tcW w:w="0" w:type="auto"/>
          </w:tcPr>
          <w:p w14:paraId="233A08FA" w14:textId="77777777" w:rsidR="00154AD2" w:rsidRDefault="00154AD2">
            <w:pPr>
              <w:spacing w:after="0" w:line="240" w:lineRule="auto"/>
              <w:rPr>
                <w:noProof/>
                <w:sz w:val="18"/>
              </w:rPr>
            </w:pPr>
          </w:p>
        </w:tc>
      </w:tr>
      <w:tr w:rsidR="00154AD2" w14:paraId="7BF50568"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6AC8B3F4" w14:textId="77777777" w:rsidR="00154AD2" w:rsidRDefault="007F6BF3">
            <w:pPr>
              <w:pStyle w:val="P68B1DB1-Normal23"/>
              <w:spacing w:after="0"/>
              <w:jc w:val="center"/>
              <w:rPr>
                <w:rFonts w:eastAsia="Calibri" w:cs="Calibri"/>
                <w:noProof/>
              </w:rPr>
            </w:pPr>
            <w:r>
              <w:rPr>
                <w:noProof/>
              </w:rPr>
              <w:t>14.5</w:t>
            </w:r>
          </w:p>
        </w:tc>
        <w:tc>
          <w:tcPr>
            <w:tcW w:w="1731" w:type="dxa"/>
            <w:tcBorders>
              <w:top w:val="nil"/>
              <w:left w:val="nil"/>
              <w:bottom w:val="single" w:sz="4" w:space="0" w:color="auto"/>
              <w:right w:val="single" w:sz="4" w:space="0" w:color="auto"/>
            </w:tcBorders>
            <w:shd w:val="clear" w:color="auto" w:fill="C4EFCE"/>
            <w:vAlign w:val="center"/>
            <w:hideMark/>
          </w:tcPr>
          <w:p w14:paraId="30AC97EB" w14:textId="77777777" w:rsidR="00154AD2" w:rsidRDefault="007F6BF3">
            <w:pPr>
              <w:pStyle w:val="P68B1DB1-Normal23"/>
              <w:spacing w:after="0"/>
              <w:jc w:val="center"/>
              <w:rPr>
                <w:rFonts w:eastAsia="Calibri" w:cs="Calibri"/>
                <w:noProof/>
              </w:rPr>
            </w:pPr>
            <w:r>
              <w:rPr>
                <w:noProof/>
              </w:rPr>
              <w:t xml:space="preserve">TC-C14-Ci02-RAM </w:t>
            </w:r>
          </w:p>
        </w:tc>
        <w:tc>
          <w:tcPr>
            <w:tcW w:w="1491" w:type="dxa"/>
            <w:tcBorders>
              <w:top w:val="nil"/>
              <w:left w:val="nil"/>
              <w:bottom w:val="single" w:sz="4" w:space="0" w:color="auto"/>
              <w:right w:val="single" w:sz="4" w:space="0" w:color="auto"/>
            </w:tcBorders>
            <w:shd w:val="clear" w:color="auto" w:fill="C4EFCE"/>
            <w:vAlign w:val="center"/>
            <w:hideMark/>
          </w:tcPr>
          <w:p w14:paraId="684CEB02" w14:textId="77777777" w:rsidR="00154AD2" w:rsidRDefault="007F6BF3">
            <w:pPr>
              <w:pStyle w:val="P68B1DB1-Normal23"/>
              <w:spacing w:after="0"/>
              <w:jc w:val="center"/>
              <w:rPr>
                <w:rFonts w:eastAsia="Calibri" w:cs="Calibri"/>
                <w:noProof/>
              </w:rPr>
            </w:pPr>
            <w:r>
              <w:rPr>
                <w:noProof/>
              </w:rPr>
              <w:t>T</w:t>
            </w:r>
          </w:p>
        </w:tc>
        <w:tc>
          <w:tcPr>
            <w:tcW w:w="4919" w:type="dxa"/>
            <w:tcBorders>
              <w:top w:val="nil"/>
              <w:left w:val="nil"/>
              <w:bottom w:val="single" w:sz="4" w:space="0" w:color="auto"/>
              <w:right w:val="single" w:sz="4" w:space="0" w:color="auto"/>
            </w:tcBorders>
            <w:shd w:val="clear" w:color="auto" w:fill="C4EFCE"/>
            <w:vAlign w:val="center"/>
            <w:hideMark/>
          </w:tcPr>
          <w:p w14:paraId="69E0A75B" w14:textId="77777777" w:rsidR="00154AD2" w:rsidRDefault="007F6BF3">
            <w:pPr>
              <w:pStyle w:val="P68B1DB1-Normal23"/>
              <w:spacing w:after="0"/>
              <w:jc w:val="both"/>
              <w:rPr>
                <w:rFonts w:eastAsia="Calibri" w:cs="Calibri"/>
                <w:noProof/>
              </w:rPr>
            </w:pPr>
            <w:r>
              <w:rPr>
                <w:noProof/>
              </w:rPr>
              <w:t>Πρόσθετη εγκατεστημένη δυναμικότητα παραγωγής υδροηλεκτρικής ενέργειας</w:t>
            </w:r>
          </w:p>
        </w:tc>
        <w:tc>
          <w:tcPr>
            <w:tcW w:w="0" w:type="auto"/>
          </w:tcPr>
          <w:p w14:paraId="6A814305" w14:textId="77777777" w:rsidR="00154AD2" w:rsidRDefault="00154AD2">
            <w:pPr>
              <w:spacing w:after="0" w:line="240" w:lineRule="auto"/>
              <w:rPr>
                <w:noProof/>
                <w:sz w:val="18"/>
              </w:rPr>
            </w:pPr>
          </w:p>
        </w:tc>
      </w:tr>
      <w:tr w:rsidR="00154AD2" w14:paraId="2414C73E"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01DD6AE2" w14:textId="77777777" w:rsidR="00154AD2" w:rsidRDefault="007F6BF3">
            <w:pPr>
              <w:pStyle w:val="P68B1DB1-Normal23"/>
              <w:spacing w:after="0"/>
              <w:jc w:val="center"/>
              <w:rPr>
                <w:rFonts w:eastAsia="Calibri" w:cs="Calibri"/>
                <w:noProof/>
              </w:rPr>
            </w:pPr>
            <w:r>
              <w:rPr>
                <w:noProof/>
              </w:rPr>
              <w:t>15.2</w:t>
            </w:r>
          </w:p>
        </w:tc>
        <w:tc>
          <w:tcPr>
            <w:tcW w:w="1731" w:type="dxa"/>
            <w:tcBorders>
              <w:top w:val="nil"/>
              <w:left w:val="nil"/>
              <w:bottom w:val="single" w:sz="4" w:space="0" w:color="auto"/>
              <w:right w:val="single" w:sz="4" w:space="0" w:color="auto"/>
            </w:tcBorders>
            <w:shd w:val="clear" w:color="auto" w:fill="C4EFCE"/>
            <w:vAlign w:val="center"/>
            <w:hideMark/>
          </w:tcPr>
          <w:p w14:paraId="265A1C92" w14:textId="77777777" w:rsidR="00154AD2" w:rsidRDefault="007F6BF3">
            <w:pPr>
              <w:pStyle w:val="P68B1DB1-Normal23"/>
              <w:spacing w:after="0"/>
              <w:jc w:val="center"/>
              <w:rPr>
                <w:rFonts w:eastAsia="Calibri" w:cs="Calibri"/>
                <w:noProof/>
              </w:rPr>
            </w:pPr>
            <w:r>
              <w:rPr>
                <w:noProof/>
              </w:rPr>
              <w:t>TC-C15-I01</w:t>
            </w:r>
          </w:p>
        </w:tc>
        <w:tc>
          <w:tcPr>
            <w:tcW w:w="1491" w:type="dxa"/>
            <w:tcBorders>
              <w:top w:val="nil"/>
              <w:left w:val="nil"/>
              <w:bottom w:val="single" w:sz="4" w:space="0" w:color="auto"/>
              <w:right w:val="single" w:sz="4" w:space="0" w:color="auto"/>
            </w:tcBorders>
            <w:shd w:val="clear" w:color="auto" w:fill="C4EFCE"/>
            <w:vAlign w:val="center"/>
            <w:hideMark/>
          </w:tcPr>
          <w:p w14:paraId="6A06D6EB" w14:textId="77777777" w:rsidR="00154AD2" w:rsidRDefault="007F6BF3">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236FE9F6" w14:textId="77777777" w:rsidR="00154AD2" w:rsidRDefault="007F6BF3">
            <w:pPr>
              <w:pStyle w:val="P68B1DB1-Normal23"/>
              <w:spacing w:after="0"/>
              <w:jc w:val="both"/>
              <w:rPr>
                <w:rFonts w:eastAsia="Calibri" w:cs="Calibri"/>
                <w:noProof/>
              </w:rPr>
            </w:pPr>
            <w:r>
              <w:rPr>
                <w:noProof/>
              </w:rPr>
              <w:t>Έκθεση προόδου σχετικά με την επέκταση του δικτύου Metro της Λισαβόνας</w:t>
            </w:r>
          </w:p>
        </w:tc>
        <w:tc>
          <w:tcPr>
            <w:tcW w:w="0" w:type="auto"/>
          </w:tcPr>
          <w:p w14:paraId="176F4E1F" w14:textId="77777777" w:rsidR="00154AD2" w:rsidRDefault="00154AD2">
            <w:pPr>
              <w:spacing w:after="0" w:line="240" w:lineRule="auto"/>
              <w:rPr>
                <w:noProof/>
                <w:sz w:val="18"/>
              </w:rPr>
            </w:pPr>
          </w:p>
        </w:tc>
      </w:tr>
      <w:tr w:rsidR="00154AD2" w14:paraId="1B841B36"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4C2C500B" w14:textId="77777777" w:rsidR="00154AD2" w:rsidRDefault="007F6BF3">
            <w:pPr>
              <w:pStyle w:val="P68B1DB1-Normal23"/>
              <w:spacing w:after="0"/>
              <w:jc w:val="center"/>
              <w:rPr>
                <w:rFonts w:eastAsia="Calibri" w:cs="Calibri"/>
                <w:noProof/>
              </w:rPr>
            </w:pPr>
            <w:r>
              <w:rPr>
                <w:noProof/>
              </w:rPr>
              <w:t>16.6</w:t>
            </w:r>
          </w:p>
        </w:tc>
        <w:tc>
          <w:tcPr>
            <w:tcW w:w="1731" w:type="dxa"/>
            <w:tcBorders>
              <w:top w:val="nil"/>
              <w:left w:val="nil"/>
              <w:bottom w:val="single" w:sz="4" w:space="0" w:color="auto"/>
              <w:right w:val="single" w:sz="4" w:space="0" w:color="auto"/>
            </w:tcBorders>
            <w:shd w:val="clear" w:color="auto" w:fill="C4EFCE"/>
            <w:vAlign w:val="center"/>
            <w:hideMark/>
          </w:tcPr>
          <w:p w14:paraId="5B078A84" w14:textId="77777777" w:rsidR="00154AD2" w:rsidRDefault="007F6BF3">
            <w:pPr>
              <w:pStyle w:val="P68B1DB1-Normal23"/>
              <w:spacing w:after="0"/>
              <w:jc w:val="center"/>
              <w:rPr>
                <w:rFonts w:eastAsia="Calibri" w:cs="Calibri"/>
                <w:noProof/>
              </w:rPr>
            </w:pPr>
            <w:r>
              <w:rPr>
                <w:noProof/>
              </w:rPr>
              <w:t>TD-C16-i02</w:t>
            </w:r>
          </w:p>
        </w:tc>
        <w:tc>
          <w:tcPr>
            <w:tcW w:w="1491" w:type="dxa"/>
            <w:tcBorders>
              <w:top w:val="nil"/>
              <w:left w:val="nil"/>
              <w:bottom w:val="single" w:sz="4" w:space="0" w:color="auto"/>
              <w:right w:val="single" w:sz="4" w:space="0" w:color="auto"/>
            </w:tcBorders>
            <w:shd w:val="clear" w:color="auto" w:fill="C4EFCE"/>
            <w:vAlign w:val="center"/>
            <w:hideMark/>
          </w:tcPr>
          <w:p w14:paraId="4B59BF99" w14:textId="77777777" w:rsidR="00154AD2" w:rsidRDefault="007F6BF3">
            <w:pPr>
              <w:pStyle w:val="P68B1DB1-Normal23"/>
              <w:spacing w:after="0"/>
              <w:jc w:val="center"/>
              <w:rPr>
                <w:rFonts w:eastAsia="Calibri" w:cs="Calibri"/>
                <w:noProof/>
              </w:rPr>
            </w:pPr>
            <w:r>
              <w:rPr>
                <w:noProof/>
              </w:rPr>
              <w:t>T</w:t>
            </w:r>
          </w:p>
        </w:tc>
        <w:tc>
          <w:tcPr>
            <w:tcW w:w="4919" w:type="dxa"/>
            <w:tcBorders>
              <w:top w:val="nil"/>
              <w:left w:val="nil"/>
              <w:bottom w:val="single" w:sz="4" w:space="0" w:color="auto"/>
              <w:right w:val="single" w:sz="4" w:space="0" w:color="auto"/>
            </w:tcBorders>
            <w:shd w:val="clear" w:color="auto" w:fill="C4EFCE"/>
            <w:vAlign w:val="center"/>
            <w:hideMark/>
          </w:tcPr>
          <w:p w14:paraId="4D181BA9" w14:textId="77777777" w:rsidR="00154AD2" w:rsidRDefault="007F6BF3">
            <w:pPr>
              <w:pStyle w:val="P68B1DB1-Normal23"/>
              <w:spacing w:after="0"/>
              <w:jc w:val="both"/>
              <w:rPr>
                <w:rFonts w:eastAsia="Calibri" w:cs="Calibri"/>
                <w:noProof/>
              </w:rPr>
            </w:pPr>
            <w:r>
              <w:rPr>
                <w:noProof/>
              </w:rPr>
              <w:t>Ανάπτυξη πιλοτικών προϊόντων και υπηρεσιών του εθνικού δικτύου δοκιμών</w:t>
            </w:r>
          </w:p>
        </w:tc>
        <w:tc>
          <w:tcPr>
            <w:tcW w:w="0" w:type="auto"/>
          </w:tcPr>
          <w:p w14:paraId="30E9FC62" w14:textId="77777777" w:rsidR="00154AD2" w:rsidRDefault="00154AD2">
            <w:pPr>
              <w:spacing w:after="0" w:line="240" w:lineRule="auto"/>
              <w:rPr>
                <w:noProof/>
                <w:sz w:val="18"/>
              </w:rPr>
            </w:pPr>
          </w:p>
        </w:tc>
      </w:tr>
      <w:tr w:rsidR="00154AD2" w14:paraId="60F2EA6A"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3614B7C4" w14:textId="77777777" w:rsidR="00154AD2" w:rsidRDefault="007F6BF3">
            <w:pPr>
              <w:pStyle w:val="P68B1DB1-Normal23"/>
              <w:spacing w:after="0"/>
              <w:jc w:val="center"/>
              <w:rPr>
                <w:rFonts w:eastAsia="Calibri" w:cs="Calibri"/>
                <w:noProof/>
              </w:rPr>
            </w:pPr>
            <w:r>
              <w:rPr>
                <w:noProof/>
              </w:rPr>
              <w:t>17.9</w:t>
            </w:r>
          </w:p>
        </w:tc>
        <w:tc>
          <w:tcPr>
            <w:tcW w:w="1731" w:type="dxa"/>
            <w:tcBorders>
              <w:top w:val="nil"/>
              <w:left w:val="nil"/>
              <w:bottom w:val="single" w:sz="4" w:space="0" w:color="auto"/>
              <w:right w:val="single" w:sz="4" w:space="0" w:color="auto"/>
            </w:tcBorders>
            <w:shd w:val="clear" w:color="auto" w:fill="C4EFCE"/>
            <w:vAlign w:val="center"/>
            <w:hideMark/>
          </w:tcPr>
          <w:p w14:paraId="53DAA92D" w14:textId="77777777" w:rsidR="00154AD2" w:rsidRDefault="007F6BF3">
            <w:pPr>
              <w:pStyle w:val="P68B1DB1-Normal23"/>
              <w:spacing w:after="0"/>
              <w:jc w:val="center"/>
              <w:rPr>
                <w:rFonts w:eastAsia="Calibri" w:cs="Calibri"/>
                <w:noProof/>
              </w:rPr>
            </w:pPr>
            <w:r>
              <w:rPr>
                <w:noProof/>
              </w:rPr>
              <w:t xml:space="preserve">TD-C17-i01  </w:t>
            </w:r>
          </w:p>
        </w:tc>
        <w:tc>
          <w:tcPr>
            <w:tcW w:w="1491" w:type="dxa"/>
            <w:tcBorders>
              <w:top w:val="nil"/>
              <w:left w:val="nil"/>
              <w:bottom w:val="single" w:sz="4" w:space="0" w:color="auto"/>
              <w:right w:val="single" w:sz="4" w:space="0" w:color="auto"/>
            </w:tcBorders>
            <w:shd w:val="clear" w:color="auto" w:fill="C4EFCE"/>
            <w:vAlign w:val="center"/>
            <w:hideMark/>
          </w:tcPr>
          <w:p w14:paraId="06990E6D" w14:textId="77777777" w:rsidR="00154AD2" w:rsidRDefault="007F6BF3">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38CB0E5D" w14:textId="77777777" w:rsidR="00154AD2" w:rsidRDefault="007F6BF3">
            <w:pPr>
              <w:pStyle w:val="P68B1DB1-Normal23"/>
              <w:spacing w:after="0"/>
              <w:jc w:val="both"/>
              <w:rPr>
                <w:rFonts w:eastAsia="Calibri" w:cs="Calibri"/>
                <w:noProof/>
              </w:rPr>
            </w:pPr>
            <w:r>
              <w:rPr>
                <w:noProof/>
              </w:rPr>
              <w:t>Ολοκλήρωση της υλοποίησης της Κρατικής Λογιστικής Οντότητας</w:t>
            </w:r>
          </w:p>
        </w:tc>
      </w:tr>
      <w:tr w:rsidR="00154AD2" w14:paraId="52B41EA8"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6217BC2C" w14:textId="77777777" w:rsidR="00154AD2" w:rsidRDefault="007F6BF3">
            <w:pPr>
              <w:pStyle w:val="P68B1DB1-Normal23"/>
              <w:spacing w:after="0"/>
              <w:jc w:val="center"/>
              <w:rPr>
                <w:rFonts w:eastAsia="Calibri" w:cs="Calibri"/>
                <w:noProof/>
              </w:rPr>
            </w:pPr>
            <w:r>
              <w:rPr>
                <w:noProof/>
              </w:rPr>
              <w:t>18.3</w:t>
            </w:r>
          </w:p>
        </w:tc>
        <w:tc>
          <w:tcPr>
            <w:tcW w:w="1731" w:type="dxa"/>
            <w:tcBorders>
              <w:top w:val="nil"/>
              <w:left w:val="nil"/>
              <w:bottom w:val="single" w:sz="4" w:space="0" w:color="auto"/>
              <w:right w:val="single" w:sz="4" w:space="0" w:color="auto"/>
            </w:tcBorders>
            <w:shd w:val="clear" w:color="auto" w:fill="C4EFCE"/>
            <w:vAlign w:val="center"/>
            <w:hideMark/>
          </w:tcPr>
          <w:p w14:paraId="439AD1C1" w14:textId="77777777" w:rsidR="00154AD2" w:rsidRDefault="007F6BF3">
            <w:pPr>
              <w:pStyle w:val="P68B1DB1-Normal23"/>
              <w:spacing w:after="0"/>
              <w:jc w:val="center"/>
              <w:rPr>
                <w:rFonts w:eastAsia="Calibri" w:cs="Calibri"/>
                <w:noProof/>
              </w:rPr>
            </w:pPr>
            <w:r>
              <w:rPr>
                <w:noProof/>
              </w:rPr>
              <w:t xml:space="preserve">TD-C18-r33  </w:t>
            </w:r>
          </w:p>
        </w:tc>
        <w:tc>
          <w:tcPr>
            <w:tcW w:w="1491" w:type="dxa"/>
            <w:tcBorders>
              <w:top w:val="nil"/>
              <w:left w:val="nil"/>
              <w:bottom w:val="single" w:sz="4" w:space="0" w:color="auto"/>
              <w:right w:val="single" w:sz="4" w:space="0" w:color="auto"/>
            </w:tcBorders>
            <w:shd w:val="clear" w:color="auto" w:fill="C4EFCE"/>
            <w:vAlign w:val="center"/>
            <w:hideMark/>
          </w:tcPr>
          <w:p w14:paraId="256DB6ED" w14:textId="77777777" w:rsidR="00154AD2" w:rsidRDefault="007F6BF3">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7D0F6574" w14:textId="77777777" w:rsidR="00154AD2" w:rsidRDefault="007F6BF3">
            <w:pPr>
              <w:pStyle w:val="P68B1DB1-Normal23"/>
              <w:spacing w:after="0"/>
              <w:jc w:val="both"/>
              <w:rPr>
                <w:rFonts w:eastAsia="Calibri" w:cs="Calibri"/>
                <w:noProof/>
              </w:rPr>
            </w:pPr>
            <w:r>
              <w:rPr>
                <w:noProof/>
              </w:rPr>
              <w:t>Έναρξη ισχύος του αναθεωρημένου νομικού πλαισίου για την αφερεγγυότητα και την ανάκτηση</w:t>
            </w:r>
          </w:p>
        </w:tc>
      </w:tr>
      <w:tr w:rsidR="00154AD2" w14:paraId="6BA9A315"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6308F543" w14:textId="77777777" w:rsidR="00154AD2" w:rsidRDefault="007F6BF3">
            <w:pPr>
              <w:pStyle w:val="P68B1DB1-Normal23"/>
              <w:spacing w:after="0"/>
              <w:jc w:val="center"/>
              <w:rPr>
                <w:rFonts w:eastAsia="Calibri" w:cs="Calibri"/>
                <w:noProof/>
              </w:rPr>
            </w:pPr>
            <w:r>
              <w:rPr>
                <w:noProof/>
              </w:rPr>
              <w:t>18.6</w:t>
            </w:r>
          </w:p>
        </w:tc>
        <w:tc>
          <w:tcPr>
            <w:tcW w:w="1731" w:type="dxa"/>
            <w:tcBorders>
              <w:top w:val="nil"/>
              <w:left w:val="nil"/>
              <w:bottom w:val="single" w:sz="4" w:space="0" w:color="auto"/>
              <w:right w:val="single" w:sz="4" w:space="0" w:color="auto"/>
            </w:tcBorders>
            <w:shd w:val="clear" w:color="auto" w:fill="C4EFCE"/>
            <w:vAlign w:val="center"/>
            <w:hideMark/>
          </w:tcPr>
          <w:p w14:paraId="69B5EA32" w14:textId="77777777" w:rsidR="00154AD2" w:rsidRDefault="007F6BF3">
            <w:pPr>
              <w:pStyle w:val="P68B1DB1-Normal23"/>
              <w:spacing w:after="0"/>
              <w:jc w:val="center"/>
              <w:rPr>
                <w:rFonts w:eastAsia="Calibri" w:cs="Calibri"/>
                <w:noProof/>
              </w:rPr>
            </w:pPr>
            <w:r>
              <w:rPr>
                <w:noProof/>
              </w:rPr>
              <w:t xml:space="preserve">TD-C18-i01  </w:t>
            </w:r>
          </w:p>
        </w:tc>
        <w:tc>
          <w:tcPr>
            <w:tcW w:w="1491" w:type="dxa"/>
            <w:tcBorders>
              <w:top w:val="nil"/>
              <w:left w:val="nil"/>
              <w:bottom w:val="single" w:sz="4" w:space="0" w:color="auto"/>
              <w:right w:val="single" w:sz="4" w:space="0" w:color="auto"/>
            </w:tcBorders>
            <w:shd w:val="clear" w:color="auto" w:fill="C4EFCE"/>
            <w:vAlign w:val="center"/>
            <w:hideMark/>
          </w:tcPr>
          <w:p w14:paraId="02E67EB9" w14:textId="77777777" w:rsidR="00154AD2" w:rsidRDefault="007F6BF3">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5F982AAA" w14:textId="77777777" w:rsidR="00154AD2" w:rsidRDefault="007F6BF3">
            <w:pPr>
              <w:pStyle w:val="P68B1DB1-Normal23"/>
              <w:spacing w:after="0"/>
              <w:jc w:val="both"/>
              <w:rPr>
                <w:rFonts w:eastAsia="Calibri" w:cs="Calibri"/>
                <w:noProof/>
              </w:rPr>
            </w:pPr>
            <w:r>
              <w:rPr>
                <w:noProof/>
              </w:rPr>
              <w:t>Πληροφοριακό σύστημα «Επιχείρηση 2.0»</w:t>
            </w:r>
          </w:p>
        </w:tc>
      </w:tr>
      <w:tr w:rsidR="00154AD2" w14:paraId="066A4BCE"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68C5AC18" w14:textId="77777777" w:rsidR="00154AD2" w:rsidRDefault="007F6BF3">
            <w:pPr>
              <w:pStyle w:val="P68B1DB1-Normal23"/>
              <w:spacing w:after="0"/>
              <w:jc w:val="center"/>
              <w:rPr>
                <w:rFonts w:eastAsia="Calibri" w:cs="Calibri"/>
                <w:noProof/>
              </w:rPr>
            </w:pPr>
            <w:r>
              <w:rPr>
                <w:noProof/>
              </w:rPr>
              <w:t>20.6</w:t>
            </w:r>
          </w:p>
        </w:tc>
        <w:tc>
          <w:tcPr>
            <w:tcW w:w="1731" w:type="dxa"/>
            <w:tcBorders>
              <w:top w:val="nil"/>
              <w:left w:val="nil"/>
              <w:bottom w:val="single" w:sz="4" w:space="0" w:color="auto"/>
              <w:right w:val="single" w:sz="4" w:space="0" w:color="auto"/>
            </w:tcBorders>
            <w:shd w:val="clear" w:color="auto" w:fill="C4EFCE"/>
            <w:vAlign w:val="center"/>
            <w:hideMark/>
          </w:tcPr>
          <w:p w14:paraId="02680F3B" w14:textId="77777777" w:rsidR="00154AD2" w:rsidRDefault="007F6BF3">
            <w:pPr>
              <w:pStyle w:val="P68B1DB1-Normal23"/>
              <w:spacing w:after="0"/>
              <w:jc w:val="center"/>
              <w:rPr>
                <w:rFonts w:eastAsia="Calibri" w:cs="Calibri"/>
                <w:noProof/>
              </w:rPr>
            </w:pPr>
            <w:r>
              <w:rPr>
                <w:noProof/>
              </w:rPr>
              <w:t xml:space="preserve">TD-C20-i01  </w:t>
            </w:r>
          </w:p>
        </w:tc>
        <w:tc>
          <w:tcPr>
            <w:tcW w:w="1491" w:type="dxa"/>
            <w:tcBorders>
              <w:top w:val="nil"/>
              <w:left w:val="nil"/>
              <w:bottom w:val="single" w:sz="4" w:space="0" w:color="auto"/>
              <w:right w:val="single" w:sz="4" w:space="0" w:color="auto"/>
            </w:tcBorders>
            <w:shd w:val="clear" w:color="auto" w:fill="C4EFCE"/>
            <w:vAlign w:val="center"/>
            <w:hideMark/>
          </w:tcPr>
          <w:p w14:paraId="6D1CFD3C" w14:textId="77777777" w:rsidR="00154AD2" w:rsidRDefault="007F6BF3">
            <w:pPr>
              <w:pStyle w:val="P68B1DB1-Normal23"/>
              <w:spacing w:after="0"/>
              <w:jc w:val="center"/>
              <w:rPr>
                <w:rFonts w:eastAsia="Calibri" w:cs="Calibri"/>
                <w:noProof/>
              </w:rPr>
            </w:pPr>
            <w:r>
              <w:rPr>
                <w:noProof/>
              </w:rPr>
              <w:t>T</w:t>
            </w:r>
          </w:p>
        </w:tc>
        <w:tc>
          <w:tcPr>
            <w:tcW w:w="4919" w:type="dxa"/>
            <w:tcBorders>
              <w:top w:val="nil"/>
              <w:left w:val="nil"/>
              <w:bottom w:val="single" w:sz="4" w:space="0" w:color="auto"/>
              <w:right w:val="single" w:sz="4" w:space="0" w:color="auto"/>
            </w:tcBorders>
            <w:shd w:val="clear" w:color="auto" w:fill="C4EFCE"/>
            <w:vAlign w:val="center"/>
            <w:hideMark/>
          </w:tcPr>
          <w:p w14:paraId="0C2BC67C" w14:textId="77777777" w:rsidR="00154AD2" w:rsidRDefault="007F6BF3">
            <w:pPr>
              <w:pStyle w:val="P68B1DB1-Normal23"/>
              <w:spacing w:after="0"/>
              <w:jc w:val="both"/>
              <w:rPr>
                <w:rFonts w:eastAsia="Calibri" w:cs="Calibri"/>
                <w:noProof/>
              </w:rPr>
            </w:pPr>
            <w:r>
              <w:rPr>
                <w:noProof/>
              </w:rPr>
              <w:t>Αίθουσες διδασκαλίας με νέο εξοπλισμό προβολής</w:t>
            </w:r>
          </w:p>
        </w:tc>
      </w:tr>
      <w:tr w:rsidR="00154AD2" w14:paraId="3F226733"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36EADFA0" w14:textId="77777777" w:rsidR="00154AD2" w:rsidRDefault="007F6BF3">
            <w:pPr>
              <w:pStyle w:val="P68B1DB1-Normal23"/>
              <w:spacing w:after="0"/>
              <w:jc w:val="center"/>
              <w:rPr>
                <w:rFonts w:eastAsia="Calibri" w:cs="Calibri"/>
                <w:noProof/>
              </w:rPr>
            </w:pPr>
            <w:r>
              <w:rPr>
                <w:noProof/>
              </w:rPr>
              <w:t>21.12</w:t>
            </w:r>
          </w:p>
        </w:tc>
        <w:tc>
          <w:tcPr>
            <w:tcW w:w="1731" w:type="dxa"/>
            <w:tcBorders>
              <w:top w:val="nil"/>
              <w:left w:val="nil"/>
              <w:bottom w:val="single" w:sz="4" w:space="0" w:color="auto"/>
              <w:right w:val="single" w:sz="4" w:space="0" w:color="auto"/>
            </w:tcBorders>
            <w:shd w:val="clear" w:color="auto" w:fill="C4EFCE"/>
            <w:vAlign w:val="center"/>
            <w:hideMark/>
          </w:tcPr>
          <w:p w14:paraId="6B91C308" w14:textId="77777777" w:rsidR="00154AD2" w:rsidRDefault="007F6BF3">
            <w:pPr>
              <w:pStyle w:val="P68B1DB1-Normal23"/>
              <w:spacing w:after="0"/>
              <w:jc w:val="center"/>
              <w:rPr>
                <w:rFonts w:eastAsia="Calibri" w:cs="Calibri"/>
                <w:noProof/>
              </w:rPr>
            </w:pPr>
            <w:r>
              <w:rPr>
                <w:noProof/>
              </w:rPr>
              <w:t>RP-C21-i05</w:t>
            </w:r>
          </w:p>
        </w:tc>
        <w:tc>
          <w:tcPr>
            <w:tcW w:w="1491" w:type="dxa"/>
            <w:tcBorders>
              <w:top w:val="nil"/>
              <w:left w:val="nil"/>
              <w:bottom w:val="single" w:sz="4" w:space="0" w:color="auto"/>
              <w:right w:val="single" w:sz="4" w:space="0" w:color="auto"/>
            </w:tcBorders>
            <w:shd w:val="clear" w:color="auto" w:fill="C4EFCE"/>
            <w:vAlign w:val="center"/>
            <w:hideMark/>
          </w:tcPr>
          <w:p w14:paraId="51F3F5CD" w14:textId="77777777" w:rsidR="00154AD2" w:rsidRDefault="007F6BF3">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1729A8E5" w14:textId="77777777" w:rsidR="00154AD2" w:rsidRDefault="007F6BF3">
            <w:pPr>
              <w:pStyle w:val="P68B1DB1-Normal23"/>
              <w:spacing w:after="0"/>
              <w:jc w:val="both"/>
              <w:rPr>
                <w:rFonts w:eastAsia="Calibri" w:cs="Calibri"/>
                <w:noProof/>
              </w:rPr>
            </w:pPr>
            <w:r>
              <w:rPr>
                <w:noProof/>
              </w:rPr>
              <w:t>Υπογραφή όρων αποδοχής για την υλοποίηση βιομηχανικών έργων</w:t>
            </w:r>
          </w:p>
        </w:tc>
        <w:tc>
          <w:tcPr>
            <w:tcW w:w="0" w:type="auto"/>
          </w:tcPr>
          <w:p w14:paraId="3441107D" w14:textId="77777777" w:rsidR="00154AD2" w:rsidRDefault="00154AD2">
            <w:pPr>
              <w:spacing w:after="0" w:line="240" w:lineRule="auto"/>
              <w:rPr>
                <w:noProof/>
                <w:sz w:val="18"/>
              </w:rPr>
            </w:pPr>
          </w:p>
        </w:tc>
      </w:tr>
      <w:tr w:rsidR="00154AD2" w14:paraId="62CE6F82"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25DDD690" w14:textId="77777777" w:rsidR="00154AD2" w:rsidRDefault="007F6BF3">
            <w:pPr>
              <w:pStyle w:val="P68B1DB1-Normal23"/>
              <w:spacing w:after="0"/>
              <w:jc w:val="center"/>
              <w:rPr>
                <w:rFonts w:eastAsia="Calibri" w:cs="Calibri"/>
                <w:noProof/>
              </w:rPr>
            </w:pPr>
            <w:r>
              <w:rPr>
                <w:noProof/>
              </w:rPr>
              <w:t>21.17</w:t>
            </w:r>
          </w:p>
        </w:tc>
        <w:tc>
          <w:tcPr>
            <w:tcW w:w="1731" w:type="dxa"/>
            <w:tcBorders>
              <w:top w:val="nil"/>
              <w:left w:val="nil"/>
              <w:bottom w:val="single" w:sz="4" w:space="0" w:color="auto"/>
              <w:right w:val="single" w:sz="4" w:space="0" w:color="auto"/>
            </w:tcBorders>
            <w:shd w:val="clear" w:color="auto" w:fill="C4EFCE"/>
            <w:vAlign w:val="center"/>
            <w:hideMark/>
          </w:tcPr>
          <w:p w14:paraId="4A7D0D48" w14:textId="6D14D617" w:rsidR="00154AD2" w:rsidRDefault="007F6BF3">
            <w:pPr>
              <w:pStyle w:val="P68B1DB1-Normal23"/>
              <w:spacing w:after="0"/>
              <w:jc w:val="center"/>
              <w:rPr>
                <w:rFonts w:eastAsia="Calibri" w:cs="Calibri"/>
                <w:noProof/>
              </w:rPr>
            </w:pPr>
            <w:r>
              <w:rPr>
                <w:noProof/>
              </w:rPr>
              <w:t>RP-C21-r46</w:t>
            </w:r>
          </w:p>
        </w:tc>
        <w:tc>
          <w:tcPr>
            <w:tcW w:w="1491" w:type="dxa"/>
            <w:tcBorders>
              <w:top w:val="nil"/>
              <w:left w:val="nil"/>
              <w:bottom w:val="single" w:sz="4" w:space="0" w:color="auto"/>
              <w:right w:val="single" w:sz="4" w:space="0" w:color="auto"/>
            </w:tcBorders>
            <w:shd w:val="clear" w:color="auto" w:fill="C4EFCE"/>
            <w:vAlign w:val="center"/>
            <w:hideMark/>
          </w:tcPr>
          <w:p w14:paraId="3A735B1F" w14:textId="77777777" w:rsidR="00154AD2" w:rsidRDefault="007F6BF3">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767B978A" w14:textId="77777777" w:rsidR="00154AD2" w:rsidRDefault="007F6BF3">
            <w:pPr>
              <w:pStyle w:val="P68B1DB1-Normal23"/>
              <w:spacing w:after="0"/>
              <w:jc w:val="both"/>
              <w:rPr>
                <w:rFonts w:eastAsia="Calibri" w:cs="Calibri"/>
                <w:noProof/>
              </w:rPr>
            </w:pPr>
            <w:r>
              <w:rPr>
                <w:noProof/>
              </w:rPr>
              <w:t>Έναρξη ισχύος του αναθεωρημένου κανονισμού για τα εθνικά δίκτυα μεταφοράς φυσικού αερίου και του κανονισμού για τα εθνικά δίκτυα διανομής φυσικού αερίου</w:t>
            </w:r>
          </w:p>
        </w:tc>
        <w:tc>
          <w:tcPr>
            <w:tcW w:w="0" w:type="auto"/>
          </w:tcPr>
          <w:p w14:paraId="7E717CD2" w14:textId="77777777" w:rsidR="00154AD2" w:rsidRDefault="00154AD2">
            <w:pPr>
              <w:spacing w:after="0" w:line="240" w:lineRule="auto"/>
              <w:rPr>
                <w:noProof/>
                <w:sz w:val="18"/>
              </w:rPr>
            </w:pPr>
          </w:p>
        </w:tc>
      </w:tr>
      <w:tr w:rsidR="00154AD2" w14:paraId="04CE7036"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2498CBBC" w14:textId="77777777" w:rsidR="00154AD2" w:rsidRDefault="007F6BF3">
            <w:pPr>
              <w:pStyle w:val="P68B1DB1-Normal23"/>
              <w:spacing w:after="0"/>
              <w:jc w:val="center"/>
              <w:rPr>
                <w:rFonts w:eastAsia="Calibri" w:cs="Calibri"/>
                <w:noProof/>
              </w:rPr>
            </w:pPr>
            <w:r>
              <w:rPr>
                <w:noProof/>
              </w:rPr>
              <w:t>21.19</w:t>
            </w:r>
          </w:p>
        </w:tc>
        <w:tc>
          <w:tcPr>
            <w:tcW w:w="1731" w:type="dxa"/>
            <w:tcBorders>
              <w:top w:val="nil"/>
              <w:left w:val="nil"/>
              <w:bottom w:val="single" w:sz="4" w:space="0" w:color="auto"/>
              <w:right w:val="single" w:sz="4" w:space="0" w:color="auto"/>
            </w:tcBorders>
            <w:shd w:val="clear" w:color="auto" w:fill="C4EFCE"/>
            <w:vAlign w:val="center"/>
            <w:hideMark/>
          </w:tcPr>
          <w:p w14:paraId="14CCA84B" w14:textId="452A7EC5" w:rsidR="00154AD2" w:rsidRDefault="007F6BF3">
            <w:pPr>
              <w:pStyle w:val="P68B1DB1-Normal23"/>
              <w:spacing w:after="0"/>
              <w:jc w:val="center"/>
              <w:rPr>
                <w:rFonts w:eastAsia="Calibri" w:cs="Calibri"/>
                <w:noProof/>
              </w:rPr>
            </w:pPr>
            <w:r>
              <w:rPr>
                <w:noProof/>
              </w:rPr>
              <w:t>RP-C21-r47</w:t>
            </w:r>
          </w:p>
        </w:tc>
        <w:tc>
          <w:tcPr>
            <w:tcW w:w="1491" w:type="dxa"/>
            <w:tcBorders>
              <w:top w:val="nil"/>
              <w:left w:val="nil"/>
              <w:bottom w:val="single" w:sz="4" w:space="0" w:color="auto"/>
              <w:right w:val="single" w:sz="4" w:space="0" w:color="auto"/>
            </w:tcBorders>
            <w:shd w:val="clear" w:color="auto" w:fill="C4EFCE"/>
            <w:vAlign w:val="center"/>
            <w:hideMark/>
          </w:tcPr>
          <w:p w14:paraId="0A60F32E" w14:textId="77777777" w:rsidR="00154AD2" w:rsidRDefault="007F6BF3">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445DEC73" w14:textId="77777777" w:rsidR="00154AD2" w:rsidRDefault="007F6BF3">
            <w:pPr>
              <w:pStyle w:val="P68B1DB1-Normal23"/>
              <w:spacing w:after="0"/>
              <w:jc w:val="both"/>
              <w:rPr>
                <w:rFonts w:eastAsia="Calibri" w:cs="Calibri"/>
                <w:noProof/>
              </w:rPr>
            </w:pPr>
            <w:r>
              <w:rPr>
                <w:noProof/>
              </w:rPr>
              <w:t>Έγκριση του σχεδίου δράσης για το βιομεθάνιο</w:t>
            </w:r>
          </w:p>
        </w:tc>
        <w:tc>
          <w:tcPr>
            <w:tcW w:w="0" w:type="auto"/>
          </w:tcPr>
          <w:p w14:paraId="6244CF38" w14:textId="77777777" w:rsidR="00154AD2" w:rsidRDefault="00154AD2">
            <w:pPr>
              <w:spacing w:after="0" w:line="240" w:lineRule="auto"/>
              <w:rPr>
                <w:noProof/>
                <w:sz w:val="18"/>
              </w:rPr>
            </w:pPr>
          </w:p>
        </w:tc>
      </w:tr>
      <w:tr w:rsidR="00154AD2" w14:paraId="614F83E7"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7EB38B6C" w14:textId="77777777" w:rsidR="00154AD2" w:rsidRDefault="007F6BF3">
            <w:pPr>
              <w:pStyle w:val="P68B1DB1-Normal23"/>
              <w:spacing w:after="0"/>
              <w:jc w:val="center"/>
              <w:rPr>
                <w:rFonts w:eastAsia="Calibri" w:cs="Calibri"/>
                <w:noProof/>
              </w:rPr>
            </w:pPr>
            <w:r>
              <w:rPr>
                <w:noProof/>
              </w:rPr>
              <w:t>21.22</w:t>
            </w:r>
          </w:p>
        </w:tc>
        <w:tc>
          <w:tcPr>
            <w:tcW w:w="1731" w:type="dxa"/>
            <w:tcBorders>
              <w:top w:val="nil"/>
              <w:left w:val="nil"/>
              <w:bottom w:val="single" w:sz="4" w:space="0" w:color="auto"/>
              <w:right w:val="single" w:sz="4" w:space="0" w:color="auto"/>
            </w:tcBorders>
            <w:shd w:val="clear" w:color="auto" w:fill="C4EFCE"/>
            <w:vAlign w:val="center"/>
            <w:hideMark/>
          </w:tcPr>
          <w:p w14:paraId="48F8BD33" w14:textId="5060F7CF" w:rsidR="00154AD2" w:rsidRDefault="007F6BF3">
            <w:pPr>
              <w:pStyle w:val="P68B1DB1-Normal23"/>
              <w:spacing w:after="0"/>
              <w:jc w:val="center"/>
              <w:rPr>
                <w:rFonts w:eastAsia="Calibri" w:cs="Calibri"/>
                <w:noProof/>
              </w:rPr>
            </w:pPr>
            <w:r>
              <w:rPr>
                <w:noProof/>
              </w:rPr>
              <w:t>RP-C21-r48</w:t>
            </w:r>
          </w:p>
        </w:tc>
        <w:tc>
          <w:tcPr>
            <w:tcW w:w="1491" w:type="dxa"/>
            <w:tcBorders>
              <w:top w:val="nil"/>
              <w:left w:val="nil"/>
              <w:bottom w:val="single" w:sz="4" w:space="0" w:color="auto"/>
              <w:right w:val="single" w:sz="4" w:space="0" w:color="auto"/>
            </w:tcBorders>
            <w:shd w:val="clear" w:color="auto" w:fill="C4EFCE"/>
            <w:vAlign w:val="center"/>
            <w:hideMark/>
          </w:tcPr>
          <w:p w14:paraId="097F16E3" w14:textId="77777777" w:rsidR="00154AD2" w:rsidRDefault="007F6BF3">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6B9DAF45" w14:textId="77777777" w:rsidR="00154AD2" w:rsidRDefault="007F6BF3">
            <w:pPr>
              <w:pStyle w:val="P68B1DB1-Normal23"/>
              <w:spacing w:after="0"/>
              <w:jc w:val="both"/>
              <w:rPr>
                <w:rFonts w:eastAsia="Calibri" w:cs="Calibri"/>
                <w:noProof/>
              </w:rPr>
            </w:pPr>
            <w:r>
              <w:rPr>
                <w:noProof/>
              </w:rPr>
              <w:t>Κατάρτιση του προσωπικού που συμμετέχει στην αδειοδότηση έργων ανανεώσιμων πηγών ενέργειας</w:t>
            </w:r>
          </w:p>
        </w:tc>
        <w:tc>
          <w:tcPr>
            <w:tcW w:w="0" w:type="auto"/>
          </w:tcPr>
          <w:p w14:paraId="1B59DBBC" w14:textId="77777777" w:rsidR="00154AD2" w:rsidRDefault="00154AD2">
            <w:pPr>
              <w:spacing w:after="0" w:line="240" w:lineRule="auto"/>
              <w:rPr>
                <w:noProof/>
                <w:sz w:val="18"/>
              </w:rPr>
            </w:pPr>
          </w:p>
        </w:tc>
      </w:tr>
      <w:tr w:rsidR="00154AD2" w14:paraId="1A789DEE"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42840F22" w14:textId="77777777" w:rsidR="00154AD2" w:rsidRDefault="007F6BF3">
            <w:pPr>
              <w:pStyle w:val="P68B1DB1-Normal23"/>
              <w:spacing w:after="0"/>
              <w:jc w:val="center"/>
              <w:rPr>
                <w:rFonts w:eastAsia="Calibri" w:cs="Calibri"/>
                <w:noProof/>
              </w:rPr>
            </w:pPr>
            <w:r>
              <w:rPr>
                <w:noProof/>
              </w:rPr>
              <w:t>21.23</w:t>
            </w:r>
          </w:p>
        </w:tc>
        <w:tc>
          <w:tcPr>
            <w:tcW w:w="1731" w:type="dxa"/>
            <w:tcBorders>
              <w:top w:val="nil"/>
              <w:left w:val="nil"/>
              <w:bottom w:val="single" w:sz="4" w:space="0" w:color="auto"/>
              <w:right w:val="single" w:sz="4" w:space="0" w:color="auto"/>
            </w:tcBorders>
            <w:shd w:val="clear" w:color="auto" w:fill="C4EFCE"/>
            <w:vAlign w:val="center"/>
            <w:hideMark/>
          </w:tcPr>
          <w:p w14:paraId="5F455980" w14:textId="7B09C91A" w:rsidR="00154AD2" w:rsidRDefault="007F6BF3">
            <w:pPr>
              <w:pStyle w:val="P68B1DB1-Normal23"/>
              <w:spacing w:after="0"/>
              <w:jc w:val="center"/>
              <w:rPr>
                <w:rFonts w:eastAsia="Calibri" w:cs="Calibri"/>
                <w:noProof/>
              </w:rPr>
            </w:pPr>
            <w:r>
              <w:rPr>
                <w:noProof/>
              </w:rPr>
              <w:t>RP-C21-r48</w:t>
            </w:r>
          </w:p>
        </w:tc>
        <w:tc>
          <w:tcPr>
            <w:tcW w:w="1491" w:type="dxa"/>
            <w:tcBorders>
              <w:top w:val="nil"/>
              <w:left w:val="nil"/>
              <w:bottom w:val="single" w:sz="4" w:space="0" w:color="auto"/>
              <w:right w:val="single" w:sz="4" w:space="0" w:color="auto"/>
            </w:tcBorders>
            <w:shd w:val="clear" w:color="auto" w:fill="C4EFCE"/>
            <w:vAlign w:val="center"/>
            <w:hideMark/>
          </w:tcPr>
          <w:p w14:paraId="02876EA7" w14:textId="77777777" w:rsidR="00154AD2" w:rsidRDefault="007F6BF3">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20ACA668" w14:textId="77777777" w:rsidR="00154AD2" w:rsidRDefault="007F6BF3">
            <w:pPr>
              <w:pStyle w:val="P68B1DB1-Normal23"/>
              <w:spacing w:after="0"/>
              <w:jc w:val="both"/>
              <w:rPr>
                <w:rFonts w:eastAsia="Calibri" w:cs="Calibri"/>
                <w:noProof/>
              </w:rPr>
            </w:pPr>
            <w:r>
              <w:rPr>
                <w:noProof/>
              </w:rPr>
              <w:t>Έγκριση χρονοδιαγράμματος για την κατανομή νέας δυναμικότητας παραγωγής ενέργειας από ανανεώσιμες πηγές, με ιδιαίτερη έμφαση στις γεωγραφικές περιοχές που προκύπτουν από το τομεακό πρόγραμμα «Ανανεώσιμες Πηγές — Περιοχές»</w:t>
            </w:r>
          </w:p>
        </w:tc>
      </w:tr>
      <w:tr w:rsidR="00154AD2" w14:paraId="06A277B8"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204F7C25" w14:textId="77777777" w:rsidR="00154AD2" w:rsidRDefault="007F6BF3">
            <w:pPr>
              <w:pStyle w:val="P68B1DB1-Normal23"/>
              <w:spacing w:after="0"/>
              <w:jc w:val="center"/>
              <w:rPr>
                <w:rFonts w:eastAsia="Calibri" w:cs="Calibri"/>
                <w:noProof/>
              </w:rPr>
            </w:pPr>
            <w:r>
              <w:rPr>
                <w:noProof/>
              </w:rPr>
              <w:t>21.26</w:t>
            </w:r>
          </w:p>
        </w:tc>
        <w:tc>
          <w:tcPr>
            <w:tcW w:w="1731" w:type="dxa"/>
            <w:tcBorders>
              <w:top w:val="nil"/>
              <w:left w:val="nil"/>
              <w:bottom w:val="single" w:sz="4" w:space="0" w:color="auto"/>
              <w:right w:val="single" w:sz="4" w:space="0" w:color="auto"/>
            </w:tcBorders>
            <w:shd w:val="clear" w:color="auto" w:fill="C4EFCE"/>
            <w:vAlign w:val="center"/>
            <w:hideMark/>
          </w:tcPr>
          <w:p w14:paraId="245A5243" w14:textId="32E9BC0F" w:rsidR="00154AD2" w:rsidRDefault="007F6BF3">
            <w:pPr>
              <w:pStyle w:val="P68B1DB1-Normal23"/>
              <w:spacing w:after="0"/>
              <w:jc w:val="center"/>
              <w:rPr>
                <w:rFonts w:eastAsia="Calibri" w:cs="Calibri"/>
                <w:noProof/>
              </w:rPr>
            </w:pPr>
            <w:r>
              <w:rPr>
                <w:noProof/>
              </w:rPr>
              <w:t>RP-C21-i07</w:t>
            </w:r>
          </w:p>
        </w:tc>
        <w:tc>
          <w:tcPr>
            <w:tcW w:w="1491" w:type="dxa"/>
            <w:tcBorders>
              <w:top w:val="nil"/>
              <w:left w:val="nil"/>
              <w:bottom w:val="single" w:sz="4" w:space="0" w:color="auto"/>
              <w:right w:val="single" w:sz="4" w:space="0" w:color="auto"/>
            </w:tcBorders>
            <w:shd w:val="clear" w:color="auto" w:fill="C4EFCE"/>
            <w:vAlign w:val="center"/>
            <w:hideMark/>
          </w:tcPr>
          <w:p w14:paraId="38129E5F" w14:textId="77777777" w:rsidR="00154AD2" w:rsidRDefault="007F6BF3">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3D5267AC" w14:textId="77777777" w:rsidR="00154AD2" w:rsidRDefault="007F6BF3">
            <w:pPr>
              <w:pStyle w:val="P68B1DB1-Normal23"/>
              <w:spacing w:after="0"/>
              <w:jc w:val="both"/>
              <w:rPr>
                <w:rFonts w:eastAsia="Calibri" w:cs="Calibri"/>
                <w:noProof/>
              </w:rPr>
            </w:pPr>
            <w:r>
              <w:rPr>
                <w:noProof/>
              </w:rPr>
              <w:t>Υπογραφή σύμβασης/συμβάσεων για υπεράκτιες τεχνικές μελέτες</w:t>
            </w:r>
          </w:p>
        </w:tc>
        <w:tc>
          <w:tcPr>
            <w:tcW w:w="0" w:type="auto"/>
          </w:tcPr>
          <w:p w14:paraId="1D5FFE10" w14:textId="77777777" w:rsidR="00154AD2" w:rsidRDefault="00154AD2">
            <w:pPr>
              <w:spacing w:after="0" w:line="240" w:lineRule="auto"/>
              <w:rPr>
                <w:noProof/>
                <w:sz w:val="18"/>
              </w:rPr>
            </w:pPr>
          </w:p>
        </w:tc>
      </w:tr>
      <w:tr w:rsidR="00154AD2" w14:paraId="74F928D2"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21D78166" w14:textId="77777777" w:rsidR="00154AD2" w:rsidRDefault="007F6BF3">
            <w:pPr>
              <w:pStyle w:val="P68B1DB1-Normal23"/>
              <w:spacing w:after="0"/>
              <w:jc w:val="center"/>
              <w:rPr>
                <w:rFonts w:eastAsia="Calibri" w:cs="Calibri"/>
                <w:noProof/>
              </w:rPr>
            </w:pPr>
            <w:r>
              <w:rPr>
                <w:noProof/>
              </w:rPr>
              <w:t>21.28</w:t>
            </w:r>
          </w:p>
        </w:tc>
        <w:tc>
          <w:tcPr>
            <w:tcW w:w="1731" w:type="dxa"/>
            <w:tcBorders>
              <w:top w:val="nil"/>
              <w:left w:val="nil"/>
              <w:bottom w:val="single" w:sz="4" w:space="0" w:color="auto"/>
              <w:right w:val="single" w:sz="4" w:space="0" w:color="auto"/>
            </w:tcBorders>
            <w:shd w:val="clear" w:color="auto" w:fill="C4EFCE"/>
            <w:vAlign w:val="center"/>
            <w:hideMark/>
          </w:tcPr>
          <w:p w14:paraId="638BD854" w14:textId="7CBF63B7" w:rsidR="00154AD2" w:rsidRDefault="007F6BF3">
            <w:pPr>
              <w:pStyle w:val="P68B1DB1-Normal23"/>
              <w:spacing w:after="0"/>
              <w:jc w:val="center"/>
              <w:rPr>
                <w:rFonts w:eastAsia="Calibri" w:cs="Calibri"/>
                <w:noProof/>
              </w:rPr>
            </w:pPr>
            <w:r>
              <w:rPr>
                <w:noProof/>
              </w:rPr>
              <w:t>RP-C21-i08</w:t>
            </w:r>
          </w:p>
        </w:tc>
        <w:tc>
          <w:tcPr>
            <w:tcW w:w="1491" w:type="dxa"/>
            <w:tcBorders>
              <w:top w:val="nil"/>
              <w:left w:val="nil"/>
              <w:bottom w:val="single" w:sz="4" w:space="0" w:color="auto"/>
              <w:right w:val="single" w:sz="4" w:space="0" w:color="auto"/>
            </w:tcBorders>
            <w:shd w:val="clear" w:color="auto" w:fill="C4EFCE"/>
            <w:vAlign w:val="center"/>
            <w:hideMark/>
          </w:tcPr>
          <w:p w14:paraId="06F70A27" w14:textId="77777777" w:rsidR="00154AD2" w:rsidRDefault="007F6BF3">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4E4D2267" w14:textId="77777777" w:rsidR="00154AD2" w:rsidRDefault="007F6BF3">
            <w:pPr>
              <w:pStyle w:val="P68B1DB1-Normal23"/>
              <w:spacing w:after="0"/>
              <w:jc w:val="both"/>
              <w:rPr>
                <w:rFonts w:eastAsia="Calibri" w:cs="Calibri"/>
                <w:noProof/>
              </w:rPr>
            </w:pPr>
            <w:r>
              <w:rPr>
                <w:noProof/>
              </w:rPr>
              <w:t>Υπογραφή των όρων αποδοχής για την εγκατάσταση δυναμικότητας αποθήκευσης ηλεκτρικής ενέργειας</w:t>
            </w:r>
          </w:p>
        </w:tc>
        <w:tc>
          <w:tcPr>
            <w:tcW w:w="0" w:type="auto"/>
          </w:tcPr>
          <w:p w14:paraId="002DB804" w14:textId="77777777" w:rsidR="00154AD2" w:rsidRDefault="00154AD2">
            <w:pPr>
              <w:spacing w:after="0" w:line="240" w:lineRule="auto"/>
              <w:rPr>
                <w:noProof/>
                <w:sz w:val="18"/>
              </w:rPr>
            </w:pPr>
          </w:p>
        </w:tc>
      </w:tr>
      <w:tr w:rsidR="00154AD2" w14:paraId="56A7925E"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15A0096A" w14:textId="77777777" w:rsidR="00154AD2" w:rsidRDefault="007F6BF3">
            <w:pPr>
              <w:pStyle w:val="P68B1DB1-Normal23"/>
              <w:spacing w:after="0"/>
              <w:jc w:val="center"/>
              <w:rPr>
                <w:rFonts w:eastAsia="Calibri" w:cs="Calibri"/>
                <w:noProof/>
              </w:rPr>
            </w:pPr>
            <w:r>
              <w:rPr>
                <w:noProof/>
              </w:rPr>
              <w:t>21.35</w:t>
            </w:r>
          </w:p>
        </w:tc>
        <w:tc>
          <w:tcPr>
            <w:tcW w:w="1731" w:type="dxa"/>
            <w:tcBorders>
              <w:top w:val="nil"/>
              <w:left w:val="nil"/>
              <w:bottom w:val="single" w:sz="4" w:space="0" w:color="auto"/>
              <w:right w:val="single" w:sz="4" w:space="0" w:color="auto"/>
            </w:tcBorders>
            <w:shd w:val="clear" w:color="auto" w:fill="C4EFCE"/>
            <w:vAlign w:val="center"/>
            <w:hideMark/>
          </w:tcPr>
          <w:p w14:paraId="3795D271" w14:textId="17BBBA36" w:rsidR="00154AD2" w:rsidRDefault="007F6BF3">
            <w:pPr>
              <w:pStyle w:val="P68B1DB1-Normal23"/>
              <w:spacing w:after="0"/>
              <w:jc w:val="center"/>
              <w:rPr>
                <w:rFonts w:eastAsia="Calibri" w:cs="Calibri"/>
                <w:noProof/>
              </w:rPr>
            </w:pPr>
            <w:r>
              <w:rPr>
                <w:noProof/>
              </w:rPr>
              <w:t>RP-C21-i12</w:t>
            </w:r>
          </w:p>
        </w:tc>
        <w:tc>
          <w:tcPr>
            <w:tcW w:w="1491" w:type="dxa"/>
            <w:tcBorders>
              <w:top w:val="nil"/>
              <w:left w:val="nil"/>
              <w:bottom w:val="single" w:sz="4" w:space="0" w:color="auto"/>
              <w:right w:val="single" w:sz="4" w:space="0" w:color="auto"/>
            </w:tcBorders>
            <w:shd w:val="clear" w:color="auto" w:fill="C4EFCE"/>
            <w:vAlign w:val="center"/>
            <w:hideMark/>
          </w:tcPr>
          <w:p w14:paraId="09B715F7" w14:textId="77777777" w:rsidR="00154AD2" w:rsidRDefault="007F6BF3">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4FD26132" w14:textId="77777777" w:rsidR="00154AD2" w:rsidRDefault="007F6BF3">
            <w:pPr>
              <w:pStyle w:val="P68B1DB1-Normal23"/>
              <w:spacing w:after="0"/>
              <w:jc w:val="both"/>
              <w:rPr>
                <w:rFonts w:eastAsia="Calibri" w:cs="Calibri"/>
                <w:noProof/>
              </w:rPr>
            </w:pPr>
            <w:r>
              <w:rPr>
                <w:noProof/>
              </w:rPr>
              <w:t>Υπογραφή της σύμβασης για την αγορά καθαρών λεωφορείων στο πλαίσιο του προγράμματος απαλλαγής από τις ανθρακούχες εκπομπές στον τομέα των δημόσιων μεταφορών</w:t>
            </w:r>
          </w:p>
        </w:tc>
        <w:tc>
          <w:tcPr>
            <w:tcW w:w="0" w:type="auto"/>
          </w:tcPr>
          <w:p w14:paraId="54E7AB68" w14:textId="77777777" w:rsidR="00154AD2" w:rsidRDefault="00154AD2">
            <w:pPr>
              <w:spacing w:after="0" w:line="240" w:lineRule="auto"/>
              <w:rPr>
                <w:noProof/>
                <w:sz w:val="18"/>
              </w:rPr>
            </w:pPr>
          </w:p>
        </w:tc>
      </w:tr>
      <w:tr w:rsidR="00154AD2" w14:paraId="2005FDB3"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tcPr>
          <w:p w14:paraId="75A6F4F7" w14:textId="77777777" w:rsidR="00154AD2" w:rsidRDefault="007F6BF3">
            <w:pPr>
              <w:pStyle w:val="P68B1DB1-Normal23"/>
              <w:spacing w:after="0"/>
              <w:jc w:val="center"/>
              <w:rPr>
                <w:rFonts w:eastAsia="Calibri" w:cs="Calibri"/>
                <w:noProof/>
              </w:rPr>
            </w:pPr>
            <w:r>
              <w:rPr>
                <w:noProof/>
              </w:rPr>
              <w:t>21.40</w:t>
            </w:r>
          </w:p>
        </w:tc>
        <w:tc>
          <w:tcPr>
            <w:tcW w:w="1731" w:type="dxa"/>
            <w:tcBorders>
              <w:top w:val="nil"/>
              <w:left w:val="nil"/>
              <w:bottom w:val="single" w:sz="4" w:space="0" w:color="auto"/>
              <w:right w:val="single" w:sz="4" w:space="0" w:color="auto"/>
            </w:tcBorders>
            <w:shd w:val="clear" w:color="auto" w:fill="C4EFCE"/>
            <w:vAlign w:val="center"/>
          </w:tcPr>
          <w:p w14:paraId="21109940" w14:textId="77777777" w:rsidR="00154AD2" w:rsidRDefault="007F6BF3">
            <w:pPr>
              <w:pStyle w:val="P68B1DB1-Normal23"/>
              <w:spacing w:after="0"/>
              <w:jc w:val="center"/>
              <w:rPr>
                <w:rFonts w:eastAsia="Calibri" w:cs="Calibri"/>
                <w:noProof/>
              </w:rPr>
            </w:pPr>
            <w:r>
              <w:rPr>
                <w:noProof/>
              </w:rPr>
              <w:t>RP-C21-i15-RAA</w:t>
            </w:r>
          </w:p>
        </w:tc>
        <w:tc>
          <w:tcPr>
            <w:tcW w:w="1491" w:type="dxa"/>
            <w:tcBorders>
              <w:top w:val="nil"/>
              <w:left w:val="nil"/>
              <w:bottom w:val="single" w:sz="4" w:space="0" w:color="auto"/>
              <w:right w:val="single" w:sz="4" w:space="0" w:color="auto"/>
            </w:tcBorders>
            <w:shd w:val="clear" w:color="auto" w:fill="C4EFCE"/>
            <w:vAlign w:val="center"/>
          </w:tcPr>
          <w:p w14:paraId="14D3E6EC" w14:textId="77777777" w:rsidR="00154AD2" w:rsidRDefault="007F6BF3">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tcPr>
          <w:p w14:paraId="204EA7D4" w14:textId="77777777" w:rsidR="00154AD2" w:rsidRDefault="007F6BF3">
            <w:pPr>
              <w:pStyle w:val="P68B1DB1-Normal23"/>
              <w:spacing w:after="0"/>
              <w:jc w:val="both"/>
              <w:rPr>
                <w:rFonts w:eastAsia="Calibri" w:cs="Calibri"/>
                <w:noProof/>
              </w:rPr>
            </w:pPr>
            <w:r>
              <w:rPr>
                <w:noProof/>
              </w:rPr>
              <w:t>Υπογραφή της σύμβασης αγοράς δύο ηλεκτρικών πορθμείων για τη μεταφορά επιβατών και οχημάτων μεταξύ των νήσων Pico, Faial και São Jorge</w:t>
            </w:r>
          </w:p>
        </w:tc>
        <w:tc>
          <w:tcPr>
            <w:tcW w:w="0" w:type="auto"/>
          </w:tcPr>
          <w:p w14:paraId="04893D6C" w14:textId="77777777" w:rsidR="00154AD2" w:rsidRDefault="00154AD2">
            <w:pPr>
              <w:spacing w:after="0" w:line="240" w:lineRule="auto"/>
              <w:rPr>
                <w:noProof/>
                <w:sz w:val="18"/>
              </w:rPr>
            </w:pPr>
          </w:p>
        </w:tc>
      </w:tr>
      <w:tr w:rsidR="00154AD2" w14:paraId="6B53B022"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20E28EFA" w14:textId="77777777" w:rsidR="00154AD2" w:rsidRDefault="00154AD2">
            <w:pPr>
              <w:jc w:val="center"/>
              <w:rPr>
                <w:rFonts w:ascii="Calibri" w:eastAsia="Calibri" w:hAnsi="Calibri" w:cs="Calibri"/>
                <w:noProof/>
                <w:sz w:val="16"/>
              </w:rPr>
            </w:pPr>
          </w:p>
        </w:tc>
        <w:tc>
          <w:tcPr>
            <w:tcW w:w="1731" w:type="dxa"/>
            <w:tcBorders>
              <w:top w:val="nil"/>
              <w:left w:val="nil"/>
              <w:bottom w:val="single" w:sz="4" w:space="0" w:color="auto"/>
              <w:right w:val="single" w:sz="4" w:space="0" w:color="auto"/>
            </w:tcBorders>
            <w:shd w:val="clear" w:color="auto" w:fill="C4EFCE"/>
            <w:vAlign w:val="center"/>
            <w:hideMark/>
          </w:tcPr>
          <w:p w14:paraId="2E93C338" w14:textId="77777777" w:rsidR="00154AD2" w:rsidRDefault="00154AD2">
            <w:pPr>
              <w:jc w:val="center"/>
              <w:rPr>
                <w:rFonts w:ascii="Calibri" w:eastAsia="Calibri" w:hAnsi="Calibri" w:cs="Calibri"/>
                <w:noProof/>
                <w:sz w:val="16"/>
              </w:rPr>
            </w:pPr>
          </w:p>
        </w:tc>
        <w:tc>
          <w:tcPr>
            <w:tcW w:w="1491" w:type="dxa"/>
            <w:tcBorders>
              <w:top w:val="nil"/>
              <w:left w:val="nil"/>
              <w:bottom w:val="single" w:sz="4" w:space="0" w:color="auto"/>
              <w:right w:val="single" w:sz="4" w:space="0" w:color="auto"/>
            </w:tcBorders>
            <w:shd w:val="clear" w:color="auto" w:fill="C4EFCE"/>
            <w:vAlign w:val="center"/>
            <w:hideMark/>
          </w:tcPr>
          <w:p w14:paraId="75B5103C" w14:textId="77777777" w:rsidR="00154AD2" w:rsidRDefault="007F6BF3">
            <w:pPr>
              <w:pStyle w:val="P68B1DB1-Normal24"/>
              <w:spacing w:after="0" w:line="240" w:lineRule="auto"/>
              <w:jc w:val="center"/>
              <w:rPr>
                <w:rFonts w:eastAsia="Times New Roman" w:cs="Calibri"/>
                <w:noProof/>
              </w:rPr>
            </w:pPr>
            <w:r>
              <w:rPr>
                <w:noProof/>
              </w:rPr>
              <w:t>Ποσό δόσης</w:t>
            </w:r>
          </w:p>
        </w:tc>
        <w:tc>
          <w:tcPr>
            <w:tcW w:w="4919" w:type="dxa"/>
            <w:tcBorders>
              <w:top w:val="nil"/>
              <w:left w:val="nil"/>
              <w:bottom w:val="single" w:sz="4" w:space="0" w:color="auto"/>
              <w:right w:val="single" w:sz="4" w:space="0" w:color="auto"/>
            </w:tcBorders>
            <w:shd w:val="clear" w:color="auto" w:fill="C4EFCE"/>
            <w:vAlign w:val="center"/>
            <w:hideMark/>
          </w:tcPr>
          <w:p w14:paraId="3E3CC648" w14:textId="2B08B464" w:rsidR="00154AD2" w:rsidRDefault="007F6BF3">
            <w:pPr>
              <w:pStyle w:val="P68B1DB1-Normal25"/>
              <w:spacing w:after="0" w:line="240" w:lineRule="auto"/>
              <w:jc w:val="center"/>
              <w:rPr>
                <w:rFonts w:cs="Calibri"/>
                <w:noProof/>
              </w:rPr>
            </w:pPr>
            <w:r>
              <w:rPr>
                <w:noProof/>
              </w:rPr>
              <w:t xml:space="preserve"> 1 501 588 718 EUR </w:t>
            </w:r>
          </w:p>
        </w:tc>
        <w:tc>
          <w:tcPr>
            <w:tcW w:w="0" w:type="auto"/>
          </w:tcPr>
          <w:p w14:paraId="3C8F94FE" w14:textId="77777777" w:rsidR="00154AD2" w:rsidRDefault="00154AD2">
            <w:pPr>
              <w:spacing w:after="0" w:line="240" w:lineRule="auto"/>
              <w:rPr>
                <w:noProof/>
              </w:rPr>
            </w:pPr>
          </w:p>
        </w:tc>
      </w:tr>
    </w:tbl>
    <w:p w14:paraId="0498FCB8" w14:textId="77777777" w:rsidR="00154AD2" w:rsidRDefault="00154AD2">
      <w:pPr>
        <w:keepNext/>
        <w:spacing w:before="40" w:after="160" w:line="259" w:lineRule="auto"/>
        <w:ind w:left="360"/>
        <w:contextualSpacing/>
        <w:jc w:val="both"/>
        <w:rPr>
          <w:rFonts w:ascii="Times New Roman" w:eastAsiaTheme="minorEastAsia" w:hAnsi="Times New Roman" w:cs="Times New Roman"/>
          <w:noProof/>
          <w:sz w:val="24"/>
        </w:rPr>
      </w:pPr>
    </w:p>
    <w:p w14:paraId="7C23D5C3" w14:textId="77777777" w:rsidR="00154AD2" w:rsidRDefault="007F6BF3">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Έβδομη αίτηση πληρωμής (μη επιστρεπτέα στήριξη): </w:t>
      </w:r>
    </w:p>
    <w:p w14:paraId="05CC9F84" w14:textId="77777777" w:rsidR="00154AD2" w:rsidRDefault="00154AD2">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750"/>
        <w:gridCol w:w="1670"/>
        <w:gridCol w:w="4933"/>
      </w:tblGrid>
      <w:tr w:rsidR="00154AD2" w14:paraId="2089B95C" w14:textId="77777777">
        <w:trPr>
          <w:trHeight w:val="509"/>
          <w:tblHeader/>
        </w:trPr>
        <w:tc>
          <w:tcPr>
            <w:tcW w:w="1200" w:type="dxa"/>
            <w:vMerge w:val="restart"/>
            <w:shd w:val="clear" w:color="auto" w:fill="BDD7EE"/>
            <w:vAlign w:val="center"/>
            <w:hideMark/>
          </w:tcPr>
          <w:p w14:paraId="1610403B" w14:textId="77777777" w:rsidR="00154AD2" w:rsidRDefault="007F6BF3">
            <w:pPr>
              <w:pStyle w:val="P68B1DB1-Normal22"/>
              <w:spacing w:after="0" w:line="240" w:lineRule="auto"/>
              <w:jc w:val="center"/>
              <w:rPr>
                <w:rFonts w:eastAsia="Times New Roman" w:cs="Times New Roman"/>
                <w:noProof/>
              </w:rPr>
            </w:pPr>
            <w:r>
              <w:rPr>
                <w:noProof/>
              </w:rPr>
              <w:t>Αύξων αριθμός</w:t>
            </w:r>
          </w:p>
        </w:tc>
        <w:tc>
          <w:tcPr>
            <w:tcW w:w="1760" w:type="dxa"/>
            <w:vMerge w:val="restart"/>
            <w:shd w:val="clear" w:color="auto" w:fill="BDD7EE"/>
            <w:vAlign w:val="center"/>
            <w:hideMark/>
          </w:tcPr>
          <w:p w14:paraId="087CD088" w14:textId="77777777" w:rsidR="00154AD2" w:rsidRDefault="007F6BF3">
            <w:pPr>
              <w:pStyle w:val="P68B1DB1-Normal22"/>
              <w:spacing w:after="0" w:line="240" w:lineRule="auto"/>
              <w:jc w:val="center"/>
              <w:rPr>
                <w:rFonts w:eastAsia="Times New Roman" w:cs="Times New Roman"/>
                <w:noProof/>
              </w:rPr>
            </w:pPr>
            <w:r>
              <w:rPr>
                <w:noProof/>
              </w:rPr>
              <w:t>Σχετικό μέτρο (μεταρρύθμιση ή επένδυση)</w:t>
            </w:r>
          </w:p>
        </w:tc>
        <w:tc>
          <w:tcPr>
            <w:tcW w:w="1520" w:type="dxa"/>
            <w:vMerge w:val="restart"/>
            <w:shd w:val="clear" w:color="auto" w:fill="BDD7EE"/>
            <w:vAlign w:val="center"/>
            <w:hideMark/>
          </w:tcPr>
          <w:p w14:paraId="3758B49E" w14:textId="77777777" w:rsidR="00154AD2" w:rsidRDefault="007F6BF3">
            <w:pPr>
              <w:pStyle w:val="P68B1DB1-Normal22"/>
              <w:spacing w:after="0" w:line="240" w:lineRule="auto"/>
              <w:jc w:val="center"/>
              <w:rPr>
                <w:rFonts w:eastAsia="Times New Roman" w:cs="Times New Roman"/>
                <w:noProof/>
              </w:rPr>
            </w:pPr>
            <w:r>
              <w:rPr>
                <w:noProof/>
              </w:rPr>
              <w:t>Ορόσημο/Στόχος</w:t>
            </w:r>
          </w:p>
        </w:tc>
        <w:tc>
          <w:tcPr>
            <w:tcW w:w="5060" w:type="dxa"/>
            <w:vMerge w:val="restart"/>
            <w:shd w:val="clear" w:color="auto" w:fill="BDD7EE"/>
            <w:vAlign w:val="center"/>
            <w:hideMark/>
          </w:tcPr>
          <w:p w14:paraId="6115E89D" w14:textId="77777777" w:rsidR="00154AD2" w:rsidRDefault="007F6BF3">
            <w:pPr>
              <w:pStyle w:val="P68B1DB1-Normal22"/>
              <w:spacing w:after="0" w:line="240" w:lineRule="auto"/>
              <w:jc w:val="center"/>
              <w:rPr>
                <w:rFonts w:eastAsia="Times New Roman" w:cs="Times New Roman"/>
                <w:noProof/>
              </w:rPr>
            </w:pPr>
            <w:r>
              <w:rPr>
                <w:noProof/>
              </w:rPr>
              <w:t>Όνομα</w:t>
            </w:r>
          </w:p>
        </w:tc>
      </w:tr>
      <w:tr w:rsidR="00154AD2" w14:paraId="74F34BCB" w14:textId="77777777">
        <w:trPr>
          <w:trHeight w:val="509"/>
          <w:tblHeader/>
        </w:trPr>
        <w:tc>
          <w:tcPr>
            <w:tcW w:w="1200" w:type="dxa"/>
            <w:vMerge/>
            <w:vAlign w:val="center"/>
            <w:hideMark/>
          </w:tcPr>
          <w:p w14:paraId="5E98CE98" w14:textId="77777777" w:rsidR="00154AD2" w:rsidRDefault="00154AD2">
            <w:pPr>
              <w:spacing w:after="0" w:line="240" w:lineRule="auto"/>
              <w:rPr>
                <w:rFonts w:ascii="Times New Roman" w:eastAsia="Times New Roman" w:hAnsi="Times New Roman" w:cs="Times New Roman"/>
                <w:b/>
                <w:noProof/>
                <w:sz w:val="20"/>
              </w:rPr>
            </w:pPr>
          </w:p>
        </w:tc>
        <w:tc>
          <w:tcPr>
            <w:tcW w:w="1760" w:type="dxa"/>
            <w:vMerge/>
            <w:vAlign w:val="center"/>
            <w:hideMark/>
          </w:tcPr>
          <w:p w14:paraId="273A84B2" w14:textId="77777777" w:rsidR="00154AD2" w:rsidRDefault="00154AD2">
            <w:pPr>
              <w:spacing w:after="0" w:line="240" w:lineRule="auto"/>
              <w:rPr>
                <w:rFonts w:ascii="Times New Roman" w:eastAsia="Times New Roman" w:hAnsi="Times New Roman" w:cs="Times New Roman"/>
                <w:b/>
                <w:noProof/>
                <w:sz w:val="20"/>
              </w:rPr>
            </w:pPr>
          </w:p>
        </w:tc>
        <w:tc>
          <w:tcPr>
            <w:tcW w:w="1520" w:type="dxa"/>
            <w:vMerge/>
            <w:vAlign w:val="center"/>
            <w:hideMark/>
          </w:tcPr>
          <w:p w14:paraId="0B017496" w14:textId="77777777" w:rsidR="00154AD2" w:rsidRDefault="00154AD2">
            <w:pPr>
              <w:spacing w:after="0" w:line="240" w:lineRule="auto"/>
              <w:rPr>
                <w:rFonts w:ascii="Times New Roman" w:eastAsia="Times New Roman" w:hAnsi="Times New Roman" w:cs="Times New Roman"/>
                <w:b/>
                <w:noProof/>
                <w:sz w:val="20"/>
              </w:rPr>
            </w:pPr>
          </w:p>
        </w:tc>
        <w:tc>
          <w:tcPr>
            <w:tcW w:w="5060" w:type="dxa"/>
            <w:vMerge/>
            <w:vAlign w:val="center"/>
            <w:hideMark/>
          </w:tcPr>
          <w:p w14:paraId="51E262C0" w14:textId="77777777" w:rsidR="00154AD2" w:rsidRDefault="00154AD2">
            <w:pPr>
              <w:spacing w:after="0" w:line="240" w:lineRule="auto"/>
              <w:rPr>
                <w:rFonts w:ascii="Times New Roman" w:eastAsia="Times New Roman" w:hAnsi="Times New Roman" w:cs="Times New Roman"/>
                <w:b/>
                <w:noProof/>
                <w:sz w:val="20"/>
              </w:rPr>
            </w:pPr>
          </w:p>
        </w:tc>
      </w:tr>
      <w:tr w:rsidR="00154AD2" w14:paraId="78D2FC43" w14:textId="77777777">
        <w:trPr>
          <w:trHeight w:val="440"/>
        </w:trPr>
        <w:tc>
          <w:tcPr>
            <w:tcW w:w="1200" w:type="dxa"/>
            <w:shd w:val="clear" w:color="auto" w:fill="C4EFCE"/>
            <w:vAlign w:val="center"/>
            <w:hideMark/>
          </w:tcPr>
          <w:p w14:paraId="34AFA81A" w14:textId="77777777" w:rsidR="00154AD2" w:rsidRDefault="007F6BF3">
            <w:pPr>
              <w:pStyle w:val="P68B1DB1-Normal23"/>
              <w:spacing w:after="0"/>
              <w:jc w:val="center"/>
              <w:rPr>
                <w:rFonts w:eastAsia="Calibri" w:cs="Calibri"/>
                <w:noProof/>
              </w:rPr>
            </w:pPr>
            <w:r>
              <w:rPr>
                <w:noProof/>
              </w:rPr>
              <w:t>1.10</w:t>
            </w:r>
          </w:p>
        </w:tc>
        <w:tc>
          <w:tcPr>
            <w:tcW w:w="1760" w:type="dxa"/>
            <w:shd w:val="clear" w:color="auto" w:fill="C4EFCE"/>
            <w:vAlign w:val="center"/>
            <w:hideMark/>
          </w:tcPr>
          <w:p w14:paraId="51D0C2F0" w14:textId="77777777" w:rsidR="00154AD2" w:rsidRDefault="007F6BF3">
            <w:pPr>
              <w:pStyle w:val="P68B1DB1-Normal23"/>
              <w:spacing w:after="0"/>
              <w:jc w:val="center"/>
              <w:rPr>
                <w:rFonts w:eastAsia="Calibri" w:cs="Calibri"/>
                <w:noProof/>
              </w:rPr>
            </w:pPr>
            <w:r>
              <w:rPr>
                <w:noProof/>
              </w:rPr>
              <w:t>RE-C01-r03</w:t>
            </w:r>
          </w:p>
        </w:tc>
        <w:tc>
          <w:tcPr>
            <w:tcW w:w="1520" w:type="dxa"/>
            <w:shd w:val="clear" w:color="auto" w:fill="C4EFCE"/>
            <w:vAlign w:val="center"/>
            <w:hideMark/>
          </w:tcPr>
          <w:p w14:paraId="50D354B1"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664EC88" w14:textId="77777777" w:rsidR="00154AD2" w:rsidRDefault="007F6BF3">
            <w:pPr>
              <w:pStyle w:val="P68B1DB1-Normal23"/>
              <w:spacing w:after="0"/>
              <w:jc w:val="both"/>
              <w:rPr>
                <w:rFonts w:eastAsia="Calibri" w:cs="Calibri"/>
                <w:noProof/>
              </w:rPr>
            </w:pPr>
            <w:r>
              <w:rPr>
                <w:noProof/>
              </w:rPr>
              <w:t>Ενίσχυση των αποκρίσεων κατ’ οίκον νοσηλείας στα νοσοκομεία της Εθνικής Υπηρεσίας Υγείας</w:t>
            </w:r>
          </w:p>
        </w:tc>
      </w:tr>
      <w:tr w:rsidR="00154AD2" w14:paraId="281EF144" w14:textId="77777777">
        <w:trPr>
          <w:trHeight w:val="440"/>
        </w:trPr>
        <w:tc>
          <w:tcPr>
            <w:tcW w:w="1200" w:type="dxa"/>
            <w:shd w:val="clear" w:color="auto" w:fill="C4EFCE"/>
            <w:vAlign w:val="center"/>
            <w:hideMark/>
          </w:tcPr>
          <w:p w14:paraId="512494E5" w14:textId="77777777" w:rsidR="00154AD2" w:rsidRDefault="007F6BF3">
            <w:pPr>
              <w:pStyle w:val="P68B1DB1-Normal23"/>
              <w:spacing w:after="0"/>
              <w:jc w:val="center"/>
              <w:rPr>
                <w:rFonts w:eastAsia="Calibri" w:cs="Calibri"/>
                <w:noProof/>
              </w:rPr>
            </w:pPr>
            <w:r>
              <w:rPr>
                <w:noProof/>
              </w:rPr>
              <w:t>1.14</w:t>
            </w:r>
          </w:p>
        </w:tc>
        <w:tc>
          <w:tcPr>
            <w:tcW w:w="1760" w:type="dxa"/>
            <w:shd w:val="clear" w:color="auto" w:fill="C4EFCE"/>
            <w:vAlign w:val="center"/>
            <w:hideMark/>
          </w:tcPr>
          <w:p w14:paraId="0370E718" w14:textId="77777777" w:rsidR="00154AD2" w:rsidRDefault="007F6BF3">
            <w:pPr>
              <w:pStyle w:val="P68B1DB1-Normal23"/>
              <w:spacing w:after="0"/>
              <w:jc w:val="center"/>
              <w:rPr>
                <w:rFonts w:eastAsia="Calibri" w:cs="Calibri"/>
                <w:noProof/>
              </w:rPr>
            </w:pPr>
            <w:r>
              <w:rPr>
                <w:noProof/>
              </w:rPr>
              <w:t>RE-C01-i01</w:t>
            </w:r>
          </w:p>
        </w:tc>
        <w:tc>
          <w:tcPr>
            <w:tcW w:w="1520" w:type="dxa"/>
            <w:shd w:val="clear" w:color="auto" w:fill="C4EFCE"/>
            <w:vAlign w:val="center"/>
            <w:hideMark/>
          </w:tcPr>
          <w:p w14:paraId="1D5E254A"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FC949BF" w14:textId="77777777" w:rsidR="00154AD2" w:rsidRDefault="007F6BF3">
            <w:pPr>
              <w:pStyle w:val="P68B1DB1-Normal23"/>
              <w:spacing w:after="0"/>
              <w:jc w:val="both"/>
              <w:rPr>
                <w:rFonts w:eastAsia="Calibri" w:cs="Calibri"/>
                <w:noProof/>
              </w:rPr>
            </w:pPr>
            <w:r>
              <w:rPr>
                <w:noProof/>
              </w:rPr>
              <w:t>Δημιουργία νέων μονάδων υγείας</w:t>
            </w:r>
          </w:p>
        </w:tc>
      </w:tr>
      <w:tr w:rsidR="00154AD2" w14:paraId="5D10BD59" w14:textId="77777777">
        <w:trPr>
          <w:trHeight w:val="440"/>
        </w:trPr>
        <w:tc>
          <w:tcPr>
            <w:tcW w:w="1200" w:type="dxa"/>
            <w:shd w:val="clear" w:color="auto" w:fill="C4EFCE"/>
            <w:vAlign w:val="center"/>
            <w:hideMark/>
          </w:tcPr>
          <w:p w14:paraId="461A7F1E" w14:textId="77777777" w:rsidR="00154AD2" w:rsidRDefault="007F6BF3">
            <w:pPr>
              <w:pStyle w:val="P68B1DB1-Normal23"/>
              <w:spacing w:after="0"/>
              <w:jc w:val="center"/>
              <w:rPr>
                <w:rFonts w:eastAsia="Calibri" w:cs="Calibri"/>
                <w:noProof/>
              </w:rPr>
            </w:pPr>
            <w:r>
              <w:rPr>
                <w:noProof/>
              </w:rPr>
              <w:t>1.35</w:t>
            </w:r>
          </w:p>
        </w:tc>
        <w:tc>
          <w:tcPr>
            <w:tcW w:w="1760" w:type="dxa"/>
            <w:shd w:val="clear" w:color="auto" w:fill="C4EFCE"/>
            <w:vAlign w:val="center"/>
            <w:hideMark/>
          </w:tcPr>
          <w:p w14:paraId="018B6B55" w14:textId="77777777" w:rsidR="00154AD2" w:rsidRDefault="007F6BF3">
            <w:pPr>
              <w:pStyle w:val="P68B1DB1-Normal23"/>
              <w:spacing w:after="0"/>
              <w:jc w:val="center"/>
              <w:rPr>
                <w:rFonts w:eastAsia="Calibri" w:cs="Calibri"/>
                <w:noProof/>
              </w:rPr>
            </w:pPr>
            <w:r>
              <w:rPr>
                <w:noProof/>
              </w:rPr>
              <w:t>RE-C01-i07-RAM</w:t>
            </w:r>
          </w:p>
        </w:tc>
        <w:tc>
          <w:tcPr>
            <w:tcW w:w="1520" w:type="dxa"/>
            <w:shd w:val="clear" w:color="auto" w:fill="C4EFCE"/>
            <w:vAlign w:val="center"/>
            <w:hideMark/>
          </w:tcPr>
          <w:p w14:paraId="5CA14FA7"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379A737" w14:textId="77777777" w:rsidR="00154AD2" w:rsidRDefault="007F6BF3">
            <w:pPr>
              <w:pStyle w:val="P68B1DB1-Normal23"/>
              <w:spacing w:after="0"/>
              <w:jc w:val="both"/>
              <w:rPr>
                <w:rFonts w:eastAsia="Calibri" w:cs="Calibri"/>
                <w:noProof/>
              </w:rPr>
            </w:pPr>
            <w:r>
              <w:rPr>
                <w:noProof/>
              </w:rPr>
              <w:t>Νέος εξοπλισμός πληροφορικής για το περιφερειακό σύστημα υγείας της Μαδέρας</w:t>
            </w:r>
          </w:p>
        </w:tc>
      </w:tr>
      <w:tr w:rsidR="00154AD2" w14:paraId="6C85753F" w14:textId="77777777">
        <w:trPr>
          <w:trHeight w:val="440"/>
        </w:trPr>
        <w:tc>
          <w:tcPr>
            <w:tcW w:w="1200" w:type="dxa"/>
            <w:shd w:val="clear" w:color="auto" w:fill="C4EFCE"/>
            <w:vAlign w:val="center"/>
            <w:hideMark/>
          </w:tcPr>
          <w:p w14:paraId="663CED66" w14:textId="77777777" w:rsidR="00154AD2" w:rsidRDefault="007F6BF3">
            <w:pPr>
              <w:pStyle w:val="P68B1DB1-Normal23"/>
              <w:spacing w:after="0"/>
              <w:jc w:val="center"/>
              <w:rPr>
                <w:rFonts w:eastAsia="Calibri" w:cs="Calibri"/>
                <w:noProof/>
              </w:rPr>
            </w:pPr>
            <w:r>
              <w:rPr>
                <w:noProof/>
              </w:rPr>
              <w:t>1.37</w:t>
            </w:r>
          </w:p>
        </w:tc>
        <w:tc>
          <w:tcPr>
            <w:tcW w:w="1760" w:type="dxa"/>
            <w:shd w:val="clear" w:color="auto" w:fill="C4EFCE"/>
            <w:vAlign w:val="center"/>
            <w:hideMark/>
          </w:tcPr>
          <w:p w14:paraId="4A6C5BBD" w14:textId="77777777" w:rsidR="00154AD2" w:rsidRDefault="007F6BF3">
            <w:pPr>
              <w:pStyle w:val="P68B1DB1-Normal23"/>
              <w:spacing w:after="0"/>
              <w:jc w:val="center"/>
              <w:rPr>
                <w:rFonts w:eastAsia="Calibri" w:cs="Calibri"/>
                <w:noProof/>
              </w:rPr>
            </w:pPr>
            <w:r>
              <w:rPr>
                <w:noProof/>
              </w:rPr>
              <w:t>RE-C01-i08-RAA</w:t>
            </w:r>
          </w:p>
        </w:tc>
        <w:tc>
          <w:tcPr>
            <w:tcW w:w="1520" w:type="dxa"/>
            <w:shd w:val="clear" w:color="auto" w:fill="C4EFCE"/>
            <w:vAlign w:val="center"/>
            <w:hideMark/>
          </w:tcPr>
          <w:p w14:paraId="3A083AE7"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68C87034" w14:textId="77777777" w:rsidR="00154AD2" w:rsidRDefault="007F6BF3">
            <w:pPr>
              <w:pStyle w:val="P68B1DB1-Normal23"/>
              <w:spacing w:after="0"/>
              <w:jc w:val="both"/>
              <w:rPr>
                <w:rFonts w:eastAsia="Calibri" w:cs="Calibri"/>
                <w:noProof/>
              </w:rPr>
            </w:pPr>
            <w:r>
              <w:rPr>
                <w:noProof/>
              </w:rPr>
              <w:t>Εισαγωγή ραντεβού τηλεϊατρικής στην περιφερειακή υπηρεσία υγείας των Αζορών</w:t>
            </w:r>
          </w:p>
        </w:tc>
      </w:tr>
      <w:tr w:rsidR="00154AD2" w14:paraId="0E7C2786" w14:textId="77777777">
        <w:trPr>
          <w:trHeight w:val="440"/>
        </w:trPr>
        <w:tc>
          <w:tcPr>
            <w:tcW w:w="1200" w:type="dxa"/>
            <w:shd w:val="clear" w:color="auto" w:fill="C4EFCE"/>
            <w:vAlign w:val="center"/>
            <w:hideMark/>
          </w:tcPr>
          <w:p w14:paraId="56EFE37A" w14:textId="77777777" w:rsidR="00154AD2" w:rsidRDefault="007F6BF3">
            <w:pPr>
              <w:pStyle w:val="P68B1DB1-Normal23"/>
              <w:spacing w:after="0"/>
              <w:jc w:val="center"/>
              <w:rPr>
                <w:rFonts w:eastAsia="Calibri" w:cs="Calibri"/>
                <w:noProof/>
              </w:rPr>
            </w:pPr>
            <w:r>
              <w:rPr>
                <w:noProof/>
              </w:rPr>
              <w:t>1.42</w:t>
            </w:r>
          </w:p>
        </w:tc>
        <w:tc>
          <w:tcPr>
            <w:tcW w:w="1760" w:type="dxa"/>
            <w:shd w:val="clear" w:color="auto" w:fill="C4EFCE"/>
            <w:vAlign w:val="center"/>
            <w:hideMark/>
          </w:tcPr>
          <w:p w14:paraId="4BF6A73F" w14:textId="77777777" w:rsidR="00154AD2" w:rsidRDefault="007F6BF3">
            <w:pPr>
              <w:pStyle w:val="P68B1DB1-Normal23"/>
              <w:spacing w:after="0"/>
              <w:jc w:val="center"/>
              <w:rPr>
                <w:rFonts w:eastAsia="Calibri" w:cs="Calibri"/>
                <w:noProof/>
              </w:rPr>
            </w:pPr>
            <w:r>
              <w:rPr>
                <w:noProof/>
              </w:rPr>
              <w:t>RE-C01-i10</w:t>
            </w:r>
          </w:p>
        </w:tc>
        <w:tc>
          <w:tcPr>
            <w:tcW w:w="1520" w:type="dxa"/>
            <w:shd w:val="clear" w:color="auto" w:fill="C4EFCE"/>
            <w:vAlign w:val="center"/>
            <w:hideMark/>
          </w:tcPr>
          <w:p w14:paraId="507AF341"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17D2D683" w14:textId="77777777" w:rsidR="00154AD2" w:rsidRDefault="007F6BF3">
            <w:pPr>
              <w:pStyle w:val="P68B1DB1-Normal23"/>
              <w:spacing w:after="0"/>
              <w:jc w:val="both"/>
              <w:rPr>
                <w:rFonts w:eastAsia="Calibri" w:cs="Calibri"/>
                <w:noProof/>
              </w:rPr>
            </w:pPr>
            <w:r>
              <w:rPr>
                <w:noProof/>
              </w:rPr>
              <w:t>Αγορά βαρέος ιατρικού εξοπλισμού</w:t>
            </w:r>
          </w:p>
        </w:tc>
      </w:tr>
      <w:tr w:rsidR="00154AD2" w14:paraId="5FD85112" w14:textId="77777777">
        <w:trPr>
          <w:trHeight w:val="440"/>
        </w:trPr>
        <w:tc>
          <w:tcPr>
            <w:tcW w:w="1200" w:type="dxa"/>
            <w:shd w:val="clear" w:color="auto" w:fill="C4EFCE"/>
            <w:vAlign w:val="center"/>
            <w:hideMark/>
          </w:tcPr>
          <w:p w14:paraId="4C05018B" w14:textId="77777777" w:rsidR="00154AD2" w:rsidRDefault="007F6BF3">
            <w:pPr>
              <w:pStyle w:val="P68B1DB1-Normal23"/>
              <w:spacing w:after="0"/>
              <w:jc w:val="center"/>
              <w:rPr>
                <w:rFonts w:eastAsia="Calibri" w:cs="Calibri"/>
                <w:noProof/>
              </w:rPr>
            </w:pPr>
            <w:r>
              <w:rPr>
                <w:noProof/>
              </w:rPr>
              <w:t>2.5</w:t>
            </w:r>
          </w:p>
        </w:tc>
        <w:tc>
          <w:tcPr>
            <w:tcW w:w="1760" w:type="dxa"/>
            <w:shd w:val="clear" w:color="auto" w:fill="C4EFCE"/>
            <w:vAlign w:val="center"/>
            <w:hideMark/>
          </w:tcPr>
          <w:p w14:paraId="7718FE5F" w14:textId="77777777" w:rsidR="00154AD2" w:rsidRDefault="007F6BF3">
            <w:pPr>
              <w:pStyle w:val="P68B1DB1-Normal23"/>
              <w:spacing w:after="0"/>
              <w:jc w:val="center"/>
              <w:rPr>
                <w:rFonts w:eastAsia="Calibri" w:cs="Calibri"/>
                <w:noProof/>
              </w:rPr>
            </w:pPr>
            <w:r>
              <w:rPr>
                <w:noProof/>
              </w:rPr>
              <w:t>RE-C02-i02</w:t>
            </w:r>
          </w:p>
        </w:tc>
        <w:tc>
          <w:tcPr>
            <w:tcW w:w="1520" w:type="dxa"/>
            <w:shd w:val="clear" w:color="auto" w:fill="C4EFCE"/>
            <w:vAlign w:val="center"/>
            <w:hideMark/>
          </w:tcPr>
          <w:p w14:paraId="14E36A4A"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3716262" w14:textId="77777777" w:rsidR="00154AD2" w:rsidRDefault="007F6BF3">
            <w:pPr>
              <w:pStyle w:val="P68B1DB1-Normal23"/>
              <w:spacing w:after="0"/>
              <w:jc w:val="both"/>
              <w:rPr>
                <w:rFonts w:eastAsia="Calibri" w:cs="Calibri"/>
                <w:noProof/>
              </w:rPr>
            </w:pPr>
            <w:r>
              <w:rPr>
                <w:noProof/>
              </w:rPr>
              <w:t>Εθνική επιχορήγηση έκτακτης ανάγκης και προσωρινής στέγασης — Υπογραφή συμφωνιών χρηματοδότησης για καταλύματα έκτακτης ανάγκης και μετάβασης</w:t>
            </w:r>
          </w:p>
        </w:tc>
      </w:tr>
      <w:tr w:rsidR="00154AD2" w14:paraId="558EEAA4" w14:textId="77777777">
        <w:trPr>
          <w:trHeight w:val="440"/>
        </w:trPr>
        <w:tc>
          <w:tcPr>
            <w:tcW w:w="1200" w:type="dxa"/>
            <w:shd w:val="clear" w:color="auto" w:fill="C4EFCE"/>
            <w:vAlign w:val="center"/>
            <w:hideMark/>
          </w:tcPr>
          <w:p w14:paraId="08AB08F8" w14:textId="77777777" w:rsidR="00154AD2" w:rsidRDefault="007F6BF3">
            <w:pPr>
              <w:pStyle w:val="P68B1DB1-Normal23"/>
              <w:spacing w:after="0"/>
              <w:jc w:val="center"/>
              <w:rPr>
                <w:rFonts w:eastAsia="Calibri" w:cs="Calibri"/>
                <w:noProof/>
              </w:rPr>
            </w:pPr>
            <w:r>
              <w:rPr>
                <w:noProof/>
              </w:rPr>
              <w:t>2.10</w:t>
            </w:r>
          </w:p>
        </w:tc>
        <w:tc>
          <w:tcPr>
            <w:tcW w:w="1760" w:type="dxa"/>
            <w:shd w:val="clear" w:color="auto" w:fill="C4EFCE"/>
            <w:vAlign w:val="center"/>
            <w:hideMark/>
          </w:tcPr>
          <w:p w14:paraId="2483B503" w14:textId="77777777" w:rsidR="00154AD2" w:rsidRDefault="007F6BF3">
            <w:pPr>
              <w:pStyle w:val="P68B1DB1-Normal23"/>
              <w:spacing w:after="0"/>
              <w:jc w:val="center"/>
              <w:rPr>
                <w:rFonts w:eastAsia="Calibri" w:cs="Calibri"/>
                <w:noProof/>
              </w:rPr>
            </w:pPr>
            <w:r>
              <w:rPr>
                <w:noProof/>
              </w:rPr>
              <w:t>RE-C02-i03-RAM</w:t>
            </w:r>
          </w:p>
        </w:tc>
        <w:tc>
          <w:tcPr>
            <w:tcW w:w="1520" w:type="dxa"/>
            <w:shd w:val="clear" w:color="auto" w:fill="C4EFCE"/>
            <w:vAlign w:val="center"/>
            <w:hideMark/>
          </w:tcPr>
          <w:p w14:paraId="6BC4004A"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94C0CAB" w14:textId="77777777" w:rsidR="00154AD2" w:rsidRDefault="007F6BF3">
            <w:pPr>
              <w:pStyle w:val="P68B1DB1-Normal23"/>
              <w:spacing w:after="0"/>
              <w:jc w:val="both"/>
              <w:rPr>
                <w:rFonts w:eastAsia="Calibri" w:cs="Calibri"/>
                <w:noProof/>
              </w:rPr>
            </w:pPr>
            <w:r>
              <w:rPr>
                <w:noProof/>
              </w:rPr>
              <w:t>Υποστηριζόμενη στέγαση στην αυτόνομη περιφέρεια της Μαδέρας</w:t>
            </w:r>
          </w:p>
        </w:tc>
      </w:tr>
      <w:tr w:rsidR="00154AD2" w14:paraId="692CD3EC" w14:textId="77777777">
        <w:trPr>
          <w:trHeight w:val="440"/>
        </w:trPr>
        <w:tc>
          <w:tcPr>
            <w:tcW w:w="1200" w:type="dxa"/>
            <w:shd w:val="clear" w:color="auto" w:fill="C4EFCE"/>
            <w:vAlign w:val="center"/>
            <w:hideMark/>
          </w:tcPr>
          <w:p w14:paraId="66CC6C58" w14:textId="77777777" w:rsidR="00154AD2" w:rsidRDefault="007F6BF3">
            <w:pPr>
              <w:pStyle w:val="P68B1DB1-Normal23"/>
              <w:spacing w:after="0"/>
              <w:jc w:val="center"/>
              <w:rPr>
                <w:rFonts w:eastAsia="Calibri" w:cs="Calibri"/>
                <w:noProof/>
              </w:rPr>
            </w:pPr>
            <w:r>
              <w:rPr>
                <w:noProof/>
              </w:rPr>
              <w:t>3.2</w:t>
            </w:r>
          </w:p>
        </w:tc>
        <w:tc>
          <w:tcPr>
            <w:tcW w:w="1760" w:type="dxa"/>
            <w:shd w:val="clear" w:color="auto" w:fill="C4EFCE"/>
            <w:vAlign w:val="center"/>
            <w:hideMark/>
          </w:tcPr>
          <w:p w14:paraId="4B6552D8" w14:textId="77777777" w:rsidR="00154AD2" w:rsidRDefault="007F6BF3">
            <w:pPr>
              <w:pStyle w:val="P68B1DB1-Normal23"/>
              <w:spacing w:after="0"/>
              <w:jc w:val="center"/>
              <w:rPr>
                <w:rFonts w:eastAsia="Calibri" w:cs="Calibri"/>
                <w:noProof/>
              </w:rPr>
            </w:pPr>
            <w:r>
              <w:rPr>
                <w:noProof/>
              </w:rPr>
              <w:t>RE-C03-i01</w:t>
            </w:r>
          </w:p>
        </w:tc>
        <w:tc>
          <w:tcPr>
            <w:tcW w:w="1520" w:type="dxa"/>
            <w:shd w:val="clear" w:color="auto" w:fill="C4EFCE"/>
            <w:vAlign w:val="center"/>
            <w:hideMark/>
          </w:tcPr>
          <w:p w14:paraId="0928115F"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612F2860" w14:textId="77777777" w:rsidR="00154AD2" w:rsidRDefault="007F6BF3">
            <w:pPr>
              <w:pStyle w:val="P68B1DB1-Normal23"/>
              <w:spacing w:after="0"/>
              <w:jc w:val="both"/>
              <w:rPr>
                <w:rFonts w:eastAsia="Calibri" w:cs="Calibri"/>
                <w:noProof/>
              </w:rPr>
            </w:pPr>
            <w:r>
              <w:rPr>
                <w:noProof/>
              </w:rPr>
              <w:t>Δημιουργία των Ομάδων Κοινωνικής Παρέμβασης (Radar Social)</w:t>
            </w:r>
          </w:p>
        </w:tc>
      </w:tr>
      <w:tr w:rsidR="00154AD2" w14:paraId="30BD846E" w14:textId="77777777">
        <w:trPr>
          <w:trHeight w:val="440"/>
        </w:trPr>
        <w:tc>
          <w:tcPr>
            <w:tcW w:w="1200" w:type="dxa"/>
            <w:shd w:val="clear" w:color="auto" w:fill="C4EFCE"/>
            <w:vAlign w:val="center"/>
            <w:hideMark/>
          </w:tcPr>
          <w:p w14:paraId="77CAF7E5" w14:textId="77777777" w:rsidR="00154AD2" w:rsidRDefault="007F6BF3">
            <w:pPr>
              <w:pStyle w:val="P68B1DB1-Normal23"/>
              <w:spacing w:after="0"/>
              <w:jc w:val="center"/>
              <w:rPr>
                <w:rFonts w:eastAsia="Calibri" w:cs="Calibri"/>
                <w:noProof/>
              </w:rPr>
            </w:pPr>
            <w:r>
              <w:rPr>
                <w:noProof/>
              </w:rPr>
              <w:t>3.18</w:t>
            </w:r>
          </w:p>
        </w:tc>
        <w:tc>
          <w:tcPr>
            <w:tcW w:w="1760" w:type="dxa"/>
            <w:shd w:val="clear" w:color="auto" w:fill="C4EFCE"/>
            <w:vAlign w:val="center"/>
            <w:hideMark/>
          </w:tcPr>
          <w:p w14:paraId="4095135D" w14:textId="77777777" w:rsidR="00154AD2" w:rsidRDefault="007F6BF3">
            <w:pPr>
              <w:pStyle w:val="P68B1DB1-Normal23"/>
              <w:spacing w:after="0"/>
              <w:jc w:val="center"/>
              <w:rPr>
                <w:rFonts w:eastAsia="Calibri" w:cs="Calibri"/>
                <w:noProof/>
              </w:rPr>
            </w:pPr>
            <w:r>
              <w:rPr>
                <w:noProof/>
              </w:rPr>
              <w:t>RE-C03-i05</w:t>
            </w:r>
          </w:p>
        </w:tc>
        <w:tc>
          <w:tcPr>
            <w:tcW w:w="1520" w:type="dxa"/>
            <w:shd w:val="clear" w:color="auto" w:fill="C4EFCE"/>
            <w:vAlign w:val="center"/>
            <w:hideMark/>
          </w:tcPr>
          <w:p w14:paraId="3214A456"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5CF15101" w14:textId="77777777" w:rsidR="00154AD2" w:rsidRDefault="007F6BF3">
            <w:pPr>
              <w:pStyle w:val="P68B1DB1-Normal23"/>
              <w:spacing w:after="0"/>
              <w:jc w:val="both"/>
              <w:rPr>
                <w:rFonts w:eastAsia="Calibri" w:cs="Calibri"/>
                <w:noProof/>
              </w:rPr>
            </w:pPr>
            <w:r>
              <w:rPr>
                <w:noProof/>
              </w:rPr>
              <w:t>Ψηφιακή πλατφόρμα πληροφόρησης για άτομα με αναπηρία</w:t>
            </w:r>
          </w:p>
        </w:tc>
      </w:tr>
      <w:tr w:rsidR="00154AD2" w14:paraId="20628CE8" w14:textId="77777777">
        <w:trPr>
          <w:trHeight w:val="440"/>
        </w:trPr>
        <w:tc>
          <w:tcPr>
            <w:tcW w:w="1200" w:type="dxa"/>
            <w:shd w:val="clear" w:color="auto" w:fill="C4EFCE"/>
            <w:vAlign w:val="center"/>
            <w:hideMark/>
          </w:tcPr>
          <w:p w14:paraId="718E4D78" w14:textId="77777777" w:rsidR="00154AD2" w:rsidRDefault="007F6BF3">
            <w:pPr>
              <w:pStyle w:val="P68B1DB1-Normal23"/>
              <w:spacing w:after="0"/>
              <w:jc w:val="center"/>
              <w:rPr>
                <w:rFonts w:eastAsia="Calibri" w:cs="Calibri"/>
                <w:noProof/>
              </w:rPr>
            </w:pPr>
            <w:r>
              <w:rPr>
                <w:noProof/>
              </w:rPr>
              <w:t>5.37</w:t>
            </w:r>
          </w:p>
        </w:tc>
        <w:tc>
          <w:tcPr>
            <w:tcW w:w="1760" w:type="dxa"/>
            <w:shd w:val="clear" w:color="auto" w:fill="C4EFCE"/>
            <w:vAlign w:val="center"/>
            <w:hideMark/>
          </w:tcPr>
          <w:p w14:paraId="7B3EE8CE" w14:textId="77777777" w:rsidR="00154AD2" w:rsidRDefault="007F6BF3">
            <w:pPr>
              <w:pStyle w:val="P68B1DB1-Normal23"/>
              <w:spacing w:after="0"/>
              <w:jc w:val="center"/>
              <w:rPr>
                <w:rFonts w:eastAsia="Calibri" w:cs="Calibri"/>
                <w:noProof/>
              </w:rPr>
            </w:pPr>
            <w:r>
              <w:rPr>
                <w:noProof/>
              </w:rPr>
              <w:t>RE-C05-i08</w:t>
            </w:r>
          </w:p>
        </w:tc>
        <w:tc>
          <w:tcPr>
            <w:tcW w:w="1520" w:type="dxa"/>
            <w:shd w:val="clear" w:color="auto" w:fill="C4EFCE"/>
            <w:vAlign w:val="center"/>
            <w:hideMark/>
          </w:tcPr>
          <w:p w14:paraId="37761C8D"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9320E7C" w14:textId="77777777" w:rsidR="00154AD2" w:rsidRDefault="007F6BF3">
            <w:pPr>
              <w:pStyle w:val="P68B1DB1-Normal23"/>
              <w:spacing w:after="0"/>
              <w:jc w:val="both"/>
              <w:rPr>
                <w:rFonts w:eastAsia="Calibri" w:cs="Calibri"/>
                <w:noProof/>
              </w:rPr>
            </w:pPr>
            <w:r>
              <w:rPr>
                <w:noProof/>
              </w:rPr>
              <w:t>Ίδρυση του Εθνικού Κέντρου Προηγμένης Πληροφορικής (CNCA).</w:t>
            </w:r>
          </w:p>
        </w:tc>
      </w:tr>
      <w:tr w:rsidR="00154AD2" w14:paraId="6A2FA64B" w14:textId="77777777">
        <w:trPr>
          <w:trHeight w:val="440"/>
        </w:trPr>
        <w:tc>
          <w:tcPr>
            <w:tcW w:w="1200" w:type="dxa"/>
            <w:shd w:val="clear" w:color="auto" w:fill="C4EFCE"/>
            <w:vAlign w:val="center"/>
            <w:hideMark/>
          </w:tcPr>
          <w:p w14:paraId="7FC45C4C" w14:textId="77777777" w:rsidR="00154AD2" w:rsidRDefault="007F6BF3">
            <w:pPr>
              <w:pStyle w:val="P68B1DB1-Normal23"/>
              <w:spacing w:after="0"/>
              <w:jc w:val="center"/>
              <w:rPr>
                <w:rFonts w:eastAsia="Calibri" w:cs="Calibri"/>
                <w:noProof/>
              </w:rPr>
            </w:pPr>
            <w:r>
              <w:rPr>
                <w:noProof/>
              </w:rPr>
              <w:t>6.5</w:t>
            </w:r>
          </w:p>
        </w:tc>
        <w:tc>
          <w:tcPr>
            <w:tcW w:w="1760" w:type="dxa"/>
            <w:shd w:val="clear" w:color="auto" w:fill="C4EFCE"/>
            <w:vAlign w:val="center"/>
            <w:hideMark/>
          </w:tcPr>
          <w:p w14:paraId="2B15BC68" w14:textId="77777777" w:rsidR="00154AD2" w:rsidRDefault="007F6BF3">
            <w:pPr>
              <w:pStyle w:val="P68B1DB1-Normal23"/>
              <w:spacing w:after="0"/>
              <w:jc w:val="center"/>
              <w:rPr>
                <w:rFonts w:eastAsia="Calibri" w:cs="Calibri"/>
                <w:noProof/>
              </w:rPr>
            </w:pPr>
            <w:r>
              <w:rPr>
                <w:noProof/>
              </w:rPr>
              <w:t>RE-C06-i02</w:t>
            </w:r>
          </w:p>
        </w:tc>
        <w:tc>
          <w:tcPr>
            <w:tcW w:w="1520" w:type="dxa"/>
            <w:shd w:val="clear" w:color="auto" w:fill="C4EFCE"/>
            <w:vAlign w:val="center"/>
            <w:hideMark/>
          </w:tcPr>
          <w:p w14:paraId="7BE9B1BA"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F542581" w14:textId="77777777" w:rsidR="00154AD2" w:rsidRDefault="007F6BF3">
            <w:pPr>
              <w:pStyle w:val="P68B1DB1-Normal23"/>
              <w:spacing w:after="0"/>
              <w:jc w:val="both"/>
              <w:rPr>
                <w:rFonts w:eastAsia="Calibri" w:cs="Calibri"/>
                <w:noProof/>
              </w:rPr>
            </w:pPr>
            <w:r>
              <w:rPr>
                <w:noProof/>
              </w:rPr>
              <w:t>Χρηματοδοτική στήριξη για συμβάσεις αορίστου χρόνου</w:t>
            </w:r>
          </w:p>
        </w:tc>
      </w:tr>
      <w:tr w:rsidR="00154AD2" w14:paraId="4839FE69" w14:textId="77777777">
        <w:trPr>
          <w:trHeight w:val="440"/>
        </w:trPr>
        <w:tc>
          <w:tcPr>
            <w:tcW w:w="1200" w:type="dxa"/>
            <w:shd w:val="clear" w:color="auto" w:fill="C4EFCE"/>
            <w:vAlign w:val="center"/>
            <w:hideMark/>
          </w:tcPr>
          <w:p w14:paraId="410B82AF" w14:textId="77777777" w:rsidR="00154AD2" w:rsidRDefault="007F6BF3">
            <w:pPr>
              <w:pStyle w:val="P68B1DB1-Normal23"/>
              <w:spacing w:after="0"/>
              <w:jc w:val="center"/>
              <w:rPr>
                <w:rFonts w:eastAsia="Calibri" w:cs="Calibri"/>
                <w:noProof/>
              </w:rPr>
            </w:pPr>
            <w:r>
              <w:rPr>
                <w:noProof/>
              </w:rPr>
              <w:t>6.17</w:t>
            </w:r>
          </w:p>
        </w:tc>
        <w:tc>
          <w:tcPr>
            <w:tcW w:w="1760" w:type="dxa"/>
            <w:shd w:val="clear" w:color="auto" w:fill="C4EFCE"/>
            <w:vAlign w:val="center"/>
            <w:hideMark/>
          </w:tcPr>
          <w:p w14:paraId="71A13B94" w14:textId="77777777" w:rsidR="00154AD2" w:rsidRDefault="007F6BF3">
            <w:pPr>
              <w:pStyle w:val="P68B1DB1-Normal23"/>
              <w:spacing w:after="0"/>
              <w:jc w:val="center"/>
              <w:rPr>
                <w:rFonts w:eastAsia="Calibri" w:cs="Calibri"/>
                <w:noProof/>
              </w:rPr>
            </w:pPr>
            <w:r>
              <w:rPr>
                <w:noProof/>
              </w:rPr>
              <w:t>RE-C06-r18</w:t>
            </w:r>
          </w:p>
        </w:tc>
        <w:tc>
          <w:tcPr>
            <w:tcW w:w="1520" w:type="dxa"/>
            <w:shd w:val="clear" w:color="auto" w:fill="C4EFCE"/>
            <w:vAlign w:val="center"/>
            <w:hideMark/>
          </w:tcPr>
          <w:p w14:paraId="51778BF5"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241251F" w14:textId="77777777" w:rsidR="00154AD2" w:rsidRDefault="007F6BF3">
            <w:pPr>
              <w:pStyle w:val="P68B1DB1-Normal23"/>
              <w:spacing w:after="0"/>
              <w:jc w:val="both"/>
              <w:rPr>
                <w:rFonts w:eastAsia="Calibri" w:cs="Calibri"/>
                <w:noProof/>
              </w:rPr>
            </w:pPr>
            <w:r>
              <w:rPr>
                <w:noProof/>
              </w:rPr>
              <w:t>Θέσπιση του πορτογαλικού κανόνα για ένα σύστημα ίσης διαχείρισης των αμοιβών.</w:t>
            </w:r>
          </w:p>
        </w:tc>
      </w:tr>
      <w:tr w:rsidR="00154AD2" w14:paraId="0118C2E1" w14:textId="77777777">
        <w:trPr>
          <w:trHeight w:val="440"/>
        </w:trPr>
        <w:tc>
          <w:tcPr>
            <w:tcW w:w="1200" w:type="dxa"/>
            <w:shd w:val="clear" w:color="auto" w:fill="C4EFCE"/>
            <w:vAlign w:val="center"/>
          </w:tcPr>
          <w:p w14:paraId="73E1EE90" w14:textId="77777777" w:rsidR="00154AD2" w:rsidRDefault="007F6BF3">
            <w:pPr>
              <w:pStyle w:val="P68B1DB1-Normal23"/>
              <w:spacing w:after="0"/>
              <w:jc w:val="center"/>
              <w:rPr>
                <w:rFonts w:eastAsia="Calibri" w:cs="Calibri"/>
                <w:noProof/>
              </w:rPr>
            </w:pPr>
            <w:r>
              <w:rPr>
                <w:noProof/>
              </w:rPr>
              <w:t>6.18</w:t>
            </w:r>
          </w:p>
        </w:tc>
        <w:tc>
          <w:tcPr>
            <w:tcW w:w="1760" w:type="dxa"/>
            <w:shd w:val="clear" w:color="auto" w:fill="C4EFCE"/>
            <w:vAlign w:val="center"/>
          </w:tcPr>
          <w:p w14:paraId="3D8A0425" w14:textId="77777777" w:rsidR="00154AD2" w:rsidRDefault="007F6BF3">
            <w:pPr>
              <w:pStyle w:val="P68B1DB1-Normal23"/>
              <w:spacing w:after="0"/>
              <w:jc w:val="center"/>
              <w:rPr>
                <w:rFonts w:eastAsia="Calibri" w:cs="Calibri"/>
                <w:noProof/>
              </w:rPr>
            </w:pPr>
            <w:r>
              <w:rPr>
                <w:noProof/>
              </w:rPr>
              <w:t>RE-C06-r18</w:t>
            </w:r>
          </w:p>
        </w:tc>
        <w:tc>
          <w:tcPr>
            <w:tcW w:w="1520" w:type="dxa"/>
            <w:shd w:val="clear" w:color="auto" w:fill="C4EFCE"/>
            <w:vAlign w:val="center"/>
          </w:tcPr>
          <w:p w14:paraId="72CDE6C4"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tcPr>
          <w:p w14:paraId="601AD98C" w14:textId="77777777" w:rsidR="00154AD2" w:rsidRDefault="007F6BF3">
            <w:pPr>
              <w:pStyle w:val="P68B1DB1-Normal23"/>
              <w:spacing w:after="0"/>
              <w:jc w:val="both"/>
              <w:rPr>
                <w:rFonts w:eastAsia="Calibri" w:cs="Calibri"/>
                <w:noProof/>
              </w:rPr>
            </w:pPr>
            <w:r>
              <w:rPr>
                <w:noProof/>
              </w:rPr>
              <w:t>Κοινοποίηση εταιρειών με περισσότερους από 50 εργαζομένους που παρουσιάζουν σημαντικές μισθολογικές διαφορές μεταξύ των φύλων</w:t>
            </w:r>
          </w:p>
        </w:tc>
      </w:tr>
      <w:tr w:rsidR="00154AD2" w14:paraId="6DE96290" w14:textId="77777777">
        <w:trPr>
          <w:trHeight w:val="440"/>
        </w:trPr>
        <w:tc>
          <w:tcPr>
            <w:tcW w:w="1200" w:type="dxa"/>
            <w:shd w:val="clear" w:color="auto" w:fill="C4EFCE"/>
            <w:vAlign w:val="center"/>
            <w:hideMark/>
          </w:tcPr>
          <w:p w14:paraId="2DF8DE3F" w14:textId="77777777" w:rsidR="00154AD2" w:rsidRDefault="007F6BF3">
            <w:pPr>
              <w:pStyle w:val="P68B1DB1-Normal23"/>
              <w:spacing w:after="0"/>
              <w:jc w:val="center"/>
              <w:rPr>
                <w:rFonts w:eastAsia="Calibri" w:cs="Calibri"/>
                <w:noProof/>
              </w:rPr>
            </w:pPr>
            <w:r>
              <w:rPr>
                <w:noProof/>
              </w:rPr>
              <w:t>6.24</w:t>
            </w:r>
          </w:p>
        </w:tc>
        <w:tc>
          <w:tcPr>
            <w:tcW w:w="1760" w:type="dxa"/>
            <w:shd w:val="clear" w:color="auto" w:fill="C4EFCE"/>
            <w:vAlign w:val="center"/>
            <w:hideMark/>
          </w:tcPr>
          <w:p w14:paraId="3F72ECAE" w14:textId="77777777" w:rsidR="00154AD2" w:rsidRDefault="007F6BF3">
            <w:pPr>
              <w:pStyle w:val="P68B1DB1-Normal23"/>
              <w:spacing w:after="0"/>
              <w:jc w:val="center"/>
              <w:rPr>
                <w:rFonts w:eastAsia="Calibri" w:cs="Calibri"/>
                <w:noProof/>
              </w:rPr>
            </w:pPr>
            <w:r>
              <w:rPr>
                <w:noProof/>
              </w:rPr>
              <w:t>RE-C06-i07</w:t>
            </w:r>
          </w:p>
        </w:tc>
        <w:tc>
          <w:tcPr>
            <w:tcW w:w="1520" w:type="dxa"/>
            <w:shd w:val="clear" w:color="auto" w:fill="C4EFCE"/>
            <w:vAlign w:val="center"/>
            <w:hideMark/>
          </w:tcPr>
          <w:p w14:paraId="36EEB3BA"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E71C6ED" w14:textId="77777777" w:rsidR="00154AD2" w:rsidRDefault="007F6BF3">
            <w:pPr>
              <w:pStyle w:val="P68B1DB1-Normal23"/>
              <w:spacing w:after="0"/>
              <w:jc w:val="both"/>
              <w:rPr>
                <w:rFonts w:eastAsia="Calibri" w:cs="Calibri"/>
                <w:noProof/>
              </w:rPr>
            </w:pPr>
            <w:r>
              <w:rPr>
                <w:noProof/>
              </w:rPr>
              <w:t xml:space="preserve">Καινοτομία και παιδαγωγικός εκσυγχρονισμός στην τριτοβάθμια εκπαίδευση </w:t>
            </w:r>
          </w:p>
        </w:tc>
      </w:tr>
      <w:tr w:rsidR="00154AD2" w14:paraId="71CB9782" w14:textId="77777777">
        <w:trPr>
          <w:trHeight w:val="440"/>
        </w:trPr>
        <w:tc>
          <w:tcPr>
            <w:tcW w:w="1200" w:type="dxa"/>
            <w:shd w:val="clear" w:color="auto" w:fill="C4EFCE"/>
            <w:vAlign w:val="center"/>
            <w:hideMark/>
          </w:tcPr>
          <w:p w14:paraId="2D7720E1" w14:textId="77777777" w:rsidR="00154AD2" w:rsidRDefault="007F6BF3">
            <w:pPr>
              <w:pStyle w:val="P68B1DB1-Normal23"/>
              <w:spacing w:after="0"/>
              <w:jc w:val="center"/>
              <w:rPr>
                <w:rFonts w:eastAsia="Calibri" w:cs="Calibri"/>
                <w:noProof/>
              </w:rPr>
            </w:pPr>
            <w:r>
              <w:rPr>
                <w:noProof/>
              </w:rPr>
              <w:t>6.26</w:t>
            </w:r>
          </w:p>
        </w:tc>
        <w:tc>
          <w:tcPr>
            <w:tcW w:w="1760" w:type="dxa"/>
            <w:shd w:val="clear" w:color="auto" w:fill="C4EFCE"/>
            <w:vAlign w:val="center"/>
            <w:hideMark/>
          </w:tcPr>
          <w:p w14:paraId="4E35273D" w14:textId="0EFE6435" w:rsidR="00154AD2" w:rsidRDefault="007F6BF3">
            <w:pPr>
              <w:pStyle w:val="P68B1DB1-Normal23"/>
              <w:spacing w:after="0"/>
              <w:jc w:val="center"/>
              <w:rPr>
                <w:rFonts w:eastAsia="Calibri" w:cs="Calibri"/>
                <w:noProof/>
              </w:rPr>
            </w:pPr>
            <w:r>
              <w:rPr>
                <w:noProof/>
              </w:rPr>
              <w:t>RE-C06-i08-RAM</w:t>
            </w:r>
          </w:p>
        </w:tc>
        <w:tc>
          <w:tcPr>
            <w:tcW w:w="1520" w:type="dxa"/>
            <w:shd w:val="clear" w:color="auto" w:fill="C4EFCE"/>
            <w:vAlign w:val="center"/>
            <w:hideMark/>
          </w:tcPr>
          <w:p w14:paraId="682F1E48"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2A9A92A" w14:textId="77777777" w:rsidR="00154AD2" w:rsidRDefault="007F6BF3">
            <w:pPr>
              <w:pStyle w:val="P68B1DB1-Normal23"/>
              <w:spacing w:after="0"/>
              <w:jc w:val="both"/>
              <w:rPr>
                <w:rFonts w:eastAsia="Calibri" w:cs="Calibri"/>
                <w:noProof/>
              </w:rPr>
            </w:pPr>
            <w:r>
              <w:rPr>
                <w:noProof/>
              </w:rPr>
              <w:t>Υπογραφή σύμβασης για την επέκταση του κτιρίου CITMA</w:t>
            </w:r>
          </w:p>
        </w:tc>
      </w:tr>
      <w:tr w:rsidR="00154AD2" w14:paraId="1641F158" w14:textId="77777777">
        <w:trPr>
          <w:trHeight w:val="440"/>
        </w:trPr>
        <w:tc>
          <w:tcPr>
            <w:tcW w:w="1200" w:type="dxa"/>
            <w:shd w:val="clear" w:color="auto" w:fill="C4EFCE"/>
            <w:vAlign w:val="center"/>
            <w:hideMark/>
          </w:tcPr>
          <w:p w14:paraId="2A803BC2" w14:textId="77777777" w:rsidR="00154AD2" w:rsidRDefault="007F6BF3">
            <w:pPr>
              <w:pStyle w:val="P68B1DB1-Normal23"/>
              <w:spacing w:after="0"/>
              <w:jc w:val="center"/>
              <w:rPr>
                <w:rFonts w:eastAsia="Calibri" w:cs="Calibri"/>
                <w:noProof/>
              </w:rPr>
            </w:pPr>
            <w:r>
              <w:rPr>
                <w:noProof/>
              </w:rPr>
              <w:t>7.2</w:t>
            </w:r>
          </w:p>
        </w:tc>
        <w:tc>
          <w:tcPr>
            <w:tcW w:w="1760" w:type="dxa"/>
            <w:shd w:val="clear" w:color="auto" w:fill="C4EFCE"/>
            <w:vAlign w:val="center"/>
            <w:hideMark/>
          </w:tcPr>
          <w:p w14:paraId="148139C0" w14:textId="77777777" w:rsidR="00154AD2" w:rsidRDefault="007F6BF3">
            <w:pPr>
              <w:pStyle w:val="P68B1DB1-Normal23"/>
              <w:spacing w:after="0"/>
              <w:jc w:val="center"/>
              <w:rPr>
                <w:rFonts w:eastAsia="Calibri" w:cs="Calibri"/>
                <w:noProof/>
              </w:rPr>
            </w:pPr>
            <w:r>
              <w:rPr>
                <w:noProof/>
              </w:rPr>
              <w:t>RE-C07-i00</w:t>
            </w:r>
          </w:p>
        </w:tc>
        <w:tc>
          <w:tcPr>
            <w:tcW w:w="1520" w:type="dxa"/>
            <w:shd w:val="clear" w:color="auto" w:fill="C4EFCE"/>
            <w:vAlign w:val="center"/>
            <w:hideMark/>
          </w:tcPr>
          <w:p w14:paraId="3C913E09"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2B05BD75" w14:textId="4917198F" w:rsidR="00154AD2" w:rsidRDefault="007F6BF3">
            <w:pPr>
              <w:pStyle w:val="P68B1DB1-Normal23"/>
              <w:spacing w:after="0"/>
              <w:jc w:val="both"/>
              <w:rPr>
                <w:rFonts w:eastAsia="Calibri" w:cs="Calibri"/>
                <w:noProof/>
              </w:rPr>
            </w:pPr>
            <w:r>
              <w:rPr>
                <w:noProof/>
              </w:rPr>
              <w:t>Δημοσίως προσβάσιμα σημεία επαναφόρτισης ηλεκτρικών οχημάτων</w:t>
            </w:r>
          </w:p>
        </w:tc>
      </w:tr>
      <w:tr w:rsidR="00154AD2" w14:paraId="409538B8" w14:textId="77777777">
        <w:trPr>
          <w:trHeight w:val="440"/>
        </w:trPr>
        <w:tc>
          <w:tcPr>
            <w:tcW w:w="1200" w:type="dxa"/>
            <w:shd w:val="clear" w:color="auto" w:fill="C4EFCE"/>
            <w:vAlign w:val="center"/>
            <w:hideMark/>
          </w:tcPr>
          <w:p w14:paraId="7AD48D83" w14:textId="77777777" w:rsidR="00154AD2" w:rsidRDefault="007F6BF3">
            <w:pPr>
              <w:pStyle w:val="P68B1DB1-Normal23"/>
              <w:spacing w:after="0"/>
              <w:jc w:val="center"/>
              <w:rPr>
                <w:rFonts w:eastAsia="Calibri" w:cs="Calibri"/>
                <w:noProof/>
              </w:rPr>
            </w:pPr>
            <w:r>
              <w:rPr>
                <w:noProof/>
              </w:rPr>
              <w:t>8.13</w:t>
            </w:r>
          </w:p>
        </w:tc>
        <w:tc>
          <w:tcPr>
            <w:tcW w:w="1760" w:type="dxa"/>
            <w:shd w:val="clear" w:color="auto" w:fill="C4EFCE"/>
            <w:vAlign w:val="center"/>
            <w:hideMark/>
          </w:tcPr>
          <w:p w14:paraId="4745E4E8" w14:textId="77777777" w:rsidR="00154AD2" w:rsidRDefault="007F6BF3">
            <w:pPr>
              <w:pStyle w:val="P68B1DB1-Normal23"/>
              <w:spacing w:after="0"/>
              <w:jc w:val="center"/>
              <w:rPr>
                <w:rFonts w:eastAsia="Calibri" w:cs="Calibri"/>
                <w:noProof/>
              </w:rPr>
            </w:pPr>
            <w:r>
              <w:rPr>
                <w:noProof/>
              </w:rPr>
              <w:t>RE-C08-i05</w:t>
            </w:r>
          </w:p>
        </w:tc>
        <w:tc>
          <w:tcPr>
            <w:tcW w:w="1520" w:type="dxa"/>
            <w:shd w:val="clear" w:color="auto" w:fill="C4EFCE"/>
            <w:vAlign w:val="center"/>
            <w:hideMark/>
          </w:tcPr>
          <w:p w14:paraId="5F6B7E1B"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9D1CC3E" w14:textId="77777777" w:rsidR="00154AD2" w:rsidRDefault="007F6BF3">
            <w:pPr>
              <w:pStyle w:val="P68B1DB1-Normal23"/>
              <w:spacing w:after="0"/>
              <w:jc w:val="both"/>
              <w:rPr>
                <w:rFonts w:eastAsia="Calibri" w:cs="Calibri"/>
                <w:noProof/>
              </w:rPr>
            </w:pPr>
            <w:r>
              <w:rPr>
                <w:noProof/>
              </w:rPr>
              <w:t>Ενίσχυση των φορέων του Υπουργείου Εσωτερικών (MAI) με οχήματα και εξοπλισμό λειτουργίας</w:t>
            </w:r>
          </w:p>
        </w:tc>
      </w:tr>
      <w:tr w:rsidR="00154AD2" w14:paraId="46442EA5" w14:textId="77777777">
        <w:trPr>
          <w:trHeight w:val="440"/>
        </w:trPr>
        <w:tc>
          <w:tcPr>
            <w:tcW w:w="1200" w:type="dxa"/>
            <w:shd w:val="clear" w:color="auto" w:fill="C4EFCE"/>
            <w:vAlign w:val="center"/>
            <w:hideMark/>
          </w:tcPr>
          <w:p w14:paraId="37ADCEA6" w14:textId="77777777" w:rsidR="00154AD2" w:rsidRDefault="007F6BF3">
            <w:pPr>
              <w:pStyle w:val="P68B1DB1-Normal23"/>
              <w:spacing w:after="0"/>
              <w:jc w:val="center"/>
              <w:rPr>
                <w:rFonts w:eastAsia="Calibri" w:cs="Calibri"/>
                <w:noProof/>
              </w:rPr>
            </w:pPr>
            <w:r>
              <w:rPr>
                <w:noProof/>
              </w:rPr>
              <w:t>9.1</w:t>
            </w:r>
          </w:p>
        </w:tc>
        <w:tc>
          <w:tcPr>
            <w:tcW w:w="1760" w:type="dxa"/>
            <w:shd w:val="clear" w:color="auto" w:fill="C4EFCE"/>
            <w:vAlign w:val="center"/>
            <w:hideMark/>
          </w:tcPr>
          <w:p w14:paraId="21DD8E0C" w14:textId="77777777" w:rsidR="00154AD2" w:rsidRDefault="007F6BF3">
            <w:pPr>
              <w:pStyle w:val="P68B1DB1-Normal23"/>
              <w:spacing w:after="0"/>
              <w:jc w:val="center"/>
              <w:rPr>
                <w:rFonts w:eastAsia="Calibri" w:cs="Calibri"/>
                <w:noProof/>
              </w:rPr>
            </w:pPr>
            <w:r>
              <w:rPr>
                <w:noProof/>
              </w:rPr>
              <w:t>RE-C09-i01</w:t>
            </w:r>
          </w:p>
        </w:tc>
        <w:tc>
          <w:tcPr>
            <w:tcW w:w="1520" w:type="dxa"/>
            <w:shd w:val="clear" w:color="auto" w:fill="C4EFCE"/>
            <w:vAlign w:val="center"/>
            <w:hideMark/>
          </w:tcPr>
          <w:p w14:paraId="4B9F30BC"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51D75FD" w14:textId="77777777" w:rsidR="00154AD2" w:rsidRDefault="007F6BF3">
            <w:pPr>
              <w:pStyle w:val="P68B1DB1-Normal23"/>
              <w:spacing w:after="0"/>
              <w:jc w:val="both"/>
              <w:rPr>
                <w:rFonts w:eastAsia="Calibri" w:cs="Calibri"/>
                <w:noProof/>
              </w:rPr>
            </w:pPr>
            <w:r>
              <w:rPr>
                <w:noProof/>
              </w:rPr>
              <w:t>Πρόσθετα σημεία παρακολούθησης των εγκατεστημένων πόρων υπόγειων υδάτων (SM3)</w:t>
            </w:r>
          </w:p>
        </w:tc>
      </w:tr>
      <w:tr w:rsidR="00154AD2" w14:paraId="19B5815B" w14:textId="77777777">
        <w:trPr>
          <w:trHeight w:val="440"/>
        </w:trPr>
        <w:tc>
          <w:tcPr>
            <w:tcW w:w="1200" w:type="dxa"/>
            <w:shd w:val="clear" w:color="auto" w:fill="C4EFCE"/>
            <w:vAlign w:val="center"/>
            <w:hideMark/>
          </w:tcPr>
          <w:p w14:paraId="40BE5193" w14:textId="77777777" w:rsidR="00154AD2" w:rsidRDefault="007F6BF3">
            <w:pPr>
              <w:pStyle w:val="P68B1DB1-Normal23"/>
              <w:spacing w:after="0"/>
              <w:jc w:val="center"/>
              <w:rPr>
                <w:rFonts w:eastAsia="Calibri" w:cs="Calibri"/>
                <w:noProof/>
              </w:rPr>
            </w:pPr>
            <w:r>
              <w:rPr>
                <w:noProof/>
              </w:rPr>
              <w:t>9.5</w:t>
            </w:r>
          </w:p>
        </w:tc>
        <w:tc>
          <w:tcPr>
            <w:tcW w:w="1760" w:type="dxa"/>
            <w:shd w:val="clear" w:color="auto" w:fill="C4EFCE"/>
            <w:vAlign w:val="center"/>
            <w:hideMark/>
          </w:tcPr>
          <w:p w14:paraId="604C41E0" w14:textId="77777777" w:rsidR="00154AD2" w:rsidRDefault="007F6BF3">
            <w:pPr>
              <w:pStyle w:val="P68B1DB1-Normal23"/>
              <w:spacing w:after="0"/>
              <w:jc w:val="center"/>
              <w:rPr>
                <w:rFonts w:eastAsia="Calibri" w:cs="Calibri"/>
                <w:noProof/>
              </w:rPr>
            </w:pPr>
            <w:r>
              <w:rPr>
                <w:noProof/>
              </w:rPr>
              <w:t>RE-C09-i01</w:t>
            </w:r>
          </w:p>
        </w:tc>
        <w:tc>
          <w:tcPr>
            <w:tcW w:w="1520" w:type="dxa"/>
            <w:shd w:val="clear" w:color="auto" w:fill="C4EFCE"/>
            <w:vAlign w:val="center"/>
            <w:hideMark/>
          </w:tcPr>
          <w:p w14:paraId="68882788"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A618198" w14:textId="77777777" w:rsidR="00154AD2" w:rsidRDefault="007F6BF3">
            <w:pPr>
              <w:pStyle w:val="P68B1DB1-Normal23"/>
              <w:spacing w:after="0"/>
              <w:jc w:val="both"/>
              <w:rPr>
                <w:rFonts w:eastAsia="Calibri" w:cs="Calibri"/>
                <w:noProof/>
              </w:rPr>
            </w:pPr>
            <w:r>
              <w:rPr>
                <w:noProof/>
              </w:rPr>
              <w:t>Έγκριση επικαιροποιημένου σχεδιασμού (εφόσον απαιτείται) του μέτρου για την άντληση στη Guadiana, ο οποίος θα ενσωματώνει πλήρως κάθε αποτέλεσμα και όρο από την εκτίμηση περιβαλλοντικών επιπτώσεων (SM5)</w:t>
            </w:r>
          </w:p>
        </w:tc>
      </w:tr>
      <w:tr w:rsidR="00154AD2" w14:paraId="61BA2CC6" w14:textId="77777777">
        <w:trPr>
          <w:trHeight w:val="440"/>
        </w:trPr>
        <w:tc>
          <w:tcPr>
            <w:tcW w:w="1200" w:type="dxa"/>
            <w:shd w:val="clear" w:color="auto" w:fill="C4EFCE"/>
            <w:vAlign w:val="center"/>
            <w:hideMark/>
          </w:tcPr>
          <w:p w14:paraId="6330516E" w14:textId="77777777" w:rsidR="00154AD2" w:rsidRDefault="007F6BF3">
            <w:pPr>
              <w:pStyle w:val="P68B1DB1-Normal23"/>
              <w:spacing w:after="0"/>
              <w:jc w:val="center"/>
              <w:rPr>
                <w:rFonts w:eastAsia="Calibri" w:cs="Calibri"/>
                <w:noProof/>
              </w:rPr>
            </w:pPr>
            <w:r>
              <w:rPr>
                <w:noProof/>
              </w:rPr>
              <w:t>9.7</w:t>
            </w:r>
          </w:p>
        </w:tc>
        <w:tc>
          <w:tcPr>
            <w:tcW w:w="1760" w:type="dxa"/>
            <w:shd w:val="clear" w:color="auto" w:fill="C4EFCE"/>
            <w:vAlign w:val="center"/>
            <w:hideMark/>
          </w:tcPr>
          <w:p w14:paraId="4FB0CCD7" w14:textId="77777777" w:rsidR="00154AD2" w:rsidRDefault="007F6BF3">
            <w:pPr>
              <w:pStyle w:val="P68B1DB1-Normal23"/>
              <w:spacing w:after="0"/>
              <w:jc w:val="center"/>
              <w:rPr>
                <w:rFonts w:eastAsia="Calibri" w:cs="Calibri"/>
                <w:noProof/>
              </w:rPr>
            </w:pPr>
            <w:r>
              <w:rPr>
                <w:noProof/>
              </w:rPr>
              <w:t xml:space="preserve">RE-C09-i01  </w:t>
            </w:r>
          </w:p>
        </w:tc>
        <w:tc>
          <w:tcPr>
            <w:tcW w:w="1520" w:type="dxa"/>
            <w:shd w:val="clear" w:color="auto" w:fill="C4EFCE"/>
            <w:vAlign w:val="center"/>
            <w:hideMark/>
          </w:tcPr>
          <w:p w14:paraId="4CAF32D0"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83D462D" w14:textId="77777777" w:rsidR="00154AD2" w:rsidRDefault="007F6BF3">
            <w:pPr>
              <w:pStyle w:val="P68B1DB1-Normal23"/>
              <w:spacing w:after="0"/>
              <w:jc w:val="both"/>
              <w:rPr>
                <w:rFonts w:eastAsia="Calibri" w:cs="Calibri"/>
                <w:noProof/>
              </w:rPr>
            </w:pPr>
            <w:r>
              <w:rPr>
                <w:noProof/>
              </w:rPr>
              <w:t>Έγκριση επικαιροποιημένου σχεδιασμού (εφόσον απαιτείται) του μέτρου αφαλάτωσης, ενσωματώνοντας πλήρως κάθε αποτέλεσμα και όρο από την εκτίμηση περιβαλλοντικών επιπτώσεων (SM6)</w:t>
            </w:r>
          </w:p>
        </w:tc>
      </w:tr>
      <w:tr w:rsidR="00154AD2" w14:paraId="0AB93700" w14:textId="77777777">
        <w:trPr>
          <w:trHeight w:val="440"/>
        </w:trPr>
        <w:tc>
          <w:tcPr>
            <w:tcW w:w="1200" w:type="dxa"/>
            <w:shd w:val="clear" w:color="auto" w:fill="C4EFCE"/>
            <w:vAlign w:val="center"/>
            <w:hideMark/>
          </w:tcPr>
          <w:p w14:paraId="3E548EA8" w14:textId="77777777" w:rsidR="00154AD2" w:rsidRDefault="007F6BF3">
            <w:pPr>
              <w:pStyle w:val="P68B1DB1-Normal23"/>
              <w:spacing w:after="0"/>
              <w:jc w:val="center"/>
              <w:rPr>
                <w:rFonts w:eastAsia="Calibri" w:cs="Calibri"/>
                <w:noProof/>
              </w:rPr>
            </w:pPr>
            <w:r>
              <w:rPr>
                <w:noProof/>
              </w:rPr>
              <w:t>10.15</w:t>
            </w:r>
          </w:p>
        </w:tc>
        <w:tc>
          <w:tcPr>
            <w:tcW w:w="1760" w:type="dxa"/>
            <w:shd w:val="clear" w:color="auto" w:fill="C4EFCE"/>
            <w:vAlign w:val="center"/>
            <w:hideMark/>
          </w:tcPr>
          <w:p w14:paraId="4CF19DFE" w14:textId="77777777" w:rsidR="00154AD2" w:rsidRDefault="007F6BF3">
            <w:pPr>
              <w:pStyle w:val="P68B1DB1-Normal23"/>
              <w:spacing w:after="0"/>
              <w:jc w:val="center"/>
              <w:rPr>
                <w:rFonts w:eastAsia="Calibri" w:cs="Calibri"/>
                <w:noProof/>
              </w:rPr>
            </w:pPr>
            <w:r>
              <w:rPr>
                <w:noProof/>
              </w:rPr>
              <w:t>TC-C10-i06-RAM</w:t>
            </w:r>
          </w:p>
        </w:tc>
        <w:tc>
          <w:tcPr>
            <w:tcW w:w="1520" w:type="dxa"/>
            <w:shd w:val="clear" w:color="auto" w:fill="C4EFCE"/>
            <w:vAlign w:val="center"/>
            <w:hideMark/>
          </w:tcPr>
          <w:p w14:paraId="6C4706BE"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BDA8F52" w14:textId="77777777" w:rsidR="00154AD2" w:rsidRDefault="007F6BF3">
            <w:pPr>
              <w:pStyle w:val="P68B1DB1-Normal23"/>
              <w:spacing w:after="0"/>
              <w:jc w:val="both"/>
              <w:rPr>
                <w:rFonts w:eastAsia="Calibri" w:cs="Calibri"/>
                <w:noProof/>
              </w:rPr>
            </w:pPr>
            <w:r>
              <w:rPr>
                <w:noProof/>
              </w:rPr>
              <w:t>Παράδοση δύο αυτόνομων μη επανδρωμένων οχημάτων</w:t>
            </w:r>
          </w:p>
        </w:tc>
      </w:tr>
      <w:tr w:rsidR="00154AD2" w14:paraId="0980B6CB" w14:textId="77777777">
        <w:trPr>
          <w:trHeight w:val="440"/>
        </w:trPr>
        <w:tc>
          <w:tcPr>
            <w:tcW w:w="1200" w:type="dxa"/>
            <w:shd w:val="clear" w:color="auto" w:fill="C4EFCE"/>
            <w:vAlign w:val="center"/>
            <w:hideMark/>
          </w:tcPr>
          <w:p w14:paraId="7E7FB85D" w14:textId="77777777" w:rsidR="00154AD2" w:rsidRDefault="007F6BF3">
            <w:pPr>
              <w:pStyle w:val="P68B1DB1-Normal23"/>
              <w:spacing w:after="0"/>
              <w:jc w:val="center"/>
              <w:rPr>
                <w:rFonts w:eastAsia="Calibri" w:cs="Calibri"/>
                <w:noProof/>
              </w:rPr>
            </w:pPr>
            <w:r>
              <w:rPr>
                <w:noProof/>
              </w:rPr>
              <w:t>14.4</w:t>
            </w:r>
          </w:p>
        </w:tc>
        <w:tc>
          <w:tcPr>
            <w:tcW w:w="1760" w:type="dxa"/>
            <w:shd w:val="clear" w:color="auto" w:fill="C4EFCE"/>
            <w:vAlign w:val="center"/>
            <w:hideMark/>
          </w:tcPr>
          <w:p w14:paraId="04D0BEED" w14:textId="77777777" w:rsidR="00154AD2" w:rsidRDefault="007F6BF3">
            <w:pPr>
              <w:pStyle w:val="P68B1DB1-Normal23"/>
              <w:spacing w:after="0"/>
              <w:jc w:val="center"/>
              <w:rPr>
                <w:rFonts w:eastAsia="Calibri" w:cs="Calibri"/>
                <w:noProof/>
              </w:rPr>
            </w:pPr>
            <w:r>
              <w:rPr>
                <w:noProof/>
              </w:rPr>
              <w:t>TC-C14-i02-RAM</w:t>
            </w:r>
          </w:p>
        </w:tc>
        <w:tc>
          <w:tcPr>
            <w:tcW w:w="1520" w:type="dxa"/>
            <w:shd w:val="clear" w:color="auto" w:fill="C4EFCE"/>
            <w:vAlign w:val="center"/>
            <w:hideMark/>
          </w:tcPr>
          <w:p w14:paraId="57393661"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8E80E7D" w14:textId="77777777" w:rsidR="00154AD2" w:rsidRDefault="007F6BF3">
            <w:pPr>
              <w:pStyle w:val="P68B1DB1-Normal23"/>
              <w:spacing w:after="0"/>
              <w:jc w:val="both"/>
              <w:rPr>
                <w:rFonts w:eastAsia="Calibri" w:cs="Calibri"/>
                <w:noProof/>
              </w:rPr>
            </w:pPr>
            <w:r>
              <w:rPr>
                <w:noProof/>
              </w:rPr>
              <w:t>Εγκατάσταση νέου σύγχρονου αντισταθμιστή</w:t>
            </w:r>
          </w:p>
        </w:tc>
      </w:tr>
      <w:tr w:rsidR="00154AD2" w14:paraId="5A41BED8" w14:textId="77777777">
        <w:trPr>
          <w:trHeight w:val="440"/>
        </w:trPr>
        <w:tc>
          <w:tcPr>
            <w:tcW w:w="1200" w:type="dxa"/>
            <w:shd w:val="clear" w:color="auto" w:fill="C4EFCE"/>
            <w:vAlign w:val="center"/>
            <w:hideMark/>
          </w:tcPr>
          <w:p w14:paraId="29F13402" w14:textId="77777777" w:rsidR="00154AD2" w:rsidRDefault="007F6BF3">
            <w:pPr>
              <w:pStyle w:val="P68B1DB1-Normal23"/>
              <w:spacing w:after="0"/>
              <w:jc w:val="center"/>
              <w:rPr>
                <w:rFonts w:eastAsia="Calibri" w:cs="Calibri"/>
                <w:noProof/>
              </w:rPr>
            </w:pPr>
            <w:r>
              <w:rPr>
                <w:noProof/>
              </w:rPr>
              <w:t>14.6</w:t>
            </w:r>
          </w:p>
        </w:tc>
        <w:tc>
          <w:tcPr>
            <w:tcW w:w="1760" w:type="dxa"/>
            <w:shd w:val="clear" w:color="auto" w:fill="C4EFCE"/>
            <w:vAlign w:val="center"/>
            <w:hideMark/>
          </w:tcPr>
          <w:p w14:paraId="2564F54A" w14:textId="77777777" w:rsidR="00154AD2" w:rsidRDefault="007F6BF3">
            <w:pPr>
              <w:pStyle w:val="P68B1DB1-Normal23"/>
              <w:spacing w:after="0"/>
              <w:jc w:val="center"/>
              <w:rPr>
                <w:rFonts w:eastAsia="Calibri" w:cs="Calibri"/>
                <w:noProof/>
              </w:rPr>
            </w:pPr>
            <w:r>
              <w:rPr>
                <w:noProof/>
              </w:rPr>
              <w:t>TC-C14-i02-RAM</w:t>
            </w:r>
          </w:p>
        </w:tc>
        <w:tc>
          <w:tcPr>
            <w:tcW w:w="1520" w:type="dxa"/>
            <w:shd w:val="clear" w:color="auto" w:fill="C4EFCE"/>
            <w:vAlign w:val="center"/>
            <w:hideMark/>
          </w:tcPr>
          <w:p w14:paraId="2D22D314"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2C086CC6" w14:textId="77777777" w:rsidR="00154AD2" w:rsidRDefault="007F6BF3">
            <w:pPr>
              <w:pStyle w:val="P68B1DB1-Normal23"/>
              <w:spacing w:after="0"/>
              <w:jc w:val="both"/>
              <w:rPr>
                <w:rFonts w:eastAsia="Calibri" w:cs="Calibri"/>
                <w:noProof/>
              </w:rPr>
            </w:pPr>
            <w:r>
              <w:rPr>
                <w:noProof/>
              </w:rPr>
              <w:t>Ανακαινισμένη εγκατεστημένη δυναμικότητα παραγωγής υδροηλεκτρικής ενέργειας</w:t>
            </w:r>
          </w:p>
        </w:tc>
      </w:tr>
      <w:tr w:rsidR="00154AD2" w14:paraId="67DAD308" w14:textId="77777777">
        <w:trPr>
          <w:trHeight w:val="440"/>
        </w:trPr>
        <w:tc>
          <w:tcPr>
            <w:tcW w:w="1200" w:type="dxa"/>
            <w:shd w:val="clear" w:color="auto" w:fill="C4EFCE"/>
            <w:vAlign w:val="center"/>
            <w:hideMark/>
          </w:tcPr>
          <w:p w14:paraId="27435949" w14:textId="77777777" w:rsidR="00154AD2" w:rsidRDefault="007F6BF3">
            <w:pPr>
              <w:pStyle w:val="P68B1DB1-Normal23"/>
              <w:spacing w:after="0"/>
              <w:jc w:val="center"/>
              <w:rPr>
                <w:rFonts w:eastAsia="Calibri" w:cs="Calibri"/>
                <w:noProof/>
              </w:rPr>
            </w:pPr>
            <w:r>
              <w:rPr>
                <w:noProof/>
              </w:rPr>
              <w:t>14.7</w:t>
            </w:r>
          </w:p>
        </w:tc>
        <w:tc>
          <w:tcPr>
            <w:tcW w:w="1760" w:type="dxa"/>
            <w:shd w:val="clear" w:color="auto" w:fill="C4EFCE"/>
            <w:vAlign w:val="center"/>
            <w:hideMark/>
          </w:tcPr>
          <w:p w14:paraId="5DC4FFD0" w14:textId="77777777" w:rsidR="00154AD2" w:rsidRDefault="007F6BF3">
            <w:pPr>
              <w:pStyle w:val="P68B1DB1-Normal23"/>
              <w:spacing w:after="0"/>
              <w:jc w:val="center"/>
              <w:rPr>
                <w:rFonts w:eastAsia="Calibri" w:cs="Calibri"/>
                <w:noProof/>
              </w:rPr>
            </w:pPr>
            <w:r>
              <w:rPr>
                <w:noProof/>
              </w:rPr>
              <w:t>TC-C14-i02-RAM</w:t>
            </w:r>
          </w:p>
        </w:tc>
        <w:tc>
          <w:tcPr>
            <w:tcW w:w="1520" w:type="dxa"/>
            <w:shd w:val="clear" w:color="auto" w:fill="C4EFCE"/>
            <w:vAlign w:val="center"/>
            <w:hideMark/>
          </w:tcPr>
          <w:p w14:paraId="6996B48A"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598F423" w14:textId="77777777" w:rsidR="00154AD2" w:rsidRDefault="007F6BF3">
            <w:pPr>
              <w:pStyle w:val="P68B1DB1-Normal23"/>
              <w:spacing w:after="0"/>
              <w:jc w:val="both"/>
              <w:rPr>
                <w:rFonts w:eastAsia="Calibri" w:cs="Calibri"/>
                <w:noProof/>
              </w:rPr>
            </w:pPr>
            <w:r>
              <w:rPr>
                <w:noProof/>
              </w:rPr>
              <w:t>Πρόσθετη εγκατεστημένη χωρητικότητα στο σύστημα αποθήκευσης συσσωρευτή</w:t>
            </w:r>
          </w:p>
        </w:tc>
      </w:tr>
      <w:tr w:rsidR="00154AD2" w14:paraId="33AF3466" w14:textId="77777777">
        <w:trPr>
          <w:trHeight w:val="440"/>
        </w:trPr>
        <w:tc>
          <w:tcPr>
            <w:tcW w:w="1200" w:type="dxa"/>
            <w:shd w:val="clear" w:color="auto" w:fill="C4EFCE"/>
            <w:vAlign w:val="center"/>
            <w:hideMark/>
          </w:tcPr>
          <w:p w14:paraId="50DEBE76" w14:textId="77777777" w:rsidR="00154AD2" w:rsidRDefault="007F6BF3">
            <w:pPr>
              <w:pStyle w:val="P68B1DB1-Normal23"/>
              <w:spacing w:after="0"/>
              <w:jc w:val="center"/>
              <w:rPr>
                <w:rFonts w:eastAsia="Calibri" w:cs="Calibri"/>
                <w:noProof/>
              </w:rPr>
            </w:pPr>
            <w:r>
              <w:rPr>
                <w:noProof/>
              </w:rPr>
              <w:t>15.5</w:t>
            </w:r>
          </w:p>
        </w:tc>
        <w:tc>
          <w:tcPr>
            <w:tcW w:w="1760" w:type="dxa"/>
            <w:shd w:val="clear" w:color="auto" w:fill="C4EFCE"/>
            <w:vAlign w:val="center"/>
            <w:hideMark/>
          </w:tcPr>
          <w:p w14:paraId="0C3D8592" w14:textId="77777777" w:rsidR="00154AD2" w:rsidRDefault="007F6BF3">
            <w:pPr>
              <w:pStyle w:val="P68B1DB1-Normal23"/>
              <w:spacing w:after="0"/>
              <w:jc w:val="center"/>
              <w:rPr>
                <w:rFonts w:eastAsia="Calibri" w:cs="Calibri"/>
                <w:noProof/>
              </w:rPr>
            </w:pPr>
            <w:r>
              <w:rPr>
                <w:noProof/>
              </w:rPr>
              <w:t>TC-C15-I02</w:t>
            </w:r>
          </w:p>
        </w:tc>
        <w:tc>
          <w:tcPr>
            <w:tcW w:w="1520" w:type="dxa"/>
            <w:shd w:val="clear" w:color="auto" w:fill="C4EFCE"/>
            <w:vAlign w:val="center"/>
            <w:hideMark/>
          </w:tcPr>
          <w:p w14:paraId="2F39D734"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5901C353" w14:textId="77777777" w:rsidR="00154AD2" w:rsidRDefault="007F6BF3">
            <w:pPr>
              <w:pStyle w:val="P68B1DB1-Normal23"/>
              <w:spacing w:after="0"/>
              <w:jc w:val="both"/>
              <w:rPr>
                <w:rFonts w:eastAsia="Calibri" w:cs="Calibri"/>
                <w:noProof/>
              </w:rPr>
            </w:pPr>
            <w:r>
              <w:rPr>
                <w:noProof/>
              </w:rPr>
              <w:t>Έκθεση προόδου σχετικά με την επέκταση του δικτύου του Porto Metro</w:t>
            </w:r>
          </w:p>
        </w:tc>
      </w:tr>
      <w:tr w:rsidR="00154AD2" w14:paraId="7CD1B8EB" w14:textId="77777777">
        <w:trPr>
          <w:trHeight w:val="440"/>
        </w:trPr>
        <w:tc>
          <w:tcPr>
            <w:tcW w:w="1200" w:type="dxa"/>
            <w:shd w:val="clear" w:color="auto" w:fill="C4EFCE"/>
            <w:vAlign w:val="center"/>
            <w:hideMark/>
          </w:tcPr>
          <w:p w14:paraId="637A0073" w14:textId="77777777" w:rsidR="00154AD2" w:rsidRDefault="007F6BF3">
            <w:pPr>
              <w:pStyle w:val="P68B1DB1-Normal23"/>
              <w:spacing w:after="0"/>
              <w:jc w:val="center"/>
              <w:rPr>
                <w:rFonts w:eastAsia="Calibri" w:cs="Calibri"/>
                <w:noProof/>
              </w:rPr>
            </w:pPr>
            <w:r>
              <w:rPr>
                <w:noProof/>
              </w:rPr>
              <w:t>15.11</w:t>
            </w:r>
          </w:p>
        </w:tc>
        <w:tc>
          <w:tcPr>
            <w:tcW w:w="1760" w:type="dxa"/>
            <w:shd w:val="clear" w:color="auto" w:fill="C4EFCE"/>
            <w:vAlign w:val="center"/>
            <w:hideMark/>
          </w:tcPr>
          <w:p w14:paraId="5A701BFC" w14:textId="77777777" w:rsidR="00154AD2" w:rsidRDefault="007F6BF3">
            <w:pPr>
              <w:pStyle w:val="P68B1DB1-Normal23"/>
              <w:spacing w:after="0"/>
              <w:jc w:val="center"/>
              <w:rPr>
                <w:rFonts w:eastAsia="Calibri" w:cs="Calibri"/>
                <w:noProof/>
              </w:rPr>
            </w:pPr>
            <w:r>
              <w:rPr>
                <w:noProof/>
              </w:rPr>
              <w:t>TC-C15-I04</w:t>
            </w:r>
          </w:p>
        </w:tc>
        <w:tc>
          <w:tcPr>
            <w:tcW w:w="1520" w:type="dxa"/>
            <w:shd w:val="clear" w:color="auto" w:fill="C4EFCE"/>
            <w:vAlign w:val="center"/>
            <w:hideMark/>
          </w:tcPr>
          <w:p w14:paraId="19EE7515"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6C0E54A2" w14:textId="77777777" w:rsidR="00154AD2" w:rsidRDefault="007F6BF3">
            <w:pPr>
              <w:pStyle w:val="P68B1DB1-Normal23"/>
              <w:spacing w:after="0"/>
              <w:jc w:val="both"/>
              <w:rPr>
                <w:rFonts w:eastAsia="Calibri" w:cs="Calibri"/>
                <w:noProof/>
              </w:rPr>
            </w:pPr>
            <w:r>
              <w:rPr>
                <w:noProof/>
              </w:rPr>
              <w:t>Ολοκλήρωση της κατασκευής γραμμής ταχείας διαμετακόμισης μεταξύ Praça do Império και Praça Albuquerque Mouzinho στο Πόρτο</w:t>
            </w:r>
          </w:p>
        </w:tc>
      </w:tr>
      <w:tr w:rsidR="00154AD2" w14:paraId="2779212F" w14:textId="77777777">
        <w:trPr>
          <w:trHeight w:val="440"/>
        </w:trPr>
        <w:tc>
          <w:tcPr>
            <w:tcW w:w="1200" w:type="dxa"/>
            <w:shd w:val="clear" w:color="auto" w:fill="C4EFCE"/>
            <w:vAlign w:val="center"/>
            <w:hideMark/>
          </w:tcPr>
          <w:p w14:paraId="14B00922" w14:textId="77777777" w:rsidR="00154AD2" w:rsidRDefault="007F6BF3">
            <w:pPr>
              <w:pStyle w:val="P68B1DB1-Normal23"/>
              <w:spacing w:after="0"/>
              <w:jc w:val="center"/>
              <w:rPr>
                <w:rFonts w:eastAsia="Calibri" w:cs="Calibri"/>
                <w:noProof/>
              </w:rPr>
            </w:pPr>
            <w:r>
              <w:rPr>
                <w:noProof/>
              </w:rPr>
              <w:t>15.15</w:t>
            </w:r>
          </w:p>
        </w:tc>
        <w:tc>
          <w:tcPr>
            <w:tcW w:w="1760" w:type="dxa"/>
            <w:shd w:val="clear" w:color="auto" w:fill="C4EFCE"/>
            <w:vAlign w:val="center"/>
            <w:hideMark/>
          </w:tcPr>
          <w:p w14:paraId="405B1745" w14:textId="77777777" w:rsidR="00154AD2" w:rsidRDefault="007F6BF3">
            <w:pPr>
              <w:pStyle w:val="P68B1DB1-Normal23"/>
              <w:spacing w:after="0"/>
              <w:jc w:val="center"/>
              <w:rPr>
                <w:rFonts w:eastAsia="Calibri" w:cs="Calibri"/>
                <w:noProof/>
              </w:rPr>
            </w:pPr>
            <w:r>
              <w:rPr>
                <w:noProof/>
              </w:rPr>
              <w:t>TC-C15-I06</w:t>
            </w:r>
          </w:p>
        </w:tc>
        <w:tc>
          <w:tcPr>
            <w:tcW w:w="1520" w:type="dxa"/>
            <w:shd w:val="clear" w:color="auto" w:fill="C4EFCE"/>
            <w:vAlign w:val="center"/>
            <w:hideMark/>
          </w:tcPr>
          <w:p w14:paraId="01989B92"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5694D9EC" w14:textId="77777777" w:rsidR="00154AD2" w:rsidRDefault="007F6BF3">
            <w:pPr>
              <w:pStyle w:val="P68B1DB1-Normal23"/>
              <w:spacing w:after="0"/>
              <w:jc w:val="both"/>
              <w:rPr>
                <w:rFonts w:eastAsia="Calibri" w:cs="Calibri"/>
                <w:noProof/>
              </w:rPr>
            </w:pPr>
            <w:r>
              <w:rPr>
                <w:noProof/>
              </w:rPr>
              <w:t>Υπογραφή σύμβασης για ηλεκτρονικά συστήματα σηματοδότησης</w:t>
            </w:r>
          </w:p>
        </w:tc>
      </w:tr>
      <w:tr w:rsidR="00154AD2" w14:paraId="56D38DB6" w14:textId="77777777">
        <w:trPr>
          <w:trHeight w:val="440"/>
        </w:trPr>
        <w:tc>
          <w:tcPr>
            <w:tcW w:w="1200" w:type="dxa"/>
            <w:shd w:val="clear" w:color="auto" w:fill="C4EFCE"/>
            <w:vAlign w:val="center"/>
            <w:hideMark/>
          </w:tcPr>
          <w:p w14:paraId="6CFABCF9" w14:textId="77777777" w:rsidR="00154AD2" w:rsidRDefault="007F6BF3">
            <w:pPr>
              <w:pStyle w:val="P68B1DB1-Normal23"/>
              <w:spacing w:after="0"/>
              <w:jc w:val="center"/>
              <w:rPr>
                <w:rFonts w:eastAsia="Calibri" w:cs="Calibri"/>
                <w:noProof/>
              </w:rPr>
            </w:pPr>
            <w:r>
              <w:rPr>
                <w:noProof/>
              </w:rPr>
              <w:t>16.5</w:t>
            </w:r>
          </w:p>
        </w:tc>
        <w:tc>
          <w:tcPr>
            <w:tcW w:w="1760" w:type="dxa"/>
            <w:shd w:val="clear" w:color="auto" w:fill="C4EFCE"/>
            <w:vAlign w:val="center"/>
            <w:hideMark/>
          </w:tcPr>
          <w:p w14:paraId="6A307F6F" w14:textId="77777777" w:rsidR="00154AD2" w:rsidRDefault="007F6BF3">
            <w:pPr>
              <w:pStyle w:val="P68B1DB1-Normal23"/>
              <w:spacing w:after="0"/>
              <w:jc w:val="center"/>
              <w:rPr>
                <w:rFonts w:eastAsia="Calibri" w:cs="Calibri"/>
                <w:noProof/>
              </w:rPr>
            </w:pPr>
            <w:r>
              <w:rPr>
                <w:noProof/>
              </w:rPr>
              <w:t>TD-C16-i02</w:t>
            </w:r>
          </w:p>
        </w:tc>
        <w:tc>
          <w:tcPr>
            <w:tcW w:w="1520" w:type="dxa"/>
            <w:shd w:val="clear" w:color="auto" w:fill="C4EFCE"/>
            <w:vAlign w:val="center"/>
            <w:hideMark/>
          </w:tcPr>
          <w:p w14:paraId="6195C394"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97CE114" w14:textId="77777777" w:rsidR="00154AD2" w:rsidRDefault="007F6BF3">
            <w:pPr>
              <w:pStyle w:val="P68B1DB1-Normal23"/>
              <w:spacing w:after="0"/>
              <w:jc w:val="both"/>
              <w:rPr>
                <w:rFonts w:eastAsia="Calibri" w:cs="Calibri"/>
                <w:noProof/>
              </w:rPr>
            </w:pPr>
            <w:r>
              <w:rPr>
                <w:noProof/>
              </w:rPr>
              <w:t>ΜΜΕ που υποστηρίζονται από επιταχυντές του ψηφιακού εμπορίου</w:t>
            </w:r>
          </w:p>
        </w:tc>
      </w:tr>
      <w:tr w:rsidR="00154AD2" w14:paraId="56167A7A" w14:textId="77777777">
        <w:trPr>
          <w:trHeight w:val="440"/>
        </w:trPr>
        <w:tc>
          <w:tcPr>
            <w:tcW w:w="1200" w:type="dxa"/>
            <w:shd w:val="clear" w:color="auto" w:fill="C4EFCE"/>
            <w:vAlign w:val="center"/>
            <w:hideMark/>
          </w:tcPr>
          <w:p w14:paraId="0CF069F8" w14:textId="77777777" w:rsidR="00154AD2" w:rsidRDefault="007F6BF3">
            <w:pPr>
              <w:pStyle w:val="P68B1DB1-Normal23"/>
              <w:spacing w:after="0"/>
              <w:jc w:val="center"/>
              <w:rPr>
                <w:rFonts w:eastAsia="Calibri" w:cs="Calibri"/>
                <w:noProof/>
              </w:rPr>
            </w:pPr>
            <w:r>
              <w:rPr>
                <w:noProof/>
              </w:rPr>
              <w:t>17.5</w:t>
            </w:r>
          </w:p>
        </w:tc>
        <w:tc>
          <w:tcPr>
            <w:tcW w:w="1760" w:type="dxa"/>
            <w:shd w:val="clear" w:color="auto" w:fill="C4EFCE"/>
            <w:vAlign w:val="center"/>
            <w:hideMark/>
          </w:tcPr>
          <w:p w14:paraId="7E1E0351" w14:textId="77777777" w:rsidR="00154AD2" w:rsidRDefault="007F6BF3">
            <w:pPr>
              <w:pStyle w:val="P68B1DB1-Normal23"/>
              <w:spacing w:after="0"/>
              <w:jc w:val="center"/>
              <w:rPr>
                <w:rFonts w:eastAsia="Calibri" w:cs="Calibri"/>
                <w:noProof/>
              </w:rPr>
            </w:pPr>
            <w:r>
              <w:rPr>
                <w:noProof/>
              </w:rPr>
              <w:t>TD-C17-r32</w:t>
            </w:r>
          </w:p>
        </w:tc>
        <w:tc>
          <w:tcPr>
            <w:tcW w:w="1520" w:type="dxa"/>
            <w:shd w:val="clear" w:color="auto" w:fill="C4EFCE"/>
            <w:vAlign w:val="center"/>
            <w:hideMark/>
          </w:tcPr>
          <w:p w14:paraId="60722B6A"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16F87E6B" w14:textId="77777777" w:rsidR="00154AD2" w:rsidRDefault="007F6BF3">
            <w:pPr>
              <w:pStyle w:val="P68B1DB1-Normal23"/>
              <w:spacing w:after="0"/>
              <w:jc w:val="both"/>
              <w:rPr>
                <w:rFonts w:eastAsia="Calibri" w:cs="Calibri"/>
                <w:noProof/>
              </w:rPr>
            </w:pPr>
            <w:r>
              <w:rPr>
                <w:noProof/>
              </w:rPr>
              <w:t>Εφαρμογή μηχανισμών για την ενσωμάτωση των επανεξετάσεων των δαπανών στην τακτική διαδικασία του προϋπολογισμού, συμπεριλαμβανομένης της εκ των υστέρων αξιολόγησης της εξοικονόμησης αποδοτικότητας</w:t>
            </w:r>
          </w:p>
        </w:tc>
      </w:tr>
      <w:tr w:rsidR="00154AD2" w14:paraId="17788C3A" w14:textId="77777777">
        <w:trPr>
          <w:trHeight w:val="440"/>
        </w:trPr>
        <w:tc>
          <w:tcPr>
            <w:tcW w:w="1200" w:type="dxa"/>
            <w:shd w:val="clear" w:color="auto" w:fill="C4EFCE"/>
            <w:vAlign w:val="center"/>
            <w:hideMark/>
          </w:tcPr>
          <w:p w14:paraId="37658F95" w14:textId="77777777" w:rsidR="00154AD2" w:rsidRDefault="007F6BF3">
            <w:pPr>
              <w:pStyle w:val="P68B1DB1-Normal23"/>
              <w:spacing w:after="0"/>
              <w:jc w:val="center"/>
              <w:rPr>
                <w:rFonts w:eastAsia="Calibri" w:cs="Calibri"/>
                <w:noProof/>
              </w:rPr>
            </w:pPr>
            <w:r>
              <w:rPr>
                <w:noProof/>
              </w:rPr>
              <w:t>17.10</w:t>
            </w:r>
          </w:p>
        </w:tc>
        <w:tc>
          <w:tcPr>
            <w:tcW w:w="1760" w:type="dxa"/>
            <w:shd w:val="clear" w:color="auto" w:fill="C4EFCE"/>
            <w:vAlign w:val="center"/>
            <w:hideMark/>
          </w:tcPr>
          <w:p w14:paraId="4E422B3C" w14:textId="77777777" w:rsidR="00154AD2" w:rsidRDefault="007F6BF3">
            <w:pPr>
              <w:pStyle w:val="P68B1DB1-Normal23"/>
              <w:spacing w:after="0"/>
              <w:jc w:val="center"/>
              <w:rPr>
                <w:rFonts w:eastAsia="Calibri" w:cs="Calibri"/>
                <w:noProof/>
              </w:rPr>
            </w:pPr>
            <w:r>
              <w:rPr>
                <w:noProof/>
              </w:rPr>
              <w:t>TD-C17-i01</w:t>
            </w:r>
          </w:p>
        </w:tc>
        <w:tc>
          <w:tcPr>
            <w:tcW w:w="1520" w:type="dxa"/>
            <w:shd w:val="clear" w:color="auto" w:fill="C4EFCE"/>
            <w:vAlign w:val="center"/>
            <w:hideMark/>
          </w:tcPr>
          <w:p w14:paraId="5B816A0C"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0ECE329E" w14:textId="77777777" w:rsidR="00154AD2" w:rsidRDefault="007F6BF3">
            <w:pPr>
              <w:pStyle w:val="P68B1DB1-Normal23"/>
              <w:spacing w:after="0"/>
              <w:jc w:val="both"/>
              <w:rPr>
                <w:rFonts w:eastAsia="Calibri" w:cs="Calibri"/>
                <w:noProof/>
              </w:rPr>
            </w:pPr>
            <w:r>
              <w:rPr>
                <w:noProof/>
              </w:rPr>
              <w:t>Έναρξη λειτουργίας του συστήματος πληροφοριών για τον επανασχεδιασμό και την εφαρμογή της διαδικασίας του προϋπολογισμού, ενσωματώνοντας την κατάρτιση του προϋπολογισμού του προγράμματος</w:t>
            </w:r>
          </w:p>
        </w:tc>
      </w:tr>
      <w:tr w:rsidR="00154AD2" w14:paraId="7961C854" w14:textId="77777777">
        <w:trPr>
          <w:trHeight w:val="440"/>
        </w:trPr>
        <w:tc>
          <w:tcPr>
            <w:tcW w:w="1200" w:type="dxa"/>
            <w:shd w:val="clear" w:color="auto" w:fill="C4EFCE"/>
            <w:vAlign w:val="center"/>
            <w:hideMark/>
          </w:tcPr>
          <w:p w14:paraId="06A842B9" w14:textId="77777777" w:rsidR="00154AD2" w:rsidRDefault="007F6BF3">
            <w:pPr>
              <w:pStyle w:val="P68B1DB1-Normal23"/>
              <w:spacing w:after="0"/>
              <w:jc w:val="center"/>
              <w:rPr>
                <w:rFonts w:eastAsia="Calibri" w:cs="Calibri"/>
                <w:noProof/>
              </w:rPr>
            </w:pPr>
            <w:r>
              <w:rPr>
                <w:noProof/>
              </w:rPr>
              <w:t>17.12</w:t>
            </w:r>
          </w:p>
        </w:tc>
        <w:tc>
          <w:tcPr>
            <w:tcW w:w="1760" w:type="dxa"/>
            <w:shd w:val="clear" w:color="auto" w:fill="C4EFCE"/>
            <w:vAlign w:val="center"/>
            <w:hideMark/>
          </w:tcPr>
          <w:p w14:paraId="001468C9" w14:textId="77777777" w:rsidR="00154AD2" w:rsidRDefault="007F6BF3">
            <w:pPr>
              <w:pStyle w:val="P68B1DB1-Normal23"/>
              <w:spacing w:after="0"/>
              <w:jc w:val="center"/>
              <w:rPr>
                <w:rFonts w:eastAsia="Calibri" w:cs="Calibri"/>
                <w:noProof/>
              </w:rPr>
            </w:pPr>
            <w:r>
              <w:rPr>
                <w:noProof/>
              </w:rPr>
              <w:t>TD-C17-i01</w:t>
            </w:r>
          </w:p>
        </w:tc>
        <w:tc>
          <w:tcPr>
            <w:tcW w:w="1520" w:type="dxa"/>
            <w:shd w:val="clear" w:color="auto" w:fill="C4EFCE"/>
            <w:vAlign w:val="center"/>
            <w:hideMark/>
          </w:tcPr>
          <w:p w14:paraId="2A0495A0"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0CECF438" w14:textId="77777777" w:rsidR="00154AD2" w:rsidRDefault="007F6BF3">
            <w:pPr>
              <w:pStyle w:val="P68B1DB1-Normal23"/>
              <w:spacing w:after="0"/>
              <w:jc w:val="both"/>
              <w:rPr>
                <w:rFonts w:eastAsia="Calibri" w:cs="Calibri"/>
                <w:noProof/>
              </w:rPr>
            </w:pPr>
            <w:r>
              <w:rPr>
                <w:noProof/>
              </w:rPr>
              <w:t>Ολοκλήρωση του εκσυγχρονισμού και της απλούστευσης των συστημάτων πληροφοριών του εθνικού κεντρικού συστήματος δημόσιων συμβάσεων</w:t>
            </w:r>
          </w:p>
        </w:tc>
      </w:tr>
      <w:tr w:rsidR="00154AD2" w14:paraId="3B8303FF" w14:textId="77777777">
        <w:trPr>
          <w:trHeight w:val="440"/>
        </w:trPr>
        <w:tc>
          <w:tcPr>
            <w:tcW w:w="1200" w:type="dxa"/>
            <w:shd w:val="clear" w:color="auto" w:fill="C4EFCE"/>
            <w:vAlign w:val="center"/>
            <w:hideMark/>
          </w:tcPr>
          <w:p w14:paraId="374F435D" w14:textId="77777777" w:rsidR="00154AD2" w:rsidRDefault="007F6BF3">
            <w:pPr>
              <w:pStyle w:val="P68B1DB1-Normal23"/>
              <w:spacing w:after="0"/>
              <w:jc w:val="center"/>
              <w:rPr>
                <w:rFonts w:eastAsia="Calibri" w:cs="Calibri"/>
                <w:noProof/>
              </w:rPr>
            </w:pPr>
            <w:r>
              <w:rPr>
                <w:noProof/>
              </w:rPr>
              <w:t>19.14</w:t>
            </w:r>
          </w:p>
        </w:tc>
        <w:tc>
          <w:tcPr>
            <w:tcW w:w="1760" w:type="dxa"/>
            <w:shd w:val="clear" w:color="auto" w:fill="C4EFCE"/>
            <w:vAlign w:val="center"/>
            <w:hideMark/>
          </w:tcPr>
          <w:p w14:paraId="76D82292" w14:textId="77777777" w:rsidR="00154AD2" w:rsidRDefault="007F6BF3">
            <w:pPr>
              <w:pStyle w:val="P68B1DB1-Normal23"/>
              <w:spacing w:after="0"/>
              <w:jc w:val="center"/>
              <w:rPr>
                <w:rFonts w:eastAsia="Calibri" w:cs="Calibri"/>
                <w:noProof/>
              </w:rPr>
            </w:pPr>
            <w:r>
              <w:rPr>
                <w:noProof/>
              </w:rPr>
              <w:t>TD-C19-i04</w:t>
            </w:r>
          </w:p>
        </w:tc>
        <w:tc>
          <w:tcPr>
            <w:tcW w:w="1520" w:type="dxa"/>
            <w:shd w:val="clear" w:color="auto" w:fill="C4EFCE"/>
            <w:vAlign w:val="center"/>
            <w:hideMark/>
          </w:tcPr>
          <w:p w14:paraId="5CB3286F"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60230BA8" w14:textId="77777777" w:rsidR="00154AD2" w:rsidRDefault="007F6BF3">
            <w:pPr>
              <w:pStyle w:val="P68B1DB1-Normal23"/>
              <w:spacing w:after="0"/>
              <w:jc w:val="both"/>
              <w:rPr>
                <w:rFonts w:eastAsia="Calibri" w:cs="Calibri"/>
                <w:noProof/>
              </w:rPr>
            </w:pPr>
            <w:r>
              <w:rPr>
                <w:noProof/>
              </w:rPr>
              <w:t>Αναβάθμιση Πληροφοριακού Συστήματος Δυνάμεων και Υπηρεσιών Ασφαλείας</w:t>
            </w:r>
          </w:p>
        </w:tc>
      </w:tr>
      <w:tr w:rsidR="00154AD2" w14:paraId="388D9F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2C3D30EB" w14:textId="77777777" w:rsidR="00154AD2" w:rsidRDefault="007F6BF3">
            <w:pPr>
              <w:pStyle w:val="P68B1DB1-Normal23"/>
              <w:spacing w:after="0"/>
              <w:jc w:val="center"/>
              <w:rPr>
                <w:rFonts w:eastAsia="Calibri" w:cs="Calibri"/>
                <w:noProof/>
              </w:rPr>
            </w:pPr>
            <w:r>
              <w:rPr>
                <w:noProof/>
              </w:rPr>
              <w:t>19.25</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428A74B2" w14:textId="77777777" w:rsidR="00154AD2" w:rsidRDefault="007F6BF3">
            <w:pPr>
              <w:pStyle w:val="P68B1DB1-Normal23"/>
              <w:spacing w:after="0"/>
              <w:jc w:val="center"/>
              <w:rPr>
                <w:rFonts w:eastAsia="Calibri" w:cs="Calibri"/>
                <w:noProof/>
              </w:rPr>
            </w:pPr>
            <w:r>
              <w:rPr>
                <w:noProof/>
              </w:rPr>
              <w:t>TD-C19-i01</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54ABBBE3" w14:textId="77777777" w:rsidR="00154AD2" w:rsidRDefault="007F6BF3">
            <w:pPr>
              <w:pStyle w:val="P68B1DB1-Normal23"/>
              <w:spacing w:after="0"/>
              <w:jc w:val="center"/>
              <w:rPr>
                <w:rFonts w:eastAsia="Calibri" w:cs="Calibri"/>
                <w:noProof/>
              </w:rPr>
            </w:pPr>
            <w:r>
              <w:rPr>
                <w:noProof/>
              </w:rPr>
              <w:t>M</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5B53CA88" w14:textId="79A90FE7" w:rsidR="00154AD2" w:rsidRDefault="007F6BF3">
            <w:pPr>
              <w:pStyle w:val="P68B1DB1-Normal23"/>
              <w:spacing w:after="0"/>
              <w:jc w:val="both"/>
              <w:rPr>
                <w:rFonts w:eastAsia="Calibri" w:cs="Calibri"/>
                <w:noProof/>
              </w:rPr>
            </w:pPr>
            <w:r>
              <w:rPr>
                <w:noProof/>
              </w:rPr>
              <w:t>Υπογραφή πρωτοτύπων για τη δημιουργία νέων καταστημάτων πολιτών και χώρων πολιτών</w:t>
            </w:r>
          </w:p>
        </w:tc>
      </w:tr>
      <w:tr w:rsidR="00154AD2" w14:paraId="355D6EE4" w14:textId="77777777">
        <w:trPr>
          <w:trHeight w:val="440"/>
        </w:trPr>
        <w:tc>
          <w:tcPr>
            <w:tcW w:w="1200" w:type="dxa"/>
            <w:shd w:val="clear" w:color="auto" w:fill="C4EFCE"/>
            <w:vAlign w:val="center"/>
            <w:hideMark/>
          </w:tcPr>
          <w:p w14:paraId="2C38072A" w14:textId="77777777" w:rsidR="00154AD2" w:rsidRDefault="007F6BF3">
            <w:pPr>
              <w:pStyle w:val="P68B1DB1-Normal23"/>
              <w:spacing w:after="0"/>
              <w:jc w:val="center"/>
              <w:rPr>
                <w:rFonts w:eastAsia="Calibri" w:cs="Calibri"/>
                <w:noProof/>
              </w:rPr>
            </w:pPr>
            <w:r>
              <w:rPr>
                <w:noProof/>
              </w:rPr>
              <w:t>19.28</w:t>
            </w:r>
          </w:p>
        </w:tc>
        <w:tc>
          <w:tcPr>
            <w:tcW w:w="1760" w:type="dxa"/>
            <w:shd w:val="clear" w:color="auto" w:fill="C4EFCE"/>
            <w:vAlign w:val="center"/>
            <w:hideMark/>
          </w:tcPr>
          <w:p w14:paraId="7C77969E" w14:textId="77777777" w:rsidR="00154AD2" w:rsidRDefault="007F6BF3">
            <w:pPr>
              <w:pStyle w:val="P68B1DB1-Normal23"/>
              <w:spacing w:after="0"/>
              <w:jc w:val="center"/>
              <w:rPr>
                <w:rFonts w:eastAsia="Calibri" w:cs="Calibri"/>
                <w:noProof/>
              </w:rPr>
            </w:pPr>
            <w:r>
              <w:rPr>
                <w:noProof/>
              </w:rPr>
              <w:t>TD-C19-i05-RAM</w:t>
            </w:r>
          </w:p>
        </w:tc>
        <w:tc>
          <w:tcPr>
            <w:tcW w:w="1520" w:type="dxa"/>
            <w:shd w:val="clear" w:color="auto" w:fill="C4EFCE"/>
            <w:vAlign w:val="center"/>
            <w:hideMark/>
          </w:tcPr>
          <w:p w14:paraId="12DA2CBA"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56F2A2D3" w14:textId="77777777" w:rsidR="00154AD2" w:rsidRDefault="007F6BF3">
            <w:pPr>
              <w:pStyle w:val="P68B1DB1-Normal23"/>
              <w:spacing w:after="0"/>
              <w:jc w:val="both"/>
              <w:rPr>
                <w:rFonts w:eastAsia="Calibri" w:cs="Calibri"/>
                <w:noProof/>
              </w:rPr>
            </w:pPr>
            <w:r>
              <w:rPr>
                <w:noProof/>
              </w:rPr>
              <w:t>Λειτουργικό πρωτότυπο για λύση κεντρικής διαχείρισης δεδομένων</w:t>
            </w:r>
          </w:p>
        </w:tc>
      </w:tr>
      <w:tr w:rsidR="00154AD2" w14:paraId="0C5EE933" w14:textId="77777777">
        <w:trPr>
          <w:trHeight w:val="440"/>
        </w:trPr>
        <w:tc>
          <w:tcPr>
            <w:tcW w:w="1200" w:type="dxa"/>
            <w:shd w:val="clear" w:color="auto" w:fill="C4EFCE"/>
            <w:vAlign w:val="center"/>
            <w:hideMark/>
          </w:tcPr>
          <w:p w14:paraId="5C73EC6E" w14:textId="77777777" w:rsidR="00154AD2" w:rsidRDefault="007F6BF3">
            <w:pPr>
              <w:pStyle w:val="P68B1DB1-Normal23"/>
              <w:spacing w:after="0"/>
              <w:jc w:val="center"/>
              <w:rPr>
                <w:rFonts w:eastAsia="Calibri" w:cs="Calibri"/>
                <w:noProof/>
              </w:rPr>
            </w:pPr>
            <w:r>
              <w:rPr>
                <w:noProof/>
              </w:rPr>
              <w:t>20.4</w:t>
            </w:r>
          </w:p>
        </w:tc>
        <w:tc>
          <w:tcPr>
            <w:tcW w:w="1760" w:type="dxa"/>
            <w:shd w:val="clear" w:color="auto" w:fill="C4EFCE"/>
            <w:vAlign w:val="center"/>
            <w:hideMark/>
          </w:tcPr>
          <w:p w14:paraId="66421C5D" w14:textId="77777777" w:rsidR="00154AD2" w:rsidRDefault="007F6BF3">
            <w:pPr>
              <w:pStyle w:val="P68B1DB1-Normal23"/>
              <w:spacing w:after="0"/>
              <w:jc w:val="center"/>
              <w:rPr>
                <w:rFonts w:eastAsia="Calibri" w:cs="Calibri"/>
                <w:noProof/>
              </w:rPr>
            </w:pPr>
            <w:r>
              <w:rPr>
                <w:noProof/>
              </w:rPr>
              <w:t>TD-C20-i01</w:t>
            </w:r>
          </w:p>
        </w:tc>
        <w:tc>
          <w:tcPr>
            <w:tcW w:w="1520" w:type="dxa"/>
            <w:shd w:val="clear" w:color="auto" w:fill="C4EFCE"/>
            <w:vAlign w:val="center"/>
            <w:hideMark/>
          </w:tcPr>
          <w:p w14:paraId="114704EA"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6C943269" w14:textId="77777777" w:rsidR="00154AD2" w:rsidRDefault="007F6BF3">
            <w:pPr>
              <w:pStyle w:val="P68B1DB1-Normal23"/>
              <w:spacing w:after="0"/>
              <w:jc w:val="both"/>
              <w:rPr>
                <w:rFonts w:eastAsia="Calibri" w:cs="Calibri"/>
                <w:noProof/>
              </w:rPr>
            </w:pPr>
            <w:r>
              <w:rPr>
                <w:noProof/>
              </w:rPr>
              <w:t>Αναβάθμιση της συνδεσιμότητας των σχολείων πρωτοβάθμιας και δευτεροβάθμιας εκπαίδευσης</w:t>
            </w:r>
          </w:p>
        </w:tc>
      </w:tr>
      <w:tr w:rsidR="00154AD2" w14:paraId="71AD5736" w14:textId="77777777">
        <w:trPr>
          <w:trHeight w:val="440"/>
        </w:trPr>
        <w:tc>
          <w:tcPr>
            <w:tcW w:w="1200" w:type="dxa"/>
            <w:shd w:val="clear" w:color="auto" w:fill="C4EFCE"/>
            <w:vAlign w:val="center"/>
            <w:hideMark/>
          </w:tcPr>
          <w:p w14:paraId="3024F12A" w14:textId="77777777" w:rsidR="00154AD2" w:rsidRDefault="007F6BF3">
            <w:pPr>
              <w:pStyle w:val="P68B1DB1-Normal23"/>
              <w:spacing w:after="0"/>
              <w:jc w:val="center"/>
              <w:rPr>
                <w:rFonts w:eastAsia="Calibri" w:cs="Calibri"/>
                <w:noProof/>
              </w:rPr>
            </w:pPr>
            <w:r>
              <w:rPr>
                <w:noProof/>
              </w:rPr>
              <w:t>20.5</w:t>
            </w:r>
          </w:p>
        </w:tc>
        <w:tc>
          <w:tcPr>
            <w:tcW w:w="1760" w:type="dxa"/>
            <w:shd w:val="clear" w:color="auto" w:fill="C4EFCE"/>
            <w:vAlign w:val="center"/>
            <w:hideMark/>
          </w:tcPr>
          <w:p w14:paraId="1444B579" w14:textId="77777777" w:rsidR="00154AD2" w:rsidRDefault="007F6BF3">
            <w:pPr>
              <w:pStyle w:val="P68B1DB1-Normal23"/>
              <w:spacing w:after="0"/>
              <w:jc w:val="center"/>
              <w:rPr>
                <w:rFonts w:eastAsia="Calibri" w:cs="Calibri"/>
                <w:noProof/>
              </w:rPr>
            </w:pPr>
            <w:r>
              <w:rPr>
                <w:noProof/>
              </w:rPr>
              <w:t>TD-C20-i01</w:t>
            </w:r>
          </w:p>
        </w:tc>
        <w:tc>
          <w:tcPr>
            <w:tcW w:w="1520" w:type="dxa"/>
            <w:shd w:val="clear" w:color="auto" w:fill="C4EFCE"/>
            <w:vAlign w:val="center"/>
            <w:hideMark/>
          </w:tcPr>
          <w:p w14:paraId="2AF294F0"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7487495" w14:textId="77777777" w:rsidR="00154AD2" w:rsidRDefault="007F6BF3">
            <w:pPr>
              <w:pStyle w:val="P68B1DB1-Normal23"/>
              <w:spacing w:after="0"/>
              <w:jc w:val="both"/>
              <w:rPr>
                <w:rFonts w:eastAsia="Calibri" w:cs="Calibri"/>
                <w:noProof/>
              </w:rPr>
            </w:pPr>
            <w:r>
              <w:rPr>
                <w:noProof/>
              </w:rPr>
              <w:t>Εγκατεστημένα εργαστήρια ψηφιακής εκπαίδευσης</w:t>
            </w:r>
          </w:p>
        </w:tc>
      </w:tr>
      <w:tr w:rsidR="00154AD2" w14:paraId="5D89430C" w14:textId="77777777">
        <w:trPr>
          <w:trHeight w:val="440"/>
        </w:trPr>
        <w:tc>
          <w:tcPr>
            <w:tcW w:w="1200" w:type="dxa"/>
            <w:shd w:val="clear" w:color="auto" w:fill="C4EFCE"/>
            <w:vAlign w:val="center"/>
            <w:hideMark/>
          </w:tcPr>
          <w:p w14:paraId="21F79FB7" w14:textId="77777777" w:rsidR="00154AD2" w:rsidRDefault="007F6BF3">
            <w:pPr>
              <w:pStyle w:val="P68B1DB1-Normal23"/>
              <w:spacing w:after="0"/>
              <w:jc w:val="center"/>
              <w:rPr>
                <w:rFonts w:eastAsia="Calibri" w:cs="Calibri"/>
                <w:noProof/>
              </w:rPr>
            </w:pPr>
            <w:r>
              <w:rPr>
                <w:noProof/>
              </w:rPr>
              <w:t>20.7</w:t>
            </w:r>
          </w:p>
        </w:tc>
        <w:tc>
          <w:tcPr>
            <w:tcW w:w="1760" w:type="dxa"/>
            <w:shd w:val="clear" w:color="auto" w:fill="C4EFCE"/>
            <w:vAlign w:val="center"/>
            <w:hideMark/>
          </w:tcPr>
          <w:p w14:paraId="33B6F4F1" w14:textId="77777777" w:rsidR="00154AD2" w:rsidRDefault="007F6BF3">
            <w:pPr>
              <w:pStyle w:val="P68B1DB1-Normal23"/>
              <w:spacing w:after="0"/>
              <w:jc w:val="center"/>
              <w:rPr>
                <w:rFonts w:eastAsia="Calibri" w:cs="Calibri"/>
                <w:noProof/>
              </w:rPr>
            </w:pPr>
            <w:r>
              <w:rPr>
                <w:noProof/>
              </w:rPr>
              <w:t>TD-C20-i01</w:t>
            </w:r>
          </w:p>
        </w:tc>
        <w:tc>
          <w:tcPr>
            <w:tcW w:w="1520" w:type="dxa"/>
            <w:shd w:val="clear" w:color="auto" w:fill="C4EFCE"/>
            <w:vAlign w:val="center"/>
            <w:hideMark/>
          </w:tcPr>
          <w:p w14:paraId="0CDF83A4"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5C9E5FE" w14:textId="77777777" w:rsidR="00154AD2" w:rsidRDefault="007F6BF3">
            <w:pPr>
              <w:pStyle w:val="P68B1DB1-Normal23"/>
              <w:spacing w:after="0"/>
              <w:jc w:val="both"/>
              <w:rPr>
                <w:rFonts w:eastAsia="Calibri" w:cs="Calibri"/>
                <w:noProof/>
              </w:rPr>
            </w:pPr>
            <w:r>
              <w:rPr>
                <w:noProof/>
              </w:rPr>
              <w:t>Ενδυνάμωση της διοίκησης των σχολείων</w:t>
            </w:r>
          </w:p>
        </w:tc>
      </w:tr>
      <w:tr w:rsidR="00154AD2" w14:paraId="095F7BC5" w14:textId="77777777">
        <w:trPr>
          <w:trHeight w:val="440"/>
        </w:trPr>
        <w:tc>
          <w:tcPr>
            <w:tcW w:w="1200" w:type="dxa"/>
            <w:shd w:val="clear" w:color="auto" w:fill="C4EFCE"/>
            <w:vAlign w:val="center"/>
            <w:hideMark/>
          </w:tcPr>
          <w:p w14:paraId="75DE1446" w14:textId="77777777" w:rsidR="00154AD2" w:rsidRDefault="007F6BF3">
            <w:pPr>
              <w:pStyle w:val="P68B1DB1-Normal23"/>
              <w:spacing w:after="0"/>
              <w:jc w:val="center"/>
              <w:rPr>
                <w:rFonts w:eastAsia="Calibri" w:cs="Calibri"/>
                <w:noProof/>
              </w:rPr>
            </w:pPr>
            <w:r>
              <w:rPr>
                <w:noProof/>
              </w:rPr>
              <w:t>20.15</w:t>
            </w:r>
          </w:p>
        </w:tc>
        <w:tc>
          <w:tcPr>
            <w:tcW w:w="1760" w:type="dxa"/>
            <w:shd w:val="clear" w:color="auto" w:fill="C4EFCE"/>
            <w:vAlign w:val="center"/>
            <w:hideMark/>
          </w:tcPr>
          <w:p w14:paraId="63BCB75D" w14:textId="77777777" w:rsidR="00154AD2" w:rsidRDefault="007F6BF3">
            <w:pPr>
              <w:pStyle w:val="P68B1DB1-Normal23"/>
              <w:spacing w:after="0"/>
              <w:jc w:val="center"/>
              <w:rPr>
                <w:rFonts w:eastAsia="Calibri" w:cs="Calibri"/>
                <w:noProof/>
              </w:rPr>
            </w:pPr>
            <w:r>
              <w:rPr>
                <w:noProof/>
              </w:rPr>
              <w:t>TD-C20-i03-RAM</w:t>
            </w:r>
          </w:p>
        </w:tc>
        <w:tc>
          <w:tcPr>
            <w:tcW w:w="1520" w:type="dxa"/>
            <w:shd w:val="clear" w:color="auto" w:fill="C4EFCE"/>
            <w:vAlign w:val="center"/>
            <w:hideMark/>
          </w:tcPr>
          <w:p w14:paraId="59D36764"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1E3243CB" w14:textId="77777777" w:rsidR="00154AD2" w:rsidRDefault="007F6BF3">
            <w:pPr>
              <w:pStyle w:val="P68B1DB1-Normal23"/>
              <w:spacing w:after="0"/>
              <w:jc w:val="both"/>
              <w:rPr>
                <w:rFonts w:eastAsia="Calibri" w:cs="Calibri"/>
                <w:noProof/>
              </w:rPr>
            </w:pPr>
            <w:r>
              <w:rPr>
                <w:noProof/>
              </w:rPr>
              <w:t>Σύνδεση σχολείων στην ΕΕΜ</w:t>
            </w:r>
          </w:p>
        </w:tc>
      </w:tr>
      <w:tr w:rsidR="00154AD2" w14:paraId="66DB9AD9" w14:textId="77777777">
        <w:trPr>
          <w:trHeight w:val="440"/>
        </w:trPr>
        <w:tc>
          <w:tcPr>
            <w:tcW w:w="1200" w:type="dxa"/>
            <w:shd w:val="clear" w:color="auto" w:fill="C4EFCE"/>
            <w:vAlign w:val="center"/>
            <w:hideMark/>
          </w:tcPr>
          <w:p w14:paraId="2F1BF0CF" w14:textId="77777777" w:rsidR="00154AD2" w:rsidRDefault="007F6BF3">
            <w:pPr>
              <w:pStyle w:val="P68B1DB1-Normal23"/>
              <w:spacing w:after="0"/>
              <w:jc w:val="center"/>
              <w:rPr>
                <w:rFonts w:eastAsia="Calibri" w:cs="Calibri"/>
                <w:noProof/>
              </w:rPr>
            </w:pPr>
            <w:r>
              <w:rPr>
                <w:noProof/>
              </w:rPr>
              <w:t>21.10</w:t>
            </w:r>
          </w:p>
        </w:tc>
        <w:tc>
          <w:tcPr>
            <w:tcW w:w="1760" w:type="dxa"/>
            <w:shd w:val="clear" w:color="auto" w:fill="C4EFCE"/>
            <w:vAlign w:val="center"/>
            <w:hideMark/>
          </w:tcPr>
          <w:p w14:paraId="5DF21089" w14:textId="77777777" w:rsidR="00154AD2" w:rsidRDefault="007F6BF3">
            <w:pPr>
              <w:pStyle w:val="P68B1DB1-Normal23"/>
              <w:spacing w:after="0"/>
              <w:jc w:val="center"/>
              <w:rPr>
                <w:rFonts w:eastAsia="Calibri" w:cs="Calibri"/>
                <w:noProof/>
              </w:rPr>
            </w:pPr>
            <w:r>
              <w:rPr>
                <w:noProof/>
              </w:rPr>
              <w:t>RP-C21-r44</w:t>
            </w:r>
          </w:p>
        </w:tc>
        <w:tc>
          <w:tcPr>
            <w:tcW w:w="1520" w:type="dxa"/>
            <w:shd w:val="clear" w:color="auto" w:fill="C4EFCE"/>
            <w:vAlign w:val="center"/>
            <w:hideMark/>
          </w:tcPr>
          <w:p w14:paraId="2A7141B8"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5F3038A" w14:textId="77777777" w:rsidR="00154AD2" w:rsidRDefault="007F6BF3">
            <w:pPr>
              <w:pStyle w:val="P68B1DB1-Normal23"/>
              <w:spacing w:after="0"/>
              <w:jc w:val="both"/>
              <w:rPr>
                <w:rFonts w:eastAsia="Calibri" w:cs="Calibri"/>
                <w:noProof/>
              </w:rPr>
            </w:pPr>
            <w:r>
              <w:rPr>
                <w:noProof/>
              </w:rPr>
              <w:t>Δράσεις ανάπτυξης ικανοτήτων</w:t>
            </w:r>
          </w:p>
        </w:tc>
      </w:tr>
      <w:tr w:rsidR="00154AD2" w14:paraId="17B29DAC" w14:textId="77777777">
        <w:trPr>
          <w:trHeight w:val="440"/>
        </w:trPr>
        <w:tc>
          <w:tcPr>
            <w:tcW w:w="1200" w:type="dxa"/>
            <w:shd w:val="clear" w:color="auto" w:fill="C4EFCE"/>
            <w:vAlign w:val="center"/>
            <w:hideMark/>
          </w:tcPr>
          <w:p w14:paraId="11D06F3F" w14:textId="77777777" w:rsidR="00154AD2" w:rsidRDefault="007F6BF3">
            <w:pPr>
              <w:pStyle w:val="P68B1DB1-Normal23"/>
              <w:spacing w:after="0"/>
              <w:jc w:val="center"/>
              <w:rPr>
                <w:rFonts w:eastAsia="Calibri" w:cs="Calibri"/>
                <w:noProof/>
              </w:rPr>
            </w:pPr>
            <w:r>
              <w:rPr>
                <w:noProof/>
              </w:rPr>
              <w:t>21.14</w:t>
            </w:r>
          </w:p>
        </w:tc>
        <w:tc>
          <w:tcPr>
            <w:tcW w:w="1760" w:type="dxa"/>
            <w:shd w:val="clear" w:color="auto" w:fill="C4EFCE"/>
            <w:vAlign w:val="center"/>
            <w:hideMark/>
          </w:tcPr>
          <w:p w14:paraId="04487365" w14:textId="1CEA46B2" w:rsidR="00154AD2" w:rsidRDefault="007F6BF3">
            <w:pPr>
              <w:pStyle w:val="P68B1DB1-Normal23"/>
              <w:spacing w:after="0"/>
              <w:jc w:val="center"/>
              <w:rPr>
                <w:rFonts w:eastAsia="Calibri" w:cs="Calibri"/>
                <w:noProof/>
              </w:rPr>
            </w:pPr>
            <w:r>
              <w:rPr>
                <w:noProof/>
              </w:rPr>
              <w:t>RP-C21-r45</w:t>
            </w:r>
          </w:p>
        </w:tc>
        <w:tc>
          <w:tcPr>
            <w:tcW w:w="1520" w:type="dxa"/>
            <w:shd w:val="clear" w:color="auto" w:fill="C4EFCE"/>
            <w:vAlign w:val="center"/>
            <w:hideMark/>
          </w:tcPr>
          <w:p w14:paraId="6A7FA34F"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DA901B0" w14:textId="77777777" w:rsidR="00154AD2" w:rsidRDefault="007F6BF3">
            <w:pPr>
              <w:pStyle w:val="P68B1DB1-Normal23"/>
              <w:spacing w:after="0"/>
              <w:jc w:val="both"/>
              <w:rPr>
                <w:rFonts w:eastAsia="Calibri" w:cs="Calibri"/>
                <w:noProof/>
              </w:rPr>
            </w:pPr>
            <w:r>
              <w:rPr>
                <w:noProof/>
              </w:rPr>
              <w:t>Δράσεις κατάρτισης για τις πράσινες δεξιότητες</w:t>
            </w:r>
          </w:p>
        </w:tc>
      </w:tr>
      <w:tr w:rsidR="00154AD2" w14:paraId="7B6DBAA0" w14:textId="77777777">
        <w:trPr>
          <w:trHeight w:val="440"/>
        </w:trPr>
        <w:tc>
          <w:tcPr>
            <w:tcW w:w="1200" w:type="dxa"/>
            <w:shd w:val="clear" w:color="auto" w:fill="C4EFCE"/>
            <w:vAlign w:val="center"/>
            <w:hideMark/>
          </w:tcPr>
          <w:p w14:paraId="3A579611" w14:textId="77777777" w:rsidR="00154AD2" w:rsidRDefault="007F6BF3">
            <w:pPr>
              <w:pStyle w:val="P68B1DB1-Normal23"/>
              <w:spacing w:after="0"/>
              <w:jc w:val="center"/>
              <w:rPr>
                <w:rFonts w:eastAsia="Calibri" w:cs="Calibri"/>
                <w:noProof/>
              </w:rPr>
            </w:pPr>
            <w:r>
              <w:rPr>
                <w:noProof/>
              </w:rPr>
              <w:t>21.30</w:t>
            </w:r>
          </w:p>
        </w:tc>
        <w:tc>
          <w:tcPr>
            <w:tcW w:w="1760" w:type="dxa"/>
            <w:shd w:val="clear" w:color="auto" w:fill="C4EFCE"/>
            <w:vAlign w:val="center"/>
            <w:hideMark/>
          </w:tcPr>
          <w:p w14:paraId="4D24E80F" w14:textId="66AD4A61" w:rsidR="00154AD2" w:rsidRDefault="007F6BF3">
            <w:pPr>
              <w:pStyle w:val="P68B1DB1-Normal23"/>
              <w:spacing w:after="0"/>
              <w:jc w:val="center"/>
              <w:rPr>
                <w:rFonts w:eastAsia="Calibri" w:cs="Calibri"/>
                <w:noProof/>
              </w:rPr>
            </w:pPr>
            <w:r>
              <w:rPr>
                <w:noProof/>
              </w:rPr>
              <w:t>RP-C21-i9</w:t>
            </w:r>
          </w:p>
        </w:tc>
        <w:tc>
          <w:tcPr>
            <w:tcW w:w="1520" w:type="dxa"/>
            <w:shd w:val="clear" w:color="auto" w:fill="C4EFCE"/>
            <w:vAlign w:val="center"/>
            <w:hideMark/>
          </w:tcPr>
          <w:p w14:paraId="1BE77825"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19F8DE1D" w14:textId="77777777" w:rsidR="00154AD2" w:rsidRDefault="007F6BF3">
            <w:pPr>
              <w:pStyle w:val="P68B1DB1-Normal23"/>
              <w:spacing w:after="0"/>
              <w:jc w:val="both"/>
              <w:rPr>
                <w:rFonts w:eastAsia="Calibri" w:cs="Calibri"/>
                <w:noProof/>
              </w:rPr>
            </w:pPr>
            <w:r>
              <w:rPr>
                <w:noProof/>
              </w:rPr>
              <w:t>Έναρξη λειτουργίας των ενοτήτων της πρώτης φάσης της ψηφιακής πλατφόρμας μίας στάσης για την αδειοδότηση και την παρακολούθηση έργων ανανεώσιμης ενέργειας</w:t>
            </w:r>
          </w:p>
        </w:tc>
      </w:tr>
      <w:tr w:rsidR="00154AD2" w14:paraId="7AEA5439" w14:textId="77777777">
        <w:trPr>
          <w:trHeight w:val="440"/>
        </w:trPr>
        <w:tc>
          <w:tcPr>
            <w:tcW w:w="1200" w:type="dxa"/>
            <w:shd w:val="clear" w:color="auto" w:fill="C4EFCE"/>
            <w:vAlign w:val="center"/>
            <w:hideMark/>
          </w:tcPr>
          <w:p w14:paraId="3B9D7FE4" w14:textId="77777777" w:rsidR="00154AD2" w:rsidRDefault="007F6BF3">
            <w:pPr>
              <w:pStyle w:val="P68B1DB1-Normal23"/>
              <w:spacing w:after="0"/>
              <w:jc w:val="center"/>
              <w:rPr>
                <w:rFonts w:eastAsia="Calibri" w:cs="Calibri"/>
                <w:noProof/>
              </w:rPr>
            </w:pPr>
            <w:r>
              <w:rPr>
                <w:noProof/>
              </w:rPr>
              <w:t>21.38</w:t>
            </w:r>
          </w:p>
        </w:tc>
        <w:tc>
          <w:tcPr>
            <w:tcW w:w="1760" w:type="dxa"/>
            <w:shd w:val="clear" w:color="auto" w:fill="C4EFCE"/>
            <w:vAlign w:val="center"/>
            <w:hideMark/>
          </w:tcPr>
          <w:p w14:paraId="244019BC" w14:textId="436D4207" w:rsidR="00154AD2" w:rsidRDefault="007F6BF3">
            <w:pPr>
              <w:pStyle w:val="P68B1DB1-Normal23"/>
              <w:spacing w:after="0"/>
              <w:jc w:val="center"/>
              <w:rPr>
                <w:rFonts w:eastAsia="Calibri" w:cs="Calibri"/>
                <w:noProof/>
              </w:rPr>
            </w:pPr>
            <w:r>
              <w:rPr>
                <w:noProof/>
              </w:rPr>
              <w:t>RP-C21-i14</w:t>
            </w:r>
          </w:p>
        </w:tc>
        <w:tc>
          <w:tcPr>
            <w:tcW w:w="1520" w:type="dxa"/>
            <w:shd w:val="clear" w:color="auto" w:fill="C4EFCE"/>
            <w:vAlign w:val="center"/>
            <w:hideMark/>
          </w:tcPr>
          <w:p w14:paraId="4A27F4D9"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9E90178" w14:textId="77777777" w:rsidR="00154AD2" w:rsidRDefault="007F6BF3">
            <w:pPr>
              <w:pStyle w:val="P68B1DB1-Normal23"/>
              <w:spacing w:after="0"/>
              <w:jc w:val="both"/>
              <w:rPr>
                <w:rFonts w:eastAsia="Calibri" w:cs="Calibri"/>
                <w:noProof/>
              </w:rPr>
            </w:pPr>
            <w:r>
              <w:rPr>
                <w:noProof/>
              </w:rPr>
              <w:t>Υπογραφή της σύμβασης για την κατασκευή δύο γραμμών ταχείας διέλευσης λεωφορείων στην Braga</w:t>
            </w:r>
          </w:p>
        </w:tc>
      </w:tr>
      <w:tr w:rsidR="00154AD2" w14:paraId="385E0783" w14:textId="77777777">
        <w:trPr>
          <w:trHeight w:val="440"/>
        </w:trPr>
        <w:tc>
          <w:tcPr>
            <w:tcW w:w="1200" w:type="dxa"/>
            <w:shd w:val="clear" w:color="auto" w:fill="C4EFCE"/>
            <w:vAlign w:val="center"/>
            <w:hideMark/>
          </w:tcPr>
          <w:p w14:paraId="0AAE03D3" w14:textId="77777777" w:rsidR="00154AD2" w:rsidRDefault="007F6BF3">
            <w:pPr>
              <w:pStyle w:val="P68B1DB1-Normal23"/>
              <w:spacing w:after="0"/>
              <w:jc w:val="center"/>
              <w:rPr>
                <w:rFonts w:eastAsia="Calibri" w:cs="Calibri"/>
                <w:noProof/>
              </w:rPr>
            </w:pPr>
            <w:r>
              <w:rPr>
                <w:noProof/>
              </w:rPr>
              <w:t>21.42</w:t>
            </w:r>
          </w:p>
        </w:tc>
        <w:tc>
          <w:tcPr>
            <w:tcW w:w="1760" w:type="dxa"/>
            <w:shd w:val="clear" w:color="auto" w:fill="C4EFCE"/>
            <w:vAlign w:val="center"/>
            <w:hideMark/>
          </w:tcPr>
          <w:p w14:paraId="50D56588" w14:textId="707B6BFA" w:rsidR="00154AD2" w:rsidRDefault="007F6BF3">
            <w:pPr>
              <w:pStyle w:val="P68B1DB1-Normal23"/>
              <w:spacing w:after="0"/>
              <w:jc w:val="center"/>
              <w:rPr>
                <w:rFonts w:eastAsia="Calibri" w:cs="Calibri"/>
                <w:noProof/>
              </w:rPr>
            </w:pPr>
            <w:r>
              <w:rPr>
                <w:noProof/>
              </w:rPr>
              <w:t>RP-C21-i16</w:t>
            </w:r>
          </w:p>
        </w:tc>
        <w:tc>
          <w:tcPr>
            <w:tcW w:w="1520" w:type="dxa"/>
            <w:shd w:val="clear" w:color="auto" w:fill="C4EFCE"/>
            <w:vAlign w:val="center"/>
          </w:tcPr>
          <w:p w14:paraId="25A4EEDF" w14:textId="77777777" w:rsidR="00154AD2" w:rsidRDefault="007F6BF3">
            <w:pPr>
              <w:pStyle w:val="P68B1DB1-Normal23"/>
              <w:spacing w:after="0" w:line="240" w:lineRule="auto"/>
              <w:jc w:val="center"/>
              <w:rPr>
                <w:rFonts w:eastAsia="Times New Roman" w:cs="Calibri"/>
                <w:noProof/>
              </w:rPr>
            </w:pPr>
            <w:r>
              <w:rPr>
                <w:noProof/>
              </w:rPr>
              <w:t>M</w:t>
            </w:r>
          </w:p>
        </w:tc>
        <w:tc>
          <w:tcPr>
            <w:tcW w:w="5060" w:type="dxa"/>
            <w:shd w:val="clear" w:color="auto" w:fill="C4EFCE"/>
            <w:vAlign w:val="center"/>
          </w:tcPr>
          <w:p w14:paraId="436C9A08" w14:textId="77777777" w:rsidR="00154AD2" w:rsidRDefault="007F6BF3">
            <w:pPr>
              <w:pStyle w:val="P68B1DB1-Normal23"/>
              <w:spacing w:after="0" w:line="240" w:lineRule="auto"/>
              <w:rPr>
                <w:rFonts w:cs="Calibri"/>
                <w:i/>
                <w:noProof/>
              </w:rPr>
            </w:pPr>
            <w:r>
              <w:rPr>
                <w:noProof/>
              </w:rPr>
              <w:t>Υπογραφή της σύμβασης για την υλοποίηση του έργου</w:t>
            </w:r>
          </w:p>
        </w:tc>
      </w:tr>
      <w:tr w:rsidR="00154AD2" w14:paraId="4F03A3E2" w14:textId="77777777">
        <w:trPr>
          <w:trHeight w:val="440"/>
        </w:trPr>
        <w:tc>
          <w:tcPr>
            <w:tcW w:w="1200" w:type="dxa"/>
            <w:shd w:val="clear" w:color="auto" w:fill="C4EFCE"/>
            <w:vAlign w:val="center"/>
          </w:tcPr>
          <w:p w14:paraId="0A5307EE" w14:textId="77777777" w:rsidR="00154AD2" w:rsidRDefault="00154AD2">
            <w:pPr>
              <w:spacing w:after="0"/>
              <w:jc w:val="center"/>
              <w:rPr>
                <w:rFonts w:ascii="Calibri" w:eastAsia="Calibri" w:hAnsi="Calibri" w:cs="Calibri"/>
                <w:noProof/>
                <w:sz w:val="18"/>
              </w:rPr>
            </w:pPr>
          </w:p>
        </w:tc>
        <w:tc>
          <w:tcPr>
            <w:tcW w:w="1760" w:type="dxa"/>
            <w:shd w:val="clear" w:color="auto" w:fill="C4EFCE"/>
            <w:vAlign w:val="center"/>
          </w:tcPr>
          <w:p w14:paraId="2E63F90C" w14:textId="77777777" w:rsidR="00154AD2" w:rsidRDefault="00154AD2">
            <w:pPr>
              <w:spacing w:after="0"/>
              <w:jc w:val="center"/>
              <w:rPr>
                <w:rFonts w:ascii="Calibri" w:eastAsia="Calibri" w:hAnsi="Calibri" w:cs="Calibri"/>
                <w:noProof/>
                <w:sz w:val="18"/>
              </w:rPr>
            </w:pPr>
          </w:p>
        </w:tc>
        <w:tc>
          <w:tcPr>
            <w:tcW w:w="1520" w:type="dxa"/>
            <w:shd w:val="clear" w:color="auto" w:fill="C4EFCE"/>
            <w:vAlign w:val="center"/>
          </w:tcPr>
          <w:p w14:paraId="4C56150E" w14:textId="77777777" w:rsidR="00154AD2" w:rsidRDefault="007F6BF3">
            <w:pPr>
              <w:pStyle w:val="P68B1DB1-Normal24"/>
              <w:spacing w:after="0"/>
              <w:jc w:val="center"/>
              <w:rPr>
                <w:rFonts w:eastAsia="Calibri" w:cs="Calibri"/>
                <w:noProof/>
                <w:sz w:val="18"/>
              </w:rPr>
            </w:pPr>
            <w:r>
              <w:rPr>
                <w:noProof/>
              </w:rPr>
              <w:t>Ποσό δόσης</w:t>
            </w:r>
          </w:p>
        </w:tc>
        <w:tc>
          <w:tcPr>
            <w:tcW w:w="5060" w:type="dxa"/>
            <w:shd w:val="clear" w:color="auto" w:fill="C4EFCE"/>
            <w:vAlign w:val="center"/>
          </w:tcPr>
          <w:p w14:paraId="1D728FCE" w14:textId="4021B04F" w:rsidR="00154AD2" w:rsidRDefault="007F6BF3">
            <w:pPr>
              <w:pStyle w:val="P68B1DB1-Normal25"/>
              <w:spacing w:after="0"/>
              <w:jc w:val="center"/>
              <w:rPr>
                <w:rFonts w:eastAsia="Calibri" w:cs="Calibri"/>
                <w:noProof/>
                <w:sz w:val="18"/>
              </w:rPr>
            </w:pPr>
            <w:r>
              <w:rPr>
                <w:noProof/>
              </w:rPr>
              <w:t xml:space="preserve">2 023 192 454 EUR </w:t>
            </w:r>
          </w:p>
        </w:tc>
      </w:tr>
    </w:tbl>
    <w:p w14:paraId="59B2EAF8" w14:textId="77777777" w:rsidR="00154AD2" w:rsidRDefault="00154AD2">
      <w:pPr>
        <w:keepNext/>
        <w:spacing w:before="40" w:after="160" w:line="259" w:lineRule="auto"/>
        <w:ind w:left="360"/>
        <w:contextualSpacing/>
        <w:jc w:val="both"/>
        <w:rPr>
          <w:rFonts w:ascii="Times New Roman" w:eastAsiaTheme="minorEastAsia" w:hAnsi="Times New Roman" w:cs="Times New Roman"/>
          <w:noProof/>
          <w:sz w:val="24"/>
        </w:rPr>
      </w:pPr>
    </w:p>
    <w:p w14:paraId="3FED0C14" w14:textId="77777777" w:rsidR="00154AD2" w:rsidRDefault="007F6BF3">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Όγδοη αίτηση πληρωμής (μη επιστρεπτέα στήριξη): </w:t>
      </w:r>
    </w:p>
    <w:p w14:paraId="03F528E5" w14:textId="77777777" w:rsidR="00154AD2" w:rsidRDefault="00154AD2">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Look w:val="04A0" w:firstRow="1" w:lastRow="0" w:firstColumn="1" w:lastColumn="0" w:noHBand="0" w:noVBand="1"/>
      </w:tblPr>
      <w:tblGrid>
        <w:gridCol w:w="1188"/>
        <w:gridCol w:w="1750"/>
        <w:gridCol w:w="1670"/>
        <w:gridCol w:w="4932"/>
      </w:tblGrid>
      <w:tr w:rsidR="00154AD2" w14:paraId="51282D2E" w14:textId="77777777">
        <w:trPr>
          <w:trHeight w:val="509"/>
          <w:tblHeader/>
        </w:trPr>
        <w:tc>
          <w:tcPr>
            <w:tcW w:w="12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F2E938F" w14:textId="77777777" w:rsidR="00154AD2" w:rsidRDefault="007F6BF3">
            <w:pPr>
              <w:pStyle w:val="P68B1DB1-Normal22"/>
              <w:spacing w:after="0" w:line="240" w:lineRule="auto"/>
              <w:jc w:val="center"/>
              <w:rPr>
                <w:rFonts w:eastAsia="Times New Roman" w:cs="Times New Roman"/>
                <w:noProof/>
              </w:rPr>
            </w:pPr>
            <w:r>
              <w:rPr>
                <w:noProof/>
              </w:rPr>
              <w:t>Αύξων αριθμός</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8DFC1E5" w14:textId="77777777" w:rsidR="00154AD2" w:rsidRDefault="007F6BF3">
            <w:pPr>
              <w:pStyle w:val="P68B1DB1-Normal22"/>
              <w:spacing w:after="0" w:line="240" w:lineRule="auto"/>
              <w:jc w:val="center"/>
              <w:rPr>
                <w:rFonts w:eastAsia="Times New Roman" w:cs="Times New Roman"/>
                <w:noProof/>
              </w:rPr>
            </w:pPr>
            <w:r>
              <w:rPr>
                <w:noProof/>
              </w:rPr>
              <w:t>Σχετικό μέτρο (μεταρρύθμιση ή επένδυση)</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B1E4C39" w14:textId="77777777" w:rsidR="00154AD2" w:rsidRDefault="007F6BF3">
            <w:pPr>
              <w:pStyle w:val="P68B1DB1-Normal22"/>
              <w:spacing w:after="0" w:line="240" w:lineRule="auto"/>
              <w:jc w:val="center"/>
              <w:rPr>
                <w:rFonts w:eastAsia="Times New Roman" w:cs="Times New Roman"/>
                <w:noProof/>
              </w:rPr>
            </w:pPr>
            <w:r>
              <w:rPr>
                <w:noProof/>
              </w:rPr>
              <w:t>Ορόσημο/Στόχος</w:t>
            </w:r>
          </w:p>
        </w:tc>
        <w:tc>
          <w:tcPr>
            <w:tcW w:w="50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45F2557" w14:textId="77777777" w:rsidR="00154AD2" w:rsidRDefault="007F6BF3">
            <w:pPr>
              <w:pStyle w:val="P68B1DB1-Normal22"/>
              <w:spacing w:after="0" w:line="240" w:lineRule="auto"/>
              <w:jc w:val="center"/>
              <w:rPr>
                <w:rFonts w:eastAsia="Times New Roman" w:cs="Times New Roman"/>
                <w:noProof/>
              </w:rPr>
            </w:pPr>
            <w:r>
              <w:rPr>
                <w:noProof/>
              </w:rPr>
              <w:t>Όνομα</w:t>
            </w:r>
          </w:p>
        </w:tc>
      </w:tr>
      <w:tr w:rsidR="00154AD2" w14:paraId="43E0E792" w14:textId="77777777">
        <w:trPr>
          <w:trHeight w:val="509"/>
          <w:tblHead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0D5A2EDB" w14:textId="77777777" w:rsidR="00154AD2" w:rsidRDefault="00154AD2">
            <w:pPr>
              <w:spacing w:after="0" w:line="240" w:lineRule="auto"/>
              <w:rPr>
                <w:rFonts w:ascii="Times New Roman" w:eastAsia="Times New Roman" w:hAnsi="Times New Roman" w:cs="Times New Roman"/>
                <w:b/>
                <w:noProof/>
                <w:sz w:val="20"/>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57C445AC" w14:textId="77777777" w:rsidR="00154AD2" w:rsidRDefault="00154AD2">
            <w:pPr>
              <w:spacing w:after="0" w:line="240" w:lineRule="auto"/>
              <w:rPr>
                <w:rFonts w:ascii="Times New Roman" w:eastAsia="Times New Roman" w:hAnsi="Times New Roman" w:cs="Times New Roman"/>
                <w:b/>
                <w:noProof/>
                <w:sz w:val="20"/>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1FB1C794" w14:textId="77777777" w:rsidR="00154AD2" w:rsidRDefault="00154AD2">
            <w:pPr>
              <w:spacing w:after="0" w:line="240" w:lineRule="auto"/>
              <w:rPr>
                <w:rFonts w:ascii="Times New Roman" w:eastAsia="Times New Roman" w:hAnsi="Times New Roman" w:cs="Times New Roman"/>
                <w:b/>
                <w:noProof/>
                <w:sz w:val="20"/>
              </w:rPr>
            </w:pPr>
          </w:p>
        </w:tc>
        <w:tc>
          <w:tcPr>
            <w:tcW w:w="5060" w:type="dxa"/>
            <w:vMerge/>
            <w:tcBorders>
              <w:top w:val="single" w:sz="4" w:space="0" w:color="auto"/>
              <w:left w:val="single" w:sz="4" w:space="0" w:color="auto"/>
              <w:bottom w:val="single" w:sz="4" w:space="0" w:color="auto"/>
              <w:right w:val="single" w:sz="4" w:space="0" w:color="auto"/>
            </w:tcBorders>
            <w:vAlign w:val="center"/>
            <w:hideMark/>
          </w:tcPr>
          <w:p w14:paraId="0242486B" w14:textId="77777777" w:rsidR="00154AD2" w:rsidRDefault="00154AD2">
            <w:pPr>
              <w:spacing w:after="0" w:line="240" w:lineRule="auto"/>
              <w:rPr>
                <w:rFonts w:ascii="Times New Roman" w:eastAsia="Times New Roman" w:hAnsi="Times New Roman" w:cs="Times New Roman"/>
                <w:b/>
                <w:noProof/>
                <w:sz w:val="20"/>
              </w:rPr>
            </w:pPr>
          </w:p>
        </w:tc>
      </w:tr>
      <w:tr w:rsidR="00154AD2" w14:paraId="477022A0"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26209672" w14:textId="77777777" w:rsidR="00154AD2" w:rsidRDefault="007F6BF3">
            <w:pPr>
              <w:pStyle w:val="P68B1DB1-Normal23"/>
              <w:spacing w:after="0"/>
              <w:jc w:val="center"/>
              <w:rPr>
                <w:rFonts w:eastAsia="Calibri" w:cs="Calibri"/>
                <w:noProof/>
                <w:sz w:val="20"/>
              </w:rPr>
            </w:pPr>
            <w:r>
              <w:rPr>
                <w:noProof/>
              </w:rPr>
              <w:t>1.34</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4B386C0E" w14:textId="77777777" w:rsidR="00154AD2" w:rsidRDefault="007F6BF3">
            <w:pPr>
              <w:pStyle w:val="P68B1DB1-Normal23"/>
              <w:spacing w:after="0"/>
              <w:jc w:val="center"/>
              <w:rPr>
                <w:rFonts w:eastAsia="Calibri" w:cs="Calibri"/>
                <w:noProof/>
                <w:sz w:val="20"/>
              </w:rPr>
            </w:pPr>
            <w:r>
              <w:rPr>
                <w:noProof/>
              </w:rPr>
              <w:t>RE-C01-i06</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4E962A5B" w14:textId="77777777" w:rsidR="00154AD2" w:rsidRDefault="007F6BF3">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71E3B3A8" w14:textId="77777777" w:rsidR="00154AD2" w:rsidRDefault="007F6BF3">
            <w:pPr>
              <w:pStyle w:val="P68B1DB1-Normal23"/>
              <w:spacing w:after="0"/>
              <w:jc w:val="both"/>
              <w:rPr>
                <w:rFonts w:eastAsia="Calibri" w:cs="Calibri"/>
                <w:noProof/>
                <w:sz w:val="20"/>
              </w:rPr>
            </w:pPr>
            <w:r>
              <w:rPr>
                <w:noProof/>
              </w:rPr>
              <w:t>Εφαρμογή διοικητικών ενοτήτων τεχνολογίας πληροφοριών, βασικών κλινικών ενοτήτων και κλινικών ενοτήτων έκτακτης ανάγκης</w:t>
            </w:r>
          </w:p>
        </w:tc>
      </w:tr>
      <w:tr w:rsidR="00154AD2" w14:paraId="2D80F58A"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33ED31DD" w14:textId="77777777" w:rsidR="00154AD2" w:rsidRDefault="007F6BF3">
            <w:pPr>
              <w:pStyle w:val="P68B1DB1-Normal23"/>
              <w:spacing w:after="0"/>
              <w:jc w:val="center"/>
              <w:rPr>
                <w:rFonts w:eastAsia="Calibri" w:cs="Calibri"/>
                <w:noProof/>
                <w:sz w:val="20"/>
              </w:rPr>
            </w:pPr>
            <w:r>
              <w:rPr>
                <w:noProof/>
              </w:rPr>
              <w:t>2.29</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2D9EA7AE" w14:textId="77777777" w:rsidR="00154AD2" w:rsidRDefault="007F6BF3">
            <w:pPr>
              <w:pStyle w:val="P68B1DB1-Normal23"/>
              <w:spacing w:after="0"/>
              <w:jc w:val="center"/>
              <w:rPr>
                <w:rFonts w:eastAsia="Calibri" w:cs="Calibri"/>
                <w:noProof/>
                <w:sz w:val="20"/>
              </w:rPr>
            </w:pPr>
            <w:r>
              <w:rPr>
                <w:noProof/>
              </w:rPr>
              <w:t>RE-C02-i01</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3A93811F" w14:textId="77777777" w:rsidR="00154AD2" w:rsidRDefault="007F6BF3">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47CD63F8" w14:textId="77777777" w:rsidR="00154AD2" w:rsidRDefault="007F6BF3">
            <w:pPr>
              <w:pStyle w:val="P68B1DB1-Normal23"/>
              <w:spacing w:after="0"/>
              <w:jc w:val="both"/>
              <w:rPr>
                <w:rFonts w:eastAsia="Calibri" w:cs="Calibri"/>
                <w:noProof/>
                <w:sz w:val="20"/>
              </w:rPr>
            </w:pPr>
            <w:r>
              <w:rPr>
                <w:noProof/>
              </w:rPr>
              <w:t>Πρόγραμμα στήριξης για την πρόσβαση σε στέγαση — Αγορασμένες, κατασκευασμένες (υψηλής ενεργειακής απόδοσης) ή αποκατεστημένες (με βελτιωμένη ενεργειακή απόδοση) κατοικίες που παρέχονται σε νοικοκυριά</w:t>
            </w:r>
          </w:p>
        </w:tc>
      </w:tr>
      <w:tr w:rsidR="00154AD2" w14:paraId="16BAF701"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7587DCF" w14:textId="77777777" w:rsidR="00154AD2" w:rsidRDefault="007F6BF3">
            <w:pPr>
              <w:pStyle w:val="P68B1DB1-Normal23"/>
              <w:spacing w:after="0"/>
              <w:jc w:val="center"/>
              <w:rPr>
                <w:rFonts w:eastAsia="Calibri" w:cs="Calibri"/>
                <w:noProof/>
                <w:sz w:val="20"/>
              </w:rPr>
            </w:pPr>
            <w:r>
              <w:rPr>
                <w:noProof/>
              </w:rPr>
              <w:t>3.29</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28DF3D66" w14:textId="77777777" w:rsidR="00154AD2" w:rsidRDefault="007F6BF3">
            <w:pPr>
              <w:pStyle w:val="P68B1DB1-Normal23"/>
              <w:spacing w:after="0"/>
              <w:jc w:val="center"/>
              <w:rPr>
                <w:rFonts w:eastAsia="Calibri" w:cs="Calibri"/>
                <w:noProof/>
                <w:sz w:val="20"/>
              </w:rPr>
            </w:pPr>
            <w:r>
              <w:rPr>
                <w:noProof/>
              </w:rPr>
              <w:t>RE-C03-r38</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17434BAC" w14:textId="77777777" w:rsidR="00154AD2" w:rsidRDefault="007F6BF3">
            <w:pPr>
              <w:pStyle w:val="P68B1DB1-Normal23"/>
              <w:spacing w:after="0"/>
              <w:jc w:val="center"/>
              <w:rPr>
                <w:rFonts w:eastAsia="Calibri" w:cs="Calibri"/>
                <w:noProof/>
                <w:sz w:val="20"/>
              </w:rPr>
            </w:pPr>
            <w:r>
              <w:rPr>
                <w:noProof/>
              </w:rPr>
              <w:t>M</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0BBAC241" w14:textId="77777777" w:rsidR="00154AD2" w:rsidRDefault="007F6BF3">
            <w:pPr>
              <w:pStyle w:val="P68B1DB1-Normal23"/>
              <w:spacing w:after="0"/>
              <w:jc w:val="both"/>
              <w:rPr>
                <w:rFonts w:eastAsia="Calibri" w:cs="Calibri"/>
                <w:noProof/>
                <w:sz w:val="20"/>
              </w:rPr>
            </w:pPr>
            <w:r>
              <w:rPr>
                <w:noProof/>
              </w:rPr>
              <w:t>Έκθεση της ομάδας εργασίας για το ενιαίο κοινωνικό επίδομα</w:t>
            </w:r>
          </w:p>
        </w:tc>
      </w:tr>
      <w:tr w:rsidR="00154AD2" w14:paraId="45320B6C"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DA2AE78" w14:textId="77777777" w:rsidR="00154AD2" w:rsidRDefault="007F6BF3">
            <w:pPr>
              <w:pStyle w:val="P68B1DB1-Normal23"/>
              <w:spacing w:after="0"/>
              <w:jc w:val="center"/>
              <w:rPr>
                <w:rFonts w:eastAsia="Calibri" w:cs="Calibri"/>
                <w:noProof/>
                <w:sz w:val="20"/>
              </w:rPr>
            </w:pPr>
            <w:r>
              <w:rPr>
                <w:noProof/>
              </w:rPr>
              <w:t>6.1</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050BE18D" w14:textId="77777777" w:rsidR="00154AD2" w:rsidRDefault="007F6BF3">
            <w:pPr>
              <w:pStyle w:val="P68B1DB1-Normal23"/>
              <w:spacing w:after="0"/>
              <w:jc w:val="center"/>
              <w:rPr>
                <w:rFonts w:eastAsia="Calibri" w:cs="Calibri"/>
                <w:noProof/>
                <w:sz w:val="20"/>
              </w:rPr>
            </w:pPr>
            <w:r>
              <w:rPr>
                <w:noProof/>
              </w:rPr>
              <w:t>RE-C06-i01</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33D89B4A" w14:textId="77777777" w:rsidR="00154AD2" w:rsidRDefault="007F6BF3">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17CA4126" w14:textId="77777777" w:rsidR="00154AD2" w:rsidRDefault="007F6BF3">
            <w:pPr>
              <w:pStyle w:val="P68B1DB1-Normal23"/>
              <w:spacing w:after="0"/>
              <w:jc w:val="both"/>
              <w:rPr>
                <w:rFonts w:eastAsia="Calibri" w:cs="Calibri"/>
                <w:noProof/>
                <w:sz w:val="20"/>
              </w:rPr>
            </w:pPr>
            <w:r>
              <w:rPr>
                <w:noProof/>
              </w:rPr>
              <w:t>Ανακαίνιση ή κατασκευή εξειδικευμένων τεχνολογικών κέντρων</w:t>
            </w:r>
          </w:p>
        </w:tc>
      </w:tr>
      <w:tr w:rsidR="00154AD2" w14:paraId="7C00D43E"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2BED060D" w14:textId="77777777" w:rsidR="00154AD2" w:rsidRDefault="007F6BF3">
            <w:pPr>
              <w:pStyle w:val="P68B1DB1-Normal23"/>
              <w:spacing w:after="0"/>
              <w:jc w:val="center"/>
              <w:rPr>
                <w:rFonts w:eastAsia="Calibri" w:cs="Calibri"/>
                <w:noProof/>
                <w:sz w:val="20"/>
              </w:rPr>
            </w:pPr>
            <w:r>
              <w:rPr>
                <w:noProof/>
              </w:rPr>
              <w:t>6.8</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3F0DF611" w14:textId="77777777" w:rsidR="00154AD2" w:rsidRDefault="007F6BF3">
            <w:pPr>
              <w:pStyle w:val="P68B1DB1-Normal23"/>
              <w:spacing w:after="0"/>
              <w:jc w:val="center"/>
              <w:rPr>
                <w:rFonts w:eastAsia="Calibri" w:cs="Calibri"/>
                <w:noProof/>
                <w:sz w:val="20"/>
              </w:rPr>
            </w:pPr>
            <w:r>
              <w:rPr>
                <w:noProof/>
              </w:rPr>
              <w:t>RE-C06-i04</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15A5BFBF" w14:textId="77777777" w:rsidR="00154AD2" w:rsidRDefault="007F6BF3">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12B9C680" w14:textId="77777777" w:rsidR="00154AD2" w:rsidRDefault="007F6BF3">
            <w:pPr>
              <w:pStyle w:val="P68B1DB1-Normal23"/>
              <w:spacing w:after="0"/>
              <w:jc w:val="both"/>
              <w:rPr>
                <w:rFonts w:eastAsia="Calibri" w:cs="Calibri"/>
                <w:noProof/>
                <w:sz w:val="20"/>
              </w:rPr>
            </w:pPr>
            <w:r>
              <w:rPr>
                <w:noProof/>
              </w:rPr>
              <w:t>Πρόσθετος αριθμός φοιτητών που αποφοίτησαν σε μαθήματα τριτοβάθμιας εκπαίδευσης σε τομείς STEAM</w:t>
            </w:r>
          </w:p>
        </w:tc>
      </w:tr>
      <w:tr w:rsidR="00154AD2" w14:paraId="3AD54D52"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6DB541F" w14:textId="77777777" w:rsidR="00154AD2" w:rsidRDefault="007F6BF3">
            <w:pPr>
              <w:pStyle w:val="P68B1DB1-Normal23"/>
              <w:spacing w:after="0"/>
              <w:jc w:val="center"/>
              <w:rPr>
                <w:rFonts w:eastAsia="Calibri" w:cs="Calibri"/>
                <w:noProof/>
                <w:sz w:val="20"/>
              </w:rPr>
            </w:pPr>
            <w:r>
              <w:rPr>
                <w:noProof/>
              </w:rPr>
              <w:t>8.6</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6736FE01" w14:textId="77777777" w:rsidR="00154AD2" w:rsidRDefault="007F6BF3">
            <w:pPr>
              <w:pStyle w:val="P68B1DB1-Normal23"/>
              <w:spacing w:after="0"/>
              <w:jc w:val="center"/>
              <w:rPr>
                <w:rFonts w:eastAsia="Calibri" w:cs="Calibri"/>
                <w:noProof/>
                <w:sz w:val="20"/>
              </w:rPr>
            </w:pPr>
            <w:r>
              <w:rPr>
                <w:noProof/>
              </w:rPr>
              <w:t>RE-C08-i02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43BB56E9" w14:textId="77777777" w:rsidR="00154AD2" w:rsidRDefault="007F6BF3">
            <w:pPr>
              <w:pStyle w:val="P68B1DB1-Normal23"/>
              <w:spacing w:after="0"/>
              <w:jc w:val="center"/>
              <w:rPr>
                <w:rFonts w:eastAsia="Calibri" w:cs="Calibri"/>
                <w:noProof/>
                <w:sz w:val="20"/>
              </w:rPr>
            </w:pPr>
            <w:r>
              <w:rPr>
                <w:noProof/>
              </w:rPr>
              <w:t>M</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05020DBA" w14:textId="77777777" w:rsidR="00154AD2" w:rsidRDefault="007F6BF3">
            <w:pPr>
              <w:pStyle w:val="P68B1DB1-Normal23"/>
              <w:spacing w:after="0"/>
              <w:jc w:val="both"/>
              <w:rPr>
                <w:rFonts w:eastAsia="Calibri" w:cs="Calibri"/>
                <w:noProof/>
                <w:sz w:val="20"/>
              </w:rPr>
            </w:pPr>
            <w:r>
              <w:rPr>
                <w:noProof/>
              </w:rPr>
              <w:t>Εκπόνηση χαρτογράφησης αναφοράς για το σύστημα παρακολούθησης κάλυψης γης (SMOS)</w:t>
            </w:r>
          </w:p>
        </w:tc>
      </w:tr>
      <w:tr w:rsidR="00154AD2" w14:paraId="039E9D87"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240417D6" w14:textId="77777777" w:rsidR="00154AD2" w:rsidRDefault="007F6BF3">
            <w:pPr>
              <w:pStyle w:val="P68B1DB1-Normal23"/>
              <w:spacing w:after="0"/>
              <w:jc w:val="center"/>
              <w:rPr>
                <w:rFonts w:eastAsia="Calibri" w:cs="Calibri"/>
                <w:noProof/>
                <w:sz w:val="20"/>
              </w:rPr>
            </w:pPr>
            <w:r>
              <w:rPr>
                <w:noProof/>
              </w:rPr>
              <w:t>9.12</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4C132670" w14:textId="77777777" w:rsidR="00154AD2" w:rsidRDefault="007F6BF3">
            <w:pPr>
              <w:pStyle w:val="P68B1DB1-Normal23"/>
              <w:spacing w:after="0"/>
              <w:jc w:val="center"/>
              <w:rPr>
                <w:rFonts w:eastAsia="Calibri" w:cs="Calibri"/>
                <w:noProof/>
                <w:sz w:val="20"/>
              </w:rPr>
            </w:pPr>
            <w:r>
              <w:rPr>
                <w:noProof/>
              </w:rPr>
              <w:t>RE-C09-i03</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15B66B49" w14:textId="77777777" w:rsidR="00154AD2" w:rsidRDefault="007F6BF3">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123E85C5" w14:textId="77777777" w:rsidR="00154AD2" w:rsidRDefault="007F6BF3">
            <w:pPr>
              <w:pStyle w:val="P68B1DB1-Normal23"/>
              <w:spacing w:after="0"/>
              <w:jc w:val="both"/>
              <w:rPr>
                <w:rFonts w:eastAsia="Calibri" w:cs="Calibri"/>
                <w:noProof/>
                <w:sz w:val="20"/>
              </w:rPr>
            </w:pPr>
            <w:r>
              <w:rPr>
                <w:noProof/>
              </w:rPr>
              <w:t>Πρόσθετα χιλιόμετρα αγωγών που ανακαινίστηκαν ή αποκαταστάθηκαν</w:t>
            </w:r>
          </w:p>
        </w:tc>
      </w:tr>
      <w:tr w:rsidR="00154AD2" w14:paraId="392112A0"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70DF80A" w14:textId="77777777" w:rsidR="00154AD2" w:rsidRDefault="007F6BF3">
            <w:pPr>
              <w:pStyle w:val="P68B1DB1-Normal23"/>
              <w:spacing w:after="0"/>
              <w:jc w:val="center"/>
              <w:rPr>
                <w:rFonts w:eastAsia="Calibri" w:cs="Calibri"/>
                <w:noProof/>
                <w:sz w:val="20"/>
              </w:rPr>
            </w:pPr>
            <w:r>
              <w:rPr>
                <w:noProof/>
              </w:rPr>
              <w:t>13.2</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6DF19A15" w14:textId="77777777" w:rsidR="00154AD2" w:rsidRDefault="007F6BF3">
            <w:pPr>
              <w:pStyle w:val="P68B1DB1-Normal23"/>
              <w:spacing w:after="0"/>
              <w:jc w:val="center"/>
              <w:rPr>
                <w:rFonts w:eastAsia="Calibri" w:cs="Calibri"/>
                <w:noProof/>
                <w:sz w:val="20"/>
              </w:rPr>
            </w:pPr>
            <w:r>
              <w:rPr>
                <w:noProof/>
              </w:rPr>
              <w:t>TC-C13-I01</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68B0FA9B" w14:textId="77777777" w:rsidR="00154AD2" w:rsidRDefault="007F6BF3">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688B0A90" w14:textId="77777777" w:rsidR="00154AD2" w:rsidRDefault="007F6BF3">
            <w:pPr>
              <w:pStyle w:val="P68B1DB1-Normal23"/>
              <w:spacing w:after="0"/>
              <w:jc w:val="both"/>
              <w:rPr>
                <w:rFonts w:eastAsia="Calibri" w:cs="Calibri"/>
                <w:noProof/>
                <w:sz w:val="20"/>
              </w:rPr>
            </w:pPr>
            <w:r>
              <w:rPr>
                <w:noProof/>
              </w:rPr>
              <w:t>Ενεργειακή απόδοση ανακαινίσεων ιδιωτικών οικιστικών κτιρίων</w:t>
            </w:r>
          </w:p>
        </w:tc>
      </w:tr>
      <w:tr w:rsidR="00154AD2" w14:paraId="3F852D06"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4D45592" w14:textId="77777777" w:rsidR="00154AD2" w:rsidRDefault="007F6BF3">
            <w:pPr>
              <w:pStyle w:val="P68B1DB1-Normal23"/>
              <w:spacing w:after="0"/>
              <w:jc w:val="center"/>
              <w:rPr>
                <w:rFonts w:eastAsia="Calibri" w:cs="Calibri"/>
                <w:noProof/>
                <w:sz w:val="20"/>
              </w:rPr>
            </w:pPr>
            <w:r>
              <w:rPr>
                <w:noProof/>
              </w:rPr>
              <w:t>13.5</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20E3ACE4" w14:textId="77777777" w:rsidR="00154AD2" w:rsidRDefault="007F6BF3">
            <w:pPr>
              <w:pStyle w:val="P68B1DB1-Normal23"/>
              <w:spacing w:after="0"/>
              <w:jc w:val="center"/>
              <w:rPr>
                <w:rFonts w:eastAsia="Calibri" w:cs="Calibri"/>
                <w:noProof/>
                <w:sz w:val="20"/>
              </w:rPr>
            </w:pPr>
            <w:r>
              <w:rPr>
                <w:noProof/>
              </w:rPr>
              <w:t>TC-C13-I02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596C5B0D" w14:textId="77777777" w:rsidR="00154AD2" w:rsidRDefault="007F6BF3">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2CEDF2B7" w14:textId="77777777" w:rsidR="00154AD2" w:rsidRDefault="007F6BF3">
            <w:pPr>
              <w:pStyle w:val="P68B1DB1-Normal23"/>
              <w:spacing w:after="0"/>
              <w:jc w:val="both"/>
              <w:rPr>
                <w:rFonts w:eastAsia="Calibri" w:cs="Calibri"/>
                <w:noProof/>
                <w:sz w:val="20"/>
              </w:rPr>
            </w:pPr>
            <w:r>
              <w:rPr>
                <w:noProof/>
              </w:rPr>
              <w:t>Ενεργειακή απόδοση των κτιρίων της κεντρικής δημόσιας διοίκησης</w:t>
            </w:r>
          </w:p>
        </w:tc>
      </w:tr>
      <w:tr w:rsidR="00154AD2" w14:paraId="2194D2EE"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31D1126" w14:textId="77777777" w:rsidR="00154AD2" w:rsidRDefault="007F6BF3">
            <w:pPr>
              <w:pStyle w:val="P68B1DB1-Normal23"/>
              <w:spacing w:after="0"/>
              <w:jc w:val="center"/>
              <w:rPr>
                <w:rFonts w:eastAsia="Calibri" w:cs="Calibri"/>
                <w:noProof/>
                <w:sz w:val="20"/>
              </w:rPr>
            </w:pPr>
            <w:r>
              <w:rPr>
                <w:noProof/>
              </w:rPr>
              <w:t>13.8</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3D27D411" w14:textId="77777777" w:rsidR="00154AD2" w:rsidRDefault="007F6BF3">
            <w:pPr>
              <w:pStyle w:val="P68B1DB1-Normal23"/>
              <w:spacing w:after="0"/>
              <w:jc w:val="center"/>
              <w:rPr>
                <w:rFonts w:eastAsia="Calibri" w:cs="Calibri"/>
                <w:noProof/>
                <w:sz w:val="20"/>
              </w:rPr>
            </w:pPr>
            <w:r>
              <w:rPr>
                <w:noProof/>
              </w:rPr>
              <w:t>TC-C13-I03</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3BFF745B" w14:textId="77777777" w:rsidR="00154AD2" w:rsidRDefault="007F6BF3">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521F9B47" w14:textId="77777777" w:rsidR="00154AD2" w:rsidRDefault="007F6BF3">
            <w:pPr>
              <w:pStyle w:val="P68B1DB1-Normal23"/>
              <w:spacing w:after="0"/>
              <w:jc w:val="both"/>
              <w:rPr>
                <w:rFonts w:eastAsia="Calibri" w:cs="Calibri"/>
                <w:noProof/>
                <w:sz w:val="20"/>
              </w:rPr>
            </w:pPr>
            <w:r>
              <w:rPr>
                <w:noProof/>
              </w:rPr>
              <w:t>Ενεργειακή απόδοση ανακαινίσεων κτιρίων ιδιωτικών υπηρεσιών</w:t>
            </w:r>
          </w:p>
        </w:tc>
      </w:tr>
      <w:tr w:rsidR="00154AD2" w14:paraId="340E5320"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56CA9A8" w14:textId="77777777" w:rsidR="00154AD2" w:rsidRDefault="007F6BF3">
            <w:pPr>
              <w:pStyle w:val="P68B1DB1-Normal23"/>
              <w:spacing w:after="0"/>
              <w:jc w:val="center"/>
              <w:rPr>
                <w:rFonts w:eastAsia="Calibri" w:cs="Calibri"/>
                <w:noProof/>
                <w:sz w:val="20"/>
              </w:rPr>
            </w:pPr>
            <w:r>
              <w:rPr>
                <w:noProof/>
              </w:rPr>
              <w:t>14.8</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14B590E3" w14:textId="77777777" w:rsidR="00154AD2" w:rsidRDefault="007F6BF3">
            <w:pPr>
              <w:pStyle w:val="P68B1DB1-Normal23"/>
              <w:spacing w:after="0"/>
              <w:jc w:val="center"/>
              <w:rPr>
                <w:rFonts w:eastAsia="Calibri" w:cs="Calibri"/>
                <w:noProof/>
                <w:sz w:val="20"/>
              </w:rPr>
            </w:pPr>
            <w:r>
              <w:rPr>
                <w:noProof/>
              </w:rPr>
              <w:t>TC-C14-I02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14841BCD" w14:textId="77777777" w:rsidR="00154AD2" w:rsidRDefault="007F6BF3">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2B2B37F4" w14:textId="77777777" w:rsidR="00154AD2" w:rsidRDefault="007F6BF3">
            <w:pPr>
              <w:pStyle w:val="P68B1DB1-Normal23"/>
              <w:spacing w:after="0"/>
              <w:jc w:val="both"/>
              <w:rPr>
                <w:rFonts w:eastAsia="Calibri" w:cs="Calibri"/>
                <w:noProof/>
                <w:sz w:val="20"/>
              </w:rPr>
            </w:pPr>
            <w:r>
              <w:rPr>
                <w:noProof/>
              </w:rPr>
              <w:t>Πρόσθετη δυναμικότητα ενσωμάτωσης νέας εγκατεστημένης ισχύος στο σύστημα ηλεκτρικής ενέργειας</w:t>
            </w:r>
          </w:p>
        </w:tc>
      </w:tr>
      <w:tr w:rsidR="00154AD2" w14:paraId="0BF233CD"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2497B10B" w14:textId="77777777" w:rsidR="00154AD2" w:rsidRDefault="007F6BF3">
            <w:pPr>
              <w:pStyle w:val="P68B1DB1-Normal23"/>
              <w:spacing w:after="0"/>
              <w:jc w:val="center"/>
              <w:rPr>
                <w:rFonts w:eastAsia="Calibri" w:cs="Calibri"/>
                <w:noProof/>
                <w:sz w:val="20"/>
              </w:rPr>
            </w:pPr>
            <w:r>
              <w:rPr>
                <w:noProof/>
              </w:rPr>
              <w:t>17.24</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6A6FB23C" w14:textId="52A4CD72" w:rsidR="00154AD2" w:rsidRDefault="007F6BF3">
            <w:pPr>
              <w:pStyle w:val="P68B1DB1-Normal23"/>
              <w:spacing w:after="0"/>
              <w:jc w:val="center"/>
              <w:rPr>
                <w:rFonts w:eastAsia="Calibri" w:cs="Calibri"/>
                <w:noProof/>
                <w:sz w:val="20"/>
              </w:rPr>
            </w:pPr>
            <w:r>
              <w:rPr>
                <w:noProof/>
              </w:rPr>
              <w:t>TD-C17-r40</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5A158D53" w14:textId="77777777" w:rsidR="00154AD2" w:rsidRDefault="007F6BF3">
            <w:pPr>
              <w:pStyle w:val="P68B1DB1-Normal23"/>
              <w:spacing w:after="0"/>
              <w:jc w:val="center"/>
              <w:rPr>
                <w:rFonts w:eastAsia="Calibri" w:cs="Calibri"/>
                <w:noProof/>
                <w:sz w:val="20"/>
              </w:rPr>
            </w:pPr>
            <w:r>
              <w:rPr>
                <w:noProof/>
              </w:rPr>
              <w:t>M</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07DB87B7" w14:textId="77777777" w:rsidR="00154AD2" w:rsidRDefault="007F6BF3">
            <w:pPr>
              <w:pStyle w:val="P68B1DB1-Normal23"/>
              <w:spacing w:after="0"/>
              <w:jc w:val="both"/>
              <w:rPr>
                <w:rFonts w:eastAsia="Calibri" w:cs="Calibri"/>
                <w:noProof/>
                <w:sz w:val="20"/>
              </w:rPr>
            </w:pPr>
            <w:r>
              <w:rPr>
                <w:noProof/>
              </w:rPr>
              <w:t>Δημοσίευση έκθεσης αξιολόγησης από την U-TAX σχετικά με τα υφιστάμενα φορολογικά πλεονεκτήματα</w:t>
            </w:r>
          </w:p>
        </w:tc>
      </w:tr>
      <w:tr w:rsidR="00154AD2" w14:paraId="0AC27CC9"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5B9FB6A" w14:textId="77777777" w:rsidR="00154AD2" w:rsidRDefault="007F6BF3">
            <w:pPr>
              <w:pStyle w:val="P68B1DB1-Normal23"/>
              <w:spacing w:after="0"/>
              <w:jc w:val="center"/>
              <w:rPr>
                <w:rFonts w:eastAsia="Calibri" w:cs="Calibri"/>
                <w:noProof/>
                <w:sz w:val="20"/>
              </w:rPr>
            </w:pPr>
            <w:r>
              <w:rPr>
                <w:noProof/>
              </w:rPr>
              <w:t>19.16</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2AEEF756" w14:textId="77777777" w:rsidR="00154AD2" w:rsidRDefault="007F6BF3">
            <w:pPr>
              <w:pStyle w:val="P68B1DB1-Normal23"/>
              <w:spacing w:after="0"/>
              <w:jc w:val="center"/>
              <w:rPr>
                <w:rFonts w:eastAsia="Calibri" w:cs="Calibri"/>
                <w:noProof/>
                <w:sz w:val="20"/>
              </w:rPr>
            </w:pPr>
            <w:r>
              <w:rPr>
                <w:noProof/>
              </w:rPr>
              <w:t>TD-C19-i05-RAM</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2C937250" w14:textId="77777777" w:rsidR="00154AD2" w:rsidRDefault="007F6BF3">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2F953943" w14:textId="77777777" w:rsidR="00154AD2" w:rsidRDefault="007F6BF3">
            <w:pPr>
              <w:pStyle w:val="P68B1DB1-Normal23"/>
              <w:spacing w:after="0"/>
              <w:jc w:val="both"/>
              <w:rPr>
                <w:rFonts w:eastAsia="Calibri" w:cs="Calibri"/>
                <w:noProof/>
                <w:sz w:val="20"/>
              </w:rPr>
            </w:pPr>
            <w:r>
              <w:rPr>
                <w:noProof/>
              </w:rPr>
              <w:t>Δημόσιες υπηρεσίες για τους πολίτες, τους επισκέπτες και τις επιχειρήσεις στην ARM</w:t>
            </w:r>
          </w:p>
        </w:tc>
      </w:tr>
      <w:tr w:rsidR="00154AD2" w14:paraId="57E07F0C"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239DC65" w14:textId="77777777" w:rsidR="00154AD2" w:rsidRDefault="007F6BF3">
            <w:pPr>
              <w:pStyle w:val="P68B1DB1-Normal23"/>
              <w:spacing w:after="0"/>
              <w:jc w:val="center"/>
              <w:rPr>
                <w:rFonts w:eastAsia="Calibri" w:cs="Calibri"/>
                <w:noProof/>
                <w:sz w:val="20"/>
              </w:rPr>
            </w:pPr>
            <w:r>
              <w:rPr>
                <w:noProof/>
              </w:rPr>
              <w:t>19.17</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60C9036E" w14:textId="77777777" w:rsidR="00154AD2" w:rsidRDefault="007F6BF3">
            <w:pPr>
              <w:pStyle w:val="P68B1DB1-Normal23"/>
              <w:spacing w:after="0"/>
              <w:jc w:val="center"/>
              <w:rPr>
                <w:rFonts w:eastAsia="Calibri" w:cs="Calibri"/>
                <w:noProof/>
                <w:sz w:val="20"/>
              </w:rPr>
            </w:pPr>
            <w:r>
              <w:rPr>
                <w:noProof/>
              </w:rPr>
              <w:t>TD-C19-i05-RAM</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1A956CA7" w14:textId="77777777" w:rsidR="00154AD2" w:rsidRDefault="007F6BF3">
            <w:pPr>
              <w:pStyle w:val="P68B1DB1-Normal23"/>
              <w:spacing w:after="0"/>
              <w:jc w:val="center"/>
              <w:rPr>
                <w:rFonts w:eastAsia="Calibri" w:cs="Calibri"/>
                <w:noProof/>
                <w:sz w:val="20"/>
              </w:rPr>
            </w:pPr>
            <w:r>
              <w:rPr>
                <w:noProof/>
              </w:rPr>
              <w:t>M</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71760667" w14:textId="77777777" w:rsidR="00154AD2" w:rsidRDefault="007F6BF3">
            <w:pPr>
              <w:pStyle w:val="P68B1DB1-Normal23"/>
              <w:spacing w:after="0"/>
              <w:jc w:val="both"/>
              <w:rPr>
                <w:rFonts w:eastAsia="Calibri" w:cs="Calibri"/>
                <w:noProof/>
                <w:sz w:val="20"/>
              </w:rPr>
            </w:pPr>
            <w:r>
              <w:rPr>
                <w:noProof/>
              </w:rPr>
              <w:t>Εκσυγχρονισμός των υποδομών ζωτικής σημασίας και της αρχιτεκτονικής υπολογιστών των δημόσιων υπηρεσιών στην ARM</w:t>
            </w:r>
          </w:p>
        </w:tc>
      </w:tr>
      <w:tr w:rsidR="00154AD2" w14:paraId="50C6DABF"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5A76E346" w14:textId="77777777" w:rsidR="00154AD2" w:rsidRDefault="007F6BF3">
            <w:pPr>
              <w:pStyle w:val="P68B1DB1-Normal23"/>
              <w:spacing w:after="0"/>
              <w:jc w:val="center"/>
              <w:rPr>
                <w:rFonts w:eastAsia="Calibri" w:cs="Calibri"/>
                <w:noProof/>
              </w:rPr>
            </w:pPr>
            <w:r>
              <w:rPr>
                <w:noProof/>
              </w:rPr>
              <w:t>19.27</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1DF9CE32" w14:textId="77777777" w:rsidR="00154AD2" w:rsidRDefault="007F6BF3">
            <w:pPr>
              <w:pStyle w:val="P68B1DB1-Normal23"/>
              <w:spacing w:after="0"/>
              <w:jc w:val="center"/>
              <w:rPr>
                <w:rFonts w:eastAsia="Calibri" w:cs="Calibri"/>
                <w:noProof/>
              </w:rPr>
            </w:pPr>
            <w:r>
              <w:rPr>
                <w:noProof/>
              </w:rPr>
              <w:t>TD-C19-i01</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13681EDF" w14:textId="77777777" w:rsidR="00154AD2" w:rsidRDefault="007F6BF3">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1C750829" w14:textId="5FBBDF08" w:rsidR="00154AD2" w:rsidRDefault="007F6BF3">
            <w:pPr>
              <w:pStyle w:val="P68B1DB1-Normal23"/>
              <w:spacing w:after="0"/>
              <w:jc w:val="both"/>
              <w:rPr>
                <w:rFonts w:eastAsia="Calibri" w:cs="Calibri"/>
                <w:noProof/>
              </w:rPr>
            </w:pPr>
            <w:r>
              <w:rPr>
                <w:noProof/>
              </w:rPr>
              <w:t>ΑΙΤΗΣΗ ΠΟΛΙΤΗ</w:t>
            </w:r>
          </w:p>
        </w:tc>
      </w:tr>
      <w:tr w:rsidR="00154AD2" w14:paraId="308524A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270544E" w14:textId="77777777" w:rsidR="00154AD2" w:rsidRDefault="007F6BF3">
            <w:pPr>
              <w:pStyle w:val="P68B1DB1-Normal23"/>
              <w:spacing w:after="0"/>
              <w:jc w:val="center"/>
              <w:rPr>
                <w:rFonts w:eastAsia="Calibri" w:cs="Calibri"/>
                <w:noProof/>
                <w:sz w:val="20"/>
              </w:rPr>
            </w:pPr>
            <w:r>
              <w:rPr>
                <w:noProof/>
              </w:rPr>
              <w:t>19.34</w:t>
            </w:r>
          </w:p>
        </w:tc>
        <w:tc>
          <w:tcPr>
            <w:tcW w:w="1760" w:type="dxa"/>
            <w:tcBorders>
              <w:top w:val="nil"/>
              <w:left w:val="nil"/>
              <w:bottom w:val="single" w:sz="4" w:space="0" w:color="auto"/>
              <w:right w:val="single" w:sz="4" w:space="0" w:color="auto"/>
            </w:tcBorders>
            <w:shd w:val="clear" w:color="auto" w:fill="C4EFCE"/>
            <w:vAlign w:val="center"/>
            <w:hideMark/>
          </w:tcPr>
          <w:p w14:paraId="5A5F2BD8" w14:textId="77777777" w:rsidR="00154AD2" w:rsidRDefault="007F6BF3">
            <w:pPr>
              <w:pStyle w:val="P68B1DB1-Normal23"/>
              <w:spacing w:after="0"/>
              <w:jc w:val="center"/>
              <w:rPr>
                <w:rFonts w:eastAsia="Calibri" w:cs="Calibri"/>
                <w:noProof/>
                <w:sz w:val="20"/>
              </w:rPr>
            </w:pPr>
            <w:r>
              <w:rPr>
                <w:noProof/>
              </w:rPr>
              <w:t>TD-C19-i08</w:t>
            </w:r>
          </w:p>
        </w:tc>
        <w:tc>
          <w:tcPr>
            <w:tcW w:w="1520" w:type="dxa"/>
            <w:tcBorders>
              <w:top w:val="nil"/>
              <w:left w:val="nil"/>
              <w:bottom w:val="single" w:sz="4" w:space="0" w:color="auto"/>
              <w:right w:val="single" w:sz="4" w:space="0" w:color="auto"/>
            </w:tcBorders>
            <w:shd w:val="clear" w:color="auto" w:fill="C4EFCE"/>
            <w:vAlign w:val="center"/>
            <w:hideMark/>
          </w:tcPr>
          <w:p w14:paraId="1021F2E2" w14:textId="77777777" w:rsidR="00154AD2" w:rsidRDefault="007F6BF3">
            <w:pPr>
              <w:pStyle w:val="P68B1DB1-Normal23"/>
              <w:spacing w:after="0"/>
              <w:jc w:val="center"/>
              <w:rPr>
                <w:rFonts w:eastAsia="Calibri" w:cs="Calibri"/>
                <w:noProof/>
                <w:sz w:val="20"/>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16F93C9" w14:textId="77777777" w:rsidR="00154AD2" w:rsidRDefault="007F6BF3">
            <w:pPr>
              <w:pStyle w:val="P68B1DB1-Normal23"/>
              <w:spacing w:after="0"/>
              <w:jc w:val="both"/>
              <w:rPr>
                <w:rFonts w:eastAsia="Calibri" w:cs="Calibri"/>
                <w:noProof/>
                <w:sz w:val="20"/>
              </w:rPr>
            </w:pPr>
            <w:r>
              <w:rPr>
                <w:noProof/>
              </w:rPr>
              <w:t>Έναρξη λειτουργίας της δικτυακής πύλης για τα έξυπνα εδάφη</w:t>
            </w:r>
          </w:p>
        </w:tc>
      </w:tr>
      <w:tr w:rsidR="00154AD2" w14:paraId="32DC818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EDC72C2" w14:textId="77777777" w:rsidR="00154AD2" w:rsidRDefault="007F6BF3">
            <w:pPr>
              <w:pStyle w:val="P68B1DB1-Normal23"/>
              <w:spacing w:after="0"/>
              <w:jc w:val="center"/>
              <w:rPr>
                <w:rFonts w:eastAsia="Calibri" w:cs="Calibri"/>
                <w:noProof/>
                <w:sz w:val="20"/>
              </w:rPr>
            </w:pPr>
            <w:r>
              <w:rPr>
                <w:noProof/>
              </w:rPr>
              <w:t>21.8</w:t>
            </w:r>
          </w:p>
        </w:tc>
        <w:tc>
          <w:tcPr>
            <w:tcW w:w="1760" w:type="dxa"/>
            <w:tcBorders>
              <w:top w:val="nil"/>
              <w:left w:val="nil"/>
              <w:bottom w:val="single" w:sz="4" w:space="0" w:color="auto"/>
              <w:right w:val="single" w:sz="4" w:space="0" w:color="auto"/>
            </w:tcBorders>
            <w:shd w:val="clear" w:color="auto" w:fill="C4EFCE"/>
            <w:vAlign w:val="center"/>
            <w:hideMark/>
          </w:tcPr>
          <w:p w14:paraId="6A2B827C" w14:textId="77777777" w:rsidR="00154AD2" w:rsidRDefault="007F6BF3">
            <w:pPr>
              <w:pStyle w:val="P68B1DB1-Normal23"/>
              <w:spacing w:after="0"/>
              <w:jc w:val="center"/>
              <w:rPr>
                <w:rFonts w:eastAsia="Calibri" w:cs="Calibri"/>
                <w:noProof/>
                <w:sz w:val="20"/>
              </w:rPr>
            </w:pPr>
            <w:r>
              <w:rPr>
                <w:noProof/>
              </w:rPr>
              <w:t>RP-C21-r43</w:t>
            </w:r>
          </w:p>
        </w:tc>
        <w:tc>
          <w:tcPr>
            <w:tcW w:w="1520" w:type="dxa"/>
            <w:tcBorders>
              <w:top w:val="nil"/>
              <w:left w:val="nil"/>
              <w:bottom w:val="single" w:sz="4" w:space="0" w:color="auto"/>
              <w:right w:val="single" w:sz="4" w:space="0" w:color="auto"/>
            </w:tcBorders>
            <w:shd w:val="clear" w:color="auto" w:fill="C4EFCE"/>
            <w:vAlign w:val="center"/>
            <w:hideMark/>
          </w:tcPr>
          <w:p w14:paraId="2239B6F9" w14:textId="77777777" w:rsidR="00154AD2" w:rsidRDefault="007F6BF3">
            <w:pPr>
              <w:pStyle w:val="P68B1DB1-Normal23"/>
              <w:spacing w:after="0"/>
              <w:jc w:val="center"/>
              <w:rPr>
                <w:rFonts w:eastAsia="Calibri" w:cs="Calibri"/>
                <w:noProof/>
                <w:sz w:val="20"/>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B2D45D3" w14:textId="77777777" w:rsidR="00154AD2" w:rsidRDefault="007F6BF3">
            <w:pPr>
              <w:pStyle w:val="P68B1DB1-Normal23"/>
              <w:spacing w:after="0"/>
              <w:jc w:val="both"/>
              <w:rPr>
                <w:rFonts w:eastAsia="Calibri" w:cs="Calibri"/>
                <w:noProof/>
                <w:sz w:val="20"/>
              </w:rPr>
            </w:pPr>
            <w:r>
              <w:rPr>
                <w:noProof/>
              </w:rPr>
              <w:t>Δρομολόγηση του χρηματοδοτικού μέσου για την αντιμετώπιση της ενεργειακής φτώχειας</w:t>
            </w:r>
          </w:p>
        </w:tc>
      </w:tr>
      <w:tr w:rsidR="00154AD2" w14:paraId="5FD1D26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062C627" w14:textId="77777777" w:rsidR="00154AD2" w:rsidRDefault="007F6BF3">
            <w:pPr>
              <w:pStyle w:val="P68B1DB1-Normal23"/>
              <w:spacing w:after="0"/>
              <w:jc w:val="center"/>
              <w:rPr>
                <w:rFonts w:eastAsia="Calibri" w:cs="Calibri"/>
                <w:noProof/>
                <w:sz w:val="20"/>
              </w:rPr>
            </w:pPr>
            <w:r>
              <w:rPr>
                <w:noProof/>
              </w:rPr>
              <w:t>21.11</w:t>
            </w:r>
          </w:p>
        </w:tc>
        <w:tc>
          <w:tcPr>
            <w:tcW w:w="1760" w:type="dxa"/>
            <w:tcBorders>
              <w:top w:val="nil"/>
              <w:left w:val="nil"/>
              <w:bottom w:val="single" w:sz="4" w:space="0" w:color="auto"/>
              <w:right w:val="single" w:sz="4" w:space="0" w:color="auto"/>
            </w:tcBorders>
            <w:shd w:val="clear" w:color="auto" w:fill="C4EFCE"/>
            <w:vAlign w:val="center"/>
            <w:hideMark/>
          </w:tcPr>
          <w:p w14:paraId="7858AE64" w14:textId="77777777" w:rsidR="00154AD2" w:rsidRDefault="007F6BF3">
            <w:pPr>
              <w:pStyle w:val="P68B1DB1-Normal23"/>
              <w:spacing w:after="0"/>
              <w:jc w:val="center"/>
              <w:rPr>
                <w:rFonts w:eastAsia="Calibri" w:cs="Calibri"/>
                <w:noProof/>
                <w:sz w:val="20"/>
              </w:rPr>
            </w:pPr>
            <w:r>
              <w:rPr>
                <w:noProof/>
              </w:rPr>
              <w:t>RP-C21-r44</w:t>
            </w:r>
          </w:p>
        </w:tc>
        <w:tc>
          <w:tcPr>
            <w:tcW w:w="1520" w:type="dxa"/>
            <w:tcBorders>
              <w:top w:val="nil"/>
              <w:left w:val="nil"/>
              <w:bottom w:val="single" w:sz="4" w:space="0" w:color="auto"/>
              <w:right w:val="single" w:sz="4" w:space="0" w:color="auto"/>
            </w:tcBorders>
            <w:shd w:val="clear" w:color="auto" w:fill="C4EFCE"/>
            <w:vAlign w:val="center"/>
            <w:hideMark/>
          </w:tcPr>
          <w:p w14:paraId="7D272590" w14:textId="77777777" w:rsidR="00154AD2" w:rsidRDefault="007F6BF3">
            <w:pPr>
              <w:pStyle w:val="P68B1DB1-Normal23"/>
              <w:spacing w:after="0"/>
              <w:jc w:val="center"/>
              <w:rPr>
                <w:rFonts w:eastAsia="Calibri" w:cs="Calibri"/>
                <w:noProof/>
                <w:sz w:val="20"/>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1D91399" w14:textId="77777777" w:rsidR="00154AD2" w:rsidRDefault="007F6BF3">
            <w:pPr>
              <w:pStyle w:val="P68B1DB1-Normal23"/>
              <w:spacing w:after="0"/>
              <w:jc w:val="both"/>
              <w:rPr>
                <w:rFonts w:eastAsia="Calibri" w:cs="Calibri"/>
                <w:noProof/>
                <w:sz w:val="20"/>
              </w:rPr>
            </w:pPr>
            <w:r>
              <w:rPr>
                <w:noProof/>
              </w:rPr>
              <w:t>Έναρξη λειτουργίας του Espaços Cidadão Energia</w:t>
            </w:r>
          </w:p>
        </w:tc>
      </w:tr>
      <w:tr w:rsidR="00154AD2" w14:paraId="47B7321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F80F8D5" w14:textId="77777777" w:rsidR="00154AD2" w:rsidRDefault="007F6BF3">
            <w:pPr>
              <w:pStyle w:val="P68B1DB1-Normal23"/>
              <w:spacing w:after="0"/>
              <w:jc w:val="center"/>
              <w:rPr>
                <w:rFonts w:eastAsia="Calibri" w:cs="Calibri"/>
                <w:noProof/>
              </w:rPr>
            </w:pPr>
            <w:r>
              <w:rPr>
                <w:noProof/>
              </w:rPr>
              <w:t>21.31</w:t>
            </w:r>
          </w:p>
        </w:tc>
        <w:tc>
          <w:tcPr>
            <w:tcW w:w="1760" w:type="dxa"/>
            <w:tcBorders>
              <w:top w:val="nil"/>
              <w:left w:val="nil"/>
              <w:bottom w:val="single" w:sz="4" w:space="0" w:color="auto"/>
              <w:right w:val="single" w:sz="4" w:space="0" w:color="auto"/>
            </w:tcBorders>
            <w:shd w:val="clear" w:color="auto" w:fill="C4EFCE"/>
            <w:vAlign w:val="center"/>
            <w:hideMark/>
          </w:tcPr>
          <w:p w14:paraId="61D6C730" w14:textId="5CCAB5AE" w:rsidR="00154AD2" w:rsidRDefault="007F6BF3">
            <w:pPr>
              <w:pStyle w:val="P68B1DB1-Normal23"/>
              <w:spacing w:after="0"/>
              <w:jc w:val="center"/>
              <w:rPr>
                <w:rFonts w:eastAsia="Calibri" w:cs="Calibri"/>
                <w:noProof/>
              </w:rPr>
            </w:pPr>
            <w:r>
              <w:rPr>
                <w:noProof/>
              </w:rPr>
              <w:t>RP-C21-i9</w:t>
            </w:r>
          </w:p>
        </w:tc>
        <w:tc>
          <w:tcPr>
            <w:tcW w:w="1520" w:type="dxa"/>
            <w:tcBorders>
              <w:top w:val="nil"/>
              <w:left w:val="nil"/>
              <w:bottom w:val="single" w:sz="4" w:space="0" w:color="auto"/>
              <w:right w:val="single" w:sz="4" w:space="0" w:color="auto"/>
            </w:tcBorders>
            <w:shd w:val="clear" w:color="auto" w:fill="C4EFCE"/>
            <w:vAlign w:val="center"/>
            <w:hideMark/>
          </w:tcPr>
          <w:p w14:paraId="07A4650B"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8C4F9FD" w14:textId="77777777" w:rsidR="00154AD2" w:rsidRDefault="007F6BF3">
            <w:pPr>
              <w:pStyle w:val="P68B1DB1-Normal23"/>
              <w:spacing w:after="0"/>
              <w:jc w:val="both"/>
              <w:rPr>
                <w:rFonts w:eastAsia="Calibri" w:cs="Calibri"/>
                <w:noProof/>
              </w:rPr>
            </w:pPr>
            <w:r>
              <w:rPr>
                <w:noProof/>
              </w:rPr>
              <w:t>Έναρξη λειτουργίας των ενοτήτων της δεύτερης φάσης της ψηφιακής πλατφόρμας μίας στάσης για την αδειοδότηση και την παρακολούθηση έργων ανανεώσιμης ενέργειας και ολοκλήρωση της διαδικασίας αποϋλοποίησης των υφιστάμενων εγγράφων αδειοδότησης.</w:t>
            </w:r>
          </w:p>
        </w:tc>
      </w:tr>
      <w:tr w:rsidR="00154AD2" w14:paraId="769B3C1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A091AEE" w14:textId="77777777" w:rsidR="00154AD2" w:rsidRDefault="007F6BF3">
            <w:pPr>
              <w:pStyle w:val="P68B1DB1-Normal8"/>
              <w:spacing w:after="0" w:line="240" w:lineRule="auto"/>
              <w:jc w:val="center"/>
              <w:rPr>
                <w:rFonts w:eastAsia="Times New Roman" w:cs="Calibri"/>
                <w:noProof/>
              </w:rPr>
            </w:pPr>
            <w:r>
              <w:rPr>
                <w:noProof/>
              </w:rPr>
              <w:t> </w:t>
            </w:r>
          </w:p>
        </w:tc>
        <w:tc>
          <w:tcPr>
            <w:tcW w:w="1760" w:type="dxa"/>
            <w:tcBorders>
              <w:top w:val="nil"/>
              <w:left w:val="nil"/>
              <w:bottom w:val="single" w:sz="4" w:space="0" w:color="auto"/>
              <w:right w:val="single" w:sz="4" w:space="0" w:color="auto"/>
            </w:tcBorders>
            <w:shd w:val="clear" w:color="auto" w:fill="C4EFCE"/>
            <w:vAlign w:val="center"/>
            <w:hideMark/>
          </w:tcPr>
          <w:p w14:paraId="2A5B0B5B" w14:textId="77777777" w:rsidR="00154AD2" w:rsidRDefault="007F6BF3">
            <w:pPr>
              <w:pStyle w:val="P68B1DB1-Normal8"/>
              <w:spacing w:after="0" w:line="240" w:lineRule="auto"/>
              <w:jc w:val="center"/>
              <w:rPr>
                <w:rFonts w:eastAsia="Times New Roman" w:cs="Calibri"/>
                <w:noProof/>
              </w:rPr>
            </w:pPr>
            <w:r>
              <w:rPr>
                <w:noProof/>
              </w:rPr>
              <w:t> </w:t>
            </w:r>
          </w:p>
        </w:tc>
        <w:tc>
          <w:tcPr>
            <w:tcW w:w="1520" w:type="dxa"/>
            <w:tcBorders>
              <w:top w:val="nil"/>
              <w:left w:val="nil"/>
              <w:bottom w:val="single" w:sz="4" w:space="0" w:color="auto"/>
              <w:right w:val="single" w:sz="4" w:space="0" w:color="auto"/>
            </w:tcBorders>
            <w:shd w:val="clear" w:color="auto" w:fill="C4EFCE"/>
            <w:vAlign w:val="center"/>
            <w:hideMark/>
          </w:tcPr>
          <w:p w14:paraId="01CF754F" w14:textId="77777777" w:rsidR="00154AD2" w:rsidRDefault="007F6BF3">
            <w:pPr>
              <w:pStyle w:val="P68B1DB1-Normal24"/>
              <w:spacing w:after="0" w:line="240" w:lineRule="auto"/>
              <w:jc w:val="center"/>
              <w:rPr>
                <w:rFonts w:eastAsia="Times New Roman" w:cs="Calibri"/>
                <w:noProof/>
              </w:rPr>
            </w:pPr>
            <w:r>
              <w:rPr>
                <w:noProof/>
              </w:rPr>
              <w:t>Ποσό δόσης</w:t>
            </w:r>
          </w:p>
        </w:tc>
        <w:tc>
          <w:tcPr>
            <w:tcW w:w="5060" w:type="dxa"/>
            <w:tcBorders>
              <w:top w:val="nil"/>
              <w:left w:val="nil"/>
              <w:bottom w:val="single" w:sz="4" w:space="0" w:color="auto"/>
              <w:right w:val="single" w:sz="4" w:space="0" w:color="auto"/>
            </w:tcBorders>
            <w:shd w:val="clear" w:color="auto" w:fill="C4EFCE"/>
            <w:vAlign w:val="center"/>
            <w:hideMark/>
          </w:tcPr>
          <w:p w14:paraId="0ED4039C" w14:textId="7BBDA010" w:rsidR="00154AD2" w:rsidRDefault="007F6BF3">
            <w:pPr>
              <w:pStyle w:val="P68B1DB1-Normal25"/>
              <w:spacing w:after="0" w:line="240" w:lineRule="auto"/>
              <w:jc w:val="center"/>
              <w:rPr>
                <w:rFonts w:cs="Calibri"/>
                <w:noProof/>
              </w:rPr>
            </w:pPr>
            <w:r>
              <w:rPr>
                <w:noProof/>
              </w:rPr>
              <w:t xml:space="preserve">1 056 518 233 EUR </w:t>
            </w:r>
          </w:p>
        </w:tc>
      </w:tr>
    </w:tbl>
    <w:p w14:paraId="3C5CDC41" w14:textId="77777777" w:rsidR="00154AD2" w:rsidRDefault="00154AD2">
      <w:pPr>
        <w:keepNext/>
        <w:spacing w:before="40" w:after="160" w:line="259" w:lineRule="auto"/>
        <w:contextualSpacing/>
        <w:jc w:val="both"/>
        <w:rPr>
          <w:rFonts w:ascii="Times New Roman" w:eastAsiaTheme="minorEastAsia" w:hAnsi="Times New Roman" w:cs="Times New Roman"/>
          <w:noProof/>
          <w:sz w:val="24"/>
        </w:rPr>
      </w:pPr>
    </w:p>
    <w:p w14:paraId="517A6F5F" w14:textId="77777777" w:rsidR="00154AD2" w:rsidRDefault="007F6BF3">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Ένατη αίτηση πληρωμής (μη επιστρεπτέα στήριξη): </w:t>
      </w:r>
    </w:p>
    <w:p w14:paraId="610F6D78" w14:textId="77777777" w:rsidR="00154AD2" w:rsidRDefault="00154AD2">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Look w:val="04A0" w:firstRow="1" w:lastRow="0" w:firstColumn="1" w:lastColumn="0" w:noHBand="0" w:noVBand="1"/>
      </w:tblPr>
      <w:tblGrid>
        <w:gridCol w:w="1119"/>
        <w:gridCol w:w="1691"/>
        <w:gridCol w:w="1670"/>
        <w:gridCol w:w="5060"/>
      </w:tblGrid>
      <w:tr w:rsidR="00154AD2" w14:paraId="0D25D50E" w14:textId="77777777">
        <w:trPr>
          <w:trHeight w:val="509"/>
          <w:tblHeader/>
        </w:trPr>
        <w:tc>
          <w:tcPr>
            <w:tcW w:w="1200" w:type="dxa"/>
            <w:vMerge w:val="restart"/>
            <w:tcBorders>
              <w:top w:val="single" w:sz="4" w:space="0" w:color="auto"/>
              <w:left w:val="single" w:sz="4" w:space="0" w:color="auto"/>
              <w:right w:val="single" w:sz="4" w:space="0" w:color="auto"/>
            </w:tcBorders>
            <w:shd w:val="clear" w:color="auto" w:fill="BDD7EE"/>
            <w:vAlign w:val="center"/>
            <w:hideMark/>
          </w:tcPr>
          <w:p w14:paraId="27E78C42" w14:textId="77777777" w:rsidR="00154AD2" w:rsidRDefault="007F6BF3">
            <w:pPr>
              <w:pStyle w:val="P68B1DB1-Normal22"/>
              <w:spacing w:after="0" w:line="240" w:lineRule="auto"/>
              <w:jc w:val="center"/>
              <w:rPr>
                <w:rFonts w:eastAsia="Times New Roman" w:cs="Times New Roman"/>
                <w:noProof/>
              </w:rPr>
            </w:pPr>
            <w:r>
              <w:rPr>
                <w:noProof/>
              </w:rPr>
              <w:t>Αύξων αριθμός</w:t>
            </w:r>
          </w:p>
        </w:tc>
        <w:tc>
          <w:tcPr>
            <w:tcW w:w="1760" w:type="dxa"/>
            <w:vMerge w:val="restart"/>
            <w:tcBorders>
              <w:top w:val="single" w:sz="4" w:space="0" w:color="auto"/>
              <w:left w:val="single" w:sz="4" w:space="0" w:color="auto"/>
              <w:right w:val="single" w:sz="4" w:space="0" w:color="auto"/>
            </w:tcBorders>
            <w:shd w:val="clear" w:color="auto" w:fill="BDD7EE"/>
            <w:vAlign w:val="center"/>
            <w:hideMark/>
          </w:tcPr>
          <w:p w14:paraId="78FC7685" w14:textId="77777777" w:rsidR="00154AD2" w:rsidRDefault="007F6BF3">
            <w:pPr>
              <w:pStyle w:val="P68B1DB1-Normal22"/>
              <w:spacing w:after="0" w:line="240" w:lineRule="auto"/>
              <w:jc w:val="center"/>
              <w:rPr>
                <w:rFonts w:eastAsia="Times New Roman" w:cs="Times New Roman"/>
                <w:noProof/>
              </w:rPr>
            </w:pPr>
            <w:r>
              <w:rPr>
                <w:noProof/>
              </w:rPr>
              <w:t>Σχετικό μέτρο (μεταρρύθμιση ή επένδυση)</w:t>
            </w:r>
          </w:p>
        </w:tc>
        <w:tc>
          <w:tcPr>
            <w:tcW w:w="1520" w:type="dxa"/>
            <w:vMerge w:val="restart"/>
            <w:tcBorders>
              <w:top w:val="single" w:sz="4" w:space="0" w:color="auto"/>
              <w:left w:val="single" w:sz="4" w:space="0" w:color="auto"/>
              <w:right w:val="single" w:sz="4" w:space="0" w:color="auto"/>
            </w:tcBorders>
            <w:shd w:val="clear" w:color="auto" w:fill="BDD7EE"/>
            <w:vAlign w:val="center"/>
            <w:hideMark/>
          </w:tcPr>
          <w:p w14:paraId="085BD584" w14:textId="77777777" w:rsidR="00154AD2" w:rsidRDefault="007F6BF3">
            <w:pPr>
              <w:pStyle w:val="P68B1DB1-Normal22"/>
              <w:spacing w:after="0" w:line="240" w:lineRule="auto"/>
              <w:jc w:val="center"/>
              <w:rPr>
                <w:rFonts w:eastAsia="Times New Roman" w:cs="Times New Roman"/>
                <w:noProof/>
              </w:rPr>
            </w:pPr>
            <w:r>
              <w:rPr>
                <w:noProof/>
              </w:rPr>
              <w:t>Ορόσημο/Στόχος</w:t>
            </w:r>
          </w:p>
        </w:tc>
        <w:tc>
          <w:tcPr>
            <w:tcW w:w="50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61ACC8B" w14:textId="77777777" w:rsidR="00154AD2" w:rsidRDefault="007F6BF3">
            <w:pPr>
              <w:pStyle w:val="P68B1DB1-Normal22"/>
              <w:spacing w:after="0" w:line="240" w:lineRule="auto"/>
              <w:jc w:val="center"/>
              <w:rPr>
                <w:rFonts w:eastAsia="Times New Roman" w:cs="Times New Roman"/>
                <w:noProof/>
              </w:rPr>
            </w:pPr>
            <w:r>
              <w:rPr>
                <w:noProof/>
              </w:rPr>
              <w:t>Όνομα</w:t>
            </w:r>
          </w:p>
        </w:tc>
      </w:tr>
      <w:tr w:rsidR="00154AD2" w14:paraId="1782CE3F" w14:textId="77777777">
        <w:trPr>
          <w:trHeight w:val="509"/>
          <w:tblHead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F6B246B" w14:textId="77777777" w:rsidR="00154AD2" w:rsidRDefault="00154AD2">
            <w:pPr>
              <w:spacing w:after="0" w:line="240" w:lineRule="auto"/>
              <w:rPr>
                <w:rFonts w:ascii="Times New Roman" w:eastAsia="Times New Roman" w:hAnsi="Times New Roman" w:cs="Times New Roman"/>
                <w:b/>
                <w:noProof/>
                <w:sz w:val="20"/>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C610EC3" w14:textId="77777777" w:rsidR="00154AD2" w:rsidRDefault="00154AD2">
            <w:pPr>
              <w:spacing w:after="0" w:line="240" w:lineRule="auto"/>
              <w:rPr>
                <w:rFonts w:ascii="Times New Roman" w:eastAsia="Times New Roman" w:hAnsi="Times New Roman" w:cs="Times New Roman"/>
                <w:b/>
                <w:noProof/>
                <w:sz w:val="20"/>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42802C47" w14:textId="77777777" w:rsidR="00154AD2" w:rsidRDefault="00154AD2">
            <w:pPr>
              <w:spacing w:after="0" w:line="240" w:lineRule="auto"/>
              <w:rPr>
                <w:rFonts w:ascii="Times New Roman" w:eastAsia="Times New Roman" w:hAnsi="Times New Roman" w:cs="Times New Roman"/>
                <w:b/>
                <w:noProof/>
                <w:sz w:val="20"/>
              </w:rPr>
            </w:pPr>
          </w:p>
        </w:tc>
        <w:tc>
          <w:tcPr>
            <w:tcW w:w="5060" w:type="dxa"/>
            <w:vMerge/>
            <w:tcBorders>
              <w:top w:val="single" w:sz="4" w:space="0" w:color="auto"/>
              <w:left w:val="single" w:sz="4" w:space="0" w:color="auto"/>
              <w:bottom w:val="single" w:sz="4" w:space="0" w:color="auto"/>
              <w:right w:val="single" w:sz="4" w:space="0" w:color="auto"/>
            </w:tcBorders>
            <w:vAlign w:val="center"/>
            <w:hideMark/>
          </w:tcPr>
          <w:p w14:paraId="4A2F66AD" w14:textId="77777777" w:rsidR="00154AD2" w:rsidRDefault="00154AD2">
            <w:pPr>
              <w:spacing w:after="0" w:line="240" w:lineRule="auto"/>
              <w:rPr>
                <w:rFonts w:ascii="Times New Roman" w:eastAsia="Times New Roman" w:hAnsi="Times New Roman" w:cs="Times New Roman"/>
                <w:b/>
                <w:noProof/>
                <w:sz w:val="20"/>
              </w:rPr>
            </w:pPr>
          </w:p>
        </w:tc>
      </w:tr>
      <w:tr w:rsidR="00154AD2" w14:paraId="22F761CE"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02F00BC" w14:textId="77777777" w:rsidR="00154AD2" w:rsidRDefault="007F6BF3">
            <w:pPr>
              <w:pStyle w:val="P68B1DB1-Normal23"/>
              <w:spacing w:after="0"/>
              <w:jc w:val="center"/>
              <w:rPr>
                <w:rFonts w:eastAsia="Calibri" w:cs="Calibri"/>
                <w:noProof/>
              </w:rPr>
            </w:pPr>
            <w:r>
              <w:rPr>
                <w:noProof/>
              </w:rPr>
              <w:t>1.9</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763BE876" w14:textId="77777777" w:rsidR="00154AD2" w:rsidRDefault="007F6BF3">
            <w:pPr>
              <w:pStyle w:val="P68B1DB1-Normal23"/>
              <w:spacing w:after="0"/>
              <w:jc w:val="center"/>
              <w:rPr>
                <w:rFonts w:eastAsia="Calibri" w:cs="Calibri"/>
                <w:noProof/>
              </w:rPr>
            </w:pPr>
            <w:r>
              <w:rPr>
                <w:noProof/>
              </w:rPr>
              <w:t>RE-C01-r03</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7351F199" w14:textId="77777777" w:rsidR="00154AD2" w:rsidRDefault="007F6BF3">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29AE68CE" w14:textId="77777777" w:rsidR="00154AD2" w:rsidRDefault="007F6BF3">
            <w:pPr>
              <w:pStyle w:val="P68B1DB1-Normal23"/>
              <w:spacing w:after="0"/>
              <w:jc w:val="both"/>
              <w:rPr>
                <w:rFonts w:eastAsia="Calibri" w:cs="Calibri"/>
                <w:noProof/>
              </w:rPr>
            </w:pPr>
            <w:r>
              <w:rPr>
                <w:noProof/>
              </w:rPr>
              <w:t>Δημιουργία νέων Ολοκληρωμένων Κέντρων Ευθύνης στα Νοσοκομεία του Εθνικού Συστήματος Υγείας</w:t>
            </w:r>
          </w:p>
        </w:tc>
      </w:tr>
      <w:tr w:rsidR="00154AD2" w14:paraId="5CFF73B6"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076FF3CE" w14:textId="77777777" w:rsidR="00154AD2" w:rsidRDefault="007F6BF3">
            <w:pPr>
              <w:pStyle w:val="P68B1DB1-Normal23"/>
              <w:spacing w:after="0"/>
              <w:jc w:val="center"/>
              <w:rPr>
                <w:rFonts w:eastAsia="Calibri" w:cs="Calibri"/>
                <w:noProof/>
              </w:rPr>
            </w:pPr>
            <w:r>
              <w:rPr>
                <w:noProof/>
              </w:rPr>
              <w:t>1.21</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6CE8E2C0" w14:textId="77777777" w:rsidR="00154AD2" w:rsidRDefault="007F6BF3">
            <w:pPr>
              <w:pStyle w:val="P68B1DB1-Normal23"/>
              <w:spacing w:after="0"/>
              <w:jc w:val="center"/>
              <w:rPr>
                <w:rFonts w:eastAsia="Calibri" w:cs="Calibri"/>
                <w:noProof/>
              </w:rPr>
            </w:pPr>
            <w:r>
              <w:rPr>
                <w:noProof/>
              </w:rPr>
              <w:t>RE-C01-i02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3D4FD371" w14:textId="77777777" w:rsidR="00154AD2" w:rsidRDefault="007F6BF3">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3A6F5AE9" w14:textId="77777777" w:rsidR="00154AD2" w:rsidRDefault="007F6BF3">
            <w:pPr>
              <w:pStyle w:val="P68B1DB1-Normal23"/>
              <w:spacing w:after="0"/>
              <w:jc w:val="both"/>
              <w:rPr>
                <w:rFonts w:eastAsia="Calibri" w:cs="Calibri"/>
                <w:noProof/>
              </w:rPr>
            </w:pPr>
            <w:r>
              <w:rPr>
                <w:noProof/>
              </w:rPr>
              <w:t>Ενίσχυση της ικανότητας αντίδρασης των εθνικών δικτύων ολοκληρωμένων υπηρεσιών συνεχούς περίθαλψης και παρηγορητικής περίθαλψης στην ενδονοσοκομειακή και εξωνοσοκομειακή περίθαλψη</w:t>
            </w:r>
          </w:p>
        </w:tc>
      </w:tr>
      <w:tr w:rsidR="00154AD2" w14:paraId="1E600A44"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F06E981" w14:textId="77777777" w:rsidR="00154AD2" w:rsidRDefault="007F6BF3">
            <w:pPr>
              <w:pStyle w:val="P68B1DB1-Normal23"/>
              <w:spacing w:after="0"/>
              <w:jc w:val="center"/>
              <w:rPr>
                <w:rFonts w:eastAsia="Calibri" w:cs="Calibri"/>
                <w:noProof/>
              </w:rPr>
            </w:pPr>
            <w:r>
              <w:rPr>
                <w:noProof/>
              </w:rPr>
              <w:t>1.23</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5738D247" w14:textId="77777777" w:rsidR="00154AD2" w:rsidRDefault="007F6BF3">
            <w:pPr>
              <w:pStyle w:val="P68B1DB1-Normal23"/>
              <w:spacing w:after="0"/>
              <w:jc w:val="center"/>
              <w:rPr>
                <w:rFonts w:eastAsia="Calibri" w:cs="Calibri"/>
                <w:noProof/>
              </w:rPr>
            </w:pPr>
            <w:r>
              <w:rPr>
                <w:noProof/>
              </w:rPr>
              <w:t>RE-C01-i03</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39E7D485" w14:textId="77777777" w:rsidR="00154AD2" w:rsidRDefault="007F6BF3">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0DD0CD48" w14:textId="77777777" w:rsidR="00154AD2" w:rsidRDefault="007F6BF3">
            <w:pPr>
              <w:pStyle w:val="P68B1DB1-Normal23"/>
              <w:spacing w:after="0"/>
              <w:jc w:val="both"/>
              <w:rPr>
                <w:rFonts w:eastAsia="Calibri" w:cs="Calibri"/>
                <w:noProof/>
              </w:rPr>
            </w:pPr>
            <w:r>
              <w:rPr>
                <w:noProof/>
              </w:rPr>
              <w:t>Ανακαίνιση μονάδων και εξοπλισμού ιατροδικαστικής ψυχιατρικής</w:t>
            </w:r>
          </w:p>
        </w:tc>
      </w:tr>
      <w:tr w:rsidR="00154AD2" w14:paraId="5216BA78"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57694A3" w14:textId="77777777" w:rsidR="00154AD2" w:rsidRDefault="007F6BF3">
            <w:pPr>
              <w:pStyle w:val="P68B1DB1-Normal23"/>
              <w:spacing w:after="0"/>
              <w:jc w:val="center"/>
              <w:rPr>
                <w:rFonts w:eastAsia="Calibri" w:cs="Calibri"/>
                <w:noProof/>
              </w:rPr>
            </w:pPr>
            <w:r>
              <w:rPr>
                <w:noProof/>
              </w:rPr>
              <w:t>1.25</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11312B6D" w14:textId="77777777" w:rsidR="00154AD2" w:rsidRDefault="007F6BF3">
            <w:pPr>
              <w:pStyle w:val="P68B1DB1-Normal23"/>
              <w:spacing w:after="0"/>
              <w:jc w:val="center"/>
              <w:rPr>
                <w:rFonts w:eastAsia="Calibri" w:cs="Calibri"/>
                <w:noProof/>
              </w:rPr>
            </w:pPr>
            <w:r>
              <w:rPr>
                <w:noProof/>
              </w:rPr>
              <w:t>RE-C01-i03</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265BB1E4" w14:textId="77777777" w:rsidR="00154AD2" w:rsidRDefault="007F6BF3">
            <w:pPr>
              <w:pStyle w:val="P68B1DB1-Normal23"/>
              <w:spacing w:after="0"/>
              <w:jc w:val="center"/>
              <w:rPr>
                <w:rFonts w:eastAsia="Calibri" w:cs="Calibri"/>
                <w:noProof/>
              </w:rPr>
            </w:pPr>
            <w:r>
              <w:rPr>
                <w:noProof/>
              </w:rPr>
              <w:t>M</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26C441A2" w14:textId="77777777" w:rsidR="00154AD2" w:rsidRDefault="007F6BF3">
            <w:pPr>
              <w:pStyle w:val="P68B1DB1-Normal23"/>
              <w:spacing w:after="0"/>
              <w:jc w:val="both"/>
              <w:rPr>
                <w:rFonts w:eastAsia="Calibri" w:cs="Calibri"/>
                <w:noProof/>
              </w:rPr>
            </w:pPr>
            <w:r>
              <w:rPr>
                <w:noProof/>
              </w:rPr>
              <w:t>Ολοκλήρωση της ενίσχυσης του δικτύου ψυχικής υγείας</w:t>
            </w:r>
          </w:p>
        </w:tc>
      </w:tr>
      <w:tr w:rsidR="00154AD2" w14:paraId="45D850E4"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CFC6688" w14:textId="77777777" w:rsidR="00154AD2" w:rsidRDefault="007F6BF3">
            <w:pPr>
              <w:pStyle w:val="P68B1DB1-Normal23"/>
              <w:spacing w:after="0"/>
              <w:jc w:val="center"/>
              <w:rPr>
                <w:rFonts w:eastAsia="Calibri" w:cs="Calibri"/>
                <w:noProof/>
              </w:rPr>
            </w:pPr>
            <w:r>
              <w:rPr>
                <w:noProof/>
              </w:rPr>
              <w:t>1.3</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09F6608D" w14:textId="77777777" w:rsidR="00154AD2" w:rsidRDefault="007F6BF3">
            <w:pPr>
              <w:pStyle w:val="P68B1DB1-Normal23"/>
              <w:spacing w:after="0"/>
              <w:jc w:val="center"/>
              <w:rPr>
                <w:rFonts w:eastAsia="Calibri" w:cs="Calibri"/>
                <w:noProof/>
              </w:rPr>
            </w:pPr>
            <w:r>
              <w:rPr>
                <w:noProof/>
              </w:rPr>
              <w:t>RE-C01-i05-RAM</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4BE2BF56" w14:textId="77777777" w:rsidR="00154AD2" w:rsidRDefault="007F6BF3">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54D33655" w14:textId="77777777" w:rsidR="00154AD2" w:rsidRDefault="007F6BF3">
            <w:pPr>
              <w:pStyle w:val="P68B1DB1-Normal23"/>
              <w:spacing w:after="0"/>
              <w:jc w:val="both"/>
              <w:rPr>
                <w:rFonts w:eastAsia="Calibri" w:cs="Calibri"/>
                <w:noProof/>
              </w:rPr>
            </w:pPr>
            <w:r>
              <w:rPr>
                <w:noProof/>
              </w:rPr>
              <w:t>Αύξηση του αριθμού των θέσεων σε ολοκληρωμένες υπηρεσίες συνεχούς φροντίδας στην περιφερειακή υπηρεσία υγείας της Μαδέρας</w:t>
            </w:r>
          </w:p>
        </w:tc>
      </w:tr>
      <w:tr w:rsidR="00154AD2" w14:paraId="307E282C"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tcPr>
          <w:p w14:paraId="16A417E4" w14:textId="77777777" w:rsidR="00154AD2" w:rsidRDefault="007F6BF3">
            <w:pPr>
              <w:pStyle w:val="P68B1DB1-Normal23"/>
              <w:spacing w:after="0"/>
              <w:jc w:val="center"/>
              <w:rPr>
                <w:rFonts w:eastAsia="Calibri" w:cs="Calibri"/>
                <w:noProof/>
              </w:rPr>
            </w:pPr>
            <w:r>
              <w:rPr>
                <w:noProof/>
              </w:rPr>
              <w:t>1.30</w:t>
            </w:r>
          </w:p>
        </w:tc>
        <w:tc>
          <w:tcPr>
            <w:tcW w:w="1760" w:type="dxa"/>
            <w:tcBorders>
              <w:top w:val="single" w:sz="4" w:space="0" w:color="auto"/>
              <w:left w:val="nil"/>
              <w:bottom w:val="single" w:sz="4" w:space="0" w:color="auto"/>
              <w:right w:val="single" w:sz="4" w:space="0" w:color="auto"/>
            </w:tcBorders>
            <w:shd w:val="clear" w:color="auto" w:fill="C4EFCE"/>
            <w:vAlign w:val="center"/>
          </w:tcPr>
          <w:p w14:paraId="3035503C" w14:textId="77777777" w:rsidR="00154AD2" w:rsidRDefault="007F6BF3">
            <w:pPr>
              <w:pStyle w:val="P68B1DB1-Normal8"/>
              <w:spacing w:after="0"/>
              <w:jc w:val="center"/>
              <w:rPr>
                <w:rFonts w:eastAsia="Calibri" w:cs="Calibri"/>
                <w:noProof/>
                <w:sz w:val="18"/>
              </w:rPr>
            </w:pPr>
            <w:r>
              <w:rPr>
                <w:noProof/>
              </w:rPr>
              <w:t>RE-C01-i05-RAM</w:t>
            </w:r>
          </w:p>
        </w:tc>
        <w:tc>
          <w:tcPr>
            <w:tcW w:w="1520" w:type="dxa"/>
            <w:tcBorders>
              <w:top w:val="single" w:sz="4" w:space="0" w:color="auto"/>
              <w:left w:val="nil"/>
              <w:bottom w:val="single" w:sz="4" w:space="0" w:color="auto"/>
              <w:right w:val="single" w:sz="4" w:space="0" w:color="auto"/>
            </w:tcBorders>
            <w:shd w:val="clear" w:color="auto" w:fill="C4EFCE"/>
            <w:vAlign w:val="center"/>
          </w:tcPr>
          <w:p w14:paraId="0853CF70" w14:textId="77777777" w:rsidR="00154AD2" w:rsidRDefault="007F6BF3">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tcPr>
          <w:p w14:paraId="1249B3A9" w14:textId="77777777" w:rsidR="00154AD2" w:rsidRDefault="007F6BF3">
            <w:pPr>
              <w:pStyle w:val="P68B1DB1-Normal8"/>
              <w:spacing w:after="0"/>
              <w:jc w:val="both"/>
              <w:rPr>
                <w:rFonts w:eastAsia="Calibri" w:cs="Calibri"/>
                <w:noProof/>
                <w:sz w:val="18"/>
              </w:rPr>
            </w:pPr>
            <w:r>
              <w:rPr>
                <w:noProof/>
              </w:rPr>
              <w:t>Αύξηση του αριθμού των θέσεων σε ολοκληρωμένες υπηρεσίες συνεχούς φροντίδας στην περιφερειακή υπηρεσία υγείας της Μαδέρας</w:t>
            </w:r>
          </w:p>
        </w:tc>
      </w:tr>
      <w:tr w:rsidR="00154AD2" w14:paraId="25064C9E"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2D7E84A" w14:textId="77777777" w:rsidR="00154AD2" w:rsidRDefault="007F6BF3">
            <w:pPr>
              <w:pStyle w:val="P68B1DB1-Normal23"/>
              <w:spacing w:after="0"/>
              <w:jc w:val="center"/>
              <w:rPr>
                <w:rFonts w:eastAsia="Calibri" w:cs="Calibri"/>
                <w:noProof/>
              </w:rPr>
            </w:pPr>
            <w:r>
              <w:rPr>
                <w:noProof/>
              </w:rPr>
              <w:t>1.36</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5FF74396" w14:textId="77777777" w:rsidR="00154AD2" w:rsidRDefault="007F6BF3">
            <w:pPr>
              <w:pStyle w:val="P68B1DB1-Normal23"/>
              <w:spacing w:after="0"/>
              <w:jc w:val="center"/>
              <w:rPr>
                <w:rFonts w:eastAsia="Calibri" w:cs="Calibri"/>
                <w:noProof/>
              </w:rPr>
            </w:pPr>
            <w:r>
              <w:rPr>
                <w:noProof/>
              </w:rPr>
              <w:t>RE-C01-i08-RAA</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2BE8B021" w14:textId="77777777" w:rsidR="00154AD2" w:rsidRDefault="007F6BF3">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18B9A547" w14:textId="77777777" w:rsidR="00154AD2" w:rsidRDefault="007F6BF3">
            <w:pPr>
              <w:pStyle w:val="P68B1DB1-Normal23"/>
              <w:spacing w:after="0"/>
              <w:jc w:val="both"/>
              <w:rPr>
                <w:rFonts w:eastAsia="Calibri" w:cs="Calibri"/>
                <w:noProof/>
              </w:rPr>
            </w:pPr>
            <w:r>
              <w:rPr>
                <w:noProof/>
              </w:rPr>
              <w:t>Αυξημένη πρόσβαση στην πύλη χρηστών του περιφερειακού συστήματος υγείας των Αζορών</w:t>
            </w:r>
          </w:p>
        </w:tc>
      </w:tr>
      <w:tr w:rsidR="00154AD2" w14:paraId="3A971B5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DB6093C" w14:textId="77777777" w:rsidR="00154AD2" w:rsidRDefault="007F6BF3">
            <w:pPr>
              <w:pStyle w:val="P68B1DB1-Normal23"/>
              <w:spacing w:after="0"/>
              <w:jc w:val="center"/>
              <w:rPr>
                <w:rFonts w:eastAsia="Calibri" w:cs="Calibri"/>
                <w:noProof/>
              </w:rPr>
            </w:pPr>
            <w:r>
              <w:rPr>
                <w:noProof/>
              </w:rPr>
              <w:t>1.38</w:t>
            </w:r>
          </w:p>
        </w:tc>
        <w:tc>
          <w:tcPr>
            <w:tcW w:w="1760" w:type="dxa"/>
            <w:tcBorders>
              <w:top w:val="nil"/>
              <w:left w:val="nil"/>
              <w:bottom w:val="single" w:sz="4" w:space="0" w:color="auto"/>
              <w:right w:val="single" w:sz="4" w:space="0" w:color="auto"/>
            </w:tcBorders>
            <w:shd w:val="clear" w:color="auto" w:fill="C4EFCE"/>
            <w:vAlign w:val="center"/>
            <w:hideMark/>
          </w:tcPr>
          <w:p w14:paraId="4B8D39B5" w14:textId="77777777" w:rsidR="00154AD2" w:rsidRDefault="007F6BF3">
            <w:pPr>
              <w:pStyle w:val="P68B1DB1-Normal23"/>
              <w:spacing w:after="0"/>
              <w:jc w:val="center"/>
              <w:rPr>
                <w:rFonts w:eastAsia="Calibri" w:cs="Calibri"/>
                <w:noProof/>
              </w:rPr>
            </w:pPr>
            <w:r>
              <w:rPr>
                <w:noProof/>
              </w:rPr>
              <w:t>RE-C01-i09</w:t>
            </w:r>
          </w:p>
        </w:tc>
        <w:tc>
          <w:tcPr>
            <w:tcW w:w="1520" w:type="dxa"/>
            <w:tcBorders>
              <w:top w:val="nil"/>
              <w:left w:val="nil"/>
              <w:bottom w:val="single" w:sz="4" w:space="0" w:color="auto"/>
              <w:right w:val="single" w:sz="4" w:space="0" w:color="auto"/>
            </w:tcBorders>
            <w:shd w:val="clear" w:color="auto" w:fill="C4EFCE"/>
            <w:vAlign w:val="center"/>
            <w:hideMark/>
          </w:tcPr>
          <w:p w14:paraId="03EBB8CA"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51CBD4E" w14:textId="77777777" w:rsidR="00154AD2" w:rsidRDefault="007F6BF3">
            <w:pPr>
              <w:pStyle w:val="P68B1DB1-Normal23"/>
              <w:spacing w:after="0"/>
              <w:jc w:val="both"/>
              <w:rPr>
                <w:rFonts w:eastAsia="Calibri" w:cs="Calibri"/>
                <w:noProof/>
              </w:rPr>
            </w:pPr>
            <w:r>
              <w:rPr>
                <w:noProof/>
              </w:rPr>
              <w:t>Ολοκλήρωση της υλοποίησης στα σχολεία των προγραμμάτων «Σχολική Κοινότητα Αθλητισμού» και «Σχολικός αθλητισμός στους τροχούς»</w:t>
            </w:r>
          </w:p>
        </w:tc>
      </w:tr>
      <w:tr w:rsidR="00154AD2" w14:paraId="6B7A456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2010025" w14:textId="77777777" w:rsidR="00154AD2" w:rsidRDefault="007F6BF3">
            <w:pPr>
              <w:pStyle w:val="P68B1DB1-Normal23"/>
              <w:spacing w:after="0"/>
              <w:jc w:val="center"/>
              <w:rPr>
                <w:rFonts w:eastAsia="Calibri" w:cs="Calibri"/>
                <w:noProof/>
              </w:rPr>
            </w:pPr>
            <w:r>
              <w:rPr>
                <w:noProof/>
              </w:rPr>
              <w:t>1.39</w:t>
            </w:r>
          </w:p>
        </w:tc>
        <w:tc>
          <w:tcPr>
            <w:tcW w:w="1760" w:type="dxa"/>
            <w:tcBorders>
              <w:top w:val="nil"/>
              <w:left w:val="nil"/>
              <w:bottom w:val="single" w:sz="4" w:space="0" w:color="auto"/>
              <w:right w:val="single" w:sz="4" w:space="0" w:color="auto"/>
            </w:tcBorders>
            <w:shd w:val="clear" w:color="auto" w:fill="C4EFCE"/>
            <w:vAlign w:val="center"/>
            <w:hideMark/>
          </w:tcPr>
          <w:p w14:paraId="0B6F6AFA" w14:textId="77777777" w:rsidR="00154AD2" w:rsidRDefault="007F6BF3">
            <w:pPr>
              <w:pStyle w:val="P68B1DB1-Normal23"/>
              <w:spacing w:after="0"/>
              <w:jc w:val="center"/>
              <w:rPr>
                <w:rFonts w:eastAsia="Calibri" w:cs="Calibri"/>
                <w:noProof/>
              </w:rPr>
            </w:pPr>
            <w:r>
              <w:rPr>
                <w:noProof/>
              </w:rPr>
              <w:t>RE-C01-i09</w:t>
            </w:r>
          </w:p>
        </w:tc>
        <w:tc>
          <w:tcPr>
            <w:tcW w:w="1520" w:type="dxa"/>
            <w:tcBorders>
              <w:top w:val="nil"/>
              <w:left w:val="nil"/>
              <w:bottom w:val="single" w:sz="4" w:space="0" w:color="auto"/>
              <w:right w:val="single" w:sz="4" w:space="0" w:color="auto"/>
            </w:tcBorders>
            <w:shd w:val="clear" w:color="auto" w:fill="C4EFCE"/>
            <w:vAlign w:val="center"/>
            <w:hideMark/>
          </w:tcPr>
          <w:p w14:paraId="4C67C300"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3B0AA18" w14:textId="77777777" w:rsidR="00154AD2" w:rsidRDefault="007F6BF3">
            <w:pPr>
              <w:pStyle w:val="P68B1DB1-Normal23"/>
              <w:spacing w:after="0"/>
              <w:jc w:val="both"/>
              <w:rPr>
                <w:rFonts w:eastAsia="Calibri" w:cs="Calibri"/>
                <w:noProof/>
              </w:rPr>
            </w:pPr>
            <w:r>
              <w:rPr>
                <w:noProof/>
              </w:rPr>
              <w:t>Έναρξη της εθνικής εκστρατείας για το σύστημα υποστήριξης της καθολικής ενεργού ζωής και τη σχετική τεχνολογική πλατφόρμα</w:t>
            </w:r>
          </w:p>
        </w:tc>
      </w:tr>
      <w:tr w:rsidR="00154AD2" w14:paraId="4976BF8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CC5E686" w14:textId="77777777" w:rsidR="00154AD2" w:rsidRDefault="007F6BF3">
            <w:pPr>
              <w:pStyle w:val="P68B1DB1-Normal23"/>
              <w:spacing w:after="0"/>
              <w:jc w:val="center"/>
              <w:rPr>
                <w:rFonts w:eastAsia="Calibri" w:cs="Calibri"/>
                <w:noProof/>
              </w:rPr>
            </w:pPr>
            <w:r>
              <w:rPr>
                <w:noProof/>
              </w:rPr>
              <w:t>2.17</w:t>
            </w:r>
          </w:p>
        </w:tc>
        <w:tc>
          <w:tcPr>
            <w:tcW w:w="1760" w:type="dxa"/>
            <w:tcBorders>
              <w:top w:val="nil"/>
              <w:left w:val="nil"/>
              <w:bottom w:val="single" w:sz="4" w:space="0" w:color="auto"/>
              <w:right w:val="single" w:sz="4" w:space="0" w:color="auto"/>
            </w:tcBorders>
            <w:shd w:val="clear" w:color="auto" w:fill="C4EFCE"/>
            <w:vAlign w:val="center"/>
            <w:hideMark/>
          </w:tcPr>
          <w:p w14:paraId="5F2975A0" w14:textId="77777777" w:rsidR="00154AD2" w:rsidRDefault="007F6BF3">
            <w:pPr>
              <w:pStyle w:val="P68B1DB1-Normal23"/>
              <w:spacing w:after="0"/>
              <w:jc w:val="center"/>
              <w:rPr>
                <w:rFonts w:eastAsia="Calibri" w:cs="Calibri"/>
                <w:noProof/>
              </w:rPr>
            </w:pPr>
            <w:r>
              <w:rPr>
                <w:noProof/>
              </w:rPr>
              <w:t>RE-C02-i04-RAA</w:t>
            </w:r>
          </w:p>
        </w:tc>
        <w:tc>
          <w:tcPr>
            <w:tcW w:w="1520" w:type="dxa"/>
            <w:tcBorders>
              <w:top w:val="nil"/>
              <w:left w:val="nil"/>
              <w:bottom w:val="single" w:sz="4" w:space="0" w:color="auto"/>
              <w:right w:val="single" w:sz="4" w:space="0" w:color="auto"/>
            </w:tcBorders>
            <w:shd w:val="clear" w:color="auto" w:fill="C4EFCE"/>
            <w:vAlign w:val="center"/>
            <w:hideMark/>
          </w:tcPr>
          <w:p w14:paraId="549257E3"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D42745D" w14:textId="77777777" w:rsidR="00154AD2" w:rsidRDefault="007F6BF3">
            <w:pPr>
              <w:pStyle w:val="P68B1DB1-Normal23"/>
              <w:spacing w:after="0"/>
              <w:jc w:val="both"/>
              <w:rPr>
                <w:rFonts w:eastAsia="Calibri" w:cs="Calibri"/>
                <w:noProof/>
              </w:rPr>
            </w:pPr>
            <w:r>
              <w:rPr>
                <w:noProof/>
              </w:rPr>
              <w:t>Παρεμβάσεις στο απόθεμα δημόσιων κατοικιών της Αυτόνομης Περιφέρειας Αζορών — κατασκευή κτιρίων</w:t>
            </w:r>
          </w:p>
        </w:tc>
      </w:tr>
      <w:tr w:rsidR="00154AD2" w14:paraId="48998A7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B9F1454" w14:textId="77777777" w:rsidR="00154AD2" w:rsidRDefault="007F6BF3">
            <w:pPr>
              <w:pStyle w:val="P68B1DB1-Normal23"/>
              <w:spacing w:after="0"/>
              <w:jc w:val="center"/>
              <w:rPr>
                <w:rFonts w:eastAsia="Calibri" w:cs="Calibri"/>
                <w:noProof/>
              </w:rPr>
            </w:pPr>
            <w:r>
              <w:rPr>
                <w:noProof/>
              </w:rPr>
              <w:t>2.18</w:t>
            </w:r>
          </w:p>
        </w:tc>
        <w:tc>
          <w:tcPr>
            <w:tcW w:w="1760" w:type="dxa"/>
            <w:tcBorders>
              <w:top w:val="nil"/>
              <w:left w:val="nil"/>
              <w:bottom w:val="single" w:sz="4" w:space="0" w:color="auto"/>
              <w:right w:val="single" w:sz="4" w:space="0" w:color="auto"/>
            </w:tcBorders>
            <w:shd w:val="clear" w:color="auto" w:fill="C4EFCE"/>
            <w:vAlign w:val="center"/>
            <w:hideMark/>
          </w:tcPr>
          <w:p w14:paraId="50DBDCBE" w14:textId="77777777" w:rsidR="00154AD2" w:rsidRDefault="007F6BF3">
            <w:pPr>
              <w:pStyle w:val="P68B1DB1-Normal23"/>
              <w:spacing w:after="0"/>
              <w:jc w:val="center"/>
              <w:rPr>
                <w:rFonts w:eastAsia="Calibri" w:cs="Calibri"/>
                <w:noProof/>
              </w:rPr>
            </w:pPr>
            <w:r>
              <w:rPr>
                <w:noProof/>
              </w:rPr>
              <w:t>RE-C02-i04-RAA</w:t>
            </w:r>
          </w:p>
        </w:tc>
        <w:tc>
          <w:tcPr>
            <w:tcW w:w="1520" w:type="dxa"/>
            <w:tcBorders>
              <w:top w:val="nil"/>
              <w:left w:val="nil"/>
              <w:bottom w:val="single" w:sz="4" w:space="0" w:color="auto"/>
              <w:right w:val="single" w:sz="4" w:space="0" w:color="auto"/>
            </w:tcBorders>
            <w:shd w:val="clear" w:color="auto" w:fill="C4EFCE"/>
            <w:vAlign w:val="center"/>
            <w:hideMark/>
          </w:tcPr>
          <w:p w14:paraId="1DB0332D"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BA80A23" w14:textId="77777777" w:rsidR="00154AD2" w:rsidRDefault="007F6BF3">
            <w:pPr>
              <w:pStyle w:val="P68B1DB1-Normal23"/>
              <w:spacing w:after="0"/>
              <w:jc w:val="both"/>
              <w:rPr>
                <w:rFonts w:eastAsia="Calibri" w:cs="Calibri"/>
                <w:noProof/>
              </w:rPr>
            </w:pPr>
            <w:r>
              <w:rPr>
                <w:noProof/>
              </w:rPr>
              <w:t>Παρεμβάσεις στο απόθεμα δημόσιων κατοικιών της Αυτόνομης Περιφέρειας Αζορών — ανακαίνιση</w:t>
            </w:r>
          </w:p>
        </w:tc>
      </w:tr>
      <w:tr w:rsidR="00154AD2" w14:paraId="42BE288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5613E49" w14:textId="77777777" w:rsidR="00154AD2" w:rsidRDefault="007F6BF3">
            <w:pPr>
              <w:pStyle w:val="P68B1DB1-Normal23"/>
              <w:spacing w:after="0"/>
              <w:jc w:val="center"/>
              <w:rPr>
                <w:rFonts w:eastAsia="Calibri" w:cs="Calibri"/>
                <w:noProof/>
              </w:rPr>
            </w:pPr>
            <w:r>
              <w:rPr>
                <w:noProof/>
              </w:rPr>
              <w:t>2.31</w:t>
            </w:r>
          </w:p>
        </w:tc>
        <w:tc>
          <w:tcPr>
            <w:tcW w:w="1760" w:type="dxa"/>
            <w:tcBorders>
              <w:top w:val="nil"/>
              <w:left w:val="nil"/>
              <w:bottom w:val="single" w:sz="4" w:space="0" w:color="auto"/>
              <w:right w:val="single" w:sz="4" w:space="0" w:color="auto"/>
            </w:tcBorders>
            <w:shd w:val="clear" w:color="auto" w:fill="C4EFCE"/>
            <w:vAlign w:val="center"/>
            <w:hideMark/>
          </w:tcPr>
          <w:p w14:paraId="3E9F4E90" w14:textId="77777777" w:rsidR="00154AD2" w:rsidRDefault="007F6BF3">
            <w:pPr>
              <w:pStyle w:val="P68B1DB1-Normal23"/>
              <w:spacing w:after="0"/>
              <w:jc w:val="center"/>
              <w:rPr>
                <w:rFonts w:eastAsia="Calibri" w:cs="Calibri"/>
                <w:noProof/>
              </w:rPr>
            </w:pPr>
            <w:r>
              <w:rPr>
                <w:noProof/>
              </w:rPr>
              <w:t>RE-C02-i08-RAA</w:t>
            </w:r>
          </w:p>
        </w:tc>
        <w:tc>
          <w:tcPr>
            <w:tcW w:w="1520" w:type="dxa"/>
            <w:tcBorders>
              <w:top w:val="nil"/>
              <w:left w:val="nil"/>
              <w:bottom w:val="single" w:sz="4" w:space="0" w:color="auto"/>
              <w:right w:val="single" w:sz="4" w:space="0" w:color="auto"/>
            </w:tcBorders>
            <w:shd w:val="clear" w:color="auto" w:fill="C4EFCE"/>
            <w:vAlign w:val="center"/>
            <w:hideMark/>
          </w:tcPr>
          <w:p w14:paraId="0095AE34"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948A3BC" w14:textId="77777777" w:rsidR="00154AD2" w:rsidRDefault="007F6BF3">
            <w:pPr>
              <w:pStyle w:val="P68B1DB1-Normal23"/>
              <w:spacing w:after="0"/>
              <w:jc w:val="both"/>
              <w:rPr>
                <w:rFonts w:eastAsia="Calibri" w:cs="Calibri"/>
                <w:noProof/>
              </w:rPr>
            </w:pPr>
            <w:r>
              <w:rPr>
                <w:noProof/>
              </w:rPr>
              <w:t>Ενίσχυση του αποθέματος κοινωνικών κατοικιών της Αυτόνομης Περιφέρειας των Αζορών — κατασκευασμένες κατοικίες</w:t>
            </w:r>
          </w:p>
        </w:tc>
      </w:tr>
      <w:tr w:rsidR="00154AD2" w14:paraId="4267AE61"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425C875" w14:textId="77777777" w:rsidR="00154AD2" w:rsidRDefault="007F6BF3">
            <w:pPr>
              <w:pStyle w:val="P68B1DB1-Normal23"/>
              <w:spacing w:after="0"/>
              <w:jc w:val="center"/>
              <w:rPr>
                <w:rFonts w:eastAsia="Calibri" w:cs="Calibri"/>
                <w:noProof/>
              </w:rPr>
            </w:pPr>
            <w:r>
              <w:rPr>
                <w:noProof/>
              </w:rPr>
              <w:t>3.7</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0887E09D" w14:textId="77777777" w:rsidR="00154AD2" w:rsidRDefault="007F6BF3">
            <w:pPr>
              <w:pStyle w:val="P68B1DB1-Normal23"/>
              <w:spacing w:after="0"/>
              <w:jc w:val="center"/>
              <w:rPr>
                <w:rFonts w:eastAsia="Calibri" w:cs="Calibri"/>
                <w:noProof/>
              </w:rPr>
            </w:pPr>
            <w:r>
              <w:rPr>
                <w:noProof/>
              </w:rPr>
              <w:t>RE-C03-i02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5FC08BAC"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8BB3EDD" w14:textId="77777777" w:rsidR="00154AD2" w:rsidRDefault="007F6BF3">
            <w:pPr>
              <w:pStyle w:val="P68B1DB1-Normal23"/>
              <w:spacing w:after="0"/>
              <w:jc w:val="both"/>
              <w:rPr>
                <w:rFonts w:eastAsia="Calibri" w:cs="Calibri"/>
                <w:noProof/>
              </w:rPr>
            </w:pPr>
            <w:r>
              <w:rPr>
                <w:noProof/>
              </w:rPr>
              <w:t>Κατοικίες με βελτιωμένη προσβασιμότητα για άτομα μειωμένης κινητικότητας</w:t>
            </w:r>
          </w:p>
        </w:tc>
      </w:tr>
      <w:tr w:rsidR="00154AD2" w14:paraId="596C5FB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E999017" w14:textId="77777777" w:rsidR="00154AD2" w:rsidRDefault="007F6BF3">
            <w:pPr>
              <w:pStyle w:val="P68B1DB1-Normal23"/>
              <w:spacing w:after="0"/>
              <w:jc w:val="center"/>
              <w:rPr>
                <w:rFonts w:eastAsia="Calibri" w:cs="Calibri"/>
                <w:noProof/>
              </w:rPr>
            </w:pPr>
            <w:r>
              <w:rPr>
                <w:noProof/>
              </w:rPr>
              <w:t>3.8</w:t>
            </w:r>
          </w:p>
        </w:tc>
        <w:tc>
          <w:tcPr>
            <w:tcW w:w="1760" w:type="dxa"/>
            <w:tcBorders>
              <w:top w:val="nil"/>
              <w:left w:val="nil"/>
              <w:bottom w:val="single" w:sz="4" w:space="0" w:color="auto"/>
              <w:right w:val="single" w:sz="4" w:space="0" w:color="auto"/>
            </w:tcBorders>
            <w:shd w:val="clear" w:color="auto" w:fill="C4EFCE"/>
            <w:vAlign w:val="center"/>
            <w:hideMark/>
          </w:tcPr>
          <w:p w14:paraId="04397576" w14:textId="77777777" w:rsidR="00154AD2" w:rsidRDefault="007F6BF3">
            <w:pPr>
              <w:pStyle w:val="P68B1DB1-Normal23"/>
              <w:spacing w:after="0"/>
              <w:jc w:val="center"/>
              <w:rPr>
                <w:rFonts w:eastAsia="Calibri" w:cs="Calibri"/>
                <w:noProof/>
              </w:rPr>
            </w:pPr>
            <w:r>
              <w:rPr>
                <w:noProof/>
              </w:rPr>
              <w:t>RE-C03-i02</w:t>
            </w:r>
          </w:p>
        </w:tc>
        <w:tc>
          <w:tcPr>
            <w:tcW w:w="1520" w:type="dxa"/>
            <w:tcBorders>
              <w:top w:val="nil"/>
              <w:left w:val="nil"/>
              <w:bottom w:val="single" w:sz="4" w:space="0" w:color="auto"/>
              <w:right w:val="single" w:sz="4" w:space="0" w:color="auto"/>
            </w:tcBorders>
            <w:shd w:val="clear" w:color="auto" w:fill="C4EFCE"/>
            <w:vAlign w:val="center"/>
            <w:hideMark/>
          </w:tcPr>
          <w:p w14:paraId="2B5BDEB3"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E7B40A8" w14:textId="77777777" w:rsidR="00154AD2" w:rsidRDefault="007F6BF3">
            <w:pPr>
              <w:pStyle w:val="P68B1DB1-Normal23"/>
              <w:spacing w:after="0"/>
              <w:jc w:val="both"/>
              <w:rPr>
                <w:rFonts w:eastAsia="Calibri" w:cs="Calibri"/>
                <w:noProof/>
              </w:rPr>
            </w:pPr>
            <w:r>
              <w:rPr>
                <w:noProof/>
              </w:rPr>
              <w:t>Δημόσιος χώρος με βελτιωμένη προσβασιμότητα για άτομα με μειωμένη κινητικότητα</w:t>
            </w:r>
          </w:p>
        </w:tc>
      </w:tr>
      <w:tr w:rsidR="00154AD2" w14:paraId="6076F1C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DA1FFD3" w14:textId="77777777" w:rsidR="00154AD2" w:rsidRDefault="007F6BF3">
            <w:pPr>
              <w:pStyle w:val="P68B1DB1-Normal23"/>
              <w:spacing w:after="0"/>
              <w:jc w:val="center"/>
              <w:rPr>
                <w:rFonts w:eastAsia="Calibri" w:cs="Calibri"/>
                <w:noProof/>
              </w:rPr>
            </w:pPr>
            <w:r>
              <w:rPr>
                <w:noProof/>
              </w:rPr>
              <w:t>3.9</w:t>
            </w:r>
          </w:p>
        </w:tc>
        <w:tc>
          <w:tcPr>
            <w:tcW w:w="1760" w:type="dxa"/>
            <w:tcBorders>
              <w:top w:val="nil"/>
              <w:left w:val="nil"/>
              <w:bottom w:val="single" w:sz="4" w:space="0" w:color="auto"/>
              <w:right w:val="single" w:sz="4" w:space="0" w:color="auto"/>
            </w:tcBorders>
            <w:shd w:val="clear" w:color="auto" w:fill="C4EFCE"/>
            <w:vAlign w:val="center"/>
            <w:hideMark/>
          </w:tcPr>
          <w:p w14:paraId="3AE00889" w14:textId="77777777" w:rsidR="00154AD2" w:rsidRDefault="007F6BF3">
            <w:pPr>
              <w:pStyle w:val="P68B1DB1-Normal23"/>
              <w:spacing w:after="0"/>
              <w:jc w:val="center"/>
              <w:rPr>
                <w:rFonts w:eastAsia="Calibri" w:cs="Calibri"/>
                <w:noProof/>
              </w:rPr>
            </w:pPr>
            <w:r>
              <w:rPr>
                <w:noProof/>
              </w:rPr>
              <w:t>RE-C03-i02</w:t>
            </w:r>
          </w:p>
        </w:tc>
        <w:tc>
          <w:tcPr>
            <w:tcW w:w="1520" w:type="dxa"/>
            <w:tcBorders>
              <w:top w:val="nil"/>
              <w:left w:val="nil"/>
              <w:bottom w:val="single" w:sz="4" w:space="0" w:color="auto"/>
              <w:right w:val="single" w:sz="4" w:space="0" w:color="auto"/>
            </w:tcBorders>
            <w:shd w:val="clear" w:color="auto" w:fill="C4EFCE"/>
            <w:vAlign w:val="center"/>
            <w:hideMark/>
          </w:tcPr>
          <w:p w14:paraId="3FB4432A"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1818278" w14:textId="77777777" w:rsidR="00154AD2" w:rsidRDefault="007F6BF3">
            <w:pPr>
              <w:pStyle w:val="P68B1DB1-Normal23"/>
              <w:spacing w:after="0"/>
              <w:jc w:val="both"/>
              <w:rPr>
                <w:rFonts w:eastAsia="Calibri" w:cs="Calibri"/>
                <w:noProof/>
              </w:rPr>
            </w:pPr>
            <w:r>
              <w:rPr>
                <w:noProof/>
              </w:rPr>
              <w:t>Δημόσιες υπηρεσίες με βελτιωμένη προσβασιμότητα για άτομα με περιορισμένη κινητικότητα</w:t>
            </w:r>
          </w:p>
        </w:tc>
      </w:tr>
      <w:tr w:rsidR="00154AD2" w14:paraId="41C932D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E259A36" w14:textId="77777777" w:rsidR="00154AD2" w:rsidRDefault="007F6BF3">
            <w:pPr>
              <w:pStyle w:val="P68B1DB1-Normal23"/>
              <w:spacing w:after="0"/>
              <w:jc w:val="center"/>
              <w:rPr>
                <w:rFonts w:eastAsia="Calibri" w:cs="Calibri"/>
                <w:noProof/>
              </w:rPr>
            </w:pPr>
            <w:r>
              <w:rPr>
                <w:noProof/>
              </w:rPr>
              <w:t>3.10</w:t>
            </w:r>
          </w:p>
        </w:tc>
        <w:tc>
          <w:tcPr>
            <w:tcW w:w="1760" w:type="dxa"/>
            <w:tcBorders>
              <w:top w:val="nil"/>
              <w:left w:val="nil"/>
              <w:bottom w:val="single" w:sz="4" w:space="0" w:color="auto"/>
              <w:right w:val="single" w:sz="4" w:space="0" w:color="auto"/>
            </w:tcBorders>
            <w:shd w:val="clear" w:color="auto" w:fill="C4EFCE"/>
            <w:vAlign w:val="center"/>
            <w:hideMark/>
          </w:tcPr>
          <w:p w14:paraId="1399DCCA" w14:textId="77777777" w:rsidR="00154AD2" w:rsidRDefault="007F6BF3">
            <w:pPr>
              <w:pStyle w:val="P68B1DB1-Normal23"/>
              <w:spacing w:after="0"/>
              <w:jc w:val="center"/>
              <w:rPr>
                <w:rFonts w:eastAsia="Calibri" w:cs="Calibri"/>
                <w:noProof/>
              </w:rPr>
            </w:pPr>
            <w:r>
              <w:rPr>
                <w:noProof/>
              </w:rPr>
              <w:t>RE-C03-i03-RAM</w:t>
            </w:r>
          </w:p>
        </w:tc>
        <w:tc>
          <w:tcPr>
            <w:tcW w:w="1520" w:type="dxa"/>
            <w:tcBorders>
              <w:top w:val="nil"/>
              <w:left w:val="nil"/>
              <w:bottom w:val="single" w:sz="4" w:space="0" w:color="auto"/>
              <w:right w:val="single" w:sz="4" w:space="0" w:color="auto"/>
            </w:tcBorders>
            <w:shd w:val="clear" w:color="auto" w:fill="C4EFCE"/>
            <w:vAlign w:val="center"/>
            <w:hideMark/>
          </w:tcPr>
          <w:p w14:paraId="10B7FCB0"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D65B477" w14:textId="77777777" w:rsidR="00154AD2" w:rsidRDefault="007F6BF3">
            <w:pPr>
              <w:pStyle w:val="P68B1DB1-Normal23"/>
              <w:spacing w:after="0"/>
              <w:jc w:val="both"/>
              <w:rPr>
                <w:rFonts w:eastAsia="Calibri" w:cs="Calibri"/>
                <w:noProof/>
              </w:rPr>
            </w:pPr>
            <w:r>
              <w:rPr>
                <w:noProof/>
              </w:rPr>
              <w:t xml:space="preserve">Νέοι και αποκατεστημένοι χώροι σε οίκους ευγηρίας και μη κατ’ οίκον φροντίδας </w:t>
            </w:r>
          </w:p>
        </w:tc>
      </w:tr>
      <w:tr w:rsidR="00154AD2" w14:paraId="66BF7C5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EB03473" w14:textId="77777777" w:rsidR="00154AD2" w:rsidRDefault="007F6BF3">
            <w:pPr>
              <w:pStyle w:val="P68B1DB1-Normal23"/>
              <w:spacing w:after="0"/>
              <w:jc w:val="center"/>
              <w:rPr>
                <w:rFonts w:eastAsia="Calibri" w:cs="Calibri"/>
                <w:noProof/>
              </w:rPr>
            </w:pPr>
            <w:r>
              <w:rPr>
                <w:noProof/>
              </w:rPr>
              <w:t>3.12</w:t>
            </w:r>
          </w:p>
        </w:tc>
        <w:tc>
          <w:tcPr>
            <w:tcW w:w="1760" w:type="dxa"/>
            <w:tcBorders>
              <w:top w:val="nil"/>
              <w:left w:val="nil"/>
              <w:bottom w:val="single" w:sz="4" w:space="0" w:color="auto"/>
              <w:right w:val="single" w:sz="4" w:space="0" w:color="auto"/>
            </w:tcBorders>
            <w:shd w:val="clear" w:color="auto" w:fill="C4EFCE"/>
            <w:vAlign w:val="center"/>
            <w:hideMark/>
          </w:tcPr>
          <w:p w14:paraId="28D91185" w14:textId="77777777" w:rsidR="00154AD2" w:rsidRDefault="007F6BF3">
            <w:pPr>
              <w:pStyle w:val="P68B1DB1-Normal23"/>
              <w:spacing w:after="0"/>
              <w:jc w:val="center"/>
              <w:rPr>
                <w:rFonts w:eastAsia="Calibri" w:cs="Calibri"/>
                <w:noProof/>
              </w:rPr>
            </w:pPr>
            <w:r>
              <w:rPr>
                <w:noProof/>
              </w:rPr>
              <w:t>RE-C03-i04-RAA</w:t>
            </w:r>
          </w:p>
        </w:tc>
        <w:tc>
          <w:tcPr>
            <w:tcW w:w="1520" w:type="dxa"/>
            <w:tcBorders>
              <w:top w:val="nil"/>
              <w:left w:val="nil"/>
              <w:bottom w:val="single" w:sz="4" w:space="0" w:color="auto"/>
              <w:right w:val="single" w:sz="4" w:space="0" w:color="auto"/>
            </w:tcBorders>
            <w:shd w:val="clear" w:color="auto" w:fill="C4EFCE"/>
            <w:vAlign w:val="center"/>
            <w:hideMark/>
          </w:tcPr>
          <w:p w14:paraId="2A81EAD1"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51A230D" w14:textId="77777777" w:rsidR="00154AD2" w:rsidRDefault="007F6BF3">
            <w:pPr>
              <w:pStyle w:val="P68B1DB1-Normal23"/>
              <w:spacing w:after="0"/>
              <w:jc w:val="both"/>
              <w:rPr>
                <w:rFonts w:eastAsia="Calibri" w:cs="Calibri"/>
                <w:noProof/>
              </w:rPr>
            </w:pPr>
            <w:r>
              <w:rPr>
                <w:noProof/>
              </w:rPr>
              <w:t>Κατάρτιση ατόμων από οικογένειες που καλύπτονται από το εισόδημα κοινωνικής ένταξης</w:t>
            </w:r>
          </w:p>
        </w:tc>
      </w:tr>
      <w:tr w:rsidR="00154AD2" w14:paraId="76CD6A4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B130966" w14:textId="77777777" w:rsidR="00154AD2" w:rsidRDefault="007F6BF3">
            <w:pPr>
              <w:pStyle w:val="P68B1DB1-Normal23"/>
              <w:spacing w:after="0"/>
              <w:jc w:val="center"/>
              <w:rPr>
                <w:rFonts w:eastAsia="Calibri" w:cs="Calibri"/>
                <w:noProof/>
              </w:rPr>
            </w:pPr>
            <w:r>
              <w:rPr>
                <w:noProof/>
              </w:rPr>
              <w:t>3.14</w:t>
            </w:r>
          </w:p>
        </w:tc>
        <w:tc>
          <w:tcPr>
            <w:tcW w:w="1760" w:type="dxa"/>
            <w:tcBorders>
              <w:top w:val="nil"/>
              <w:left w:val="nil"/>
              <w:bottom w:val="single" w:sz="4" w:space="0" w:color="auto"/>
              <w:right w:val="single" w:sz="4" w:space="0" w:color="auto"/>
            </w:tcBorders>
            <w:shd w:val="clear" w:color="auto" w:fill="C4EFCE"/>
            <w:vAlign w:val="center"/>
            <w:hideMark/>
          </w:tcPr>
          <w:p w14:paraId="045C7370" w14:textId="77777777" w:rsidR="00154AD2" w:rsidRDefault="007F6BF3">
            <w:pPr>
              <w:pStyle w:val="P68B1DB1-Normal23"/>
              <w:spacing w:after="0"/>
              <w:jc w:val="center"/>
              <w:rPr>
                <w:rFonts w:eastAsia="Calibri" w:cs="Calibri"/>
                <w:noProof/>
              </w:rPr>
            </w:pPr>
            <w:r>
              <w:rPr>
                <w:noProof/>
              </w:rPr>
              <w:t>RE-C03-i04-RAA</w:t>
            </w:r>
          </w:p>
        </w:tc>
        <w:tc>
          <w:tcPr>
            <w:tcW w:w="1520" w:type="dxa"/>
            <w:tcBorders>
              <w:top w:val="nil"/>
              <w:left w:val="nil"/>
              <w:bottom w:val="single" w:sz="4" w:space="0" w:color="auto"/>
              <w:right w:val="single" w:sz="4" w:space="0" w:color="auto"/>
            </w:tcBorders>
            <w:shd w:val="clear" w:color="auto" w:fill="C4EFCE"/>
            <w:vAlign w:val="center"/>
            <w:hideMark/>
          </w:tcPr>
          <w:p w14:paraId="69C539F2"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E4CE3D6" w14:textId="77777777" w:rsidR="00154AD2" w:rsidRDefault="007F6BF3">
            <w:pPr>
              <w:pStyle w:val="P68B1DB1-Normal23"/>
              <w:spacing w:after="0"/>
              <w:jc w:val="both"/>
              <w:rPr>
                <w:rFonts w:eastAsia="Calibri" w:cs="Calibri"/>
                <w:noProof/>
              </w:rPr>
            </w:pPr>
            <w:r>
              <w:rPr>
                <w:noProof/>
              </w:rPr>
              <w:t>Οχήματα που αγοράστηκαν για λογαριασμό του Instituições Particulares de Solidariedade Social</w:t>
            </w:r>
          </w:p>
        </w:tc>
      </w:tr>
      <w:tr w:rsidR="00154AD2" w14:paraId="289CE08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173D27B" w14:textId="77777777" w:rsidR="00154AD2" w:rsidRDefault="007F6BF3">
            <w:pPr>
              <w:pStyle w:val="P68B1DB1-Normal23"/>
              <w:spacing w:after="0"/>
              <w:jc w:val="center"/>
              <w:rPr>
                <w:rFonts w:eastAsia="Calibri" w:cs="Calibri"/>
                <w:noProof/>
              </w:rPr>
            </w:pPr>
            <w:r>
              <w:rPr>
                <w:noProof/>
              </w:rPr>
              <w:t>3.15</w:t>
            </w:r>
          </w:p>
        </w:tc>
        <w:tc>
          <w:tcPr>
            <w:tcW w:w="1760" w:type="dxa"/>
            <w:tcBorders>
              <w:top w:val="nil"/>
              <w:left w:val="nil"/>
              <w:bottom w:val="single" w:sz="4" w:space="0" w:color="auto"/>
              <w:right w:val="single" w:sz="4" w:space="0" w:color="auto"/>
            </w:tcBorders>
            <w:shd w:val="clear" w:color="auto" w:fill="C4EFCE"/>
            <w:vAlign w:val="center"/>
            <w:hideMark/>
          </w:tcPr>
          <w:p w14:paraId="135E8FAE" w14:textId="77777777" w:rsidR="00154AD2" w:rsidRDefault="007F6BF3">
            <w:pPr>
              <w:pStyle w:val="P68B1DB1-Normal23"/>
              <w:spacing w:after="0"/>
              <w:jc w:val="center"/>
              <w:rPr>
                <w:rFonts w:eastAsia="Calibri" w:cs="Calibri"/>
                <w:noProof/>
              </w:rPr>
            </w:pPr>
            <w:r>
              <w:rPr>
                <w:noProof/>
              </w:rPr>
              <w:t>RE-C03-i04-RAA</w:t>
            </w:r>
          </w:p>
        </w:tc>
        <w:tc>
          <w:tcPr>
            <w:tcW w:w="1520" w:type="dxa"/>
            <w:tcBorders>
              <w:top w:val="nil"/>
              <w:left w:val="nil"/>
              <w:bottom w:val="single" w:sz="4" w:space="0" w:color="auto"/>
              <w:right w:val="single" w:sz="4" w:space="0" w:color="auto"/>
            </w:tcBorders>
            <w:shd w:val="clear" w:color="auto" w:fill="C4EFCE"/>
            <w:vAlign w:val="center"/>
            <w:hideMark/>
          </w:tcPr>
          <w:p w14:paraId="2DBAB544"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EC8CE3D" w14:textId="77777777" w:rsidR="00154AD2" w:rsidRDefault="007F6BF3">
            <w:pPr>
              <w:pStyle w:val="P68B1DB1-Normal23"/>
              <w:spacing w:after="0"/>
              <w:jc w:val="both"/>
              <w:rPr>
                <w:rFonts w:eastAsia="Calibri" w:cs="Calibri"/>
                <w:noProof/>
              </w:rPr>
            </w:pPr>
            <w:r>
              <w:rPr>
                <w:noProof/>
              </w:rPr>
              <w:t>Έργο «Γήρανση σε ισχύ»</w:t>
            </w:r>
          </w:p>
        </w:tc>
      </w:tr>
      <w:tr w:rsidR="00154AD2" w14:paraId="02338D1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55DE03A" w14:textId="77777777" w:rsidR="00154AD2" w:rsidRDefault="007F6BF3">
            <w:pPr>
              <w:pStyle w:val="P68B1DB1-Normal23"/>
              <w:spacing w:after="0"/>
              <w:jc w:val="center"/>
              <w:rPr>
                <w:rFonts w:eastAsia="Calibri" w:cs="Calibri"/>
                <w:noProof/>
              </w:rPr>
            </w:pPr>
            <w:r>
              <w:rPr>
                <w:noProof/>
              </w:rPr>
              <w:t>3.16</w:t>
            </w:r>
          </w:p>
        </w:tc>
        <w:tc>
          <w:tcPr>
            <w:tcW w:w="1760" w:type="dxa"/>
            <w:tcBorders>
              <w:top w:val="nil"/>
              <w:left w:val="nil"/>
              <w:bottom w:val="single" w:sz="4" w:space="0" w:color="auto"/>
              <w:right w:val="single" w:sz="4" w:space="0" w:color="auto"/>
            </w:tcBorders>
            <w:shd w:val="clear" w:color="auto" w:fill="C4EFCE"/>
            <w:vAlign w:val="center"/>
            <w:hideMark/>
          </w:tcPr>
          <w:p w14:paraId="1D6FD45C" w14:textId="77777777" w:rsidR="00154AD2" w:rsidRDefault="007F6BF3">
            <w:pPr>
              <w:pStyle w:val="P68B1DB1-Normal23"/>
              <w:spacing w:after="0"/>
              <w:jc w:val="center"/>
              <w:rPr>
                <w:rFonts w:eastAsia="Calibri" w:cs="Calibri"/>
                <w:noProof/>
              </w:rPr>
            </w:pPr>
            <w:r>
              <w:rPr>
                <w:noProof/>
              </w:rPr>
              <w:t>RE-C03-i04-RAA</w:t>
            </w:r>
          </w:p>
        </w:tc>
        <w:tc>
          <w:tcPr>
            <w:tcW w:w="1520" w:type="dxa"/>
            <w:tcBorders>
              <w:top w:val="nil"/>
              <w:left w:val="nil"/>
              <w:bottom w:val="single" w:sz="4" w:space="0" w:color="auto"/>
              <w:right w:val="single" w:sz="4" w:space="0" w:color="auto"/>
            </w:tcBorders>
            <w:shd w:val="clear" w:color="auto" w:fill="C4EFCE"/>
            <w:vAlign w:val="center"/>
            <w:hideMark/>
          </w:tcPr>
          <w:p w14:paraId="6632853E"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B2E81BA" w14:textId="77777777" w:rsidR="00154AD2" w:rsidRDefault="007F6BF3">
            <w:pPr>
              <w:pStyle w:val="P68B1DB1-Normal23"/>
              <w:spacing w:after="0"/>
              <w:jc w:val="both"/>
              <w:rPr>
                <w:rFonts w:eastAsia="Calibri" w:cs="Calibri"/>
                <w:noProof/>
              </w:rPr>
            </w:pPr>
            <w:r>
              <w:rPr>
                <w:noProof/>
              </w:rPr>
              <w:t>Μέτρα για την καταπολέμηση της πρόωρης εγκατάλειψης του σχολείου από τα παιδιά και τους νέους.</w:t>
            </w:r>
          </w:p>
        </w:tc>
      </w:tr>
      <w:tr w:rsidR="00154AD2" w14:paraId="5AD9EFC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EB99BDB" w14:textId="77777777" w:rsidR="00154AD2" w:rsidRDefault="007F6BF3">
            <w:pPr>
              <w:pStyle w:val="P68B1DB1-Normal23"/>
              <w:spacing w:after="0"/>
              <w:jc w:val="center"/>
              <w:rPr>
                <w:rFonts w:eastAsia="Calibri" w:cs="Calibri"/>
                <w:noProof/>
              </w:rPr>
            </w:pPr>
            <w:r>
              <w:rPr>
                <w:noProof/>
              </w:rPr>
              <w:t>3.19</w:t>
            </w:r>
          </w:p>
        </w:tc>
        <w:tc>
          <w:tcPr>
            <w:tcW w:w="1760" w:type="dxa"/>
            <w:tcBorders>
              <w:top w:val="nil"/>
              <w:left w:val="nil"/>
              <w:bottom w:val="single" w:sz="4" w:space="0" w:color="auto"/>
              <w:right w:val="single" w:sz="4" w:space="0" w:color="auto"/>
            </w:tcBorders>
            <w:shd w:val="clear" w:color="auto" w:fill="C4EFCE"/>
            <w:vAlign w:val="center"/>
            <w:hideMark/>
          </w:tcPr>
          <w:p w14:paraId="019CDFE1" w14:textId="77777777" w:rsidR="00154AD2" w:rsidRDefault="007F6BF3">
            <w:pPr>
              <w:pStyle w:val="P68B1DB1-Normal23"/>
              <w:spacing w:after="0"/>
              <w:jc w:val="center"/>
              <w:rPr>
                <w:rFonts w:eastAsia="Calibri" w:cs="Calibri"/>
                <w:noProof/>
              </w:rPr>
            </w:pPr>
            <w:r>
              <w:rPr>
                <w:noProof/>
              </w:rPr>
              <w:t>RE-C03-i05</w:t>
            </w:r>
          </w:p>
        </w:tc>
        <w:tc>
          <w:tcPr>
            <w:tcW w:w="1520" w:type="dxa"/>
            <w:tcBorders>
              <w:top w:val="nil"/>
              <w:left w:val="nil"/>
              <w:bottom w:val="single" w:sz="4" w:space="0" w:color="auto"/>
              <w:right w:val="single" w:sz="4" w:space="0" w:color="auto"/>
            </w:tcBorders>
            <w:shd w:val="clear" w:color="auto" w:fill="C4EFCE"/>
            <w:vAlign w:val="center"/>
            <w:hideMark/>
          </w:tcPr>
          <w:p w14:paraId="7A457182"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55207FF6" w14:textId="77777777" w:rsidR="00154AD2" w:rsidRDefault="007F6BF3">
            <w:pPr>
              <w:pStyle w:val="P68B1DB1-Normal23"/>
              <w:spacing w:after="0"/>
              <w:jc w:val="both"/>
              <w:rPr>
                <w:rFonts w:eastAsia="Calibri" w:cs="Calibri"/>
                <w:noProof/>
              </w:rPr>
            </w:pPr>
            <w:r>
              <w:rPr>
                <w:noProof/>
              </w:rPr>
              <w:t>Κέντρο κλήσεων για την πορτογαλική νοηματική γλώσσα</w:t>
            </w:r>
          </w:p>
        </w:tc>
      </w:tr>
      <w:tr w:rsidR="00154AD2" w14:paraId="1BA1930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5D0CFAD" w14:textId="77777777" w:rsidR="00154AD2" w:rsidRDefault="007F6BF3">
            <w:pPr>
              <w:pStyle w:val="P68B1DB1-Normal23"/>
              <w:spacing w:after="0"/>
              <w:jc w:val="center"/>
              <w:rPr>
                <w:rFonts w:eastAsia="Calibri" w:cs="Calibri"/>
                <w:noProof/>
              </w:rPr>
            </w:pPr>
            <w:r>
              <w:rPr>
                <w:noProof/>
              </w:rPr>
              <w:t>3.26</w:t>
            </w:r>
          </w:p>
        </w:tc>
        <w:tc>
          <w:tcPr>
            <w:tcW w:w="1760" w:type="dxa"/>
            <w:tcBorders>
              <w:top w:val="nil"/>
              <w:left w:val="nil"/>
              <w:bottom w:val="single" w:sz="4" w:space="0" w:color="auto"/>
              <w:right w:val="single" w:sz="4" w:space="0" w:color="auto"/>
            </w:tcBorders>
            <w:shd w:val="clear" w:color="auto" w:fill="C4EFCE"/>
            <w:vAlign w:val="center"/>
            <w:hideMark/>
          </w:tcPr>
          <w:p w14:paraId="66BC21FF" w14:textId="77777777" w:rsidR="00154AD2" w:rsidRDefault="007F6BF3">
            <w:pPr>
              <w:pStyle w:val="P68B1DB1-Normal23"/>
              <w:spacing w:after="0"/>
              <w:jc w:val="center"/>
              <w:rPr>
                <w:rFonts w:eastAsia="Calibri" w:cs="Calibri"/>
                <w:noProof/>
              </w:rPr>
            </w:pPr>
            <w:r>
              <w:rPr>
                <w:noProof/>
              </w:rPr>
              <w:t>RE-C03-i06</w:t>
            </w:r>
          </w:p>
        </w:tc>
        <w:tc>
          <w:tcPr>
            <w:tcW w:w="1520" w:type="dxa"/>
            <w:tcBorders>
              <w:top w:val="nil"/>
              <w:left w:val="nil"/>
              <w:bottom w:val="single" w:sz="4" w:space="0" w:color="auto"/>
              <w:right w:val="single" w:sz="4" w:space="0" w:color="auto"/>
            </w:tcBorders>
            <w:shd w:val="clear" w:color="auto" w:fill="C4EFCE"/>
            <w:vAlign w:val="center"/>
            <w:hideMark/>
          </w:tcPr>
          <w:p w14:paraId="5A71211B"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10FF11C" w14:textId="77777777" w:rsidR="00154AD2" w:rsidRDefault="007F6BF3">
            <w:pPr>
              <w:pStyle w:val="P68B1DB1-Normal23"/>
              <w:spacing w:after="0"/>
              <w:jc w:val="both"/>
              <w:rPr>
                <w:rFonts w:eastAsia="Calibri" w:cs="Calibri"/>
                <w:noProof/>
              </w:rPr>
            </w:pPr>
            <w:r>
              <w:rPr>
                <w:noProof/>
              </w:rPr>
              <w:t>Πλήρης υλοποίηση τουλάχιστον του 90 % των μέτρων</w:t>
            </w:r>
          </w:p>
        </w:tc>
      </w:tr>
      <w:tr w:rsidR="00154AD2" w14:paraId="4169E84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091E41C" w14:textId="77777777" w:rsidR="00154AD2" w:rsidRDefault="007F6BF3">
            <w:pPr>
              <w:pStyle w:val="P68B1DB1-Normal23"/>
              <w:spacing w:after="0"/>
              <w:jc w:val="center"/>
              <w:rPr>
                <w:rFonts w:eastAsia="Calibri" w:cs="Calibri"/>
                <w:noProof/>
              </w:rPr>
            </w:pPr>
            <w:r>
              <w:rPr>
                <w:noProof/>
              </w:rPr>
              <w:t>3.27</w:t>
            </w:r>
          </w:p>
        </w:tc>
        <w:tc>
          <w:tcPr>
            <w:tcW w:w="1760" w:type="dxa"/>
            <w:tcBorders>
              <w:top w:val="nil"/>
              <w:left w:val="nil"/>
              <w:bottom w:val="single" w:sz="4" w:space="0" w:color="auto"/>
              <w:right w:val="single" w:sz="4" w:space="0" w:color="auto"/>
            </w:tcBorders>
            <w:shd w:val="clear" w:color="auto" w:fill="C4EFCE"/>
            <w:vAlign w:val="center"/>
            <w:hideMark/>
          </w:tcPr>
          <w:p w14:paraId="17E8CFFB" w14:textId="77777777" w:rsidR="00154AD2" w:rsidRDefault="007F6BF3">
            <w:pPr>
              <w:pStyle w:val="P68B1DB1-Normal23"/>
              <w:spacing w:after="0"/>
              <w:jc w:val="center"/>
              <w:rPr>
                <w:rFonts w:eastAsia="Calibri" w:cs="Calibri"/>
                <w:noProof/>
              </w:rPr>
            </w:pPr>
            <w:r>
              <w:rPr>
                <w:noProof/>
              </w:rPr>
              <w:t>RE-C03-i03-RAM</w:t>
            </w:r>
          </w:p>
        </w:tc>
        <w:tc>
          <w:tcPr>
            <w:tcW w:w="1520" w:type="dxa"/>
            <w:tcBorders>
              <w:top w:val="nil"/>
              <w:left w:val="nil"/>
              <w:bottom w:val="single" w:sz="4" w:space="0" w:color="auto"/>
              <w:right w:val="single" w:sz="4" w:space="0" w:color="auto"/>
            </w:tcBorders>
            <w:shd w:val="clear" w:color="auto" w:fill="C4EFCE"/>
            <w:vAlign w:val="center"/>
            <w:hideMark/>
          </w:tcPr>
          <w:p w14:paraId="597F8070"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B6F21A2" w14:textId="77777777" w:rsidR="00154AD2" w:rsidRDefault="007F6BF3">
            <w:pPr>
              <w:pStyle w:val="P68B1DB1-Normal23"/>
              <w:spacing w:after="0"/>
              <w:jc w:val="both"/>
              <w:rPr>
                <w:rFonts w:eastAsia="Calibri" w:cs="Calibri"/>
                <w:noProof/>
              </w:rPr>
            </w:pPr>
            <w:r>
              <w:rPr>
                <w:noProof/>
              </w:rPr>
              <w:t>Αριθμός θέσεων σε οίκους ευγηρίας που υποστηρίζουν άστεγους</w:t>
            </w:r>
          </w:p>
        </w:tc>
      </w:tr>
      <w:tr w:rsidR="00154AD2" w14:paraId="54E5159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7005D2F" w14:textId="77777777" w:rsidR="00154AD2" w:rsidRDefault="007F6BF3">
            <w:pPr>
              <w:pStyle w:val="P68B1DB1-Normal23"/>
              <w:spacing w:after="0"/>
              <w:jc w:val="center"/>
              <w:rPr>
                <w:rFonts w:eastAsia="Calibri" w:cs="Calibri"/>
                <w:noProof/>
              </w:rPr>
            </w:pPr>
            <w:r>
              <w:rPr>
                <w:noProof/>
              </w:rPr>
              <w:t>4.2</w:t>
            </w:r>
          </w:p>
        </w:tc>
        <w:tc>
          <w:tcPr>
            <w:tcW w:w="1760" w:type="dxa"/>
            <w:tcBorders>
              <w:top w:val="nil"/>
              <w:left w:val="nil"/>
              <w:bottom w:val="single" w:sz="4" w:space="0" w:color="auto"/>
              <w:right w:val="single" w:sz="4" w:space="0" w:color="auto"/>
            </w:tcBorders>
            <w:shd w:val="clear" w:color="auto" w:fill="C4EFCE"/>
            <w:vAlign w:val="center"/>
            <w:hideMark/>
          </w:tcPr>
          <w:p w14:paraId="04039DCF" w14:textId="77777777" w:rsidR="00154AD2" w:rsidRDefault="007F6BF3">
            <w:pPr>
              <w:pStyle w:val="P68B1DB1-Normal23"/>
              <w:spacing w:after="0"/>
              <w:jc w:val="center"/>
              <w:rPr>
                <w:rFonts w:eastAsia="Calibri" w:cs="Calibri"/>
                <w:noProof/>
              </w:rPr>
            </w:pPr>
            <w:r>
              <w:rPr>
                <w:noProof/>
              </w:rPr>
              <w:t>RE-C04-i01</w:t>
            </w:r>
          </w:p>
        </w:tc>
        <w:tc>
          <w:tcPr>
            <w:tcW w:w="1520" w:type="dxa"/>
            <w:tcBorders>
              <w:top w:val="nil"/>
              <w:left w:val="nil"/>
              <w:bottom w:val="single" w:sz="4" w:space="0" w:color="auto"/>
              <w:right w:val="single" w:sz="4" w:space="0" w:color="auto"/>
            </w:tcBorders>
            <w:shd w:val="clear" w:color="auto" w:fill="C4EFCE"/>
            <w:vAlign w:val="center"/>
            <w:hideMark/>
          </w:tcPr>
          <w:p w14:paraId="19C9B77D"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A90ED1B" w14:textId="77777777" w:rsidR="00154AD2" w:rsidRDefault="007F6BF3">
            <w:pPr>
              <w:pStyle w:val="P68B1DB1-Normal23"/>
              <w:spacing w:after="0"/>
              <w:jc w:val="both"/>
              <w:rPr>
                <w:rFonts w:eastAsia="Calibri" w:cs="Calibri"/>
                <w:noProof/>
              </w:rPr>
            </w:pPr>
            <w:r>
              <w:rPr>
                <w:noProof/>
              </w:rPr>
              <w:t>Χρηματοδοτική στήριξη για την ψηφιακή μετάβαση των βιβλιοπωλείων</w:t>
            </w:r>
          </w:p>
        </w:tc>
      </w:tr>
      <w:tr w:rsidR="00154AD2" w14:paraId="53B3FFF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3799066" w14:textId="77777777" w:rsidR="00154AD2" w:rsidRDefault="007F6BF3">
            <w:pPr>
              <w:pStyle w:val="P68B1DB1-Normal23"/>
              <w:spacing w:after="0"/>
              <w:jc w:val="center"/>
              <w:rPr>
                <w:rFonts w:eastAsia="Calibri" w:cs="Calibri"/>
                <w:noProof/>
              </w:rPr>
            </w:pPr>
            <w:r>
              <w:rPr>
                <w:noProof/>
              </w:rPr>
              <w:t>4.3</w:t>
            </w:r>
          </w:p>
        </w:tc>
        <w:tc>
          <w:tcPr>
            <w:tcW w:w="1760" w:type="dxa"/>
            <w:tcBorders>
              <w:top w:val="nil"/>
              <w:left w:val="nil"/>
              <w:bottom w:val="single" w:sz="4" w:space="0" w:color="auto"/>
              <w:right w:val="single" w:sz="4" w:space="0" w:color="auto"/>
            </w:tcBorders>
            <w:shd w:val="clear" w:color="auto" w:fill="C4EFCE"/>
            <w:vAlign w:val="center"/>
            <w:hideMark/>
          </w:tcPr>
          <w:p w14:paraId="19A59DC1" w14:textId="77777777" w:rsidR="00154AD2" w:rsidRDefault="007F6BF3">
            <w:pPr>
              <w:pStyle w:val="P68B1DB1-Normal23"/>
              <w:spacing w:after="0"/>
              <w:jc w:val="center"/>
              <w:rPr>
                <w:rFonts w:eastAsia="Calibri" w:cs="Calibri"/>
                <w:noProof/>
              </w:rPr>
            </w:pPr>
            <w:r>
              <w:rPr>
                <w:noProof/>
              </w:rPr>
              <w:t>RE-C04-i01</w:t>
            </w:r>
          </w:p>
        </w:tc>
        <w:tc>
          <w:tcPr>
            <w:tcW w:w="1520" w:type="dxa"/>
            <w:tcBorders>
              <w:top w:val="nil"/>
              <w:left w:val="nil"/>
              <w:bottom w:val="single" w:sz="4" w:space="0" w:color="auto"/>
              <w:right w:val="single" w:sz="4" w:space="0" w:color="auto"/>
            </w:tcBorders>
            <w:shd w:val="clear" w:color="auto" w:fill="C4EFCE"/>
            <w:vAlign w:val="center"/>
            <w:hideMark/>
          </w:tcPr>
          <w:p w14:paraId="01A1C2F8"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5C14D01" w14:textId="77777777" w:rsidR="00154AD2" w:rsidRDefault="007F6BF3">
            <w:pPr>
              <w:pStyle w:val="P68B1DB1-Normal23"/>
              <w:spacing w:after="0"/>
              <w:jc w:val="both"/>
              <w:rPr>
                <w:rFonts w:eastAsia="Calibri" w:cs="Calibri"/>
                <w:noProof/>
              </w:rPr>
            </w:pPr>
            <w:r>
              <w:rPr>
                <w:noProof/>
              </w:rPr>
              <w:t>Ψηφιοποίηση και εικονικοποίηση των δημόσιων συλλογών</w:t>
            </w:r>
          </w:p>
        </w:tc>
      </w:tr>
      <w:tr w:rsidR="00154AD2" w14:paraId="0568175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6ED163" w14:textId="77777777" w:rsidR="00154AD2" w:rsidRDefault="007F6BF3">
            <w:pPr>
              <w:pStyle w:val="P68B1DB1-Normal23"/>
              <w:spacing w:after="0"/>
              <w:jc w:val="center"/>
              <w:rPr>
                <w:rFonts w:eastAsia="Calibri" w:cs="Calibri"/>
                <w:noProof/>
              </w:rPr>
            </w:pPr>
            <w:r>
              <w:rPr>
                <w:noProof/>
              </w:rPr>
              <w:t>4.5</w:t>
            </w:r>
          </w:p>
        </w:tc>
        <w:tc>
          <w:tcPr>
            <w:tcW w:w="1760" w:type="dxa"/>
            <w:tcBorders>
              <w:top w:val="nil"/>
              <w:left w:val="nil"/>
              <w:bottom w:val="single" w:sz="4" w:space="0" w:color="auto"/>
              <w:right w:val="single" w:sz="4" w:space="0" w:color="auto"/>
            </w:tcBorders>
            <w:shd w:val="clear" w:color="auto" w:fill="C4EFCE"/>
            <w:vAlign w:val="center"/>
            <w:hideMark/>
          </w:tcPr>
          <w:p w14:paraId="2563A114" w14:textId="77777777" w:rsidR="00154AD2" w:rsidRDefault="007F6BF3">
            <w:pPr>
              <w:pStyle w:val="P68B1DB1-Normal23"/>
              <w:spacing w:after="0"/>
              <w:jc w:val="center"/>
              <w:rPr>
                <w:rFonts w:eastAsia="Calibri" w:cs="Calibri"/>
                <w:noProof/>
              </w:rPr>
            </w:pPr>
            <w:r>
              <w:rPr>
                <w:noProof/>
              </w:rPr>
              <w:t>RE-C04-i01</w:t>
            </w:r>
          </w:p>
        </w:tc>
        <w:tc>
          <w:tcPr>
            <w:tcW w:w="1520" w:type="dxa"/>
            <w:tcBorders>
              <w:top w:val="nil"/>
              <w:left w:val="nil"/>
              <w:bottom w:val="single" w:sz="4" w:space="0" w:color="auto"/>
              <w:right w:val="single" w:sz="4" w:space="0" w:color="auto"/>
            </w:tcBorders>
            <w:shd w:val="clear" w:color="auto" w:fill="C4EFCE"/>
            <w:vAlign w:val="center"/>
            <w:hideMark/>
          </w:tcPr>
          <w:p w14:paraId="7A273522"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D2E5462" w14:textId="77777777" w:rsidR="00154AD2" w:rsidRDefault="007F6BF3">
            <w:pPr>
              <w:pStyle w:val="P68B1DB1-Normal23"/>
              <w:spacing w:after="0"/>
              <w:jc w:val="both"/>
              <w:rPr>
                <w:rFonts w:eastAsia="Calibri" w:cs="Calibri"/>
                <w:noProof/>
              </w:rPr>
            </w:pPr>
            <w:r>
              <w:rPr>
                <w:noProof/>
              </w:rPr>
              <w:t>Χρηματοδοτική στήριξη για τη μετάφραση και την έκδοση λογοτεχνικών έργων</w:t>
            </w:r>
          </w:p>
        </w:tc>
      </w:tr>
      <w:tr w:rsidR="00154AD2" w14:paraId="7117E24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553E8A8" w14:textId="77777777" w:rsidR="00154AD2" w:rsidRDefault="007F6BF3">
            <w:pPr>
              <w:pStyle w:val="P68B1DB1-Normal23"/>
              <w:spacing w:after="0"/>
              <w:jc w:val="center"/>
              <w:rPr>
                <w:rFonts w:eastAsia="Calibri" w:cs="Calibri"/>
                <w:noProof/>
              </w:rPr>
            </w:pPr>
            <w:r>
              <w:rPr>
                <w:noProof/>
              </w:rPr>
              <w:t>4.11</w:t>
            </w:r>
          </w:p>
        </w:tc>
        <w:tc>
          <w:tcPr>
            <w:tcW w:w="1760" w:type="dxa"/>
            <w:tcBorders>
              <w:top w:val="nil"/>
              <w:left w:val="nil"/>
              <w:bottom w:val="single" w:sz="4" w:space="0" w:color="auto"/>
              <w:right w:val="single" w:sz="4" w:space="0" w:color="auto"/>
            </w:tcBorders>
            <w:shd w:val="clear" w:color="auto" w:fill="C4EFCE"/>
            <w:vAlign w:val="center"/>
            <w:hideMark/>
          </w:tcPr>
          <w:p w14:paraId="7F112129" w14:textId="77777777" w:rsidR="00154AD2" w:rsidRDefault="007F6BF3">
            <w:pPr>
              <w:pStyle w:val="P68B1DB1-Normal23"/>
              <w:spacing w:after="0"/>
              <w:jc w:val="center"/>
              <w:rPr>
                <w:rFonts w:eastAsia="Calibri" w:cs="Calibri"/>
                <w:noProof/>
              </w:rPr>
            </w:pPr>
            <w:r>
              <w:rPr>
                <w:noProof/>
              </w:rPr>
              <w:t>RE-C04-i02</w:t>
            </w:r>
          </w:p>
        </w:tc>
        <w:tc>
          <w:tcPr>
            <w:tcW w:w="1520" w:type="dxa"/>
            <w:tcBorders>
              <w:top w:val="nil"/>
              <w:left w:val="nil"/>
              <w:bottom w:val="single" w:sz="4" w:space="0" w:color="auto"/>
              <w:right w:val="single" w:sz="4" w:space="0" w:color="auto"/>
            </w:tcBorders>
            <w:shd w:val="clear" w:color="auto" w:fill="C4EFCE"/>
            <w:vAlign w:val="center"/>
            <w:hideMark/>
          </w:tcPr>
          <w:p w14:paraId="4F322192"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513ECBA9" w14:textId="77777777" w:rsidR="00154AD2" w:rsidRDefault="007F6BF3">
            <w:pPr>
              <w:pStyle w:val="P68B1DB1-Normal23"/>
              <w:spacing w:after="0"/>
              <w:jc w:val="both"/>
              <w:rPr>
                <w:rFonts w:eastAsia="Calibri" w:cs="Calibri"/>
                <w:noProof/>
              </w:rPr>
            </w:pPr>
            <w:r>
              <w:rPr>
                <w:noProof/>
              </w:rPr>
              <w:t>Εγκατάσταση εργαστηρίων και διαδρομών του Τεχνολογικού Κέντρου «Saber Fazer» και δημιουργία παιδαγωγικών και ενημερωτικών δραστηριοτήτων σχετικά με τις παραδοσιακές τεχνικές.</w:t>
            </w:r>
          </w:p>
        </w:tc>
      </w:tr>
      <w:tr w:rsidR="00154AD2" w14:paraId="54F1463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C503CAB" w14:textId="77777777" w:rsidR="00154AD2" w:rsidRDefault="007F6BF3">
            <w:pPr>
              <w:pStyle w:val="P68B1DB1-Normal23"/>
              <w:spacing w:after="0"/>
              <w:jc w:val="center"/>
              <w:rPr>
                <w:rFonts w:eastAsia="Calibri" w:cs="Calibri"/>
                <w:noProof/>
              </w:rPr>
            </w:pPr>
            <w:r>
              <w:rPr>
                <w:noProof/>
              </w:rPr>
              <w:t>5.6</w:t>
            </w:r>
          </w:p>
        </w:tc>
        <w:tc>
          <w:tcPr>
            <w:tcW w:w="1760" w:type="dxa"/>
            <w:tcBorders>
              <w:top w:val="nil"/>
              <w:left w:val="nil"/>
              <w:bottom w:val="single" w:sz="4" w:space="0" w:color="auto"/>
              <w:right w:val="single" w:sz="4" w:space="0" w:color="auto"/>
            </w:tcBorders>
            <w:shd w:val="clear" w:color="auto" w:fill="C4EFCE"/>
            <w:vAlign w:val="center"/>
            <w:hideMark/>
          </w:tcPr>
          <w:p w14:paraId="6D345099" w14:textId="77777777" w:rsidR="00154AD2" w:rsidRDefault="007F6BF3">
            <w:pPr>
              <w:pStyle w:val="P68B1DB1-Normal23"/>
              <w:spacing w:after="0"/>
              <w:jc w:val="center"/>
              <w:rPr>
                <w:rFonts w:eastAsia="Calibri" w:cs="Calibri"/>
                <w:noProof/>
              </w:rPr>
            </w:pPr>
            <w:r>
              <w:rPr>
                <w:noProof/>
              </w:rPr>
              <w:t>RE-C05-i01</w:t>
            </w:r>
          </w:p>
        </w:tc>
        <w:tc>
          <w:tcPr>
            <w:tcW w:w="1520" w:type="dxa"/>
            <w:tcBorders>
              <w:top w:val="nil"/>
              <w:left w:val="nil"/>
              <w:bottom w:val="single" w:sz="4" w:space="0" w:color="auto"/>
              <w:right w:val="single" w:sz="4" w:space="0" w:color="auto"/>
            </w:tcBorders>
            <w:shd w:val="clear" w:color="auto" w:fill="C4EFCE"/>
            <w:vAlign w:val="center"/>
            <w:hideMark/>
          </w:tcPr>
          <w:p w14:paraId="0B04EDAE"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71ED57F" w14:textId="77777777" w:rsidR="00154AD2" w:rsidRDefault="007F6BF3">
            <w:pPr>
              <w:pStyle w:val="P68B1DB1-Normal23"/>
              <w:spacing w:after="0"/>
              <w:jc w:val="both"/>
              <w:rPr>
                <w:rFonts w:eastAsia="Calibri" w:cs="Calibri"/>
                <w:noProof/>
              </w:rPr>
            </w:pPr>
            <w:r>
              <w:rPr>
                <w:noProof/>
              </w:rPr>
              <w:t>Ολοκλήρωση της εκτέλεσης των 6 συμβάσεων (σύμφωνα καινοτομίας ή σχέδια κινητοποίησης)</w:t>
            </w:r>
          </w:p>
        </w:tc>
      </w:tr>
      <w:tr w:rsidR="00154AD2" w14:paraId="56FFCB9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71EDCEE" w14:textId="77777777" w:rsidR="00154AD2" w:rsidRDefault="007F6BF3">
            <w:pPr>
              <w:pStyle w:val="P68B1DB1-Normal23"/>
              <w:spacing w:after="0"/>
              <w:jc w:val="center"/>
              <w:rPr>
                <w:rFonts w:eastAsia="Calibri" w:cs="Calibri"/>
                <w:noProof/>
              </w:rPr>
            </w:pPr>
            <w:r>
              <w:rPr>
                <w:noProof/>
              </w:rPr>
              <w:t>5.8</w:t>
            </w:r>
          </w:p>
        </w:tc>
        <w:tc>
          <w:tcPr>
            <w:tcW w:w="1760" w:type="dxa"/>
            <w:tcBorders>
              <w:top w:val="nil"/>
              <w:left w:val="nil"/>
              <w:bottom w:val="single" w:sz="4" w:space="0" w:color="auto"/>
              <w:right w:val="single" w:sz="4" w:space="0" w:color="auto"/>
            </w:tcBorders>
            <w:shd w:val="clear" w:color="auto" w:fill="C4EFCE"/>
            <w:vAlign w:val="center"/>
            <w:hideMark/>
          </w:tcPr>
          <w:p w14:paraId="060E7E77" w14:textId="77777777" w:rsidR="00154AD2" w:rsidRDefault="007F6BF3">
            <w:pPr>
              <w:pStyle w:val="P68B1DB1-Normal23"/>
              <w:spacing w:after="0"/>
              <w:jc w:val="center"/>
              <w:rPr>
                <w:rFonts w:eastAsia="Calibri" w:cs="Calibri"/>
                <w:noProof/>
              </w:rPr>
            </w:pPr>
            <w:r>
              <w:rPr>
                <w:noProof/>
              </w:rPr>
              <w:t>RE-C05-i01</w:t>
            </w:r>
          </w:p>
        </w:tc>
        <w:tc>
          <w:tcPr>
            <w:tcW w:w="1520" w:type="dxa"/>
            <w:tcBorders>
              <w:top w:val="nil"/>
              <w:left w:val="nil"/>
              <w:bottom w:val="single" w:sz="4" w:space="0" w:color="auto"/>
              <w:right w:val="single" w:sz="4" w:space="0" w:color="auto"/>
            </w:tcBorders>
            <w:shd w:val="clear" w:color="auto" w:fill="C4EFCE"/>
            <w:vAlign w:val="center"/>
            <w:hideMark/>
          </w:tcPr>
          <w:p w14:paraId="75165333"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482BFAA" w14:textId="77777777" w:rsidR="00154AD2" w:rsidRDefault="007F6BF3">
            <w:pPr>
              <w:pStyle w:val="P68B1DB1-Normal23"/>
              <w:spacing w:after="0"/>
              <w:jc w:val="both"/>
              <w:rPr>
                <w:rFonts w:eastAsia="Calibri" w:cs="Calibri"/>
                <w:noProof/>
              </w:rPr>
            </w:pPr>
            <w:r>
              <w:rPr>
                <w:noProof/>
              </w:rPr>
              <w:t>Προϊόντα, διαδικασίες ή υπηρεσίες (ΜΑΔ) που έχουν ολοκληρωθεί και σχετίζονται με την οικονομία χαμηλών εκπομπών διοξειδίου του άνθρακα, την ανθεκτικότητα και την προσαρμογή στην κλιματική αλλαγή</w:t>
            </w:r>
          </w:p>
        </w:tc>
      </w:tr>
      <w:tr w:rsidR="00154AD2" w14:paraId="5DA861D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E31B91E" w14:textId="77777777" w:rsidR="00154AD2" w:rsidRDefault="007F6BF3">
            <w:pPr>
              <w:pStyle w:val="P68B1DB1-Normal23"/>
              <w:spacing w:after="0"/>
              <w:jc w:val="center"/>
              <w:rPr>
                <w:rFonts w:eastAsia="Calibri" w:cs="Calibri"/>
                <w:noProof/>
              </w:rPr>
            </w:pPr>
            <w:r>
              <w:rPr>
                <w:noProof/>
              </w:rPr>
              <w:t>5.10</w:t>
            </w:r>
          </w:p>
        </w:tc>
        <w:tc>
          <w:tcPr>
            <w:tcW w:w="1760" w:type="dxa"/>
            <w:tcBorders>
              <w:top w:val="nil"/>
              <w:left w:val="nil"/>
              <w:bottom w:val="single" w:sz="4" w:space="0" w:color="auto"/>
              <w:right w:val="single" w:sz="4" w:space="0" w:color="auto"/>
            </w:tcBorders>
            <w:shd w:val="clear" w:color="auto" w:fill="C4EFCE"/>
            <w:vAlign w:val="center"/>
            <w:hideMark/>
          </w:tcPr>
          <w:p w14:paraId="44979142" w14:textId="77777777" w:rsidR="00154AD2" w:rsidRDefault="007F6BF3">
            <w:pPr>
              <w:pStyle w:val="P68B1DB1-Normal23"/>
              <w:spacing w:after="0"/>
              <w:jc w:val="center"/>
              <w:rPr>
                <w:rFonts w:eastAsia="Calibri" w:cs="Calibri"/>
                <w:noProof/>
              </w:rPr>
            </w:pPr>
            <w:r>
              <w:rPr>
                <w:noProof/>
              </w:rPr>
              <w:t>RE-C05-i02</w:t>
            </w:r>
          </w:p>
        </w:tc>
        <w:tc>
          <w:tcPr>
            <w:tcW w:w="1520" w:type="dxa"/>
            <w:tcBorders>
              <w:top w:val="nil"/>
              <w:left w:val="nil"/>
              <w:bottom w:val="single" w:sz="4" w:space="0" w:color="auto"/>
              <w:right w:val="single" w:sz="4" w:space="0" w:color="auto"/>
            </w:tcBorders>
            <w:shd w:val="clear" w:color="auto" w:fill="C4EFCE"/>
            <w:vAlign w:val="center"/>
            <w:hideMark/>
          </w:tcPr>
          <w:p w14:paraId="05AC7742"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467D021" w14:textId="77777777" w:rsidR="00154AD2" w:rsidRDefault="007F6BF3">
            <w:pPr>
              <w:pStyle w:val="P68B1DB1-Normal23"/>
              <w:spacing w:after="0"/>
              <w:jc w:val="both"/>
              <w:rPr>
                <w:rFonts w:eastAsia="Calibri" w:cs="Calibri"/>
                <w:noProof/>
              </w:rPr>
            </w:pPr>
            <w:r>
              <w:rPr>
                <w:noProof/>
              </w:rPr>
              <w:t>Εταιρείες που επωφελούνται από τις υπηρεσίες που παρέχονται από τους φορείς διεπαφής, συμπεριλαμβανομένων των συνεργατικών εργαστηρίων -Colabs</w:t>
            </w:r>
          </w:p>
        </w:tc>
      </w:tr>
      <w:tr w:rsidR="00154AD2" w14:paraId="13B590C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FBD9B58" w14:textId="77777777" w:rsidR="00154AD2" w:rsidRDefault="007F6BF3">
            <w:pPr>
              <w:pStyle w:val="P68B1DB1-Normal23"/>
              <w:spacing w:after="0"/>
              <w:jc w:val="center"/>
              <w:rPr>
                <w:rFonts w:eastAsia="Calibri" w:cs="Calibri"/>
                <w:noProof/>
              </w:rPr>
            </w:pPr>
            <w:r>
              <w:rPr>
                <w:noProof/>
              </w:rPr>
              <w:t>5.12</w:t>
            </w:r>
          </w:p>
        </w:tc>
        <w:tc>
          <w:tcPr>
            <w:tcW w:w="1760" w:type="dxa"/>
            <w:tcBorders>
              <w:top w:val="nil"/>
              <w:left w:val="nil"/>
              <w:bottom w:val="single" w:sz="4" w:space="0" w:color="auto"/>
              <w:right w:val="single" w:sz="4" w:space="0" w:color="auto"/>
            </w:tcBorders>
            <w:shd w:val="clear" w:color="auto" w:fill="C4EFCE"/>
            <w:vAlign w:val="center"/>
            <w:hideMark/>
          </w:tcPr>
          <w:p w14:paraId="47FD4194" w14:textId="77777777" w:rsidR="00154AD2" w:rsidRDefault="007F6BF3">
            <w:pPr>
              <w:pStyle w:val="P68B1DB1-Normal23"/>
              <w:spacing w:after="0"/>
              <w:jc w:val="center"/>
              <w:rPr>
                <w:rFonts w:eastAsia="Calibri" w:cs="Calibri"/>
                <w:noProof/>
              </w:rPr>
            </w:pPr>
            <w:r>
              <w:rPr>
                <w:noProof/>
              </w:rPr>
              <w:t>RE-C05-i03</w:t>
            </w:r>
          </w:p>
        </w:tc>
        <w:tc>
          <w:tcPr>
            <w:tcW w:w="1520" w:type="dxa"/>
            <w:tcBorders>
              <w:top w:val="nil"/>
              <w:left w:val="nil"/>
              <w:bottom w:val="single" w:sz="4" w:space="0" w:color="auto"/>
              <w:right w:val="single" w:sz="4" w:space="0" w:color="auto"/>
            </w:tcBorders>
            <w:shd w:val="clear" w:color="auto" w:fill="C4EFCE"/>
            <w:vAlign w:val="center"/>
            <w:hideMark/>
          </w:tcPr>
          <w:p w14:paraId="59C9B6F6"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A7CE04C" w14:textId="77777777" w:rsidR="00154AD2" w:rsidRDefault="007F6BF3">
            <w:pPr>
              <w:pStyle w:val="P68B1DB1-Normal23"/>
              <w:spacing w:after="0"/>
              <w:jc w:val="both"/>
              <w:rPr>
                <w:rFonts w:eastAsia="Calibri" w:cs="Calibri"/>
                <w:noProof/>
              </w:rPr>
            </w:pPr>
            <w:r>
              <w:rPr>
                <w:noProof/>
              </w:rPr>
              <w:t>Ολοκλήρωση των έργων καινοτομίας και έρευνας που επικεντρώνονται στις πράσινες πτυχές του θεματολογίου καινοτομίας για τη γεωργία 2030</w:t>
            </w:r>
          </w:p>
        </w:tc>
      </w:tr>
      <w:tr w:rsidR="00154AD2" w14:paraId="67C7014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7804C4E" w14:textId="77777777" w:rsidR="00154AD2" w:rsidRDefault="007F6BF3">
            <w:pPr>
              <w:pStyle w:val="P68B1DB1-Normal23"/>
              <w:spacing w:after="0"/>
              <w:jc w:val="center"/>
              <w:rPr>
                <w:rFonts w:eastAsia="Calibri" w:cs="Calibri"/>
                <w:noProof/>
              </w:rPr>
            </w:pPr>
            <w:r>
              <w:rPr>
                <w:noProof/>
              </w:rPr>
              <w:t>5.13</w:t>
            </w:r>
          </w:p>
        </w:tc>
        <w:tc>
          <w:tcPr>
            <w:tcW w:w="1760" w:type="dxa"/>
            <w:tcBorders>
              <w:top w:val="nil"/>
              <w:left w:val="nil"/>
              <w:bottom w:val="single" w:sz="4" w:space="0" w:color="auto"/>
              <w:right w:val="single" w:sz="4" w:space="0" w:color="auto"/>
            </w:tcBorders>
            <w:shd w:val="clear" w:color="auto" w:fill="C4EFCE"/>
            <w:vAlign w:val="center"/>
            <w:hideMark/>
          </w:tcPr>
          <w:p w14:paraId="4FFC2BA5" w14:textId="77777777" w:rsidR="00154AD2" w:rsidRDefault="007F6BF3">
            <w:pPr>
              <w:pStyle w:val="P68B1DB1-Normal23"/>
              <w:spacing w:after="0"/>
              <w:jc w:val="center"/>
              <w:rPr>
                <w:rFonts w:eastAsia="Calibri" w:cs="Calibri"/>
                <w:noProof/>
              </w:rPr>
            </w:pPr>
            <w:r>
              <w:rPr>
                <w:noProof/>
              </w:rPr>
              <w:t>RE-C05-i03</w:t>
            </w:r>
          </w:p>
        </w:tc>
        <w:tc>
          <w:tcPr>
            <w:tcW w:w="1520" w:type="dxa"/>
            <w:tcBorders>
              <w:top w:val="nil"/>
              <w:left w:val="nil"/>
              <w:bottom w:val="single" w:sz="4" w:space="0" w:color="auto"/>
              <w:right w:val="single" w:sz="4" w:space="0" w:color="auto"/>
            </w:tcBorders>
            <w:shd w:val="clear" w:color="auto" w:fill="C4EFCE"/>
            <w:vAlign w:val="center"/>
            <w:hideMark/>
          </w:tcPr>
          <w:p w14:paraId="18233495"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9A4F13A" w14:textId="2A433732" w:rsidR="00154AD2" w:rsidRDefault="007F6BF3">
            <w:pPr>
              <w:pStyle w:val="P68B1DB1-Normal23"/>
              <w:spacing w:after="0"/>
              <w:jc w:val="both"/>
              <w:rPr>
                <w:rFonts w:eastAsia="Calibri" w:cs="Calibri"/>
                <w:noProof/>
              </w:rPr>
            </w:pPr>
            <w:r>
              <w:rPr>
                <w:noProof/>
              </w:rPr>
              <w:t>Ολοκλήρωση 5 διαρθρωτικών έργων που επικεντρώνονται στις ψηφιακές πτυχές του θεματολογίου καινοτομίας για τη γεωργία 2030</w:t>
            </w:r>
          </w:p>
        </w:tc>
      </w:tr>
      <w:tr w:rsidR="00154AD2" w14:paraId="26F745F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888FE5F" w14:textId="77777777" w:rsidR="00154AD2" w:rsidRDefault="007F6BF3">
            <w:pPr>
              <w:pStyle w:val="P68B1DB1-Normal23"/>
              <w:spacing w:after="0"/>
              <w:jc w:val="center"/>
              <w:rPr>
                <w:rFonts w:eastAsia="Calibri" w:cs="Calibri"/>
                <w:noProof/>
              </w:rPr>
            </w:pPr>
            <w:r>
              <w:rPr>
                <w:noProof/>
              </w:rPr>
              <w:t>5.14</w:t>
            </w:r>
          </w:p>
        </w:tc>
        <w:tc>
          <w:tcPr>
            <w:tcW w:w="1760" w:type="dxa"/>
            <w:tcBorders>
              <w:top w:val="nil"/>
              <w:left w:val="nil"/>
              <w:bottom w:val="single" w:sz="4" w:space="0" w:color="auto"/>
              <w:right w:val="single" w:sz="4" w:space="0" w:color="auto"/>
            </w:tcBorders>
            <w:shd w:val="clear" w:color="auto" w:fill="C4EFCE"/>
            <w:vAlign w:val="center"/>
            <w:hideMark/>
          </w:tcPr>
          <w:p w14:paraId="1A936CD6" w14:textId="77777777" w:rsidR="00154AD2" w:rsidRDefault="007F6BF3">
            <w:pPr>
              <w:pStyle w:val="P68B1DB1-Normal23"/>
              <w:spacing w:after="0"/>
              <w:jc w:val="center"/>
              <w:rPr>
                <w:rFonts w:eastAsia="Calibri" w:cs="Calibri"/>
                <w:noProof/>
              </w:rPr>
            </w:pPr>
            <w:r>
              <w:rPr>
                <w:noProof/>
              </w:rPr>
              <w:t>RE-C05-i03</w:t>
            </w:r>
          </w:p>
        </w:tc>
        <w:tc>
          <w:tcPr>
            <w:tcW w:w="1520" w:type="dxa"/>
            <w:tcBorders>
              <w:top w:val="nil"/>
              <w:left w:val="nil"/>
              <w:bottom w:val="single" w:sz="4" w:space="0" w:color="auto"/>
              <w:right w:val="single" w:sz="4" w:space="0" w:color="auto"/>
            </w:tcBorders>
            <w:shd w:val="clear" w:color="auto" w:fill="C4EFCE"/>
            <w:vAlign w:val="center"/>
            <w:hideMark/>
          </w:tcPr>
          <w:p w14:paraId="24C31DEB"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C5F817B" w14:textId="77777777" w:rsidR="00154AD2" w:rsidRDefault="007F6BF3">
            <w:pPr>
              <w:pStyle w:val="P68B1DB1-Normal23"/>
              <w:spacing w:after="0"/>
              <w:jc w:val="both"/>
              <w:rPr>
                <w:rFonts w:eastAsia="Calibri" w:cs="Calibri"/>
                <w:noProof/>
              </w:rPr>
            </w:pPr>
            <w:r>
              <w:rPr>
                <w:noProof/>
              </w:rPr>
              <w:t>Ανανέωση/αναβάθμιση κόμβων γεωργικής καινοτομίας</w:t>
            </w:r>
          </w:p>
        </w:tc>
      </w:tr>
      <w:tr w:rsidR="00154AD2" w14:paraId="4850187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743FF5A" w14:textId="77777777" w:rsidR="00154AD2" w:rsidRDefault="007F6BF3">
            <w:pPr>
              <w:pStyle w:val="P68B1DB1-Normal23"/>
              <w:spacing w:after="0"/>
              <w:jc w:val="center"/>
              <w:rPr>
                <w:rFonts w:eastAsia="Calibri" w:cs="Calibri"/>
                <w:noProof/>
              </w:rPr>
            </w:pPr>
            <w:r>
              <w:rPr>
                <w:noProof/>
              </w:rPr>
              <w:t>5.17</w:t>
            </w:r>
          </w:p>
        </w:tc>
        <w:tc>
          <w:tcPr>
            <w:tcW w:w="1760" w:type="dxa"/>
            <w:tcBorders>
              <w:top w:val="nil"/>
              <w:left w:val="nil"/>
              <w:bottom w:val="single" w:sz="4" w:space="0" w:color="auto"/>
              <w:right w:val="single" w:sz="4" w:space="0" w:color="auto"/>
            </w:tcBorders>
            <w:shd w:val="clear" w:color="auto" w:fill="C4EFCE"/>
            <w:vAlign w:val="center"/>
            <w:hideMark/>
          </w:tcPr>
          <w:p w14:paraId="06A80BBF" w14:textId="77777777" w:rsidR="00154AD2" w:rsidRDefault="007F6BF3">
            <w:pPr>
              <w:pStyle w:val="P68B1DB1-Normal23"/>
              <w:spacing w:after="0"/>
              <w:jc w:val="center"/>
              <w:rPr>
                <w:rFonts w:eastAsia="Calibri" w:cs="Calibri"/>
                <w:noProof/>
              </w:rPr>
            </w:pPr>
            <w:r>
              <w:rPr>
                <w:noProof/>
              </w:rPr>
              <w:t>RE-C05-i04-RAA</w:t>
            </w:r>
          </w:p>
        </w:tc>
        <w:tc>
          <w:tcPr>
            <w:tcW w:w="1520" w:type="dxa"/>
            <w:tcBorders>
              <w:top w:val="nil"/>
              <w:left w:val="nil"/>
              <w:bottom w:val="single" w:sz="4" w:space="0" w:color="auto"/>
              <w:right w:val="single" w:sz="4" w:space="0" w:color="auto"/>
            </w:tcBorders>
            <w:shd w:val="clear" w:color="auto" w:fill="C4EFCE"/>
            <w:vAlign w:val="center"/>
            <w:hideMark/>
          </w:tcPr>
          <w:p w14:paraId="77D74F29"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A04E19E" w14:textId="77777777" w:rsidR="00154AD2" w:rsidRDefault="007F6BF3">
            <w:pPr>
              <w:pStyle w:val="P68B1DB1-Normal23"/>
              <w:spacing w:after="0"/>
              <w:jc w:val="both"/>
              <w:rPr>
                <w:rFonts w:eastAsia="Calibri" w:cs="Calibri"/>
                <w:noProof/>
              </w:rPr>
            </w:pPr>
            <w:r>
              <w:rPr>
                <w:noProof/>
              </w:rPr>
              <w:t>Παράδοση συνολικού ποσού 125 000 000 EUR στις μη χρηματοπιστωτικές επιχειρήσεις της περιοχής ως στήριξη ιδίων κεφαλαίων και οιονεί ιδίων κεφαλαίων, σύμφωνα με την επενδυτική πολιτική του μέσου. Ενδεικτικά, εκτιμάται ότι τουλάχιστον 300 επιχειρήσεις θα υποστηριχθούν από την ολοκλήρωση του σχεδίου.</w:t>
            </w:r>
          </w:p>
        </w:tc>
      </w:tr>
      <w:tr w:rsidR="00154AD2" w14:paraId="76F54C1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3C7F55C" w14:textId="77777777" w:rsidR="00154AD2" w:rsidRDefault="007F6BF3">
            <w:pPr>
              <w:pStyle w:val="P68B1DB1-Normal23"/>
              <w:spacing w:after="0"/>
              <w:jc w:val="center"/>
              <w:rPr>
                <w:rFonts w:eastAsia="Calibri" w:cs="Calibri"/>
                <w:noProof/>
              </w:rPr>
            </w:pPr>
            <w:r>
              <w:rPr>
                <w:noProof/>
              </w:rPr>
              <w:t>5.19</w:t>
            </w:r>
          </w:p>
        </w:tc>
        <w:tc>
          <w:tcPr>
            <w:tcW w:w="1760" w:type="dxa"/>
            <w:tcBorders>
              <w:top w:val="nil"/>
              <w:left w:val="nil"/>
              <w:bottom w:val="single" w:sz="4" w:space="0" w:color="auto"/>
              <w:right w:val="single" w:sz="4" w:space="0" w:color="auto"/>
            </w:tcBorders>
            <w:shd w:val="clear" w:color="auto" w:fill="C4EFCE"/>
            <w:vAlign w:val="center"/>
            <w:hideMark/>
          </w:tcPr>
          <w:p w14:paraId="691C999E" w14:textId="77777777" w:rsidR="00154AD2" w:rsidRDefault="007F6BF3">
            <w:pPr>
              <w:pStyle w:val="P68B1DB1-Normal23"/>
              <w:spacing w:after="0"/>
              <w:jc w:val="center"/>
              <w:rPr>
                <w:rFonts w:eastAsia="Calibri" w:cs="Calibri"/>
                <w:noProof/>
              </w:rPr>
            </w:pPr>
            <w:r>
              <w:rPr>
                <w:noProof/>
              </w:rPr>
              <w:t>RE-C05-i05-RAA</w:t>
            </w:r>
          </w:p>
        </w:tc>
        <w:tc>
          <w:tcPr>
            <w:tcW w:w="1520" w:type="dxa"/>
            <w:tcBorders>
              <w:top w:val="nil"/>
              <w:left w:val="nil"/>
              <w:bottom w:val="single" w:sz="4" w:space="0" w:color="auto"/>
              <w:right w:val="single" w:sz="4" w:space="0" w:color="auto"/>
            </w:tcBorders>
            <w:shd w:val="clear" w:color="auto" w:fill="C4EFCE"/>
            <w:vAlign w:val="center"/>
            <w:hideMark/>
          </w:tcPr>
          <w:p w14:paraId="093E4261"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4854002" w14:textId="77777777" w:rsidR="00154AD2" w:rsidRDefault="007F6BF3">
            <w:pPr>
              <w:pStyle w:val="P68B1DB1-Normal23"/>
              <w:spacing w:after="0"/>
              <w:jc w:val="both"/>
              <w:rPr>
                <w:rFonts w:eastAsia="Calibri" w:cs="Calibri"/>
                <w:noProof/>
              </w:rPr>
            </w:pPr>
            <w:r>
              <w:rPr>
                <w:noProof/>
              </w:rPr>
              <w:t>Νέες (προς αντικατάσταση των παρωχημένων δομών) ή αναξιοποίητες δομές που είναι υπεύθυνες για τη σφαγή των ζώων και πιστοποίηση της ποιότητας του γάλακτος και της ασφάλειας των τροφίμων</w:t>
            </w:r>
          </w:p>
        </w:tc>
      </w:tr>
      <w:tr w:rsidR="00154AD2" w14:paraId="6BB6737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75E800" w14:textId="77777777" w:rsidR="00154AD2" w:rsidRDefault="007F6BF3">
            <w:pPr>
              <w:pStyle w:val="P68B1DB1-Normal23"/>
              <w:spacing w:after="0"/>
              <w:jc w:val="center"/>
              <w:rPr>
                <w:rFonts w:eastAsia="Calibri" w:cs="Calibri"/>
                <w:noProof/>
              </w:rPr>
            </w:pPr>
            <w:r>
              <w:rPr>
                <w:noProof/>
              </w:rPr>
              <w:t>5.20</w:t>
            </w:r>
          </w:p>
        </w:tc>
        <w:tc>
          <w:tcPr>
            <w:tcW w:w="1760" w:type="dxa"/>
            <w:tcBorders>
              <w:top w:val="nil"/>
              <w:left w:val="nil"/>
              <w:bottom w:val="single" w:sz="4" w:space="0" w:color="auto"/>
              <w:right w:val="single" w:sz="4" w:space="0" w:color="auto"/>
            </w:tcBorders>
            <w:shd w:val="clear" w:color="auto" w:fill="C4EFCE"/>
            <w:vAlign w:val="center"/>
            <w:hideMark/>
          </w:tcPr>
          <w:p w14:paraId="35521E65" w14:textId="77777777" w:rsidR="00154AD2" w:rsidRDefault="007F6BF3">
            <w:pPr>
              <w:pStyle w:val="P68B1DB1-Normal23"/>
              <w:spacing w:after="0"/>
              <w:jc w:val="center"/>
              <w:rPr>
                <w:rFonts w:eastAsia="Calibri" w:cs="Calibri"/>
                <w:noProof/>
              </w:rPr>
            </w:pPr>
            <w:r>
              <w:rPr>
                <w:noProof/>
              </w:rPr>
              <w:t>RE-C05-i05-RAA</w:t>
            </w:r>
          </w:p>
        </w:tc>
        <w:tc>
          <w:tcPr>
            <w:tcW w:w="1520" w:type="dxa"/>
            <w:tcBorders>
              <w:top w:val="nil"/>
              <w:left w:val="nil"/>
              <w:bottom w:val="single" w:sz="4" w:space="0" w:color="auto"/>
              <w:right w:val="single" w:sz="4" w:space="0" w:color="auto"/>
            </w:tcBorders>
            <w:shd w:val="clear" w:color="auto" w:fill="C4EFCE"/>
            <w:vAlign w:val="center"/>
            <w:hideMark/>
          </w:tcPr>
          <w:p w14:paraId="2A64CCBA"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80ED2B5" w14:textId="77777777" w:rsidR="00154AD2" w:rsidRDefault="007F6BF3">
            <w:pPr>
              <w:pStyle w:val="P68B1DB1-Normal23"/>
              <w:spacing w:after="0"/>
              <w:jc w:val="both"/>
              <w:rPr>
                <w:rFonts w:eastAsia="Calibri" w:cs="Calibri"/>
                <w:noProof/>
              </w:rPr>
            </w:pPr>
            <w:r>
              <w:rPr>
                <w:noProof/>
              </w:rPr>
              <w:t>Σχέδια που υποστηρίζονται στο πλαίσιο καθεστώτων στήριξης για την αναδιάρθρωση επιχειρήσεων στον τομέα της μεταποίησης και της εμπορίας</w:t>
            </w:r>
          </w:p>
        </w:tc>
      </w:tr>
      <w:tr w:rsidR="00154AD2" w14:paraId="3FDB28E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178BD67" w14:textId="77777777" w:rsidR="00154AD2" w:rsidRDefault="007F6BF3">
            <w:pPr>
              <w:pStyle w:val="P68B1DB1-Normal23"/>
              <w:spacing w:after="0"/>
              <w:jc w:val="center"/>
              <w:rPr>
                <w:rFonts w:eastAsia="Calibri" w:cs="Calibri"/>
                <w:noProof/>
              </w:rPr>
            </w:pPr>
            <w:r>
              <w:rPr>
                <w:noProof/>
              </w:rPr>
              <w:t>5.21</w:t>
            </w:r>
          </w:p>
        </w:tc>
        <w:tc>
          <w:tcPr>
            <w:tcW w:w="1760" w:type="dxa"/>
            <w:tcBorders>
              <w:top w:val="nil"/>
              <w:left w:val="nil"/>
              <w:bottom w:val="single" w:sz="4" w:space="0" w:color="auto"/>
              <w:right w:val="single" w:sz="4" w:space="0" w:color="auto"/>
            </w:tcBorders>
            <w:shd w:val="clear" w:color="auto" w:fill="C4EFCE"/>
            <w:vAlign w:val="center"/>
            <w:hideMark/>
          </w:tcPr>
          <w:p w14:paraId="2006E72B" w14:textId="77777777" w:rsidR="00154AD2" w:rsidRDefault="007F6BF3">
            <w:pPr>
              <w:pStyle w:val="P68B1DB1-Normal23"/>
              <w:spacing w:after="0"/>
              <w:jc w:val="center"/>
              <w:rPr>
                <w:rFonts w:eastAsia="Calibri" w:cs="Calibri"/>
                <w:noProof/>
              </w:rPr>
            </w:pPr>
            <w:r>
              <w:rPr>
                <w:noProof/>
              </w:rPr>
              <w:t>RE-C05-i05-RAA</w:t>
            </w:r>
          </w:p>
        </w:tc>
        <w:tc>
          <w:tcPr>
            <w:tcW w:w="1520" w:type="dxa"/>
            <w:tcBorders>
              <w:top w:val="nil"/>
              <w:left w:val="nil"/>
              <w:bottom w:val="single" w:sz="4" w:space="0" w:color="auto"/>
              <w:right w:val="single" w:sz="4" w:space="0" w:color="auto"/>
            </w:tcBorders>
            <w:shd w:val="clear" w:color="auto" w:fill="C4EFCE"/>
            <w:vAlign w:val="center"/>
            <w:hideMark/>
          </w:tcPr>
          <w:p w14:paraId="43DF32CA"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4AC44E0" w14:textId="77777777" w:rsidR="00154AD2" w:rsidRDefault="007F6BF3">
            <w:pPr>
              <w:pStyle w:val="P68B1DB1-Normal23"/>
              <w:spacing w:after="0"/>
              <w:jc w:val="both"/>
              <w:rPr>
                <w:rFonts w:eastAsia="Calibri" w:cs="Calibri"/>
                <w:noProof/>
              </w:rPr>
            </w:pPr>
            <w:r>
              <w:rPr>
                <w:noProof/>
              </w:rPr>
              <w:t>Έργα που λαμβάνουν στήριξη στο πλαίσιο καθεστώτων στήριξης για την αναδιάρθρωση γεωργικών εκμεταλλεύσεων</w:t>
            </w:r>
          </w:p>
        </w:tc>
      </w:tr>
      <w:tr w:rsidR="00154AD2" w14:paraId="100DF5DB"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55BC21F8" w14:textId="77777777" w:rsidR="00154AD2" w:rsidRDefault="007F6BF3">
            <w:pPr>
              <w:pStyle w:val="P68B1DB1-Normal23"/>
              <w:spacing w:after="0"/>
              <w:jc w:val="center"/>
              <w:rPr>
                <w:rFonts w:eastAsia="Calibri" w:cs="Calibri"/>
                <w:noProof/>
              </w:rPr>
            </w:pPr>
            <w:r>
              <w:rPr>
                <w:noProof/>
              </w:rPr>
              <w:t>5.22</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2D7005F4" w14:textId="77777777" w:rsidR="00154AD2" w:rsidRDefault="007F6BF3">
            <w:pPr>
              <w:pStyle w:val="P68B1DB1-Normal23"/>
              <w:spacing w:after="0"/>
              <w:jc w:val="center"/>
              <w:rPr>
                <w:rFonts w:eastAsia="Calibri" w:cs="Calibri"/>
                <w:noProof/>
              </w:rPr>
            </w:pPr>
            <w:r>
              <w:rPr>
                <w:noProof/>
              </w:rPr>
              <w:t>RE-C05-i05-RAA</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3DA139D5"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D347233" w14:textId="77777777" w:rsidR="00154AD2" w:rsidRDefault="007F6BF3">
            <w:pPr>
              <w:pStyle w:val="P68B1DB1-Normal23"/>
              <w:spacing w:after="0"/>
              <w:jc w:val="both"/>
              <w:rPr>
                <w:rFonts w:eastAsia="Calibri" w:cs="Calibri"/>
                <w:noProof/>
              </w:rPr>
            </w:pPr>
            <w:r>
              <w:rPr>
                <w:noProof/>
              </w:rPr>
              <w:t>Γεωργικές εκμεταλλεύσεις που επωφελούνται από εξειδικευμένη τεχνική υποστήριξη στο πλαίσιο του προγράμματος ενδυνάμωσης των γεωργών</w:t>
            </w:r>
          </w:p>
        </w:tc>
      </w:tr>
      <w:tr w:rsidR="00154AD2" w14:paraId="30BF76D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29D989F" w14:textId="77777777" w:rsidR="00154AD2" w:rsidRDefault="007F6BF3">
            <w:pPr>
              <w:pStyle w:val="P68B1DB1-Normal23"/>
              <w:spacing w:after="0"/>
              <w:jc w:val="center"/>
              <w:rPr>
                <w:rFonts w:eastAsia="Calibri" w:cs="Calibri"/>
                <w:noProof/>
              </w:rPr>
            </w:pPr>
            <w:r>
              <w:rPr>
                <w:noProof/>
              </w:rPr>
              <w:t>5.34</w:t>
            </w:r>
          </w:p>
        </w:tc>
        <w:tc>
          <w:tcPr>
            <w:tcW w:w="1760" w:type="dxa"/>
            <w:tcBorders>
              <w:top w:val="nil"/>
              <w:left w:val="nil"/>
              <w:bottom w:val="single" w:sz="4" w:space="0" w:color="auto"/>
              <w:right w:val="single" w:sz="4" w:space="0" w:color="auto"/>
            </w:tcBorders>
            <w:shd w:val="clear" w:color="auto" w:fill="C4EFCE"/>
            <w:vAlign w:val="center"/>
            <w:hideMark/>
          </w:tcPr>
          <w:p w14:paraId="72F4B8DE" w14:textId="1915F13C" w:rsidR="00154AD2" w:rsidRDefault="007F6BF3">
            <w:pPr>
              <w:pStyle w:val="P68B1DB1-Normal23"/>
              <w:spacing w:after="0"/>
              <w:jc w:val="center"/>
              <w:rPr>
                <w:rFonts w:eastAsia="Calibri" w:cs="Calibri"/>
                <w:noProof/>
              </w:rPr>
            </w:pPr>
            <w:r>
              <w:rPr>
                <w:noProof/>
              </w:rPr>
              <w:t>RE-C05-i07-RAM</w:t>
            </w:r>
          </w:p>
        </w:tc>
        <w:tc>
          <w:tcPr>
            <w:tcW w:w="1520" w:type="dxa"/>
            <w:tcBorders>
              <w:top w:val="nil"/>
              <w:left w:val="nil"/>
              <w:bottom w:val="single" w:sz="4" w:space="0" w:color="auto"/>
              <w:right w:val="single" w:sz="4" w:space="0" w:color="auto"/>
            </w:tcBorders>
            <w:shd w:val="clear" w:color="auto" w:fill="C4EFCE"/>
            <w:vAlign w:val="center"/>
            <w:hideMark/>
          </w:tcPr>
          <w:p w14:paraId="316503D4"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B50AB12" w14:textId="77777777" w:rsidR="00154AD2" w:rsidRDefault="007F6BF3">
            <w:pPr>
              <w:pStyle w:val="P68B1DB1-Normal23"/>
              <w:spacing w:after="0"/>
              <w:jc w:val="both"/>
              <w:rPr>
                <w:rFonts w:eastAsia="Calibri" w:cs="Calibri"/>
                <w:noProof/>
              </w:rPr>
            </w:pPr>
            <w:r>
              <w:rPr>
                <w:noProof/>
              </w:rPr>
              <w:t>Εγγυήσεις δανείων για τη στήριξη έργων περιφερειακών επιχειρήσεων.</w:t>
            </w:r>
          </w:p>
        </w:tc>
      </w:tr>
      <w:tr w:rsidR="00154AD2" w14:paraId="1D91A46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C3F7491" w14:textId="77777777" w:rsidR="00154AD2" w:rsidRDefault="007F6BF3">
            <w:pPr>
              <w:pStyle w:val="P68B1DB1-Normal23"/>
              <w:spacing w:after="0"/>
              <w:jc w:val="center"/>
              <w:rPr>
                <w:rFonts w:eastAsia="Calibri" w:cs="Calibri"/>
                <w:noProof/>
              </w:rPr>
            </w:pPr>
            <w:r>
              <w:rPr>
                <w:noProof/>
              </w:rPr>
              <w:t>5.35</w:t>
            </w:r>
          </w:p>
        </w:tc>
        <w:tc>
          <w:tcPr>
            <w:tcW w:w="1760" w:type="dxa"/>
            <w:tcBorders>
              <w:top w:val="nil"/>
              <w:left w:val="nil"/>
              <w:bottom w:val="single" w:sz="4" w:space="0" w:color="auto"/>
              <w:right w:val="single" w:sz="4" w:space="0" w:color="auto"/>
            </w:tcBorders>
            <w:shd w:val="clear" w:color="auto" w:fill="C4EFCE"/>
            <w:vAlign w:val="center"/>
            <w:hideMark/>
          </w:tcPr>
          <w:p w14:paraId="6967C3AD" w14:textId="77777777" w:rsidR="00154AD2" w:rsidRDefault="007F6BF3">
            <w:pPr>
              <w:pStyle w:val="P68B1DB1-Normal23"/>
              <w:spacing w:after="0"/>
              <w:jc w:val="center"/>
              <w:rPr>
                <w:rFonts w:eastAsia="Calibri" w:cs="Calibri"/>
                <w:noProof/>
              </w:rPr>
            </w:pPr>
            <w:r>
              <w:rPr>
                <w:noProof/>
              </w:rPr>
              <w:t>RE-C05-i08</w:t>
            </w:r>
          </w:p>
        </w:tc>
        <w:tc>
          <w:tcPr>
            <w:tcW w:w="1520" w:type="dxa"/>
            <w:tcBorders>
              <w:top w:val="nil"/>
              <w:left w:val="nil"/>
              <w:bottom w:val="single" w:sz="4" w:space="0" w:color="auto"/>
              <w:right w:val="single" w:sz="4" w:space="0" w:color="auto"/>
            </w:tcBorders>
            <w:shd w:val="clear" w:color="auto" w:fill="C4EFCE"/>
            <w:vAlign w:val="center"/>
            <w:hideMark/>
          </w:tcPr>
          <w:p w14:paraId="4CCABE5B"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8F5823A" w14:textId="1C28B1CC" w:rsidR="00154AD2" w:rsidRDefault="007F6BF3">
            <w:pPr>
              <w:pStyle w:val="P68B1DB1-Normal23"/>
              <w:spacing w:after="0"/>
              <w:jc w:val="both"/>
              <w:rPr>
                <w:rFonts w:eastAsia="Calibri" w:cs="Calibri"/>
                <w:noProof/>
              </w:rPr>
            </w:pPr>
            <w:r>
              <w:rPr>
                <w:noProof/>
              </w:rPr>
              <w:t>Ολοκλήρωση των προγραμμάτων «Science XXI campus» και «Επιστημονικό γραφείο» και παροχή υπηρεσιών μέσω του εθνικού προγράμματος ανοικτής επιστήμης και ανοικτών ερευνητικών δεδομένων (PNCADAI)</w:t>
            </w:r>
          </w:p>
        </w:tc>
      </w:tr>
      <w:tr w:rsidR="00154AD2" w14:paraId="7A31595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75C6871" w14:textId="77777777" w:rsidR="00154AD2" w:rsidRDefault="007F6BF3">
            <w:pPr>
              <w:pStyle w:val="P68B1DB1-Normal23"/>
              <w:spacing w:after="0"/>
              <w:jc w:val="center"/>
              <w:rPr>
                <w:rFonts w:eastAsia="Calibri" w:cs="Calibri"/>
                <w:noProof/>
              </w:rPr>
            </w:pPr>
            <w:r>
              <w:rPr>
                <w:noProof/>
              </w:rPr>
              <w:t>5.40</w:t>
            </w:r>
          </w:p>
        </w:tc>
        <w:tc>
          <w:tcPr>
            <w:tcW w:w="1760" w:type="dxa"/>
            <w:tcBorders>
              <w:top w:val="nil"/>
              <w:left w:val="nil"/>
              <w:bottom w:val="single" w:sz="4" w:space="0" w:color="auto"/>
              <w:right w:val="single" w:sz="4" w:space="0" w:color="auto"/>
            </w:tcBorders>
            <w:shd w:val="clear" w:color="auto" w:fill="C4EFCE"/>
            <w:vAlign w:val="center"/>
            <w:hideMark/>
          </w:tcPr>
          <w:p w14:paraId="2F1FA845" w14:textId="77777777" w:rsidR="00154AD2" w:rsidRDefault="007F6BF3">
            <w:pPr>
              <w:pStyle w:val="P68B1DB1-Normal23"/>
              <w:spacing w:after="0"/>
              <w:jc w:val="center"/>
              <w:rPr>
                <w:rFonts w:eastAsia="Calibri" w:cs="Calibri"/>
                <w:noProof/>
              </w:rPr>
            </w:pPr>
            <w:r>
              <w:rPr>
                <w:noProof/>
              </w:rPr>
              <w:t>RE-C05-i09</w:t>
            </w:r>
          </w:p>
        </w:tc>
        <w:tc>
          <w:tcPr>
            <w:tcW w:w="1520" w:type="dxa"/>
            <w:tcBorders>
              <w:top w:val="nil"/>
              <w:left w:val="nil"/>
              <w:bottom w:val="single" w:sz="4" w:space="0" w:color="auto"/>
              <w:right w:val="single" w:sz="4" w:space="0" w:color="auto"/>
            </w:tcBorders>
            <w:shd w:val="clear" w:color="auto" w:fill="C4EFCE"/>
            <w:vAlign w:val="center"/>
            <w:hideMark/>
          </w:tcPr>
          <w:p w14:paraId="6C872439"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78591A6" w14:textId="77777777" w:rsidR="00154AD2" w:rsidRDefault="007F6BF3">
            <w:pPr>
              <w:pStyle w:val="P68B1DB1-Normal23"/>
              <w:spacing w:after="0"/>
              <w:jc w:val="both"/>
              <w:rPr>
                <w:rFonts w:eastAsia="Calibri" w:cs="Calibri"/>
                <w:noProof/>
              </w:rPr>
            </w:pPr>
            <w:r>
              <w:rPr>
                <w:noProof/>
              </w:rPr>
              <w:t>Ολοκλήρωση 168 προϊόντων, διεργασιών ή υπηρεσιών.</w:t>
            </w:r>
          </w:p>
        </w:tc>
      </w:tr>
      <w:tr w:rsidR="00154AD2" w14:paraId="421627E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23DDFE9" w14:textId="77777777" w:rsidR="00154AD2" w:rsidRDefault="007F6BF3">
            <w:pPr>
              <w:pStyle w:val="P68B1DB1-Normal23"/>
              <w:spacing w:after="0"/>
              <w:jc w:val="center"/>
              <w:rPr>
                <w:rFonts w:eastAsia="Calibri" w:cs="Calibri"/>
                <w:noProof/>
              </w:rPr>
            </w:pPr>
            <w:r>
              <w:rPr>
                <w:noProof/>
              </w:rPr>
              <w:t>5.42</w:t>
            </w:r>
          </w:p>
        </w:tc>
        <w:tc>
          <w:tcPr>
            <w:tcW w:w="1760" w:type="dxa"/>
            <w:tcBorders>
              <w:top w:val="nil"/>
              <w:left w:val="nil"/>
              <w:bottom w:val="single" w:sz="4" w:space="0" w:color="auto"/>
              <w:right w:val="single" w:sz="4" w:space="0" w:color="auto"/>
            </w:tcBorders>
            <w:shd w:val="clear" w:color="auto" w:fill="C4EFCE"/>
            <w:vAlign w:val="center"/>
            <w:hideMark/>
          </w:tcPr>
          <w:p w14:paraId="2AC3BE32" w14:textId="77777777" w:rsidR="00154AD2" w:rsidRDefault="007F6BF3">
            <w:pPr>
              <w:pStyle w:val="P68B1DB1-Normal23"/>
              <w:spacing w:after="0"/>
              <w:jc w:val="center"/>
              <w:rPr>
                <w:rFonts w:eastAsia="Calibri" w:cs="Calibri"/>
                <w:noProof/>
              </w:rPr>
            </w:pPr>
            <w:r>
              <w:rPr>
                <w:noProof/>
              </w:rPr>
              <w:t>RE-C05-i10</w:t>
            </w:r>
          </w:p>
        </w:tc>
        <w:tc>
          <w:tcPr>
            <w:tcW w:w="1520" w:type="dxa"/>
            <w:tcBorders>
              <w:top w:val="nil"/>
              <w:left w:val="nil"/>
              <w:bottom w:val="single" w:sz="4" w:space="0" w:color="auto"/>
              <w:right w:val="single" w:sz="4" w:space="0" w:color="auto"/>
            </w:tcBorders>
            <w:shd w:val="clear" w:color="auto" w:fill="C4EFCE"/>
            <w:vAlign w:val="center"/>
            <w:hideMark/>
          </w:tcPr>
          <w:p w14:paraId="326441C2"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B3B6ECA" w14:textId="77777777" w:rsidR="00154AD2" w:rsidRDefault="007F6BF3">
            <w:pPr>
              <w:pStyle w:val="P68B1DB1-Normal23"/>
              <w:spacing w:after="0"/>
              <w:jc w:val="both"/>
              <w:rPr>
                <w:rFonts w:eastAsia="Calibri" w:cs="Calibri"/>
                <w:noProof/>
              </w:rPr>
            </w:pPr>
            <w:r>
              <w:rPr>
                <w:noProof/>
              </w:rPr>
              <w:t>Ολοκλήρωση προϊόντων, διαδικασιών ή υπηρεσιών (ΜΑΔ) που σχετίζονται με την οικονομία χαμηλών ανθρακούχων εκπομπών, την ανθεκτικότητα και την προσαρμογή στην κλιματική αλλαγή.</w:t>
            </w:r>
          </w:p>
        </w:tc>
      </w:tr>
      <w:tr w:rsidR="00154AD2" w14:paraId="14988A7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704BD2D" w14:textId="77777777" w:rsidR="00154AD2" w:rsidRDefault="007F6BF3">
            <w:pPr>
              <w:pStyle w:val="P68B1DB1-Normal23"/>
              <w:spacing w:after="0"/>
              <w:jc w:val="center"/>
              <w:rPr>
                <w:rFonts w:eastAsia="Calibri" w:cs="Calibri"/>
                <w:noProof/>
              </w:rPr>
            </w:pPr>
            <w:r>
              <w:rPr>
                <w:noProof/>
              </w:rPr>
              <w:t>6.2</w:t>
            </w:r>
          </w:p>
        </w:tc>
        <w:tc>
          <w:tcPr>
            <w:tcW w:w="1760" w:type="dxa"/>
            <w:tcBorders>
              <w:top w:val="nil"/>
              <w:left w:val="nil"/>
              <w:bottom w:val="single" w:sz="4" w:space="0" w:color="auto"/>
              <w:right w:val="single" w:sz="4" w:space="0" w:color="auto"/>
            </w:tcBorders>
            <w:shd w:val="clear" w:color="auto" w:fill="C4EFCE"/>
            <w:vAlign w:val="center"/>
            <w:hideMark/>
          </w:tcPr>
          <w:p w14:paraId="3BDA4A67" w14:textId="77777777" w:rsidR="00154AD2" w:rsidRDefault="007F6BF3">
            <w:pPr>
              <w:pStyle w:val="P68B1DB1-Normal23"/>
              <w:spacing w:after="0"/>
              <w:jc w:val="center"/>
              <w:rPr>
                <w:rFonts w:eastAsia="Calibri" w:cs="Calibri"/>
                <w:noProof/>
              </w:rPr>
            </w:pPr>
            <w:r>
              <w:rPr>
                <w:noProof/>
              </w:rPr>
              <w:t>RE-C06-i01</w:t>
            </w:r>
          </w:p>
        </w:tc>
        <w:tc>
          <w:tcPr>
            <w:tcW w:w="1520" w:type="dxa"/>
            <w:tcBorders>
              <w:top w:val="nil"/>
              <w:left w:val="nil"/>
              <w:bottom w:val="single" w:sz="4" w:space="0" w:color="auto"/>
              <w:right w:val="single" w:sz="4" w:space="0" w:color="auto"/>
            </w:tcBorders>
            <w:shd w:val="clear" w:color="auto" w:fill="C4EFCE"/>
            <w:vAlign w:val="center"/>
            <w:hideMark/>
          </w:tcPr>
          <w:p w14:paraId="40653034"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4F70C1E" w14:textId="77777777" w:rsidR="00154AD2" w:rsidRDefault="007F6BF3">
            <w:pPr>
              <w:pStyle w:val="P68B1DB1-Normal23"/>
              <w:spacing w:after="0"/>
              <w:jc w:val="both"/>
              <w:rPr>
                <w:rFonts w:eastAsia="Calibri" w:cs="Calibri"/>
                <w:noProof/>
              </w:rPr>
            </w:pPr>
            <w:r>
              <w:rPr>
                <w:noProof/>
              </w:rPr>
              <w:t>Ανακαίνιση ή κατασκευή εξειδικευμένων τεχνολογικών κέντρων</w:t>
            </w:r>
          </w:p>
        </w:tc>
      </w:tr>
      <w:tr w:rsidR="00154AD2" w14:paraId="67A0ACB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055146" w14:textId="77777777" w:rsidR="00154AD2" w:rsidRDefault="007F6BF3">
            <w:pPr>
              <w:pStyle w:val="P68B1DB1-Normal23"/>
              <w:spacing w:after="0"/>
              <w:jc w:val="center"/>
              <w:rPr>
                <w:rFonts w:eastAsia="Calibri" w:cs="Calibri"/>
                <w:noProof/>
              </w:rPr>
            </w:pPr>
            <w:r>
              <w:rPr>
                <w:noProof/>
              </w:rPr>
              <w:t>6.4</w:t>
            </w:r>
          </w:p>
        </w:tc>
        <w:tc>
          <w:tcPr>
            <w:tcW w:w="1760" w:type="dxa"/>
            <w:tcBorders>
              <w:top w:val="nil"/>
              <w:left w:val="nil"/>
              <w:bottom w:val="single" w:sz="4" w:space="0" w:color="auto"/>
              <w:right w:val="single" w:sz="4" w:space="0" w:color="auto"/>
            </w:tcBorders>
            <w:shd w:val="clear" w:color="auto" w:fill="C4EFCE"/>
            <w:vAlign w:val="center"/>
            <w:hideMark/>
          </w:tcPr>
          <w:p w14:paraId="560BB3EF" w14:textId="77777777" w:rsidR="00154AD2" w:rsidRDefault="007F6BF3">
            <w:pPr>
              <w:pStyle w:val="P68B1DB1-Normal23"/>
              <w:spacing w:after="0"/>
              <w:jc w:val="center"/>
              <w:rPr>
                <w:rFonts w:eastAsia="Calibri" w:cs="Calibri"/>
                <w:noProof/>
              </w:rPr>
            </w:pPr>
            <w:r>
              <w:rPr>
                <w:noProof/>
              </w:rPr>
              <w:t>RE-C06-i01</w:t>
            </w:r>
          </w:p>
        </w:tc>
        <w:tc>
          <w:tcPr>
            <w:tcW w:w="1520" w:type="dxa"/>
            <w:tcBorders>
              <w:top w:val="nil"/>
              <w:left w:val="nil"/>
              <w:bottom w:val="single" w:sz="4" w:space="0" w:color="auto"/>
              <w:right w:val="single" w:sz="4" w:space="0" w:color="auto"/>
            </w:tcBorders>
            <w:shd w:val="clear" w:color="auto" w:fill="C4EFCE"/>
            <w:vAlign w:val="center"/>
            <w:hideMark/>
          </w:tcPr>
          <w:p w14:paraId="1A02B8EF"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57D6BE2" w14:textId="77777777" w:rsidR="00154AD2" w:rsidRDefault="007F6BF3">
            <w:pPr>
              <w:pStyle w:val="P68B1DB1-Normal23"/>
              <w:spacing w:after="0"/>
              <w:jc w:val="both"/>
              <w:rPr>
                <w:rFonts w:eastAsia="Calibri" w:cs="Calibri"/>
                <w:noProof/>
              </w:rPr>
            </w:pPr>
            <w:r>
              <w:rPr>
                <w:noProof/>
              </w:rPr>
              <w:t>Αναβαθμισμένοι σταθμοί κατάρτισης</w:t>
            </w:r>
          </w:p>
        </w:tc>
      </w:tr>
      <w:tr w:rsidR="00154AD2" w14:paraId="5E314A8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A0FE7BE" w14:textId="77777777" w:rsidR="00154AD2" w:rsidRDefault="007F6BF3">
            <w:pPr>
              <w:pStyle w:val="P68B1DB1-Normal23"/>
              <w:spacing w:after="0"/>
              <w:jc w:val="center"/>
              <w:rPr>
                <w:rFonts w:eastAsia="Calibri" w:cs="Calibri"/>
                <w:noProof/>
              </w:rPr>
            </w:pPr>
            <w:r>
              <w:rPr>
                <w:noProof/>
              </w:rPr>
              <w:t>6.6</w:t>
            </w:r>
          </w:p>
        </w:tc>
        <w:tc>
          <w:tcPr>
            <w:tcW w:w="1760" w:type="dxa"/>
            <w:tcBorders>
              <w:top w:val="nil"/>
              <w:left w:val="nil"/>
              <w:bottom w:val="single" w:sz="4" w:space="0" w:color="auto"/>
              <w:right w:val="single" w:sz="4" w:space="0" w:color="auto"/>
            </w:tcBorders>
            <w:shd w:val="clear" w:color="auto" w:fill="C4EFCE"/>
            <w:vAlign w:val="center"/>
            <w:hideMark/>
          </w:tcPr>
          <w:p w14:paraId="6F3A1B05" w14:textId="77777777" w:rsidR="00154AD2" w:rsidRDefault="007F6BF3">
            <w:pPr>
              <w:pStyle w:val="P68B1DB1-Normal23"/>
              <w:spacing w:after="0"/>
              <w:jc w:val="center"/>
              <w:rPr>
                <w:rFonts w:eastAsia="Calibri" w:cs="Calibri"/>
                <w:noProof/>
              </w:rPr>
            </w:pPr>
            <w:r>
              <w:rPr>
                <w:noProof/>
              </w:rPr>
              <w:t>RE-C06-i03</w:t>
            </w:r>
          </w:p>
        </w:tc>
        <w:tc>
          <w:tcPr>
            <w:tcW w:w="1520" w:type="dxa"/>
            <w:tcBorders>
              <w:top w:val="nil"/>
              <w:left w:val="nil"/>
              <w:bottom w:val="single" w:sz="4" w:space="0" w:color="auto"/>
              <w:right w:val="single" w:sz="4" w:space="0" w:color="auto"/>
            </w:tcBorders>
            <w:shd w:val="clear" w:color="auto" w:fill="C4EFCE"/>
            <w:vAlign w:val="center"/>
            <w:hideMark/>
          </w:tcPr>
          <w:p w14:paraId="232B7518"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537F14F" w14:textId="77777777" w:rsidR="00154AD2" w:rsidRDefault="007F6BF3">
            <w:pPr>
              <w:pStyle w:val="P68B1DB1-Normal23"/>
              <w:spacing w:after="0"/>
              <w:jc w:val="both"/>
              <w:rPr>
                <w:rFonts w:eastAsia="Calibri" w:cs="Calibri"/>
                <w:noProof/>
              </w:rPr>
            </w:pPr>
            <w:r>
              <w:rPr>
                <w:noProof/>
              </w:rPr>
              <w:t>Πρόσθετοι συμμετέχοντες σε μέτρα για τη στήριξη της αναβάθμισης των δεξιοτήτων των ενηλίκων</w:t>
            </w:r>
          </w:p>
        </w:tc>
      </w:tr>
      <w:tr w:rsidR="00154AD2" w14:paraId="050A7C9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403F26F" w14:textId="77777777" w:rsidR="00154AD2" w:rsidRDefault="007F6BF3">
            <w:pPr>
              <w:pStyle w:val="P68B1DB1-Normal23"/>
              <w:spacing w:after="0"/>
              <w:jc w:val="center"/>
              <w:rPr>
                <w:rFonts w:eastAsia="Calibri" w:cs="Calibri"/>
                <w:noProof/>
              </w:rPr>
            </w:pPr>
            <w:r>
              <w:rPr>
                <w:noProof/>
              </w:rPr>
              <w:t>6.7</w:t>
            </w:r>
          </w:p>
        </w:tc>
        <w:tc>
          <w:tcPr>
            <w:tcW w:w="1760" w:type="dxa"/>
            <w:tcBorders>
              <w:top w:val="nil"/>
              <w:left w:val="nil"/>
              <w:bottom w:val="single" w:sz="4" w:space="0" w:color="auto"/>
              <w:right w:val="single" w:sz="4" w:space="0" w:color="auto"/>
            </w:tcBorders>
            <w:shd w:val="clear" w:color="auto" w:fill="C4EFCE"/>
            <w:vAlign w:val="center"/>
            <w:hideMark/>
          </w:tcPr>
          <w:p w14:paraId="46784F4F" w14:textId="77777777" w:rsidR="00154AD2" w:rsidRDefault="007F6BF3">
            <w:pPr>
              <w:pStyle w:val="P68B1DB1-Normal23"/>
              <w:spacing w:after="0"/>
              <w:jc w:val="center"/>
              <w:rPr>
                <w:rFonts w:eastAsia="Calibri" w:cs="Calibri"/>
                <w:noProof/>
              </w:rPr>
            </w:pPr>
            <w:r>
              <w:rPr>
                <w:noProof/>
              </w:rPr>
              <w:t>RE-C06-i04</w:t>
            </w:r>
          </w:p>
        </w:tc>
        <w:tc>
          <w:tcPr>
            <w:tcW w:w="1520" w:type="dxa"/>
            <w:tcBorders>
              <w:top w:val="nil"/>
              <w:left w:val="nil"/>
              <w:bottom w:val="single" w:sz="4" w:space="0" w:color="auto"/>
              <w:right w:val="single" w:sz="4" w:space="0" w:color="auto"/>
            </w:tcBorders>
            <w:shd w:val="clear" w:color="auto" w:fill="C4EFCE"/>
            <w:vAlign w:val="center"/>
            <w:hideMark/>
          </w:tcPr>
          <w:p w14:paraId="10877261"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73B9D33" w14:textId="77777777" w:rsidR="00154AD2" w:rsidRDefault="007F6BF3">
            <w:pPr>
              <w:pStyle w:val="P68B1DB1-Normal23"/>
              <w:spacing w:after="0"/>
              <w:jc w:val="both"/>
              <w:rPr>
                <w:rFonts w:eastAsia="Calibri" w:cs="Calibri"/>
                <w:noProof/>
              </w:rPr>
            </w:pPr>
            <w:r>
              <w:rPr>
                <w:noProof/>
              </w:rPr>
              <w:t>Πρόσθετοι σύλλογοι Ciência Viva</w:t>
            </w:r>
          </w:p>
        </w:tc>
      </w:tr>
      <w:tr w:rsidR="00154AD2" w14:paraId="5829166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E5A0571" w14:textId="77777777" w:rsidR="00154AD2" w:rsidRDefault="007F6BF3">
            <w:pPr>
              <w:pStyle w:val="P68B1DB1-Normal23"/>
              <w:spacing w:after="0"/>
              <w:jc w:val="center"/>
              <w:rPr>
                <w:rFonts w:eastAsia="Calibri" w:cs="Calibri"/>
                <w:noProof/>
              </w:rPr>
            </w:pPr>
            <w:r>
              <w:rPr>
                <w:noProof/>
              </w:rPr>
              <w:t>6.9</w:t>
            </w:r>
          </w:p>
        </w:tc>
        <w:tc>
          <w:tcPr>
            <w:tcW w:w="1760" w:type="dxa"/>
            <w:tcBorders>
              <w:top w:val="nil"/>
              <w:left w:val="nil"/>
              <w:bottom w:val="single" w:sz="4" w:space="0" w:color="auto"/>
              <w:right w:val="single" w:sz="4" w:space="0" w:color="auto"/>
            </w:tcBorders>
            <w:shd w:val="clear" w:color="auto" w:fill="C4EFCE"/>
            <w:vAlign w:val="center"/>
            <w:hideMark/>
          </w:tcPr>
          <w:p w14:paraId="5E8FAB6C" w14:textId="77777777" w:rsidR="00154AD2" w:rsidRDefault="007F6BF3">
            <w:pPr>
              <w:pStyle w:val="P68B1DB1-Normal23"/>
              <w:spacing w:after="0"/>
              <w:jc w:val="center"/>
              <w:rPr>
                <w:rFonts w:eastAsia="Calibri" w:cs="Calibri"/>
                <w:noProof/>
              </w:rPr>
            </w:pPr>
            <w:r>
              <w:rPr>
                <w:noProof/>
              </w:rPr>
              <w:t>RE-C06-i04</w:t>
            </w:r>
          </w:p>
        </w:tc>
        <w:tc>
          <w:tcPr>
            <w:tcW w:w="1520" w:type="dxa"/>
            <w:tcBorders>
              <w:top w:val="nil"/>
              <w:left w:val="nil"/>
              <w:bottom w:val="single" w:sz="4" w:space="0" w:color="auto"/>
              <w:right w:val="single" w:sz="4" w:space="0" w:color="auto"/>
            </w:tcBorders>
            <w:shd w:val="clear" w:color="auto" w:fill="C4EFCE"/>
            <w:vAlign w:val="center"/>
            <w:hideMark/>
          </w:tcPr>
          <w:p w14:paraId="48B03350"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AAD5F2D" w14:textId="77777777" w:rsidR="00154AD2" w:rsidRDefault="007F6BF3">
            <w:pPr>
              <w:pStyle w:val="P68B1DB1-Normal23"/>
              <w:spacing w:after="0"/>
              <w:jc w:val="both"/>
              <w:rPr>
                <w:rFonts w:eastAsia="Calibri" w:cs="Calibri"/>
                <w:noProof/>
              </w:rPr>
            </w:pPr>
            <w:r>
              <w:rPr>
                <w:noProof/>
              </w:rPr>
              <w:t>Πρόσθετος αριθμός φοιτητών που αποφοίτησαν σε μαθήματα τριτοβάθμιας εκπαίδευσης στους τομείς STEAM</w:t>
            </w:r>
          </w:p>
        </w:tc>
      </w:tr>
      <w:tr w:rsidR="00154AD2" w14:paraId="3C70A66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4CDA63" w14:textId="77777777" w:rsidR="00154AD2" w:rsidRDefault="007F6BF3">
            <w:pPr>
              <w:pStyle w:val="P68B1DB1-Normal23"/>
              <w:spacing w:after="0"/>
              <w:jc w:val="center"/>
              <w:rPr>
                <w:rFonts w:eastAsia="Calibri" w:cs="Calibri"/>
                <w:noProof/>
              </w:rPr>
            </w:pPr>
            <w:r>
              <w:rPr>
                <w:noProof/>
              </w:rPr>
              <w:t>6.10</w:t>
            </w:r>
          </w:p>
        </w:tc>
        <w:tc>
          <w:tcPr>
            <w:tcW w:w="1760" w:type="dxa"/>
            <w:tcBorders>
              <w:top w:val="nil"/>
              <w:left w:val="nil"/>
              <w:bottom w:val="single" w:sz="4" w:space="0" w:color="auto"/>
              <w:right w:val="single" w:sz="4" w:space="0" w:color="auto"/>
            </w:tcBorders>
            <w:shd w:val="clear" w:color="auto" w:fill="C4EFCE"/>
            <w:vAlign w:val="center"/>
            <w:hideMark/>
          </w:tcPr>
          <w:p w14:paraId="0E62DC90" w14:textId="77777777" w:rsidR="00154AD2" w:rsidRDefault="007F6BF3">
            <w:pPr>
              <w:pStyle w:val="P68B1DB1-Normal23"/>
              <w:spacing w:after="0"/>
              <w:jc w:val="center"/>
              <w:rPr>
                <w:rFonts w:eastAsia="Calibri" w:cs="Calibri"/>
                <w:noProof/>
              </w:rPr>
            </w:pPr>
            <w:r>
              <w:rPr>
                <w:noProof/>
              </w:rPr>
              <w:t>RE-C06-i05-RAA</w:t>
            </w:r>
          </w:p>
        </w:tc>
        <w:tc>
          <w:tcPr>
            <w:tcW w:w="1520" w:type="dxa"/>
            <w:tcBorders>
              <w:top w:val="nil"/>
              <w:left w:val="nil"/>
              <w:bottom w:val="single" w:sz="4" w:space="0" w:color="auto"/>
              <w:right w:val="single" w:sz="4" w:space="0" w:color="auto"/>
            </w:tcBorders>
            <w:shd w:val="clear" w:color="auto" w:fill="C4EFCE"/>
            <w:vAlign w:val="center"/>
            <w:hideMark/>
          </w:tcPr>
          <w:p w14:paraId="01B43691"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99DF944" w14:textId="77777777" w:rsidR="00154AD2" w:rsidRDefault="007F6BF3">
            <w:pPr>
              <w:pStyle w:val="P68B1DB1-Normal23"/>
              <w:spacing w:after="0"/>
              <w:jc w:val="both"/>
              <w:rPr>
                <w:rFonts w:eastAsia="Calibri" w:cs="Calibri"/>
                <w:noProof/>
              </w:rPr>
            </w:pPr>
            <w:r>
              <w:rPr>
                <w:noProof/>
              </w:rPr>
              <w:t>Πρόσθετος αριθμός ενηλίκων εγγεγραμμένων στη μεταδευτεροβάθμια και τριτοβάθμια εκπαίδευση στην αυτόνομη περιφέρεια των Αζορών</w:t>
            </w:r>
          </w:p>
        </w:tc>
      </w:tr>
      <w:tr w:rsidR="00154AD2" w14:paraId="2B7ADEC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8ADBD20" w14:textId="77777777" w:rsidR="00154AD2" w:rsidRDefault="007F6BF3">
            <w:pPr>
              <w:pStyle w:val="P68B1DB1-Normal23"/>
              <w:spacing w:after="0"/>
              <w:jc w:val="center"/>
              <w:rPr>
                <w:rFonts w:eastAsia="Calibri" w:cs="Calibri"/>
                <w:noProof/>
              </w:rPr>
            </w:pPr>
            <w:r>
              <w:rPr>
                <w:noProof/>
              </w:rPr>
              <w:t>6.11</w:t>
            </w:r>
          </w:p>
        </w:tc>
        <w:tc>
          <w:tcPr>
            <w:tcW w:w="1760" w:type="dxa"/>
            <w:tcBorders>
              <w:top w:val="nil"/>
              <w:left w:val="nil"/>
              <w:bottom w:val="single" w:sz="4" w:space="0" w:color="auto"/>
              <w:right w:val="single" w:sz="4" w:space="0" w:color="auto"/>
            </w:tcBorders>
            <w:shd w:val="clear" w:color="auto" w:fill="C4EFCE"/>
            <w:vAlign w:val="center"/>
            <w:hideMark/>
          </w:tcPr>
          <w:p w14:paraId="4C3D556F" w14:textId="77777777" w:rsidR="00154AD2" w:rsidRDefault="007F6BF3">
            <w:pPr>
              <w:pStyle w:val="P68B1DB1-Normal23"/>
              <w:spacing w:after="0"/>
              <w:jc w:val="center"/>
              <w:rPr>
                <w:rFonts w:eastAsia="Calibri" w:cs="Calibri"/>
                <w:noProof/>
              </w:rPr>
            </w:pPr>
            <w:r>
              <w:rPr>
                <w:noProof/>
              </w:rPr>
              <w:t>RE-C06-i05-RAA</w:t>
            </w:r>
          </w:p>
        </w:tc>
        <w:tc>
          <w:tcPr>
            <w:tcW w:w="1520" w:type="dxa"/>
            <w:tcBorders>
              <w:top w:val="nil"/>
              <w:left w:val="nil"/>
              <w:bottom w:val="single" w:sz="4" w:space="0" w:color="auto"/>
              <w:right w:val="single" w:sz="4" w:space="0" w:color="auto"/>
            </w:tcBorders>
            <w:shd w:val="clear" w:color="auto" w:fill="C4EFCE"/>
            <w:vAlign w:val="center"/>
            <w:hideMark/>
          </w:tcPr>
          <w:p w14:paraId="680350DF"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2427B23" w14:textId="77777777" w:rsidR="00154AD2" w:rsidRDefault="007F6BF3">
            <w:pPr>
              <w:pStyle w:val="P68B1DB1-Normal23"/>
              <w:spacing w:after="0"/>
              <w:jc w:val="both"/>
              <w:rPr>
                <w:rFonts w:eastAsia="Calibri" w:cs="Calibri"/>
                <w:noProof/>
              </w:rPr>
            </w:pPr>
            <w:r>
              <w:rPr>
                <w:noProof/>
              </w:rPr>
              <w:t>Αναβαθμισμένες επαγγελματικές σχολές στην Αυτόνομη Περιφέρεια Αζορών</w:t>
            </w:r>
          </w:p>
        </w:tc>
      </w:tr>
      <w:tr w:rsidR="00154AD2" w14:paraId="24EC007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3C17C2B" w14:textId="77777777" w:rsidR="00154AD2" w:rsidRDefault="007F6BF3">
            <w:pPr>
              <w:pStyle w:val="P68B1DB1-Normal23"/>
              <w:spacing w:after="0"/>
              <w:jc w:val="center"/>
              <w:rPr>
                <w:rFonts w:eastAsia="Calibri" w:cs="Calibri"/>
                <w:noProof/>
              </w:rPr>
            </w:pPr>
            <w:r>
              <w:rPr>
                <w:noProof/>
              </w:rPr>
              <w:t>6.12</w:t>
            </w:r>
          </w:p>
        </w:tc>
        <w:tc>
          <w:tcPr>
            <w:tcW w:w="1760" w:type="dxa"/>
            <w:tcBorders>
              <w:top w:val="nil"/>
              <w:left w:val="nil"/>
              <w:bottom w:val="single" w:sz="4" w:space="0" w:color="auto"/>
              <w:right w:val="single" w:sz="4" w:space="0" w:color="auto"/>
            </w:tcBorders>
            <w:shd w:val="clear" w:color="auto" w:fill="C4EFCE"/>
            <w:vAlign w:val="center"/>
            <w:hideMark/>
          </w:tcPr>
          <w:p w14:paraId="50C54B79" w14:textId="77777777" w:rsidR="00154AD2" w:rsidRDefault="007F6BF3">
            <w:pPr>
              <w:pStyle w:val="P68B1DB1-Normal23"/>
              <w:spacing w:after="0"/>
              <w:jc w:val="center"/>
              <w:rPr>
                <w:rFonts w:eastAsia="Calibri" w:cs="Calibri"/>
                <w:noProof/>
              </w:rPr>
            </w:pPr>
            <w:r>
              <w:rPr>
                <w:noProof/>
              </w:rPr>
              <w:t>RE-C06-r14</w:t>
            </w:r>
          </w:p>
        </w:tc>
        <w:tc>
          <w:tcPr>
            <w:tcW w:w="1520" w:type="dxa"/>
            <w:tcBorders>
              <w:top w:val="nil"/>
              <w:left w:val="nil"/>
              <w:bottom w:val="single" w:sz="4" w:space="0" w:color="auto"/>
              <w:right w:val="single" w:sz="4" w:space="0" w:color="auto"/>
            </w:tcBorders>
            <w:shd w:val="clear" w:color="auto" w:fill="C4EFCE"/>
            <w:vAlign w:val="center"/>
            <w:hideMark/>
          </w:tcPr>
          <w:p w14:paraId="3BED303B"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5602805" w14:textId="77777777" w:rsidR="00154AD2" w:rsidRDefault="007F6BF3">
            <w:pPr>
              <w:pStyle w:val="P68B1DB1-Normal23"/>
              <w:spacing w:after="0"/>
              <w:jc w:val="both"/>
              <w:rPr>
                <w:rFonts w:eastAsia="Calibri" w:cs="Calibri"/>
                <w:noProof/>
              </w:rPr>
            </w:pPr>
            <w:r>
              <w:rPr>
                <w:noProof/>
              </w:rPr>
              <w:t>Άνοιγμα κενών θέσεων κατάρτισης</w:t>
            </w:r>
          </w:p>
        </w:tc>
      </w:tr>
      <w:tr w:rsidR="00154AD2" w14:paraId="33E8B5F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CDA94FF" w14:textId="77777777" w:rsidR="00154AD2" w:rsidRDefault="007F6BF3">
            <w:pPr>
              <w:pStyle w:val="P68B1DB1-Normal23"/>
              <w:spacing w:after="0"/>
              <w:jc w:val="center"/>
              <w:rPr>
                <w:rFonts w:eastAsia="Calibri" w:cs="Calibri"/>
                <w:noProof/>
              </w:rPr>
            </w:pPr>
            <w:r>
              <w:rPr>
                <w:noProof/>
              </w:rPr>
              <w:t>7.3</w:t>
            </w:r>
          </w:p>
        </w:tc>
        <w:tc>
          <w:tcPr>
            <w:tcW w:w="1760" w:type="dxa"/>
            <w:tcBorders>
              <w:top w:val="nil"/>
              <w:left w:val="nil"/>
              <w:bottom w:val="single" w:sz="4" w:space="0" w:color="auto"/>
              <w:right w:val="single" w:sz="4" w:space="0" w:color="auto"/>
            </w:tcBorders>
            <w:shd w:val="clear" w:color="auto" w:fill="C4EFCE"/>
            <w:vAlign w:val="center"/>
            <w:hideMark/>
          </w:tcPr>
          <w:p w14:paraId="3892C438" w14:textId="77777777" w:rsidR="00154AD2" w:rsidRDefault="007F6BF3">
            <w:pPr>
              <w:pStyle w:val="P68B1DB1-Normal23"/>
              <w:spacing w:after="0"/>
              <w:jc w:val="center"/>
              <w:rPr>
                <w:rFonts w:eastAsia="Calibri" w:cs="Calibri"/>
                <w:noProof/>
              </w:rPr>
            </w:pPr>
            <w:r>
              <w:rPr>
                <w:noProof/>
              </w:rPr>
              <w:t>RE-C07-i00</w:t>
            </w:r>
          </w:p>
        </w:tc>
        <w:tc>
          <w:tcPr>
            <w:tcW w:w="1520" w:type="dxa"/>
            <w:tcBorders>
              <w:top w:val="nil"/>
              <w:left w:val="nil"/>
              <w:bottom w:val="single" w:sz="4" w:space="0" w:color="auto"/>
              <w:right w:val="single" w:sz="4" w:space="0" w:color="auto"/>
            </w:tcBorders>
            <w:shd w:val="clear" w:color="auto" w:fill="C4EFCE"/>
            <w:vAlign w:val="center"/>
            <w:hideMark/>
          </w:tcPr>
          <w:p w14:paraId="717E5A0E"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751B064" w14:textId="15C38C04" w:rsidR="00154AD2" w:rsidRDefault="007F6BF3">
            <w:pPr>
              <w:pStyle w:val="P68B1DB1-Normal23"/>
              <w:spacing w:after="0"/>
              <w:jc w:val="both"/>
              <w:rPr>
                <w:rFonts w:eastAsia="Calibri" w:cs="Calibri"/>
                <w:noProof/>
              </w:rPr>
            </w:pPr>
            <w:r>
              <w:rPr>
                <w:noProof/>
              </w:rPr>
              <w:t>Δημοσίως προσβάσιμα σημεία επαναφόρτισης ηλεκτρικών οχημάτων</w:t>
            </w:r>
          </w:p>
        </w:tc>
      </w:tr>
      <w:tr w:rsidR="00154AD2" w14:paraId="650DC73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19A4D3B" w14:textId="77777777" w:rsidR="00154AD2" w:rsidRDefault="007F6BF3">
            <w:pPr>
              <w:pStyle w:val="P68B1DB1-Normal23"/>
              <w:spacing w:after="0"/>
              <w:jc w:val="center"/>
              <w:rPr>
                <w:rFonts w:eastAsia="Calibri" w:cs="Calibri"/>
                <w:noProof/>
              </w:rPr>
            </w:pPr>
            <w:r>
              <w:rPr>
                <w:noProof/>
              </w:rPr>
              <w:t>7.5</w:t>
            </w:r>
          </w:p>
        </w:tc>
        <w:tc>
          <w:tcPr>
            <w:tcW w:w="1760" w:type="dxa"/>
            <w:tcBorders>
              <w:top w:val="nil"/>
              <w:left w:val="nil"/>
              <w:bottom w:val="single" w:sz="4" w:space="0" w:color="auto"/>
              <w:right w:val="single" w:sz="4" w:space="0" w:color="auto"/>
            </w:tcBorders>
            <w:shd w:val="clear" w:color="auto" w:fill="C4EFCE"/>
            <w:vAlign w:val="center"/>
            <w:hideMark/>
          </w:tcPr>
          <w:p w14:paraId="17918B41" w14:textId="77777777" w:rsidR="00154AD2" w:rsidRDefault="007F6BF3">
            <w:pPr>
              <w:pStyle w:val="P68B1DB1-Normal23"/>
              <w:spacing w:after="0"/>
              <w:jc w:val="center"/>
              <w:rPr>
                <w:rFonts w:eastAsia="Calibri" w:cs="Calibri"/>
                <w:noProof/>
              </w:rPr>
            </w:pPr>
            <w:r>
              <w:rPr>
                <w:noProof/>
              </w:rPr>
              <w:t>RE-C07-i01</w:t>
            </w:r>
          </w:p>
        </w:tc>
        <w:tc>
          <w:tcPr>
            <w:tcW w:w="1520" w:type="dxa"/>
            <w:tcBorders>
              <w:top w:val="nil"/>
              <w:left w:val="nil"/>
              <w:bottom w:val="single" w:sz="4" w:space="0" w:color="auto"/>
              <w:right w:val="single" w:sz="4" w:space="0" w:color="auto"/>
            </w:tcBorders>
            <w:shd w:val="clear" w:color="auto" w:fill="C4EFCE"/>
            <w:vAlign w:val="center"/>
            <w:hideMark/>
          </w:tcPr>
          <w:p w14:paraId="459806A5"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443B899" w14:textId="77777777" w:rsidR="00154AD2" w:rsidRDefault="007F6BF3">
            <w:pPr>
              <w:pStyle w:val="P68B1DB1-Normal23"/>
              <w:spacing w:after="0"/>
              <w:jc w:val="both"/>
              <w:rPr>
                <w:rFonts w:eastAsia="Calibri" w:cs="Calibri"/>
                <w:noProof/>
              </w:rPr>
            </w:pPr>
            <w:r>
              <w:rPr>
                <w:noProof/>
              </w:rPr>
              <w:t>Ολοκλήρωση παρεμβάσεων σε επιλεγμένους χώρους υποδοχής επιχειρήσεων</w:t>
            </w:r>
          </w:p>
        </w:tc>
      </w:tr>
      <w:tr w:rsidR="00154AD2" w14:paraId="6CD2520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CA01F62" w14:textId="77777777" w:rsidR="00154AD2" w:rsidRDefault="007F6BF3">
            <w:pPr>
              <w:pStyle w:val="P68B1DB1-Normal23"/>
              <w:spacing w:after="0"/>
              <w:jc w:val="center"/>
              <w:rPr>
                <w:rFonts w:eastAsia="Calibri" w:cs="Calibri"/>
                <w:noProof/>
              </w:rPr>
            </w:pPr>
            <w:r>
              <w:rPr>
                <w:noProof/>
              </w:rPr>
              <w:t>7.8</w:t>
            </w:r>
          </w:p>
        </w:tc>
        <w:tc>
          <w:tcPr>
            <w:tcW w:w="1760" w:type="dxa"/>
            <w:tcBorders>
              <w:top w:val="nil"/>
              <w:left w:val="nil"/>
              <w:bottom w:val="single" w:sz="4" w:space="0" w:color="auto"/>
              <w:right w:val="single" w:sz="4" w:space="0" w:color="auto"/>
            </w:tcBorders>
            <w:shd w:val="clear" w:color="auto" w:fill="C4EFCE"/>
            <w:vAlign w:val="center"/>
            <w:hideMark/>
          </w:tcPr>
          <w:p w14:paraId="05E0D85C" w14:textId="77777777" w:rsidR="00154AD2" w:rsidRDefault="007F6BF3">
            <w:pPr>
              <w:pStyle w:val="P68B1DB1-Normal23"/>
              <w:spacing w:after="0"/>
              <w:jc w:val="center"/>
              <w:rPr>
                <w:rFonts w:eastAsia="Calibri" w:cs="Calibri"/>
                <w:noProof/>
              </w:rPr>
            </w:pPr>
            <w:r>
              <w:rPr>
                <w:noProof/>
              </w:rPr>
              <w:t>RE-C07-i02</w:t>
            </w:r>
          </w:p>
        </w:tc>
        <w:tc>
          <w:tcPr>
            <w:tcW w:w="1520" w:type="dxa"/>
            <w:tcBorders>
              <w:top w:val="nil"/>
              <w:left w:val="nil"/>
              <w:bottom w:val="single" w:sz="4" w:space="0" w:color="auto"/>
              <w:right w:val="single" w:sz="4" w:space="0" w:color="auto"/>
            </w:tcBorders>
            <w:shd w:val="clear" w:color="auto" w:fill="C4EFCE"/>
            <w:vAlign w:val="center"/>
            <w:hideMark/>
          </w:tcPr>
          <w:p w14:paraId="1DD8E82A"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54F4337" w14:textId="77777777" w:rsidR="00154AD2" w:rsidRDefault="007F6BF3">
            <w:pPr>
              <w:pStyle w:val="P68B1DB1-Normal23"/>
              <w:spacing w:after="0"/>
              <w:jc w:val="both"/>
              <w:rPr>
                <w:rFonts w:eastAsia="Calibri" w:cs="Calibri"/>
                <w:noProof/>
              </w:rPr>
            </w:pPr>
            <w:r>
              <w:rPr>
                <w:noProof/>
              </w:rPr>
              <w:t>Οδοί που κατασκευάστηκαν ή αποκαταστάθηκαν</w:t>
            </w:r>
          </w:p>
        </w:tc>
      </w:tr>
      <w:tr w:rsidR="00154AD2" w14:paraId="377F20C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BA2719F" w14:textId="77777777" w:rsidR="00154AD2" w:rsidRDefault="007F6BF3">
            <w:pPr>
              <w:pStyle w:val="P68B1DB1-Normal23"/>
              <w:spacing w:after="0"/>
              <w:jc w:val="center"/>
              <w:rPr>
                <w:rFonts w:eastAsia="Calibri" w:cs="Calibri"/>
                <w:noProof/>
              </w:rPr>
            </w:pPr>
            <w:r>
              <w:rPr>
                <w:noProof/>
              </w:rPr>
              <w:t>8.1</w:t>
            </w:r>
          </w:p>
        </w:tc>
        <w:tc>
          <w:tcPr>
            <w:tcW w:w="1760" w:type="dxa"/>
            <w:tcBorders>
              <w:top w:val="nil"/>
              <w:left w:val="nil"/>
              <w:bottom w:val="single" w:sz="4" w:space="0" w:color="auto"/>
              <w:right w:val="single" w:sz="4" w:space="0" w:color="auto"/>
            </w:tcBorders>
            <w:shd w:val="clear" w:color="auto" w:fill="C4EFCE"/>
            <w:vAlign w:val="center"/>
            <w:hideMark/>
          </w:tcPr>
          <w:p w14:paraId="01EDC3E5" w14:textId="77777777" w:rsidR="00154AD2" w:rsidRDefault="007F6BF3">
            <w:pPr>
              <w:pStyle w:val="P68B1DB1-Normal23"/>
              <w:spacing w:after="0"/>
              <w:jc w:val="center"/>
              <w:rPr>
                <w:rFonts w:eastAsia="Calibri" w:cs="Calibri"/>
                <w:noProof/>
              </w:rPr>
            </w:pPr>
            <w:r>
              <w:rPr>
                <w:noProof/>
              </w:rPr>
              <w:t>RE-C08-i01</w:t>
            </w:r>
          </w:p>
        </w:tc>
        <w:tc>
          <w:tcPr>
            <w:tcW w:w="1520" w:type="dxa"/>
            <w:tcBorders>
              <w:top w:val="nil"/>
              <w:left w:val="nil"/>
              <w:bottom w:val="single" w:sz="4" w:space="0" w:color="auto"/>
              <w:right w:val="single" w:sz="4" w:space="0" w:color="auto"/>
            </w:tcBorders>
            <w:shd w:val="clear" w:color="auto" w:fill="C4EFCE"/>
            <w:vAlign w:val="center"/>
            <w:hideMark/>
          </w:tcPr>
          <w:p w14:paraId="1980E795"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1410C3D" w14:textId="77777777" w:rsidR="00154AD2" w:rsidRDefault="007F6BF3">
            <w:pPr>
              <w:pStyle w:val="P68B1DB1-Normal23"/>
              <w:spacing w:after="0"/>
              <w:jc w:val="both"/>
              <w:rPr>
                <w:rFonts w:eastAsia="Calibri" w:cs="Calibri"/>
                <w:noProof/>
              </w:rPr>
            </w:pPr>
            <w:r>
              <w:rPr>
                <w:noProof/>
              </w:rPr>
              <w:t>Ανάπτυξη προγραμμάτων σχεδιασμού και διαχείρισης τοπίου (PRGP) στις περιοχές που χαρακτηρίζονται ως ευάλωτες.</w:t>
            </w:r>
          </w:p>
        </w:tc>
      </w:tr>
      <w:tr w:rsidR="00154AD2" w14:paraId="57C9696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318667B" w14:textId="77777777" w:rsidR="00154AD2" w:rsidRDefault="007F6BF3">
            <w:pPr>
              <w:pStyle w:val="P68B1DB1-Normal23"/>
              <w:spacing w:after="0"/>
              <w:jc w:val="center"/>
              <w:rPr>
                <w:rFonts w:eastAsia="Calibri" w:cs="Calibri"/>
                <w:noProof/>
              </w:rPr>
            </w:pPr>
            <w:r>
              <w:rPr>
                <w:noProof/>
              </w:rPr>
              <w:t>8.2</w:t>
            </w:r>
          </w:p>
        </w:tc>
        <w:tc>
          <w:tcPr>
            <w:tcW w:w="1760" w:type="dxa"/>
            <w:tcBorders>
              <w:top w:val="nil"/>
              <w:left w:val="nil"/>
              <w:bottom w:val="single" w:sz="4" w:space="0" w:color="auto"/>
              <w:right w:val="single" w:sz="4" w:space="0" w:color="auto"/>
            </w:tcBorders>
            <w:shd w:val="clear" w:color="auto" w:fill="C4EFCE"/>
            <w:vAlign w:val="center"/>
            <w:hideMark/>
          </w:tcPr>
          <w:p w14:paraId="7A203DDE" w14:textId="77777777" w:rsidR="00154AD2" w:rsidRDefault="007F6BF3">
            <w:pPr>
              <w:pStyle w:val="P68B1DB1-Normal23"/>
              <w:spacing w:after="0"/>
              <w:jc w:val="center"/>
              <w:rPr>
                <w:rFonts w:eastAsia="Calibri" w:cs="Calibri"/>
                <w:noProof/>
              </w:rPr>
            </w:pPr>
            <w:r>
              <w:rPr>
                <w:noProof/>
              </w:rPr>
              <w:t>RE-C08-i01</w:t>
            </w:r>
          </w:p>
        </w:tc>
        <w:tc>
          <w:tcPr>
            <w:tcW w:w="1520" w:type="dxa"/>
            <w:tcBorders>
              <w:top w:val="nil"/>
              <w:left w:val="nil"/>
              <w:bottom w:val="single" w:sz="4" w:space="0" w:color="auto"/>
              <w:right w:val="single" w:sz="4" w:space="0" w:color="auto"/>
            </w:tcBorders>
            <w:shd w:val="clear" w:color="auto" w:fill="C4EFCE"/>
            <w:noWrap/>
            <w:vAlign w:val="center"/>
            <w:hideMark/>
          </w:tcPr>
          <w:p w14:paraId="41F26EE6"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noWrap/>
            <w:vAlign w:val="center"/>
            <w:hideMark/>
          </w:tcPr>
          <w:p w14:paraId="0C955423" w14:textId="77777777" w:rsidR="00154AD2" w:rsidRDefault="007F6BF3">
            <w:pPr>
              <w:pStyle w:val="P68B1DB1-Normal23"/>
              <w:spacing w:after="0"/>
              <w:jc w:val="both"/>
              <w:rPr>
                <w:rFonts w:eastAsia="Calibri" w:cs="Calibri"/>
                <w:noProof/>
              </w:rPr>
            </w:pPr>
            <w:r>
              <w:rPr>
                <w:noProof/>
              </w:rPr>
              <w:t xml:space="preserve"> Δημοσίευση των ολοκληρωμένων επιχειρήσεων διαχείρισης τοπίου (OIGP) στο Diário da Republica</w:t>
            </w:r>
          </w:p>
        </w:tc>
      </w:tr>
      <w:tr w:rsidR="00154AD2" w14:paraId="7FAC8B4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4DC7D96" w14:textId="77777777" w:rsidR="00154AD2" w:rsidRDefault="007F6BF3">
            <w:pPr>
              <w:pStyle w:val="P68B1DB1-Normal23"/>
              <w:spacing w:after="0"/>
              <w:jc w:val="center"/>
              <w:rPr>
                <w:rFonts w:eastAsia="Calibri" w:cs="Calibri"/>
                <w:noProof/>
              </w:rPr>
            </w:pPr>
            <w:r>
              <w:rPr>
                <w:noProof/>
              </w:rPr>
              <w:t>8.3</w:t>
            </w:r>
          </w:p>
        </w:tc>
        <w:tc>
          <w:tcPr>
            <w:tcW w:w="1760" w:type="dxa"/>
            <w:tcBorders>
              <w:top w:val="nil"/>
              <w:left w:val="nil"/>
              <w:bottom w:val="single" w:sz="4" w:space="0" w:color="auto"/>
              <w:right w:val="single" w:sz="4" w:space="0" w:color="auto"/>
            </w:tcBorders>
            <w:shd w:val="clear" w:color="auto" w:fill="C4EFCE"/>
            <w:vAlign w:val="center"/>
            <w:hideMark/>
          </w:tcPr>
          <w:p w14:paraId="79CACB0A" w14:textId="77777777" w:rsidR="00154AD2" w:rsidRDefault="007F6BF3">
            <w:pPr>
              <w:pStyle w:val="P68B1DB1-Normal23"/>
              <w:spacing w:after="0"/>
              <w:jc w:val="center"/>
              <w:rPr>
                <w:rFonts w:eastAsia="Calibri" w:cs="Calibri"/>
                <w:noProof/>
              </w:rPr>
            </w:pPr>
            <w:r>
              <w:rPr>
                <w:noProof/>
              </w:rPr>
              <w:t>RE-C08-i01</w:t>
            </w:r>
          </w:p>
        </w:tc>
        <w:tc>
          <w:tcPr>
            <w:tcW w:w="1520" w:type="dxa"/>
            <w:tcBorders>
              <w:top w:val="nil"/>
              <w:left w:val="nil"/>
              <w:bottom w:val="single" w:sz="4" w:space="0" w:color="auto"/>
              <w:right w:val="single" w:sz="4" w:space="0" w:color="auto"/>
            </w:tcBorders>
            <w:shd w:val="clear" w:color="auto" w:fill="C4EFCE"/>
            <w:vAlign w:val="center"/>
            <w:hideMark/>
          </w:tcPr>
          <w:p w14:paraId="73DC3FE2"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38BA7AD" w14:textId="77777777" w:rsidR="00154AD2" w:rsidRDefault="007F6BF3">
            <w:pPr>
              <w:pStyle w:val="P68B1DB1-Normal23"/>
              <w:spacing w:after="0"/>
              <w:jc w:val="both"/>
              <w:rPr>
                <w:rFonts w:eastAsia="Calibri" w:cs="Calibri"/>
                <w:noProof/>
              </w:rPr>
            </w:pPr>
            <w:r>
              <w:rPr>
                <w:noProof/>
              </w:rPr>
              <w:t>Χωριά με έργα διαχείρισης καυσίμων</w:t>
            </w:r>
          </w:p>
        </w:tc>
      </w:tr>
      <w:tr w:rsidR="00154AD2" w14:paraId="61C196A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9695262" w14:textId="77777777" w:rsidR="00154AD2" w:rsidRDefault="007F6BF3">
            <w:pPr>
              <w:pStyle w:val="P68B1DB1-Normal23"/>
              <w:spacing w:after="0"/>
              <w:jc w:val="center"/>
              <w:rPr>
                <w:rFonts w:eastAsia="Calibri" w:cs="Calibri"/>
                <w:noProof/>
              </w:rPr>
            </w:pPr>
            <w:r>
              <w:rPr>
                <w:noProof/>
              </w:rPr>
              <w:t>8.8</w:t>
            </w:r>
          </w:p>
        </w:tc>
        <w:tc>
          <w:tcPr>
            <w:tcW w:w="1760" w:type="dxa"/>
            <w:tcBorders>
              <w:top w:val="nil"/>
              <w:left w:val="nil"/>
              <w:bottom w:val="single" w:sz="4" w:space="0" w:color="auto"/>
              <w:right w:val="single" w:sz="4" w:space="0" w:color="auto"/>
            </w:tcBorders>
            <w:shd w:val="clear" w:color="auto" w:fill="C4EFCE"/>
            <w:vAlign w:val="center"/>
            <w:hideMark/>
          </w:tcPr>
          <w:p w14:paraId="788A36AA" w14:textId="77777777" w:rsidR="00154AD2" w:rsidRDefault="007F6BF3">
            <w:pPr>
              <w:pStyle w:val="P68B1DB1-Normal23"/>
              <w:spacing w:after="0"/>
              <w:jc w:val="center"/>
              <w:rPr>
                <w:rFonts w:eastAsia="Calibri" w:cs="Calibri"/>
                <w:noProof/>
              </w:rPr>
            </w:pPr>
            <w:r>
              <w:rPr>
                <w:noProof/>
              </w:rPr>
              <w:t>RE-C08-i03</w:t>
            </w:r>
          </w:p>
        </w:tc>
        <w:tc>
          <w:tcPr>
            <w:tcW w:w="1520" w:type="dxa"/>
            <w:tcBorders>
              <w:top w:val="nil"/>
              <w:left w:val="nil"/>
              <w:bottom w:val="single" w:sz="4" w:space="0" w:color="auto"/>
              <w:right w:val="single" w:sz="4" w:space="0" w:color="auto"/>
            </w:tcBorders>
            <w:shd w:val="clear" w:color="auto" w:fill="C4EFCE"/>
            <w:vAlign w:val="center"/>
            <w:hideMark/>
          </w:tcPr>
          <w:p w14:paraId="69601962"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6BAA7BC" w14:textId="77777777" w:rsidR="00154AD2" w:rsidRDefault="007F6BF3">
            <w:pPr>
              <w:pStyle w:val="P68B1DB1-Normal23"/>
              <w:spacing w:after="0"/>
              <w:jc w:val="both"/>
              <w:rPr>
                <w:rFonts w:eastAsia="Calibri" w:cs="Calibri"/>
                <w:noProof/>
              </w:rPr>
            </w:pPr>
            <w:r>
              <w:rPr>
                <w:noProof/>
              </w:rPr>
              <w:t>Καθιερωμένη έκταση δουλείας</w:t>
            </w:r>
          </w:p>
        </w:tc>
      </w:tr>
      <w:tr w:rsidR="00154AD2" w14:paraId="0F8A647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ABEAB0A" w14:textId="77777777" w:rsidR="00154AD2" w:rsidRDefault="007F6BF3">
            <w:pPr>
              <w:pStyle w:val="P68B1DB1-Normal23"/>
              <w:spacing w:after="0"/>
              <w:jc w:val="center"/>
              <w:rPr>
                <w:rFonts w:eastAsia="Calibri" w:cs="Calibri"/>
                <w:noProof/>
              </w:rPr>
            </w:pPr>
            <w:r>
              <w:rPr>
                <w:noProof/>
              </w:rPr>
              <w:t>8.9</w:t>
            </w:r>
          </w:p>
        </w:tc>
        <w:tc>
          <w:tcPr>
            <w:tcW w:w="1760" w:type="dxa"/>
            <w:tcBorders>
              <w:top w:val="nil"/>
              <w:left w:val="nil"/>
              <w:bottom w:val="single" w:sz="4" w:space="0" w:color="auto"/>
              <w:right w:val="single" w:sz="4" w:space="0" w:color="auto"/>
            </w:tcBorders>
            <w:shd w:val="clear" w:color="auto" w:fill="C4EFCE"/>
            <w:vAlign w:val="center"/>
            <w:hideMark/>
          </w:tcPr>
          <w:p w14:paraId="5FB474F3" w14:textId="77777777" w:rsidR="00154AD2" w:rsidRDefault="007F6BF3">
            <w:pPr>
              <w:pStyle w:val="P68B1DB1-Normal23"/>
              <w:spacing w:after="0"/>
              <w:jc w:val="center"/>
              <w:rPr>
                <w:rFonts w:eastAsia="Calibri" w:cs="Calibri"/>
                <w:noProof/>
              </w:rPr>
            </w:pPr>
            <w:r>
              <w:rPr>
                <w:noProof/>
              </w:rPr>
              <w:t>RE-C08-i03</w:t>
            </w:r>
          </w:p>
        </w:tc>
        <w:tc>
          <w:tcPr>
            <w:tcW w:w="1520" w:type="dxa"/>
            <w:tcBorders>
              <w:top w:val="nil"/>
              <w:left w:val="nil"/>
              <w:bottom w:val="single" w:sz="4" w:space="0" w:color="auto"/>
              <w:right w:val="single" w:sz="4" w:space="0" w:color="auto"/>
            </w:tcBorders>
            <w:shd w:val="clear" w:color="auto" w:fill="C4EFCE"/>
            <w:vAlign w:val="center"/>
            <w:hideMark/>
          </w:tcPr>
          <w:p w14:paraId="28F771B5"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7D20804" w14:textId="77777777" w:rsidR="00154AD2" w:rsidRDefault="007F6BF3">
            <w:pPr>
              <w:pStyle w:val="P68B1DB1-Normal23"/>
              <w:spacing w:after="0"/>
              <w:jc w:val="both"/>
              <w:rPr>
                <w:rFonts w:eastAsia="Calibri" w:cs="Calibri"/>
                <w:noProof/>
              </w:rPr>
            </w:pPr>
            <w:r>
              <w:rPr>
                <w:noProof/>
              </w:rPr>
              <w:t>Υλοποίηση του Δικτύου Δομής Αποβλημάτων Διαχείρισης Πρωτογενών Καυσίμων (RPFGC)</w:t>
            </w:r>
          </w:p>
        </w:tc>
      </w:tr>
      <w:tr w:rsidR="00154AD2" w14:paraId="7433700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B3BCE24" w14:textId="77777777" w:rsidR="00154AD2" w:rsidRDefault="007F6BF3">
            <w:pPr>
              <w:pStyle w:val="P68B1DB1-Normal23"/>
              <w:spacing w:after="0"/>
              <w:jc w:val="center"/>
              <w:rPr>
                <w:rFonts w:eastAsia="Calibri" w:cs="Calibri"/>
                <w:noProof/>
              </w:rPr>
            </w:pPr>
            <w:r>
              <w:rPr>
                <w:noProof/>
              </w:rPr>
              <w:t>8.11</w:t>
            </w:r>
          </w:p>
        </w:tc>
        <w:tc>
          <w:tcPr>
            <w:tcW w:w="1760" w:type="dxa"/>
            <w:tcBorders>
              <w:top w:val="nil"/>
              <w:left w:val="nil"/>
              <w:bottom w:val="single" w:sz="4" w:space="0" w:color="auto"/>
              <w:right w:val="single" w:sz="4" w:space="0" w:color="auto"/>
            </w:tcBorders>
            <w:shd w:val="clear" w:color="auto" w:fill="C4EFCE"/>
            <w:vAlign w:val="center"/>
            <w:hideMark/>
          </w:tcPr>
          <w:p w14:paraId="5060106C" w14:textId="77777777" w:rsidR="00154AD2" w:rsidRDefault="007F6BF3">
            <w:pPr>
              <w:pStyle w:val="P68B1DB1-Normal23"/>
              <w:spacing w:after="0"/>
              <w:jc w:val="center"/>
              <w:rPr>
                <w:rFonts w:eastAsia="Calibri" w:cs="Calibri"/>
                <w:noProof/>
              </w:rPr>
            </w:pPr>
            <w:r>
              <w:rPr>
                <w:noProof/>
              </w:rPr>
              <w:t>RE-C08-i04</w:t>
            </w:r>
          </w:p>
        </w:tc>
        <w:tc>
          <w:tcPr>
            <w:tcW w:w="1520" w:type="dxa"/>
            <w:tcBorders>
              <w:top w:val="nil"/>
              <w:left w:val="nil"/>
              <w:bottom w:val="single" w:sz="4" w:space="0" w:color="auto"/>
              <w:right w:val="single" w:sz="4" w:space="0" w:color="auto"/>
            </w:tcBorders>
            <w:shd w:val="clear" w:color="auto" w:fill="C4EFCE"/>
            <w:vAlign w:val="center"/>
            <w:hideMark/>
          </w:tcPr>
          <w:p w14:paraId="1062D4CE"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A8AA6F2" w14:textId="77777777" w:rsidR="00154AD2" w:rsidRDefault="007F6BF3">
            <w:pPr>
              <w:pStyle w:val="P68B1DB1-Normal23"/>
              <w:spacing w:after="0"/>
              <w:jc w:val="both"/>
              <w:rPr>
                <w:rFonts w:eastAsia="Calibri" w:cs="Calibri"/>
                <w:noProof/>
              </w:rPr>
            </w:pPr>
            <w:r>
              <w:rPr>
                <w:noProof/>
              </w:rPr>
              <w:t>Παράδοση ελαφρών και μεσαίων πυροσβεστικών ελικοπτέρων</w:t>
            </w:r>
          </w:p>
        </w:tc>
      </w:tr>
      <w:tr w:rsidR="00154AD2" w14:paraId="029E127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45D7569" w14:textId="77777777" w:rsidR="00154AD2" w:rsidRDefault="007F6BF3">
            <w:pPr>
              <w:pStyle w:val="P68B1DB1-Normal23"/>
              <w:spacing w:after="0"/>
              <w:jc w:val="center"/>
              <w:rPr>
                <w:rFonts w:eastAsia="Calibri" w:cs="Calibri"/>
                <w:noProof/>
              </w:rPr>
            </w:pPr>
            <w:r>
              <w:rPr>
                <w:noProof/>
              </w:rPr>
              <w:t>8.16</w:t>
            </w:r>
          </w:p>
        </w:tc>
        <w:tc>
          <w:tcPr>
            <w:tcW w:w="1760" w:type="dxa"/>
            <w:tcBorders>
              <w:top w:val="nil"/>
              <w:left w:val="nil"/>
              <w:bottom w:val="single" w:sz="4" w:space="0" w:color="auto"/>
              <w:right w:val="single" w:sz="4" w:space="0" w:color="auto"/>
            </w:tcBorders>
            <w:shd w:val="clear" w:color="auto" w:fill="C4EFCE"/>
            <w:vAlign w:val="center"/>
            <w:hideMark/>
          </w:tcPr>
          <w:p w14:paraId="406E3841" w14:textId="77777777" w:rsidR="00154AD2" w:rsidRDefault="007F6BF3">
            <w:pPr>
              <w:pStyle w:val="P68B1DB1-Normal23"/>
              <w:spacing w:after="0"/>
              <w:jc w:val="center"/>
              <w:rPr>
                <w:rFonts w:eastAsia="Calibri" w:cs="Calibri"/>
                <w:noProof/>
              </w:rPr>
            </w:pPr>
            <w:r>
              <w:rPr>
                <w:noProof/>
              </w:rPr>
              <w:t>RE-C08-i05</w:t>
            </w:r>
          </w:p>
        </w:tc>
        <w:tc>
          <w:tcPr>
            <w:tcW w:w="1520" w:type="dxa"/>
            <w:tcBorders>
              <w:top w:val="nil"/>
              <w:left w:val="nil"/>
              <w:bottom w:val="single" w:sz="4" w:space="0" w:color="auto"/>
              <w:right w:val="single" w:sz="4" w:space="0" w:color="auto"/>
            </w:tcBorders>
            <w:shd w:val="clear" w:color="auto" w:fill="C4EFCE"/>
            <w:vAlign w:val="center"/>
            <w:hideMark/>
          </w:tcPr>
          <w:p w14:paraId="5F70D9DF"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7632C10" w14:textId="77777777" w:rsidR="00154AD2" w:rsidRDefault="007F6BF3">
            <w:pPr>
              <w:pStyle w:val="P68B1DB1-Normal23"/>
              <w:spacing w:after="0"/>
              <w:jc w:val="both"/>
              <w:rPr>
                <w:rFonts w:eastAsia="Calibri" w:cs="Calibri"/>
                <w:noProof/>
              </w:rPr>
            </w:pPr>
            <w:r>
              <w:rPr>
                <w:noProof/>
              </w:rPr>
              <w:t>Εφαρμογή εθνικού προγράμματος κατάρτισης</w:t>
            </w:r>
          </w:p>
        </w:tc>
      </w:tr>
      <w:tr w:rsidR="00154AD2" w14:paraId="151E9F4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5364E79" w14:textId="77777777" w:rsidR="00154AD2" w:rsidRDefault="007F6BF3">
            <w:pPr>
              <w:pStyle w:val="P68B1DB1-Normal23"/>
              <w:spacing w:after="0"/>
              <w:jc w:val="center"/>
              <w:rPr>
                <w:rFonts w:eastAsia="Calibri" w:cs="Calibri"/>
                <w:noProof/>
              </w:rPr>
            </w:pPr>
            <w:r>
              <w:rPr>
                <w:noProof/>
              </w:rPr>
              <w:t>8.20</w:t>
            </w:r>
          </w:p>
        </w:tc>
        <w:tc>
          <w:tcPr>
            <w:tcW w:w="1760" w:type="dxa"/>
            <w:tcBorders>
              <w:top w:val="nil"/>
              <w:left w:val="nil"/>
              <w:bottom w:val="single" w:sz="4" w:space="0" w:color="auto"/>
              <w:right w:val="single" w:sz="4" w:space="0" w:color="auto"/>
            </w:tcBorders>
            <w:shd w:val="clear" w:color="auto" w:fill="C4EFCE"/>
            <w:vAlign w:val="center"/>
            <w:hideMark/>
          </w:tcPr>
          <w:p w14:paraId="0F6D2E23" w14:textId="77777777" w:rsidR="00154AD2" w:rsidRDefault="007F6BF3">
            <w:pPr>
              <w:pStyle w:val="P68B1DB1-Normal23"/>
              <w:spacing w:after="0"/>
              <w:jc w:val="center"/>
              <w:rPr>
                <w:rFonts w:eastAsia="Calibri" w:cs="Calibri"/>
                <w:noProof/>
              </w:rPr>
            </w:pPr>
            <w:r>
              <w:rPr>
                <w:noProof/>
              </w:rPr>
              <w:t>RE-C08-i01</w:t>
            </w:r>
          </w:p>
        </w:tc>
        <w:tc>
          <w:tcPr>
            <w:tcW w:w="1520" w:type="dxa"/>
            <w:tcBorders>
              <w:top w:val="nil"/>
              <w:left w:val="nil"/>
              <w:bottom w:val="single" w:sz="4" w:space="0" w:color="auto"/>
              <w:right w:val="single" w:sz="4" w:space="0" w:color="auto"/>
            </w:tcBorders>
            <w:shd w:val="clear" w:color="auto" w:fill="C4EFCE"/>
            <w:vAlign w:val="center"/>
            <w:hideMark/>
          </w:tcPr>
          <w:p w14:paraId="6A8FA555"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3C69A6A" w14:textId="77777777" w:rsidR="00154AD2" w:rsidRDefault="007F6BF3">
            <w:pPr>
              <w:pStyle w:val="P68B1DB1-Normal23"/>
              <w:spacing w:after="0"/>
              <w:jc w:val="both"/>
              <w:rPr>
                <w:rFonts w:eastAsia="Calibri" w:cs="Calibri"/>
                <w:noProof/>
              </w:rPr>
            </w:pPr>
            <w:r>
              <w:rPr>
                <w:noProof/>
              </w:rPr>
              <w:t>Εφαρμογή μέτρων αναδασμού Προγράμματα «Emparcelar para Ordenar»</w:t>
            </w:r>
          </w:p>
        </w:tc>
      </w:tr>
      <w:tr w:rsidR="00154AD2" w14:paraId="3400313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2D197FF" w14:textId="77777777" w:rsidR="00154AD2" w:rsidRDefault="007F6BF3">
            <w:pPr>
              <w:pStyle w:val="P68B1DB1-Normal23"/>
              <w:spacing w:after="0"/>
              <w:jc w:val="center"/>
              <w:rPr>
                <w:rFonts w:eastAsia="Calibri" w:cs="Calibri"/>
                <w:noProof/>
              </w:rPr>
            </w:pPr>
            <w:r>
              <w:rPr>
                <w:noProof/>
              </w:rPr>
              <w:t>9.13</w:t>
            </w:r>
          </w:p>
        </w:tc>
        <w:tc>
          <w:tcPr>
            <w:tcW w:w="1760" w:type="dxa"/>
            <w:tcBorders>
              <w:top w:val="nil"/>
              <w:left w:val="nil"/>
              <w:bottom w:val="single" w:sz="4" w:space="0" w:color="auto"/>
              <w:right w:val="single" w:sz="4" w:space="0" w:color="auto"/>
            </w:tcBorders>
            <w:shd w:val="clear" w:color="auto" w:fill="C4EFCE"/>
            <w:vAlign w:val="center"/>
            <w:hideMark/>
          </w:tcPr>
          <w:p w14:paraId="4DC101BB" w14:textId="77777777" w:rsidR="00154AD2" w:rsidRDefault="007F6BF3">
            <w:pPr>
              <w:pStyle w:val="P68B1DB1-Normal23"/>
              <w:spacing w:after="0"/>
              <w:jc w:val="center"/>
              <w:rPr>
                <w:rFonts w:eastAsia="Calibri" w:cs="Calibri"/>
                <w:noProof/>
              </w:rPr>
            </w:pPr>
            <w:r>
              <w:rPr>
                <w:noProof/>
              </w:rPr>
              <w:t>RE-C09-i03-RAM</w:t>
            </w:r>
          </w:p>
        </w:tc>
        <w:tc>
          <w:tcPr>
            <w:tcW w:w="1520" w:type="dxa"/>
            <w:tcBorders>
              <w:top w:val="nil"/>
              <w:left w:val="nil"/>
              <w:bottom w:val="single" w:sz="4" w:space="0" w:color="auto"/>
              <w:right w:val="single" w:sz="4" w:space="0" w:color="auto"/>
            </w:tcBorders>
            <w:shd w:val="clear" w:color="auto" w:fill="C4EFCE"/>
            <w:vAlign w:val="center"/>
            <w:hideMark/>
          </w:tcPr>
          <w:p w14:paraId="006C3296"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1DD5B30" w14:textId="77777777" w:rsidR="00154AD2" w:rsidRDefault="007F6BF3">
            <w:pPr>
              <w:pStyle w:val="P68B1DB1-Normal23"/>
              <w:spacing w:after="0"/>
              <w:jc w:val="both"/>
              <w:rPr>
                <w:rFonts w:eastAsia="Calibri" w:cs="Calibri"/>
                <w:noProof/>
              </w:rPr>
            </w:pPr>
            <w:r>
              <w:rPr>
                <w:noProof/>
              </w:rPr>
              <w:t>Πρόσθετος όγκος νερού που διατίθεται στο νότιο τμήμα της νήσου Μαδέρας για δημόσια παροχή και άρδευση</w:t>
            </w:r>
          </w:p>
        </w:tc>
      </w:tr>
      <w:tr w:rsidR="00154AD2" w14:paraId="785F1D8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66C8B5C" w14:textId="77777777" w:rsidR="00154AD2" w:rsidRDefault="007F6BF3">
            <w:pPr>
              <w:pStyle w:val="P68B1DB1-Normal23"/>
              <w:spacing w:after="0"/>
              <w:jc w:val="center"/>
              <w:rPr>
                <w:rFonts w:eastAsia="Calibri" w:cs="Calibri"/>
                <w:noProof/>
              </w:rPr>
            </w:pPr>
            <w:r>
              <w:rPr>
                <w:noProof/>
              </w:rPr>
              <w:t>10.2</w:t>
            </w:r>
          </w:p>
        </w:tc>
        <w:tc>
          <w:tcPr>
            <w:tcW w:w="1760" w:type="dxa"/>
            <w:tcBorders>
              <w:top w:val="nil"/>
              <w:left w:val="nil"/>
              <w:bottom w:val="single" w:sz="4" w:space="0" w:color="auto"/>
              <w:right w:val="single" w:sz="4" w:space="0" w:color="auto"/>
            </w:tcBorders>
            <w:shd w:val="clear" w:color="auto" w:fill="C4EFCE"/>
            <w:vAlign w:val="center"/>
            <w:hideMark/>
          </w:tcPr>
          <w:p w14:paraId="0D2AF861" w14:textId="77777777" w:rsidR="00154AD2" w:rsidRDefault="007F6BF3">
            <w:pPr>
              <w:pStyle w:val="P68B1DB1-Normal23"/>
              <w:spacing w:after="0"/>
              <w:jc w:val="center"/>
              <w:rPr>
                <w:rFonts w:eastAsia="Calibri" w:cs="Calibri"/>
                <w:noProof/>
              </w:rPr>
            </w:pPr>
            <w:r>
              <w:rPr>
                <w:noProof/>
              </w:rPr>
              <w:t>TC-C10-I01</w:t>
            </w:r>
          </w:p>
        </w:tc>
        <w:tc>
          <w:tcPr>
            <w:tcW w:w="1520" w:type="dxa"/>
            <w:tcBorders>
              <w:top w:val="nil"/>
              <w:left w:val="nil"/>
              <w:bottom w:val="single" w:sz="4" w:space="0" w:color="auto"/>
              <w:right w:val="single" w:sz="4" w:space="0" w:color="auto"/>
            </w:tcBorders>
            <w:shd w:val="clear" w:color="auto" w:fill="C4EFCE"/>
            <w:vAlign w:val="center"/>
            <w:hideMark/>
          </w:tcPr>
          <w:p w14:paraId="44875E4E"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839B19A" w14:textId="77777777" w:rsidR="00154AD2" w:rsidRDefault="007F6BF3">
            <w:pPr>
              <w:pStyle w:val="P68B1DB1-Normal23"/>
              <w:spacing w:after="0"/>
              <w:jc w:val="both"/>
              <w:rPr>
                <w:rFonts w:eastAsia="Calibri" w:cs="Calibri"/>
                <w:noProof/>
              </w:rPr>
            </w:pPr>
            <w:r>
              <w:rPr>
                <w:noProof/>
              </w:rPr>
              <w:t>Ολοκλήρωση του εκσυγχρονισμού των σχολείων του Blue Hub και ενίσχυση της προμήθειας και του εξοπλισμού</w:t>
            </w:r>
          </w:p>
        </w:tc>
      </w:tr>
      <w:tr w:rsidR="00154AD2" w14:paraId="5CCE596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3FDF520" w14:textId="77777777" w:rsidR="00154AD2" w:rsidRDefault="007F6BF3">
            <w:pPr>
              <w:pStyle w:val="P68B1DB1-Normal23"/>
              <w:spacing w:after="0"/>
              <w:jc w:val="center"/>
              <w:rPr>
                <w:rFonts w:eastAsia="Calibri" w:cs="Calibri"/>
                <w:noProof/>
              </w:rPr>
            </w:pPr>
            <w:r>
              <w:rPr>
                <w:noProof/>
              </w:rPr>
              <w:t>10.3</w:t>
            </w:r>
          </w:p>
        </w:tc>
        <w:tc>
          <w:tcPr>
            <w:tcW w:w="1760" w:type="dxa"/>
            <w:tcBorders>
              <w:top w:val="nil"/>
              <w:left w:val="nil"/>
              <w:bottom w:val="single" w:sz="4" w:space="0" w:color="auto"/>
              <w:right w:val="single" w:sz="4" w:space="0" w:color="auto"/>
            </w:tcBorders>
            <w:shd w:val="clear" w:color="auto" w:fill="C4EFCE"/>
            <w:vAlign w:val="center"/>
            <w:hideMark/>
          </w:tcPr>
          <w:p w14:paraId="70B1C854" w14:textId="77777777" w:rsidR="00154AD2" w:rsidRDefault="007F6BF3">
            <w:pPr>
              <w:pStyle w:val="P68B1DB1-Normal23"/>
              <w:spacing w:after="0"/>
              <w:jc w:val="center"/>
              <w:rPr>
                <w:rFonts w:eastAsia="Calibri" w:cs="Calibri"/>
                <w:noProof/>
              </w:rPr>
            </w:pPr>
            <w:r>
              <w:rPr>
                <w:noProof/>
              </w:rPr>
              <w:t>TC-C10-I01</w:t>
            </w:r>
          </w:p>
        </w:tc>
        <w:tc>
          <w:tcPr>
            <w:tcW w:w="1520" w:type="dxa"/>
            <w:tcBorders>
              <w:top w:val="nil"/>
              <w:left w:val="nil"/>
              <w:bottom w:val="single" w:sz="4" w:space="0" w:color="auto"/>
              <w:right w:val="single" w:sz="4" w:space="0" w:color="auto"/>
            </w:tcBorders>
            <w:shd w:val="clear" w:color="auto" w:fill="C4EFCE"/>
            <w:vAlign w:val="center"/>
            <w:hideMark/>
          </w:tcPr>
          <w:p w14:paraId="6F5F3A85"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354F1D5" w14:textId="77777777" w:rsidR="00154AD2" w:rsidRDefault="007F6BF3">
            <w:pPr>
              <w:pStyle w:val="P68B1DB1-Normal23"/>
              <w:spacing w:after="0"/>
              <w:jc w:val="both"/>
              <w:rPr>
                <w:rFonts w:eastAsia="Calibri" w:cs="Calibri"/>
                <w:noProof/>
              </w:rPr>
            </w:pPr>
            <w:r>
              <w:rPr>
                <w:noProof/>
              </w:rPr>
              <w:t>Ολοκλήρωση της εγκατάστασης και/ή αναβάθμιση των κόμβων του Blue Hub</w:t>
            </w:r>
          </w:p>
        </w:tc>
      </w:tr>
      <w:tr w:rsidR="00154AD2" w14:paraId="7B6EB3C1"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348F399" w14:textId="77777777" w:rsidR="00154AD2" w:rsidRDefault="007F6BF3">
            <w:pPr>
              <w:pStyle w:val="P68B1DB1-Normal23"/>
              <w:spacing w:after="0"/>
              <w:jc w:val="center"/>
              <w:rPr>
                <w:rFonts w:eastAsia="Calibri" w:cs="Calibri"/>
                <w:noProof/>
              </w:rPr>
            </w:pPr>
            <w:r>
              <w:rPr>
                <w:noProof/>
              </w:rPr>
              <w:t>10.4</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50B62858" w14:textId="77777777" w:rsidR="00154AD2" w:rsidRDefault="007F6BF3">
            <w:pPr>
              <w:pStyle w:val="P68B1DB1-Normal23"/>
              <w:spacing w:after="0"/>
              <w:jc w:val="center"/>
              <w:rPr>
                <w:rFonts w:eastAsia="Calibri" w:cs="Calibri"/>
                <w:noProof/>
              </w:rPr>
            </w:pPr>
            <w:r>
              <w:rPr>
                <w:noProof/>
              </w:rPr>
              <w:t>TC-C10-I02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7736AA3B"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72D99B7" w14:textId="77777777" w:rsidR="00154AD2" w:rsidRDefault="007F6BF3">
            <w:pPr>
              <w:pStyle w:val="P68B1DB1-Normal23"/>
              <w:spacing w:after="0"/>
              <w:jc w:val="both"/>
              <w:rPr>
                <w:rFonts w:eastAsia="Calibri" w:cs="Calibri"/>
                <w:noProof/>
              </w:rPr>
            </w:pPr>
            <w:r>
              <w:rPr>
                <w:noProof/>
              </w:rPr>
              <w:t>Έγκριση των τελικών εκθέσεων για 70 έργα υπέρ της καινοτομίας, της ενεργειακής μετάβασης και της μείωσης των περιβαλλοντικών επιπτώσεων για οντότητες στον τομέα της αλιείας</w:t>
            </w:r>
          </w:p>
        </w:tc>
      </w:tr>
      <w:tr w:rsidR="00154AD2" w14:paraId="2377D9B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0F2EEBE" w14:textId="77777777" w:rsidR="00154AD2" w:rsidRDefault="007F6BF3">
            <w:pPr>
              <w:pStyle w:val="P68B1DB1-Normal23"/>
              <w:spacing w:after="0"/>
              <w:jc w:val="center"/>
              <w:rPr>
                <w:rFonts w:eastAsia="Calibri" w:cs="Calibri"/>
                <w:noProof/>
              </w:rPr>
            </w:pPr>
            <w:r>
              <w:rPr>
                <w:noProof/>
              </w:rPr>
              <w:t>10.9</w:t>
            </w:r>
          </w:p>
        </w:tc>
        <w:tc>
          <w:tcPr>
            <w:tcW w:w="1760" w:type="dxa"/>
            <w:tcBorders>
              <w:top w:val="nil"/>
              <w:left w:val="nil"/>
              <w:bottom w:val="single" w:sz="4" w:space="0" w:color="auto"/>
              <w:right w:val="single" w:sz="4" w:space="0" w:color="auto"/>
            </w:tcBorders>
            <w:shd w:val="clear" w:color="auto" w:fill="C4EFCE"/>
            <w:vAlign w:val="center"/>
            <w:hideMark/>
          </w:tcPr>
          <w:p w14:paraId="62BDE422" w14:textId="77777777" w:rsidR="00154AD2" w:rsidRDefault="007F6BF3">
            <w:pPr>
              <w:pStyle w:val="P68B1DB1-Normal23"/>
              <w:spacing w:after="0"/>
              <w:jc w:val="center"/>
              <w:rPr>
                <w:rFonts w:eastAsia="Calibri" w:cs="Calibri"/>
                <w:noProof/>
              </w:rPr>
            </w:pPr>
            <w:r>
              <w:rPr>
                <w:noProof/>
              </w:rPr>
              <w:t>TC-C10-i04-RAA</w:t>
            </w:r>
          </w:p>
        </w:tc>
        <w:tc>
          <w:tcPr>
            <w:tcW w:w="1520" w:type="dxa"/>
            <w:tcBorders>
              <w:top w:val="nil"/>
              <w:left w:val="nil"/>
              <w:bottom w:val="single" w:sz="4" w:space="0" w:color="auto"/>
              <w:right w:val="single" w:sz="4" w:space="0" w:color="auto"/>
            </w:tcBorders>
            <w:shd w:val="clear" w:color="auto" w:fill="C4EFCE"/>
            <w:vAlign w:val="center"/>
            <w:hideMark/>
          </w:tcPr>
          <w:p w14:paraId="29E5E8E2"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423FB98" w14:textId="77777777" w:rsidR="00154AD2" w:rsidRDefault="007F6BF3">
            <w:pPr>
              <w:pStyle w:val="P68B1DB1-Normal23"/>
              <w:spacing w:after="0"/>
              <w:jc w:val="both"/>
              <w:rPr>
                <w:rFonts w:eastAsia="Calibri" w:cs="Calibri"/>
                <w:noProof/>
              </w:rPr>
            </w:pPr>
            <w:r>
              <w:rPr>
                <w:noProof/>
              </w:rPr>
              <w:t>Παράδοση ερευνητικού σκάφους</w:t>
            </w:r>
          </w:p>
        </w:tc>
      </w:tr>
      <w:tr w:rsidR="00154AD2" w14:paraId="64CC4DD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7E87070" w14:textId="77777777" w:rsidR="00154AD2" w:rsidRDefault="007F6BF3">
            <w:pPr>
              <w:pStyle w:val="P68B1DB1-Normal23"/>
              <w:spacing w:after="0"/>
              <w:jc w:val="center"/>
              <w:rPr>
                <w:rFonts w:eastAsia="Calibri" w:cs="Calibri"/>
                <w:noProof/>
              </w:rPr>
            </w:pPr>
            <w:r>
              <w:rPr>
                <w:noProof/>
              </w:rPr>
              <w:t>10.16</w:t>
            </w:r>
          </w:p>
        </w:tc>
        <w:tc>
          <w:tcPr>
            <w:tcW w:w="1760" w:type="dxa"/>
            <w:tcBorders>
              <w:top w:val="nil"/>
              <w:left w:val="nil"/>
              <w:bottom w:val="single" w:sz="4" w:space="0" w:color="auto"/>
              <w:right w:val="single" w:sz="4" w:space="0" w:color="auto"/>
            </w:tcBorders>
            <w:shd w:val="clear" w:color="auto" w:fill="C4EFCE"/>
            <w:vAlign w:val="center"/>
            <w:hideMark/>
          </w:tcPr>
          <w:p w14:paraId="3B2E578C" w14:textId="77777777" w:rsidR="00154AD2" w:rsidRDefault="007F6BF3">
            <w:pPr>
              <w:pStyle w:val="P68B1DB1-Normal23"/>
              <w:spacing w:after="0"/>
              <w:jc w:val="center"/>
              <w:rPr>
                <w:rFonts w:eastAsia="Calibri" w:cs="Calibri"/>
                <w:noProof/>
              </w:rPr>
            </w:pPr>
            <w:r>
              <w:rPr>
                <w:noProof/>
              </w:rPr>
              <w:t>TC-C10-i06-RAM</w:t>
            </w:r>
          </w:p>
        </w:tc>
        <w:tc>
          <w:tcPr>
            <w:tcW w:w="1520" w:type="dxa"/>
            <w:tcBorders>
              <w:top w:val="nil"/>
              <w:left w:val="nil"/>
              <w:bottom w:val="single" w:sz="4" w:space="0" w:color="auto"/>
              <w:right w:val="single" w:sz="4" w:space="0" w:color="auto"/>
            </w:tcBorders>
            <w:shd w:val="clear" w:color="auto" w:fill="C4EFCE"/>
            <w:vAlign w:val="center"/>
            <w:hideMark/>
          </w:tcPr>
          <w:p w14:paraId="7BE16E0C"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247BA8C" w14:textId="77777777" w:rsidR="00154AD2" w:rsidRDefault="007F6BF3">
            <w:pPr>
              <w:pStyle w:val="P68B1DB1-Normal23"/>
              <w:spacing w:after="0"/>
              <w:jc w:val="both"/>
              <w:rPr>
                <w:rFonts w:eastAsia="Calibri" w:cs="Calibri"/>
                <w:noProof/>
              </w:rPr>
            </w:pPr>
            <w:r>
              <w:rPr>
                <w:noProof/>
              </w:rPr>
              <w:t>Παράδοση αυτόνομου μη επανδρωμένου οχήματος</w:t>
            </w:r>
          </w:p>
        </w:tc>
      </w:tr>
      <w:tr w:rsidR="00154AD2" w14:paraId="260DB7C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CD25DA4" w14:textId="77777777" w:rsidR="00154AD2" w:rsidRDefault="007F6BF3">
            <w:pPr>
              <w:pStyle w:val="P68B1DB1-Normal23"/>
              <w:spacing w:after="0"/>
              <w:jc w:val="center"/>
              <w:rPr>
                <w:rFonts w:eastAsia="Calibri" w:cs="Calibri"/>
                <w:noProof/>
              </w:rPr>
            </w:pPr>
            <w:r>
              <w:rPr>
                <w:noProof/>
              </w:rPr>
              <w:t>11.3</w:t>
            </w:r>
          </w:p>
        </w:tc>
        <w:tc>
          <w:tcPr>
            <w:tcW w:w="1760" w:type="dxa"/>
            <w:tcBorders>
              <w:top w:val="nil"/>
              <w:left w:val="nil"/>
              <w:bottom w:val="single" w:sz="4" w:space="0" w:color="auto"/>
              <w:right w:val="single" w:sz="4" w:space="0" w:color="auto"/>
            </w:tcBorders>
            <w:shd w:val="clear" w:color="auto" w:fill="C4EFCE"/>
            <w:vAlign w:val="center"/>
            <w:hideMark/>
          </w:tcPr>
          <w:p w14:paraId="7D5F02B7" w14:textId="77777777" w:rsidR="00154AD2" w:rsidRDefault="007F6BF3">
            <w:pPr>
              <w:pStyle w:val="P68B1DB1-Normal23"/>
              <w:spacing w:after="0"/>
              <w:jc w:val="center"/>
              <w:rPr>
                <w:rFonts w:eastAsia="Calibri" w:cs="Calibri"/>
                <w:noProof/>
              </w:rPr>
            </w:pPr>
            <w:r>
              <w:rPr>
                <w:noProof/>
              </w:rPr>
              <w:t>TC-C11-I01</w:t>
            </w:r>
          </w:p>
        </w:tc>
        <w:tc>
          <w:tcPr>
            <w:tcW w:w="1520" w:type="dxa"/>
            <w:tcBorders>
              <w:top w:val="nil"/>
              <w:left w:val="nil"/>
              <w:bottom w:val="single" w:sz="4" w:space="0" w:color="auto"/>
              <w:right w:val="single" w:sz="4" w:space="0" w:color="auto"/>
            </w:tcBorders>
            <w:shd w:val="clear" w:color="auto" w:fill="C4EFCE"/>
            <w:vAlign w:val="center"/>
            <w:hideMark/>
          </w:tcPr>
          <w:p w14:paraId="40F811C7"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7CEDD55" w14:textId="77777777" w:rsidR="00154AD2" w:rsidRDefault="007F6BF3">
            <w:pPr>
              <w:pStyle w:val="P68B1DB1-Normal23"/>
              <w:spacing w:after="0"/>
              <w:jc w:val="both"/>
              <w:rPr>
                <w:rFonts w:eastAsia="Calibri" w:cs="Calibri"/>
                <w:noProof/>
              </w:rPr>
            </w:pPr>
            <w:r>
              <w:rPr>
                <w:noProof/>
              </w:rPr>
              <w:t>Χρηματοδοτική στήριξη σε έργα απαλλαγής της βιομηχανίας από τις ανθρακούχες εκπομπές</w:t>
            </w:r>
          </w:p>
        </w:tc>
      </w:tr>
      <w:tr w:rsidR="00154AD2" w14:paraId="52A5E53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7504C71" w14:textId="77777777" w:rsidR="00154AD2" w:rsidRDefault="007F6BF3">
            <w:pPr>
              <w:pStyle w:val="P68B1DB1-Normal23"/>
              <w:spacing w:after="0"/>
              <w:jc w:val="center"/>
              <w:rPr>
                <w:rFonts w:eastAsia="Calibri" w:cs="Calibri"/>
                <w:noProof/>
              </w:rPr>
            </w:pPr>
            <w:r>
              <w:rPr>
                <w:noProof/>
              </w:rPr>
              <w:t>12.3</w:t>
            </w:r>
          </w:p>
        </w:tc>
        <w:tc>
          <w:tcPr>
            <w:tcW w:w="1760" w:type="dxa"/>
            <w:tcBorders>
              <w:top w:val="nil"/>
              <w:left w:val="nil"/>
              <w:bottom w:val="single" w:sz="4" w:space="0" w:color="auto"/>
              <w:right w:val="single" w:sz="4" w:space="0" w:color="auto"/>
            </w:tcBorders>
            <w:shd w:val="clear" w:color="auto" w:fill="C4EFCE"/>
            <w:vAlign w:val="center"/>
            <w:hideMark/>
          </w:tcPr>
          <w:p w14:paraId="5E91949E" w14:textId="77777777" w:rsidR="00154AD2" w:rsidRDefault="007F6BF3">
            <w:pPr>
              <w:pStyle w:val="P68B1DB1-Normal23"/>
              <w:spacing w:after="0"/>
              <w:jc w:val="center"/>
              <w:rPr>
                <w:rFonts w:eastAsia="Calibri" w:cs="Calibri"/>
                <w:noProof/>
              </w:rPr>
            </w:pPr>
            <w:r>
              <w:rPr>
                <w:noProof/>
              </w:rPr>
              <w:t>TC-C12-I01</w:t>
            </w:r>
          </w:p>
        </w:tc>
        <w:tc>
          <w:tcPr>
            <w:tcW w:w="1520" w:type="dxa"/>
            <w:tcBorders>
              <w:top w:val="nil"/>
              <w:left w:val="nil"/>
              <w:bottom w:val="single" w:sz="4" w:space="0" w:color="auto"/>
              <w:right w:val="single" w:sz="4" w:space="0" w:color="auto"/>
            </w:tcBorders>
            <w:shd w:val="clear" w:color="auto" w:fill="C4EFCE"/>
            <w:vAlign w:val="center"/>
            <w:hideMark/>
          </w:tcPr>
          <w:p w14:paraId="11FF5E1F"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CCA943F" w14:textId="77777777" w:rsidR="00154AD2" w:rsidRDefault="007F6BF3">
            <w:pPr>
              <w:pStyle w:val="P68B1DB1-Normal23"/>
              <w:spacing w:after="0"/>
              <w:jc w:val="both"/>
              <w:rPr>
                <w:rFonts w:eastAsia="Calibri" w:cs="Calibri"/>
                <w:noProof/>
              </w:rPr>
            </w:pPr>
            <w:r>
              <w:rPr>
                <w:noProof/>
              </w:rPr>
              <w:t>Νέα προϊόντα, τεχνολογίες και πιλοτικές διαδικασίες που ενσωματώνουν πόρους βιολογικής βάσης</w:t>
            </w:r>
          </w:p>
        </w:tc>
      </w:tr>
      <w:tr w:rsidR="00154AD2" w14:paraId="6307650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1574EE4" w14:textId="77777777" w:rsidR="00154AD2" w:rsidRDefault="007F6BF3">
            <w:pPr>
              <w:pStyle w:val="P68B1DB1-Normal23"/>
              <w:spacing w:after="0"/>
              <w:jc w:val="center"/>
              <w:rPr>
                <w:rFonts w:eastAsia="Calibri" w:cs="Calibri"/>
                <w:noProof/>
              </w:rPr>
            </w:pPr>
            <w:r>
              <w:rPr>
                <w:noProof/>
              </w:rPr>
              <w:t>12.4</w:t>
            </w:r>
          </w:p>
        </w:tc>
        <w:tc>
          <w:tcPr>
            <w:tcW w:w="1760" w:type="dxa"/>
            <w:tcBorders>
              <w:top w:val="nil"/>
              <w:left w:val="nil"/>
              <w:bottom w:val="single" w:sz="4" w:space="0" w:color="auto"/>
              <w:right w:val="single" w:sz="4" w:space="0" w:color="auto"/>
            </w:tcBorders>
            <w:shd w:val="clear" w:color="auto" w:fill="C4EFCE"/>
            <w:vAlign w:val="center"/>
            <w:hideMark/>
          </w:tcPr>
          <w:p w14:paraId="4D7A477C" w14:textId="77777777" w:rsidR="00154AD2" w:rsidRDefault="007F6BF3">
            <w:pPr>
              <w:pStyle w:val="P68B1DB1-Normal23"/>
              <w:spacing w:after="0"/>
              <w:jc w:val="center"/>
              <w:rPr>
                <w:rFonts w:eastAsia="Calibri" w:cs="Calibri"/>
                <w:noProof/>
              </w:rPr>
            </w:pPr>
            <w:r>
              <w:rPr>
                <w:noProof/>
              </w:rPr>
              <w:t>TC-C12-I01</w:t>
            </w:r>
          </w:p>
        </w:tc>
        <w:tc>
          <w:tcPr>
            <w:tcW w:w="1520" w:type="dxa"/>
            <w:tcBorders>
              <w:top w:val="nil"/>
              <w:left w:val="nil"/>
              <w:bottom w:val="single" w:sz="4" w:space="0" w:color="auto"/>
              <w:right w:val="single" w:sz="4" w:space="0" w:color="auto"/>
            </w:tcBorders>
            <w:shd w:val="clear" w:color="auto" w:fill="C4EFCE"/>
            <w:vAlign w:val="center"/>
            <w:hideMark/>
          </w:tcPr>
          <w:p w14:paraId="671544E6"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6011820" w14:textId="77777777" w:rsidR="00154AD2" w:rsidRDefault="007F6BF3">
            <w:pPr>
              <w:pStyle w:val="P68B1DB1-Normal23"/>
              <w:spacing w:after="0"/>
              <w:jc w:val="both"/>
              <w:rPr>
                <w:rFonts w:eastAsia="Calibri" w:cs="Calibri"/>
                <w:noProof/>
              </w:rPr>
            </w:pPr>
            <w:r>
              <w:rPr>
                <w:noProof/>
              </w:rPr>
              <w:t>Ανάπτυξη θαλάσσιων πεύκων με δυναμικό παραγωγής ρητίνης</w:t>
            </w:r>
          </w:p>
        </w:tc>
      </w:tr>
      <w:tr w:rsidR="00154AD2" w14:paraId="420B45B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DBBC2D8" w14:textId="77777777" w:rsidR="00154AD2" w:rsidRDefault="007F6BF3">
            <w:pPr>
              <w:pStyle w:val="P68B1DB1-Normal23"/>
              <w:spacing w:after="0"/>
              <w:jc w:val="center"/>
              <w:rPr>
                <w:rFonts w:eastAsia="Calibri" w:cs="Calibri"/>
                <w:noProof/>
              </w:rPr>
            </w:pPr>
            <w:r>
              <w:rPr>
                <w:noProof/>
              </w:rPr>
              <w:t>12.9</w:t>
            </w:r>
          </w:p>
        </w:tc>
        <w:tc>
          <w:tcPr>
            <w:tcW w:w="1760" w:type="dxa"/>
            <w:tcBorders>
              <w:top w:val="nil"/>
              <w:left w:val="nil"/>
              <w:bottom w:val="single" w:sz="4" w:space="0" w:color="auto"/>
              <w:right w:val="single" w:sz="4" w:space="0" w:color="auto"/>
            </w:tcBorders>
            <w:shd w:val="clear" w:color="auto" w:fill="C4EFCE"/>
            <w:vAlign w:val="center"/>
            <w:hideMark/>
          </w:tcPr>
          <w:p w14:paraId="172E9144" w14:textId="77777777" w:rsidR="00154AD2" w:rsidRDefault="007F6BF3">
            <w:pPr>
              <w:pStyle w:val="P68B1DB1-Normal23"/>
              <w:spacing w:after="0"/>
              <w:jc w:val="center"/>
              <w:rPr>
                <w:rFonts w:eastAsia="Calibri" w:cs="Calibri"/>
                <w:noProof/>
              </w:rPr>
            </w:pPr>
            <w:r>
              <w:rPr>
                <w:noProof/>
              </w:rPr>
              <w:t>TC-C12-r39</w:t>
            </w:r>
          </w:p>
        </w:tc>
        <w:tc>
          <w:tcPr>
            <w:tcW w:w="1520" w:type="dxa"/>
            <w:tcBorders>
              <w:top w:val="nil"/>
              <w:left w:val="nil"/>
              <w:bottom w:val="single" w:sz="4" w:space="0" w:color="auto"/>
              <w:right w:val="single" w:sz="4" w:space="0" w:color="auto"/>
            </w:tcBorders>
            <w:shd w:val="clear" w:color="auto" w:fill="C4EFCE"/>
            <w:vAlign w:val="center"/>
            <w:hideMark/>
          </w:tcPr>
          <w:p w14:paraId="7087AB67"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FC7761F" w14:textId="77777777" w:rsidR="00154AD2" w:rsidRDefault="007F6BF3">
            <w:pPr>
              <w:pStyle w:val="P68B1DB1-Normal23"/>
              <w:spacing w:after="0"/>
              <w:jc w:val="both"/>
              <w:rPr>
                <w:rFonts w:eastAsia="Calibri" w:cs="Calibri"/>
                <w:noProof/>
              </w:rPr>
            </w:pPr>
            <w:r>
              <w:rPr>
                <w:noProof/>
              </w:rPr>
              <w:t>Σύστημα επιστροφής για τα απόβλητα ηλεκτρικού και ηλεκτρονικού εξοπλισμού</w:t>
            </w:r>
          </w:p>
        </w:tc>
      </w:tr>
      <w:tr w:rsidR="00154AD2" w14:paraId="7F4AB35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57EA878" w14:textId="77777777" w:rsidR="00154AD2" w:rsidRDefault="007F6BF3">
            <w:pPr>
              <w:pStyle w:val="P68B1DB1-Normal23"/>
              <w:spacing w:after="0"/>
              <w:jc w:val="center"/>
              <w:rPr>
                <w:rFonts w:eastAsia="Calibri" w:cs="Calibri"/>
                <w:noProof/>
              </w:rPr>
            </w:pPr>
            <w:r>
              <w:rPr>
                <w:noProof/>
              </w:rPr>
              <w:t>13.3</w:t>
            </w:r>
          </w:p>
        </w:tc>
        <w:tc>
          <w:tcPr>
            <w:tcW w:w="1760" w:type="dxa"/>
            <w:tcBorders>
              <w:top w:val="nil"/>
              <w:left w:val="nil"/>
              <w:bottom w:val="single" w:sz="4" w:space="0" w:color="auto"/>
              <w:right w:val="single" w:sz="4" w:space="0" w:color="auto"/>
            </w:tcBorders>
            <w:shd w:val="clear" w:color="auto" w:fill="C4EFCE"/>
            <w:vAlign w:val="center"/>
            <w:hideMark/>
          </w:tcPr>
          <w:p w14:paraId="2711CA67" w14:textId="77777777" w:rsidR="00154AD2" w:rsidRDefault="007F6BF3">
            <w:pPr>
              <w:pStyle w:val="P68B1DB1-Normal23"/>
              <w:spacing w:after="0"/>
              <w:jc w:val="center"/>
              <w:rPr>
                <w:rFonts w:eastAsia="Calibri" w:cs="Calibri"/>
                <w:noProof/>
              </w:rPr>
            </w:pPr>
            <w:r>
              <w:rPr>
                <w:noProof/>
              </w:rPr>
              <w:t>TC-C13-I01</w:t>
            </w:r>
          </w:p>
        </w:tc>
        <w:tc>
          <w:tcPr>
            <w:tcW w:w="1520" w:type="dxa"/>
            <w:tcBorders>
              <w:top w:val="nil"/>
              <w:left w:val="nil"/>
              <w:bottom w:val="single" w:sz="4" w:space="0" w:color="auto"/>
              <w:right w:val="single" w:sz="4" w:space="0" w:color="auto"/>
            </w:tcBorders>
            <w:shd w:val="clear" w:color="auto" w:fill="C4EFCE"/>
            <w:vAlign w:val="center"/>
            <w:hideMark/>
          </w:tcPr>
          <w:p w14:paraId="708E9DD8"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A4A4BCD" w14:textId="77777777" w:rsidR="00154AD2" w:rsidRDefault="007F6BF3">
            <w:pPr>
              <w:pStyle w:val="P68B1DB1-Normal23"/>
              <w:spacing w:after="0"/>
              <w:jc w:val="both"/>
              <w:rPr>
                <w:rFonts w:eastAsia="Calibri" w:cs="Calibri"/>
                <w:noProof/>
              </w:rPr>
            </w:pPr>
            <w:r>
              <w:rPr>
                <w:noProof/>
              </w:rPr>
              <w:t>«Κουπόνια απόδοσης» που διανέμονται σε νοικοκυριά που αντιμετωπίζουν ενεργειακή φτώχεια για την αντικατάσταση παλαιού εξοπλισμού και την υιοθέτηση ενεργειακά αποδοτικών λύσεων</w:t>
            </w:r>
          </w:p>
        </w:tc>
      </w:tr>
      <w:tr w:rsidR="00154AD2" w14:paraId="10CFDBA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FCEEF76" w14:textId="77777777" w:rsidR="00154AD2" w:rsidRDefault="007F6BF3">
            <w:pPr>
              <w:pStyle w:val="P68B1DB1-Normal23"/>
              <w:spacing w:after="0"/>
              <w:jc w:val="center"/>
              <w:rPr>
                <w:rFonts w:eastAsia="Calibri" w:cs="Calibri"/>
                <w:noProof/>
              </w:rPr>
            </w:pPr>
            <w:r>
              <w:rPr>
                <w:noProof/>
              </w:rPr>
              <w:t>13.4</w:t>
            </w:r>
          </w:p>
        </w:tc>
        <w:tc>
          <w:tcPr>
            <w:tcW w:w="1760" w:type="dxa"/>
            <w:tcBorders>
              <w:top w:val="nil"/>
              <w:left w:val="nil"/>
              <w:bottom w:val="single" w:sz="4" w:space="0" w:color="auto"/>
              <w:right w:val="single" w:sz="4" w:space="0" w:color="auto"/>
            </w:tcBorders>
            <w:shd w:val="clear" w:color="auto" w:fill="C4EFCE"/>
            <w:vAlign w:val="center"/>
            <w:hideMark/>
          </w:tcPr>
          <w:p w14:paraId="70C58091" w14:textId="77777777" w:rsidR="00154AD2" w:rsidRDefault="007F6BF3">
            <w:pPr>
              <w:pStyle w:val="P68B1DB1-Normal23"/>
              <w:spacing w:after="0"/>
              <w:jc w:val="center"/>
              <w:rPr>
                <w:rFonts w:eastAsia="Calibri" w:cs="Calibri"/>
                <w:noProof/>
              </w:rPr>
            </w:pPr>
            <w:r>
              <w:rPr>
                <w:noProof/>
              </w:rPr>
              <w:t>TC-C13-I01</w:t>
            </w:r>
          </w:p>
        </w:tc>
        <w:tc>
          <w:tcPr>
            <w:tcW w:w="1520" w:type="dxa"/>
            <w:tcBorders>
              <w:top w:val="nil"/>
              <w:left w:val="nil"/>
              <w:bottom w:val="single" w:sz="4" w:space="0" w:color="auto"/>
              <w:right w:val="single" w:sz="4" w:space="0" w:color="auto"/>
            </w:tcBorders>
            <w:shd w:val="clear" w:color="auto" w:fill="C4EFCE"/>
            <w:vAlign w:val="center"/>
            <w:hideMark/>
          </w:tcPr>
          <w:p w14:paraId="63E240DF"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9DF9123" w14:textId="77777777" w:rsidR="00154AD2" w:rsidRDefault="007F6BF3">
            <w:pPr>
              <w:pStyle w:val="P68B1DB1-Normal23"/>
              <w:spacing w:after="0"/>
              <w:jc w:val="both"/>
              <w:rPr>
                <w:rFonts w:eastAsia="Calibri" w:cs="Calibri"/>
                <w:noProof/>
              </w:rPr>
            </w:pPr>
            <w:r>
              <w:rPr>
                <w:noProof/>
              </w:rPr>
              <w:t>Πρόσθετη ικανότητα παραγωγής ενέργειας από ανανεώσιμες πηγές για αυτοκατανάλωση και για χρήση σε κοινότητες ανανεώσιμων πηγών ενέργειας στον ιδιωτικό οικιστικό τομέα</w:t>
            </w:r>
          </w:p>
        </w:tc>
      </w:tr>
      <w:tr w:rsidR="00154AD2" w14:paraId="5266E99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12AA442" w14:textId="77777777" w:rsidR="00154AD2" w:rsidRDefault="007F6BF3">
            <w:pPr>
              <w:pStyle w:val="P68B1DB1-Normal23"/>
              <w:spacing w:after="0"/>
              <w:jc w:val="center"/>
              <w:rPr>
                <w:rFonts w:eastAsia="Calibri" w:cs="Calibri"/>
                <w:noProof/>
              </w:rPr>
            </w:pPr>
            <w:r>
              <w:rPr>
                <w:noProof/>
              </w:rPr>
              <w:t>13.6</w:t>
            </w:r>
          </w:p>
        </w:tc>
        <w:tc>
          <w:tcPr>
            <w:tcW w:w="1760" w:type="dxa"/>
            <w:tcBorders>
              <w:top w:val="nil"/>
              <w:left w:val="nil"/>
              <w:bottom w:val="single" w:sz="4" w:space="0" w:color="auto"/>
              <w:right w:val="single" w:sz="4" w:space="0" w:color="auto"/>
            </w:tcBorders>
            <w:shd w:val="clear" w:color="auto" w:fill="C4EFCE"/>
            <w:vAlign w:val="center"/>
            <w:hideMark/>
          </w:tcPr>
          <w:p w14:paraId="2BEC44DB" w14:textId="77777777" w:rsidR="00154AD2" w:rsidRDefault="007F6BF3">
            <w:pPr>
              <w:pStyle w:val="P68B1DB1-Normal23"/>
              <w:spacing w:after="0"/>
              <w:jc w:val="center"/>
              <w:rPr>
                <w:rFonts w:eastAsia="Calibri" w:cs="Calibri"/>
                <w:noProof/>
              </w:rPr>
            </w:pPr>
            <w:r>
              <w:rPr>
                <w:noProof/>
              </w:rPr>
              <w:t>TC-C13-I02</w:t>
            </w:r>
          </w:p>
        </w:tc>
        <w:tc>
          <w:tcPr>
            <w:tcW w:w="1520" w:type="dxa"/>
            <w:tcBorders>
              <w:top w:val="nil"/>
              <w:left w:val="nil"/>
              <w:bottom w:val="single" w:sz="4" w:space="0" w:color="auto"/>
              <w:right w:val="single" w:sz="4" w:space="0" w:color="auto"/>
            </w:tcBorders>
            <w:shd w:val="clear" w:color="auto" w:fill="C4EFCE"/>
            <w:vAlign w:val="center"/>
            <w:hideMark/>
          </w:tcPr>
          <w:p w14:paraId="221A46F9"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52187E3" w14:textId="77777777" w:rsidR="00154AD2" w:rsidRDefault="007F6BF3">
            <w:pPr>
              <w:pStyle w:val="P68B1DB1-Normal23"/>
              <w:spacing w:after="0"/>
              <w:jc w:val="both"/>
              <w:rPr>
                <w:rFonts w:eastAsia="Calibri" w:cs="Calibri"/>
                <w:noProof/>
              </w:rPr>
            </w:pPr>
            <w:r>
              <w:rPr>
                <w:noProof/>
              </w:rPr>
              <w:t>Ενεργειακή απόδοση των κτιρίων της κεντρικής δημόσιας διοίκησης</w:t>
            </w:r>
          </w:p>
        </w:tc>
      </w:tr>
      <w:tr w:rsidR="00154AD2" w14:paraId="3C9445D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11CA67D" w14:textId="77777777" w:rsidR="00154AD2" w:rsidRDefault="007F6BF3">
            <w:pPr>
              <w:pStyle w:val="P68B1DB1-Normal23"/>
              <w:spacing w:after="0"/>
              <w:jc w:val="center"/>
              <w:rPr>
                <w:rFonts w:eastAsia="Calibri" w:cs="Calibri"/>
                <w:noProof/>
              </w:rPr>
            </w:pPr>
            <w:r>
              <w:rPr>
                <w:noProof/>
              </w:rPr>
              <w:t>13.7</w:t>
            </w:r>
          </w:p>
        </w:tc>
        <w:tc>
          <w:tcPr>
            <w:tcW w:w="1760" w:type="dxa"/>
            <w:tcBorders>
              <w:top w:val="nil"/>
              <w:left w:val="nil"/>
              <w:bottom w:val="single" w:sz="4" w:space="0" w:color="auto"/>
              <w:right w:val="single" w:sz="4" w:space="0" w:color="auto"/>
            </w:tcBorders>
            <w:shd w:val="clear" w:color="auto" w:fill="C4EFCE"/>
            <w:vAlign w:val="center"/>
            <w:hideMark/>
          </w:tcPr>
          <w:p w14:paraId="532BF8AE" w14:textId="77777777" w:rsidR="00154AD2" w:rsidRDefault="007F6BF3">
            <w:pPr>
              <w:pStyle w:val="P68B1DB1-Normal23"/>
              <w:spacing w:after="0"/>
              <w:jc w:val="center"/>
              <w:rPr>
                <w:rFonts w:eastAsia="Calibri" w:cs="Calibri"/>
                <w:noProof/>
              </w:rPr>
            </w:pPr>
            <w:r>
              <w:rPr>
                <w:noProof/>
              </w:rPr>
              <w:t>TC-C13-I02</w:t>
            </w:r>
          </w:p>
        </w:tc>
        <w:tc>
          <w:tcPr>
            <w:tcW w:w="1520" w:type="dxa"/>
            <w:tcBorders>
              <w:top w:val="nil"/>
              <w:left w:val="nil"/>
              <w:bottom w:val="single" w:sz="4" w:space="0" w:color="auto"/>
              <w:right w:val="single" w:sz="4" w:space="0" w:color="auto"/>
            </w:tcBorders>
            <w:shd w:val="clear" w:color="auto" w:fill="C4EFCE"/>
            <w:vAlign w:val="center"/>
            <w:hideMark/>
          </w:tcPr>
          <w:p w14:paraId="58EFFAEF"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97A86DB" w14:textId="77777777" w:rsidR="00154AD2" w:rsidRDefault="007F6BF3">
            <w:pPr>
              <w:pStyle w:val="P68B1DB1-Normal23"/>
              <w:spacing w:after="0"/>
              <w:jc w:val="both"/>
              <w:rPr>
                <w:rFonts w:eastAsia="Calibri" w:cs="Calibri"/>
                <w:noProof/>
              </w:rPr>
            </w:pPr>
            <w:r>
              <w:rPr>
                <w:noProof/>
              </w:rPr>
              <w:t>Πρόσθετη ικανότητα παραγωγής ενέργειας από ανανεώσιμες πηγές για αυτοκατανάλωση και για χρήση σε κοινότητες ανανεώσιμων πηγών ενέργειας σε κτίρια της κεντρικής δημόσιας διοίκησης</w:t>
            </w:r>
          </w:p>
        </w:tc>
      </w:tr>
      <w:tr w:rsidR="00154AD2" w14:paraId="3D6B69D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F48317C" w14:textId="77777777" w:rsidR="00154AD2" w:rsidRDefault="007F6BF3">
            <w:pPr>
              <w:pStyle w:val="P68B1DB1-Normal23"/>
              <w:spacing w:after="0"/>
              <w:jc w:val="center"/>
              <w:rPr>
                <w:rFonts w:eastAsia="Calibri" w:cs="Calibri"/>
                <w:noProof/>
              </w:rPr>
            </w:pPr>
            <w:r>
              <w:rPr>
                <w:noProof/>
              </w:rPr>
              <w:t>13.9</w:t>
            </w:r>
          </w:p>
        </w:tc>
        <w:tc>
          <w:tcPr>
            <w:tcW w:w="1760" w:type="dxa"/>
            <w:tcBorders>
              <w:top w:val="nil"/>
              <w:left w:val="nil"/>
              <w:bottom w:val="single" w:sz="4" w:space="0" w:color="auto"/>
              <w:right w:val="single" w:sz="4" w:space="0" w:color="auto"/>
            </w:tcBorders>
            <w:shd w:val="clear" w:color="auto" w:fill="C4EFCE"/>
            <w:vAlign w:val="center"/>
            <w:hideMark/>
          </w:tcPr>
          <w:p w14:paraId="2F9F167F" w14:textId="77777777" w:rsidR="00154AD2" w:rsidRDefault="007F6BF3">
            <w:pPr>
              <w:pStyle w:val="P68B1DB1-Normal23"/>
              <w:spacing w:after="0"/>
              <w:jc w:val="center"/>
              <w:rPr>
                <w:rFonts w:eastAsia="Calibri" w:cs="Calibri"/>
                <w:noProof/>
              </w:rPr>
            </w:pPr>
            <w:r>
              <w:rPr>
                <w:noProof/>
              </w:rPr>
              <w:t>TC-C13-I03</w:t>
            </w:r>
          </w:p>
        </w:tc>
        <w:tc>
          <w:tcPr>
            <w:tcW w:w="1520" w:type="dxa"/>
            <w:tcBorders>
              <w:top w:val="nil"/>
              <w:left w:val="nil"/>
              <w:bottom w:val="single" w:sz="4" w:space="0" w:color="auto"/>
              <w:right w:val="single" w:sz="4" w:space="0" w:color="auto"/>
            </w:tcBorders>
            <w:shd w:val="clear" w:color="auto" w:fill="C4EFCE"/>
            <w:vAlign w:val="center"/>
            <w:hideMark/>
          </w:tcPr>
          <w:p w14:paraId="052EE5AD"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32DC1A9" w14:textId="77777777" w:rsidR="00154AD2" w:rsidRDefault="007F6BF3">
            <w:pPr>
              <w:pStyle w:val="P68B1DB1-Normal23"/>
              <w:spacing w:after="0"/>
              <w:jc w:val="both"/>
              <w:rPr>
                <w:rFonts w:eastAsia="Calibri" w:cs="Calibri"/>
                <w:noProof/>
              </w:rPr>
            </w:pPr>
            <w:r>
              <w:rPr>
                <w:noProof/>
              </w:rPr>
              <w:t>Ενεργειακή απόδοση ανακαινίσεων κτιρίων ιδιωτικών υπηρεσιών</w:t>
            </w:r>
          </w:p>
        </w:tc>
      </w:tr>
      <w:tr w:rsidR="00154AD2" w14:paraId="142EE07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CC8BAF7" w14:textId="77777777" w:rsidR="00154AD2" w:rsidRDefault="007F6BF3">
            <w:pPr>
              <w:pStyle w:val="P68B1DB1-Normal23"/>
              <w:spacing w:after="0"/>
              <w:jc w:val="center"/>
              <w:rPr>
                <w:rFonts w:eastAsia="Calibri" w:cs="Calibri"/>
                <w:noProof/>
              </w:rPr>
            </w:pPr>
            <w:r>
              <w:rPr>
                <w:noProof/>
              </w:rPr>
              <w:t>13.10</w:t>
            </w:r>
          </w:p>
        </w:tc>
        <w:tc>
          <w:tcPr>
            <w:tcW w:w="1760" w:type="dxa"/>
            <w:tcBorders>
              <w:top w:val="nil"/>
              <w:left w:val="nil"/>
              <w:bottom w:val="single" w:sz="4" w:space="0" w:color="auto"/>
              <w:right w:val="single" w:sz="4" w:space="0" w:color="auto"/>
            </w:tcBorders>
            <w:shd w:val="clear" w:color="auto" w:fill="C4EFCE"/>
            <w:vAlign w:val="center"/>
            <w:hideMark/>
          </w:tcPr>
          <w:p w14:paraId="1BB98FB7" w14:textId="77777777" w:rsidR="00154AD2" w:rsidRDefault="007F6BF3">
            <w:pPr>
              <w:pStyle w:val="P68B1DB1-Normal23"/>
              <w:spacing w:after="0"/>
              <w:jc w:val="center"/>
              <w:rPr>
                <w:rFonts w:eastAsia="Calibri" w:cs="Calibri"/>
                <w:noProof/>
              </w:rPr>
            </w:pPr>
            <w:r>
              <w:rPr>
                <w:noProof/>
              </w:rPr>
              <w:t>TC-C13-I03</w:t>
            </w:r>
          </w:p>
        </w:tc>
        <w:tc>
          <w:tcPr>
            <w:tcW w:w="1520" w:type="dxa"/>
            <w:tcBorders>
              <w:top w:val="nil"/>
              <w:left w:val="nil"/>
              <w:bottom w:val="single" w:sz="4" w:space="0" w:color="auto"/>
              <w:right w:val="single" w:sz="4" w:space="0" w:color="auto"/>
            </w:tcBorders>
            <w:shd w:val="clear" w:color="auto" w:fill="C4EFCE"/>
            <w:vAlign w:val="center"/>
            <w:hideMark/>
          </w:tcPr>
          <w:p w14:paraId="38CB2E3B"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5B96399" w14:textId="77777777" w:rsidR="00154AD2" w:rsidRDefault="007F6BF3">
            <w:pPr>
              <w:pStyle w:val="P68B1DB1-Normal23"/>
              <w:spacing w:after="0"/>
              <w:jc w:val="both"/>
              <w:rPr>
                <w:rFonts w:eastAsia="Calibri" w:cs="Calibri"/>
                <w:noProof/>
              </w:rPr>
            </w:pPr>
            <w:r>
              <w:rPr>
                <w:noProof/>
              </w:rPr>
              <w:t>Πρόσθετη ικανότητα παραγωγής ενέργειας από ανανεώσιμες πηγές για αυτοκατανάλωση και για χρήση σε κοινότητες ανανεώσιμων πηγών ενέργειας στον τομέα των ιδιωτικών υπηρεσιών</w:t>
            </w:r>
          </w:p>
        </w:tc>
      </w:tr>
      <w:tr w:rsidR="00154AD2" w14:paraId="1F41F64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5650C31" w14:textId="77777777" w:rsidR="00154AD2" w:rsidRDefault="007F6BF3">
            <w:pPr>
              <w:pStyle w:val="P68B1DB1-Normal23"/>
              <w:spacing w:after="0"/>
              <w:jc w:val="center"/>
              <w:rPr>
                <w:rFonts w:eastAsia="Calibri" w:cs="Calibri"/>
                <w:noProof/>
              </w:rPr>
            </w:pPr>
            <w:r>
              <w:rPr>
                <w:noProof/>
              </w:rPr>
              <w:t>14.9</w:t>
            </w:r>
          </w:p>
        </w:tc>
        <w:tc>
          <w:tcPr>
            <w:tcW w:w="1760" w:type="dxa"/>
            <w:tcBorders>
              <w:top w:val="nil"/>
              <w:left w:val="nil"/>
              <w:bottom w:val="single" w:sz="4" w:space="0" w:color="auto"/>
              <w:right w:val="single" w:sz="4" w:space="0" w:color="auto"/>
            </w:tcBorders>
            <w:shd w:val="clear" w:color="auto" w:fill="C4EFCE"/>
            <w:vAlign w:val="center"/>
            <w:hideMark/>
          </w:tcPr>
          <w:p w14:paraId="70919607" w14:textId="77777777" w:rsidR="00154AD2" w:rsidRDefault="007F6BF3">
            <w:pPr>
              <w:pStyle w:val="P68B1DB1-Normal23"/>
              <w:spacing w:after="0"/>
              <w:jc w:val="center"/>
              <w:rPr>
                <w:rFonts w:eastAsia="Calibri" w:cs="Calibri"/>
                <w:noProof/>
              </w:rPr>
            </w:pPr>
            <w:r>
              <w:rPr>
                <w:noProof/>
              </w:rPr>
              <w:t>TC-C14-i02-RAM</w:t>
            </w:r>
          </w:p>
        </w:tc>
        <w:tc>
          <w:tcPr>
            <w:tcW w:w="1520" w:type="dxa"/>
            <w:tcBorders>
              <w:top w:val="nil"/>
              <w:left w:val="nil"/>
              <w:bottom w:val="single" w:sz="4" w:space="0" w:color="auto"/>
              <w:right w:val="single" w:sz="4" w:space="0" w:color="auto"/>
            </w:tcBorders>
            <w:shd w:val="clear" w:color="auto" w:fill="C4EFCE"/>
            <w:vAlign w:val="center"/>
            <w:hideMark/>
          </w:tcPr>
          <w:p w14:paraId="1C358FC5"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DD92A8B" w14:textId="77777777" w:rsidR="00154AD2" w:rsidRDefault="007F6BF3">
            <w:pPr>
              <w:pStyle w:val="P68B1DB1-Normal23"/>
              <w:spacing w:after="0"/>
              <w:jc w:val="both"/>
              <w:rPr>
                <w:rFonts w:eastAsia="Calibri" w:cs="Calibri"/>
                <w:noProof/>
              </w:rPr>
            </w:pPr>
            <w:r>
              <w:rPr>
                <w:noProof/>
              </w:rPr>
              <w:t>Εγκατάσταση έξυπνων μετρητών</w:t>
            </w:r>
          </w:p>
        </w:tc>
      </w:tr>
      <w:tr w:rsidR="00154AD2" w14:paraId="41E9423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090FAB3" w14:textId="77777777" w:rsidR="00154AD2" w:rsidRDefault="007F6BF3">
            <w:pPr>
              <w:pStyle w:val="P68B1DB1-Normal23"/>
              <w:spacing w:after="0"/>
              <w:jc w:val="center"/>
              <w:rPr>
                <w:rFonts w:eastAsia="Calibri" w:cs="Calibri"/>
                <w:noProof/>
              </w:rPr>
            </w:pPr>
            <w:r>
              <w:rPr>
                <w:noProof/>
              </w:rPr>
              <w:t>14.10</w:t>
            </w:r>
          </w:p>
        </w:tc>
        <w:tc>
          <w:tcPr>
            <w:tcW w:w="1760" w:type="dxa"/>
            <w:tcBorders>
              <w:top w:val="nil"/>
              <w:left w:val="nil"/>
              <w:bottom w:val="single" w:sz="4" w:space="0" w:color="auto"/>
              <w:right w:val="single" w:sz="4" w:space="0" w:color="auto"/>
            </w:tcBorders>
            <w:shd w:val="clear" w:color="auto" w:fill="C4EFCE"/>
            <w:vAlign w:val="center"/>
            <w:hideMark/>
          </w:tcPr>
          <w:p w14:paraId="14EE6BC3" w14:textId="77777777" w:rsidR="00154AD2" w:rsidRDefault="007F6BF3">
            <w:pPr>
              <w:pStyle w:val="P68B1DB1-Normal23"/>
              <w:spacing w:after="0"/>
              <w:jc w:val="center"/>
              <w:rPr>
                <w:rFonts w:eastAsia="Calibri" w:cs="Calibri"/>
                <w:noProof/>
              </w:rPr>
            </w:pPr>
            <w:r>
              <w:rPr>
                <w:noProof/>
              </w:rPr>
              <w:t>TC-C14-i02-RAM</w:t>
            </w:r>
          </w:p>
        </w:tc>
        <w:tc>
          <w:tcPr>
            <w:tcW w:w="1520" w:type="dxa"/>
            <w:tcBorders>
              <w:top w:val="nil"/>
              <w:left w:val="nil"/>
              <w:bottom w:val="single" w:sz="4" w:space="0" w:color="auto"/>
              <w:right w:val="single" w:sz="4" w:space="0" w:color="auto"/>
            </w:tcBorders>
            <w:shd w:val="clear" w:color="auto" w:fill="C4EFCE"/>
            <w:vAlign w:val="center"/>
            <w:hideMark/>
          </w:tcPr>
          <w:p w14:paraId="19A8DD4D"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E3E950E" w14:textId="77777777" w:rsidR="00154AD2" w:rsidRDefault="007F6BF3">
            <w:pPr>
              <w:pStyle w:val="P68B1DB1-Normal23"/>
              <w:spacing w:after="0"/>
              <w:jc w:val="both"/>
              <w:rPr>
                <w:rFonts w:eastAsia="Calibri" w:cs="Calibri"/>
                <w:noProof/>
              </w:rPr>
            </w:pPr>
            <w:r>
              <w:rPr>
                <w:noProof/>
              </w:rPr>
              <w:t>Αντικατάσταση σημείων φωτισμού οδών</w:t>
            </w:r>
          </w:p>
        </w:tc>
      </w:tr>
      <w:tr w:rsidR="00154AD2" w14:paraId="1259CEF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C9EACEC" w14:textId="77777777" w:rsidR="00154AD2" w:rsidRDefault="007F6BF3">
            <w:pPr>
              <w:pStyle w:val="P68B1DB1-Normal23"/>
              <w:spacing w:after="0"/>
              <w:jc w:val="center"/>
              <w:rPr>
                <w:rFonts w:eastAsia="Calibri" w:cs="Calibri"/>
                <w:noProof/>
              </w:rPr>
            </w:pPr>
            <w:r>
              <w:rPr>
                <w:noProof/>
              </w:rPr>
              <w:t>14.14</w:t>
            </w:r>
          </w:p>
        </w:tc>
        <w:tc>
          <w:tcPr>
            <w:tcW w:w="1760" w:type="dxa"/>
            <w:tcBorders>
              <w:top w:val="nil"/>
              <w:left w:val="nil"/>
              <w:bottom w:val="single" w:sz="4" w:space="0" w:color="auto"/>
              <w:right w:val="single" w:sz="4" w:space="0" w:color="auto"/>
            </w:tcBorders>
            <w:shd w:val="clear" w:color="auto" w:fill="C4EFCE"/>
            <w:vAlign w:val="center"/>
            <w:hideMark/>
          </w:tcPr>
          <w:p w14:paraId="5E5CAB41" w14:textId="77777777" w:rsidR="00154AD2" w:rsidRDefault="007F6BF3">
            <w:pPr>
              <w:pStyle w:val="P68B1DB1-Normal23"/>
              <w:spacing w:after="0"/>
              <w:jc w:val="center"/>
              <w:rPr>
                <w:rFonts w:eastAsia="Calibri" w:cs="Calibri"/>
                <w:noProof/>
              </w:rPr>
            </w:pPr>
            <w:r>
              <w:rPr>
                <w:noProof/>
              </w:rPr>
              <w:t>TC-C14-i03-RAA</w:t>
            </w:r>
          </w:p>
        </w:tc>
        <w:tc>
          <w:tcPr>
            <w:tcW w:w="1520" w:type="dxa"/>
            <w:tcBorders>
              <w:top w:val="nil"/>
              <w:left w:val="nil"/>
              <w:bottom w:val="single" w:sz="4" w:space="0" w:color="auto"/>
              <w:right w:val="single" w:sz="4" w:space="0" w:color="auto"/>
            </w:tcBorders>
            <w:shd w:val="clear" w:color="auto" w:fill="C4EFCE"/>
            <w:vAlign w:val="center"/>
            <w:hideMark/>
          </w:tcPr>
          <w:p w14:paraId="2422CE6E"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656286D" w14:textId="77777777" w:rsidR="00154AD2" w:rsidRDefault="007F6BF3">
            <w:pPr>
              <w:pStyle w:val="P68B1DB1-Normal23"/>
              <w:spacing w:after="0"/>
              <w:jc w:val="both"/>
              <w:rPr>
                <w:rFonts w:eastAsia="Calibri" w:cs="Calibri"/>
                <w:noProof/>
              </w:rPr>
            </w:pPr>
            <w:r>
              <w:rPr>
                <w:noProof/>
              </w:rPr>
              <w:t>Εγκατάσταση μικρών φωτοβολταϊκών μονάδων τοπικής παραγωγής και κατανάλωσης ηλεκτρικής ενέργειας</w:t>
            </w:r>
          </w:p>
        </w:tc>
      </w:tr>
      <w:tr w:rsidR="00154AD2" w14:paraId="28AF185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A65ACC1" w14:textId="77777777" w:rsidR="00154AD2" w:rsidRDefault="007F6BF3">
            <w:pPr>
              <w:pStyle w:val="P68B1DB1-Normal23"/>
              <w:spacing w:after="0"/>
              <w:jc w:val="center"/>
              <w:rPr>
                <w:rFonts w:eastAsia="Calibri" w:cs="Calibri"/>
                <w:noProof/>
              </w:rPr>
            </w:pPr>
            <w:r>
              <w:rPr>
                <w:noProof/>
              </w:rPr>
              <w:t>16.3</w:t>
            </w:r>
          </w:p>
        </w:tc>
        <w:tc>
          <w:tcPr>
            <w:tcW w:w="1760" w:type="dxa"/>
            <w:tcBorders>
              <w:top w:val="nil"/>
              <w:left w:val="nil"/>
              <w:bottom w:val="single" w:sz="4" w:space="0" w:color="auto"/>
              <w:right w:val="single" w:sz="4" w:space="0" w:color="auto"/>
            </w:tcBorders>
            <w:shd w:val="clear" w:color="auto" w:fill="C4EFCE"/>
            <w:vAlign w:val="center"/>
            <w:hideMark/>
          </w:tcPr>
          <w:p w14:paraId="49A1257B" w14:textId="77777777" w:rsidR="00154AD2" w:rsidRDefault="007F6BF3">
            <w:pPr>
              <w:pStyle w:val="P68B1DB1-Normal23"/>
              <w:spacing w:after="0"/>
              <w:jc w:val="center"/>
              <w:rPr>
                <w:rFonts w:eastAsia="Calibri" w:cs="Calibri"/>
                <w:noProof/>
              </w:rPr>
            </w:pPr>
            <w:r>
              <w:rPr>
                <w:noProof/>
              </w:rPr>
              <w:t>TD-C16-i01</w:t>
            </w:r>
          </w:p>
        </w:tc>
        <w:tc>
          <w:tcPr>
            <w:tcW w:w="1520" w:type="dxa"/>
            <w:tcBorders>
              <w:top w:val="nil"/>
              <w:left w:val="nil"/>
              <w:bottom w:val="single" w:sz="4" w:space="0" w:color="auto"/>
              <w:right w:val="single" w:sz="4" w:space="0" w:color="auto"/>
            </w:tcBorders>
            <w:shd w:val="clear" w:color="auto" w:fill="C4EFCE"/>
            <w:vAlign w:val="center"/>
            <w:hideMark/>
          </w:tcPr>
          <w:p w14:paraId="4627B075"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BA94AFF" w14:textId="77777777" w:rsidR="00154AD2" w:rsidRDefault="007F6BF3">
            <w:pPr>
              <w:pStyle w:val="P68B1DB1-Normal23"/>
              <w:spacing w:after="0"/>
              <w:jc w:val="both"/>
              <w:rPr>
                <w:rFonts w:eastAsia="Calibri" w:cs="Calibri"/>
                <w:noProof/>
              </w:rPr>
            </w:pPr>
            <w:r>
              <w:rPr>
                <w:noProof/>
              </w:rPr>
              <w:t>Απασχόληση + συμμετέχοντες στην ψηφιακή κατάρτιση</w:t>
            </w:r>
          </w:p>
        </w:tc>
      </w:tr>
      <w:tr w:rsidR="00154AD2" w14:paraId="1C0A03B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044A2AE" w14:textId="77777777" w:rsidR="00154AD2" w:rsidRDefault="007F6BF3">
            <w:pPr>
              <w:pStyle w:val="P68B1DB1-Normal23"/>
              <w:spacing w:after="0"/>
              <w:jc w:val="center"/>
              <w:rPr>
                <w:rFonts w:eastAsia="Calibri" w:cs="Calibri"/>
                <w:noProof/>
              </w:rPr>
            </w:pPr>
            <w:r>
              <w:rPr>
                <w:noProof/>
              </w:rPr>
              <w:t>16.4</w:t>
            </w:r>
          </w:p>
        </w:tc>
        <w:tc>
          <w:tcPr>
            <w:tcW w:w="1760" w:type="dxa"/>
            <w:tcBorders>
              <w:top w:val="nil"/>
              <w:left w:val="nil"/>
              <w:bottom w:val="single" w:sz="4" w:space="0" w:color="auto"/>
              <w:right w:val="single" w:sz="4" w:space="0" w:color="auto"/>
            </w:tcBorders>
            <w:shd w:val="clear" w:color="auto" w:fill="C4EFCE"/>
            <w:vAlign w:val="center"/>
            <w:hideMark/>
          </w:tcPr>
          <w:p w14:paraId="4421E373" w14:textId="77777777" w:rsidR="00154AD2" w:rsidRDefault="007F6BF3">
            <w:pPr>
              <w:pStyle w:val="P68B1DB1-Normal23"/>
              <w:spacing w:after="0"/>
              <w:jc w:val="center"/>
              <w:rPr>
                <w:rFonts w:eastAsia="Calibri" w:cs="Calibri"/>
                <w:noProof/>
              </w:rPr>
            </w:pPr>
            <w:r>
              <w:rPr>
                <w:noProof/>
              </w:rPr>
              <w:t>TD-C16-i01</w:t>
            </w:r>
          </w:p>
        </w:tc>
        <w:tc>
          <w:tcPr>
            <w:tcW w:w="1520" w:type="dxa"/>
            <w:tcBorders>
              <w:top w:val="nil"/>
              <w:left w:val="nil"/>
              <w:bottom w:val="single" w:sz="4" w:space="0" w:color="auto"/>
              <w:right w:val="single" w:sz="4" w:space="0" w:color="auto"/>
            </w:tcBorders>
            <w:shd w:val="clear" w:color="auto" w:fill="C4EFCE"/>
            <w:vAlign w:val="center"/>
            <w:hideMark/>
          </w:tcPr>
          <w:p w14:paraId="631F7E61"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A4033A4" w14:textId="77777777" w:rsidR="00154AD2" w:rsidRDefault="007F6BF3">
            <w:pPr>
              <w:pStyle w:val="P68B1DB1-Normal23"/>
              <w:spacing w:after="0"/>
              <w:jc w:val="both"/>
              <w:rPr>
                <w:rFonts w:eastAsia="Calibri" w:cs="Calibri"/>
                <w:noProof/>
              </w:rPr>
            </w:pPr>
            <w:r>
              <w:rPr>
                <w:noProof/>
              </w:rPr>
              <w:t>Συμμετέχοντες στην κατάρτιση της Ψηφιακής Ακαδημίας Πορτογαλίας</w:t>
            </w:r>
          </w:p>
        </w:tc>
      </w:tr>
      <w:tr w:rsidR="00154AD2" w14:paraId="1F4920F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73CE429" w14:textId="77777777" w:rsidR="00154AD2" w:rsidRDefault="007F6BF3">
            <w:pPr>
              <w:pStyle w:val="P68B1DB1-Normal23"/>
              <w:spacing w:after="0"/>
              <w:jc w:val="center"/>
              <w:rPr>
                <w:rFonts w:eastAsia="Calibri" w:cs="Calibri"/>
                <w:noProof/>
              </w:rPr>
            </w:pPr>
            <w:r>
              <w:rPr>
                <w:noProof/>
              </w:rPr>
              <w:t>16.8</w:t>
            </w:r>
          </w:p>
        </w:tc>
        <w:tc>
          <w:tcPr>
            <w:tcW w:w="1760" w:type="dxa"/>
            <w:tcBorders>
              <w:top w:val="nil"/>
              <w:left w:val="nil"/>
              <w:bottom w:val="single" w:sz="4" w:space="0" w:color="auto"/>
              <w:right w:val="single" w:sz="4" w:space="0" w:color="auto"/>
            </w:tcBorders>
            <w:shd w:val="clear" w:color="auto" w:fill="C4EFCE"/>
            <w:vAlign w:val="center"/>
            <w:hideMark/>
          </w:tcPr>
          <w:p w14:paraId="0609D596" w14:textId="77777777" w:rsidR="00154AD2" w:rsidRDefault="007F6BF3">
            <w:pPr>
              <w:pStyle w:val="P68B1DB1-Normal23"/>
              <w:spacing w:after="0"/>
              <w:jc w:val="center"/>
              <w:rPr>
                <w:rFonts w:eastAsia="Calibri" w:cs="Calibri"/>
                <w:noProof/>
              </w:rPr>
            </w:pPr>
            <w:r>
              <w:rPr>
                <w:noProof/>
              </w:rPr>
              <w:t>TD-C16-i02</w:t>
            </w:r>
          </w:p>
        </w:tc>
        <w:tc>
          <w:tcPr>
            <w:tcW w:w="1520" w:type="dxa"/>
            <w:tcBorders>
              <w:top w:val="nil"/>
              <w:left w:val="nil"/>
              <w:bottom w:val="single" w:sz="4" w:space="0" w:color="auto"/>
              <w:right w:val="single" w:sz="4" w:space="0" w:color="auto"/>
            </w:tcBorders>
            <w:shd w:val="clear" w:color="auto" w:fill="C4EFCE"/>
            <w:vAlign w:val="center"/>
            <w:hideMark/>
          </w:tcPr>
          <w:p w14:paraId="4253830E"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8D78655" w14:textId="77777777" w:rsidR="00154AD2" w:rsidRDefault="007F6BF3">
            <w:pPr>
              <w:pStyle w:val="P68B1DB1-Normal23"/>
              <w:spacing w:after="0"/>
              <w:jc w:val="both"/>
              <w:rPr>
                <w:rFonts w:eastAsia="Calibri" w:cs="Calibri"/>
                <w:noProof/>
              </w:rPr>
            </w:pPr>
            <w:r>
              <w:rPr>
                <w:noProof/>
              </w:rPr>
              <w:t xml:space="preserve">Ανάπτυξη πιλοτικών προϊόντων και υπηρεσιών του εθνικού δικτύου δοκιμών </w:t>
            </w:r>
          </w:p>
        </w:tc>
      </w:tr>
      <w:tr w:rsidR="00154AD2" w14:paraId="292D08F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382F634" w14:textId="77777777" w:rsidR="00154AD2" w:rsidRDefault="007F6BF3">
            <w:pPr>
              <w:pStyle w:val="P68B1DB1-Normal23"/>
              <w:spacing w:after="0"/>
              <w:jc w:val="center"/>
              <w:rPr>
                <w:rFonts w:eastAsia="Calibri" w:cs="Calibri"/>
                <w:noProof/>
              </w:rPr>
            </w:pPr>
            <w:r>
              <w:rPr>
                <w:noProof/>
              </w:rPr>
              <w:t>16.9</w:t>
            </w:r>
          </w:p>
        </w:tc>
        <w:tc>
          <w:tcPr>
            <w:tcW w:w="1760" w:type="dxa"/>
            <w:tcBorders>
              <w:top w:val="nil"/>
              <w:left w:val="nil"/>
              <w:bottom w:val="single" w:sz="4" w:space="0" w:color="auto"/>
              <w:right w:val="single" w:sz="4" w:space="0" w:color="auto"/>
            </w:tcBorders>
            <w:shd w:val="clear" w:color="auto" w:fill="C4EFCE"/>
            <w:vAlign w:val="center"/>
            <w:hideMark/>
          </w:tcPr>
          <w:p w14:paraId="622C0B7F" w14:textId="77777777" w:rsidR="00154AD2" w:rsidRDefault="007F6BF3">
            <w:pPr>
              <w:pStyle w:val="P68B1DB1-Normal23"/>
              <w:spacing w:after="0"/>
              <w:jc w:val="center"/>
              <w:rPr>
                <w:rFonts w:eastAsia="Calibri" w:cs="Calibri"/>
                <w:noProof/>
              </w:rPr>
            </w:pPr>
            <w:r>
              <w:rPr>
                <w:noProof/>
              </w:rPr>
              <w:t>TD-C16-i02</w:t>
            </w:r>
          </w:p>
        </w:tc>
        <w:tc>
          <w:tcPr>
            <w:tcW w:w="1520" w:type="dxa"/>
            <w:tcBorders>
              <w:top w:val="nil"/>
              <w:left w:val="nil"/>
              <w:bottom w:val="single" w:sz="4" w:space="0" w:color="auto"/>
              <w:right w:val="single" w:sz="4" w:space="0" w:color="auto"/>
            </w:tcBorders>
            <w:shd w:val="clear" w:color="auto" w:fill="C4EFCE"/>
            <w:vAlign w:val="center"/>
            <w:hideMark/>
          </w:tcPr>
          <w:p w14:paraId="4EC1E279"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F1A25E7" w14:textId="77777777" w:rsidR="00154AD2" w:rsidRDefault="007F6BF3">
            <w:pPr>
              <w:pStyle w:val="P68B1DB1-Normal23"/>
              <w:spacing w:after="0"/>
              <w:jc w:val="both"/>
              <w:rPr>
                <w:rFonts w:eastAsia="Calibri" w:cs="Calibri"/>
                <w:noProof/>
              </w:rPr>
            </w:pPr>
            <w:r>
              <w:rPr>
                <w:noProof/>
              </w:rPr>
              <w:t>Γειτονιές ψηφιακού εμπορίου</w:t>
            </w:r>
          </w:p>
        </w:tc>
      </w:tr>
      <w:tr w:rsidR="00154AD2" w14:paraId="0F22019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FBE349D" w14:textId="77777777" w:rsidR="00154AD2" w:rsidRDefault="007F6BF3">
            <w:pPr>
              <w:pStyle w:val="P68B1DB1-Normal23"/>
              <w:spacing w:after="0"/>
              <w:jc w:val="center"/>
              <w:rPr>
                <w:rFonts w:eastAsia="Calibri" w:cs="Calibri"/>
                <w:noProof/>
              </w:rPr>
            </w:pPr>
            <w:r>
              <w:rPr>
                <w:noProof/>
              </w:rPr>
              <w:t>16.10</w:t>
            </w:r>
          </w:p>
        </w:tc>
        <w:tc>
          <w:tcPr>
            <w:tcW w:w="1760" w:type="dxa"/>
            <w:tcBorders>
              <w:top w:val="nil"/>
              <w:left w:val="nil"/>
              <w:bottom w:val="single" w:sz="4" w:space="0" w:color="auto"/>
              <w:right w:val="single" w:sz="4" w:space="0" w:color="auto"/>
            </w:tcBorders>
            <w:shd w:val="clear" w:color="auto" w:fill="C4EFCE"/>
            <w:vAlign w:val="center"/>
            <w:hideMark/>
          </w:tcPr>
          <w:p w14:paraId="7EF5440C" w14:textId="77777777" w:rsidR="00154AD2" w:rsidRDefault="007F6BF3">
            <w:pPr>
              <w:pStyle w:val="P68B1DB1-Normal23"/>
              <w:spacing w:after="0"/>
              <w:jc w:val="center"/>
              <w:rPr>
                <w:rFonts w:eastAsia="Calibri" w:cs="Calibri"/>
                <w:noProof/>
              </w:rPr>
            </w:pPr>
            <w:r>
              <w:rPr>
                <w:noProof/>
              </w:rPr>
              <w:t>TD-C16-i02</w:t>
            </w:r>
          </w:p>
        </w:tc>
        <w:tc>
          <w:tcPr>
            <w:tcW w:w="1520" w:type="dxa"/>
            <w:tcBorders>
              <w:top w:val="nil"/>
              <w:left w:val="nil"/>
              <w:bottom w:val="single" w:sz="4" w:space="0" w:color="auto"/>
              <w:right w:val="single" w:sz="4" w:space="0" w:color="auto"/>
            </w:tcBorders>
            <w:shd w:val="clear" w:color="auto" w:fill="C4EFCE"/>
            <w:vAlign w:val="center"/>
            <w:hideMark/>
          </w:tcPr>
          <w:p w14:paraId="22407879"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E5A7407" w14:textId="77777777" w:rsidR="00154AD2" w:rsidRDefault="007F6BF3">
            <w:pPr>
              <w:pStyle w:val="P68B1DB1-Normal23"/>
              <w:spacing w:after="0"/>
              <w:jc w:val="both"/>
              <w:rPr>
                <w:rFonts w:eastAsia="Calibri" w:cs="Calibri"/>
                <w:noProof/>
              </w:rPr>
            </w:pPr>
            <w:r>
              <w:rPr>
                <w:noProof/>
              </w:rPr>
              <w:t>ΜΜΕ που υποστηρίζονται από επιταχυντές του ψηφιακού εμπορίου</w:t>
            </w:r>
          </w:p>
        </w:tc>
      </w:tr>
      <w:tr w:rsidR="00154AD2" w14:paraId="395EF5A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6A4D268" w14:textId="77777777" w:rsidR="00154AD2" w:rsidRDefault="007F6BF3">
            <w:pPr>
              <w:pStyle w:val="P68B1DB1-Normal23"/>
              <w:spacing w:after="0"/>
              <w:jc w:val="center"/>
              <w:rPr>
                <w:rFonts w:eastAsia="Calibri" w:cs="Calibri"/>
                <w:noProof/>
              </w:rPr>
            </w:pPr>
            <w:r>
              <w:rPr>
                <w:noProof/>
              </w:rPr>
              <w:t>16.11</w:t>
            </w:r>
          </w:p>
        </w:tc>
        <w:tc>
          <w:tcPr>
            <w:tcW w:w="1760" w:type="dxa"/>
            <w:tcBorders>
              <w:top w:val="nil"/>
              <w:left w:val="nil"/>
              <w:bottom w:val="single" w:sz="4" w:space="0" w:color="auto"/>
              <w:right w:val="single" w:sz="4" w:space="0" w:color="auto"/>
            </w:tcBorders>
            <w:shd w:val="clear" w:color="auto" w:fill="C4EFCE"/>
            <w:vAlign w:val="center"/>
            <w:hideMark/>
          </w:tcPr>
          <w:p w14:paraId="1C28A89D" w14:textId="77777777" w:rsidR="00154AD2" w:rsidRDefault="007F6BF3">
            <w:pPr>
              <w:pStyle w:val="P68B1DB1-Normal23"/>
              <w:spacing w:after="0"/>
              <w:jc w:val="center"/>
              <w:rPr>
                <w:rFonts w:eastAsia="Calibri" w:cs="Calibri"/>
                <w:noProof/>
              </w:rPr>
            </w:pPr>
            <w:r>
              <w:rPr>
                <w:noProof/>
              </w:rPr>
              <w:t>TD-C16-i02</w:t>
            </w:r>
          </w:p>
        </w:tc>
        <w:tc>
          <w:tcPr>
            <w:tcW w:w="1520" w:type="dxa"/>
            <w:tcBorders>
              <w:top w:val="nil"/>
              <w:left w:val="nil"/>
              <w:bottom w:val="single" w:sz="4" w:space="0" w:color="auto"/>
              <w:right w:val="single" w:sz="4" w:space="0" w:color="auto"/>
            </w:tcBorders>
            <w:shd w:val="clear" w:color="auto" w:fill="C4EFCE"/>
            <w:vAlign w:val="center"/>
            <w:hideMark/>
          </w:tcPr>
          <w:p w14:paraId="5ED957CA"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309C888" w14:textId="77777777" w:rsidR="00154AD2" w:rsidRDefault="007F6BF3">
            <w:pPr>
              <w:pStyle w:val="P68B1DB1-Normal23"/>
              <w:spacing w:after="0"/>
              <w:jc w:val="both"/>
              <w:rPr>
                <w:rFonts w:eastAsia="Calibri" w:cs="Calibri"/>
                <w:noProof/>
              </w:rPr>
            </w:pPr>
            <w:r>
              <w:rPr>
                <w:noProof/>
              </w:rPr>
              <w:t>ΜΜΕ και εκκολαπτήρια νεοφυών επιχειρήσεων που υποστηρίζονται άμεσα από προγράμματα ψηφιοποίησης</w:t>
            </w:r>
          </w:p>
        </w:tc>
      </w:tr>
      <w:tr w:rsidR="00154AD2" w14:paraId="2F2CE55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B03D9BF" w14:textId="77777777" w:rsidR="00154AD2" w:rsidRDefault="007F6BF3">
            <w:pPr>
              <w:pStyle w:val="P68B1DB1-Normal23"/>
              <w:spacing w:after="0"/>
              <w:jc w:val="center"/>
              <w:rPr>
                <w:rFonts w:eastAsia="Calibri" w:cs="Calibri"/>
                <w:noProof/>
              </w:rPr>
            </w:pPr>
            <w:r>
              <w:rPr>
                <w:noProof/>
              </w:rPr>
              <w:t>16.12</w:t>
            </w:r>
          </w:p>
        </w:tc>
        <w:tc>
          <w:tcPr>
            <w:tcW w:w="1760" w:type="dxa"/>
            <w:tcBorders>
              <w:top w:val="nil"/>
              <w:left w:val="nil"/>
              <w:bottom w:val="single" w:sz="4" w:space="0" w:color="auto"/>
              <w:right w:val="single" w:sz="4" w:space="0" w:color="auto"/>
            </w:tcBorders>
            <w:shd w:val="clear" w:color="auto" w:fill="C4EFCE"/>
            <w:vAlign w:val="center"/>
            <w:hideMark/>
          </w:tcPr>
          <w:p w14:paraId="2DC53D71" w14:textId="77777777" w:rsidR="00154AD2" w:rsidRDefault="007F6BF3">
            <w:pPr>
              <w:pStyle w:val="P68B1DB1-Normal23"/>
              <w:spacing w:after="0"/>
              <w:jc w:val="center"/>
              <w:rPr>
                <w:rFonts w:eastAsia="Calibri" w:cs="Calibri"/>
                <w:noProof/>
              </w:rPr>
            </w:pPr>
            <w:r>
              <w:rPr>
                <w:noProof/>
              </w:rPr>
              <w:t>TD-C16-i02</w:t>
            </w:r>
          </w:p>
        </w:tc>
        <w:tc>
          <w:tcPr>
            <w:tcW w:w="1520" w:type="dxa"/>
            <w:tcBorders>
              <w:top w:val="nil"/>
              <w:left w:val="nil"/>
              <w:bottom w:val="single" w:sz="4" w:space="0" w:color="auto"/>
              <w:right w:val="single" w:sz="4" w:space="0" w:color="auto"/>
            </w:tcBorders>
            <w:shd w:val="clear" w:color="auto" w:fill="C4EFCE"/>
            <w:vAlign w:val="center"/>
            <w:hideMark/>
          </w:tcPr>
          <w:p w14:paraId="02D2F5B7"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22922E7" w14:textId="77777777" w:rsidR="00154AD2" w:rsidRDefault="007F6BF3">
            <w:pPr>
              <w:pStyle w:val="P68B1DB1-Normal23"/>
              <w:spacing w:after="0"/>
              <w:jc w:val="both"/>
              <w:rPr>
                <w:rFonts w:eastAsia="Calibri" w:cs="Calibri"/>
                <w:noProof/>
              </w:rPr>
            </w:pPr>
            <w:r>
              <w:rPr>
                <w:noProof/>
              </w:rPr>
              <w:t>Νεοφυείς επιχειρήσεις που χαρτογραφήθηκαν στην πλατφόρμα Startup Portugal</w:t>
            </w:r>
          </w:p>
        </w:tc>
      </w:tr>
      <w:tr w:rsidR="00154AD2" w14:paraId="1185F1D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8662678" w14:textId="77777777" w:rsidR="00154AD2" w:rsidRDefault="007F6BF3">
            <w:pPr>
              <w:pStyle w:val="P68B1DB1-Normal23"/>
              <w:spacing w:after="0"/>
              <w:jc w:val="center"/>
              <w:rPr>
                <w:rFonts w:eastAsia="Calibri" w:cs="Calibri"/>
                <w:noProof/>
              </w:rPr>
            </w:pPr>
            <w:r>
              <w:rPr>
                <w:noProof/>
              </w:rPr>
              <w:t>16.15</w:t>
            </w:r>
          </w:p>
        </w:tc>
        <w:tc>
          <w:tcPr>
            <w:tcW w:w="1760" w:type="dxa"/>
            <w:tcBorders>
              <w:top w:val="nil"/>
              <w:left w:val="nil"/>
              <w:bottom w:val="single" w:sz="4" w:space="0" w:color="auto"/>
              <w:right w:val="single" w:sz="4" w:space="0" w:color="auto"/>
            </w:tcBorders>
            <w:shd w:val="clear" w:color="auto" w:fill="C4EFCE"/>
            <w:vAlign w:val="center"/>
            <w:hideMark/>
          </w:tcPr>
          <w:p w14:paraId="31DEC5D3" w14:textId="77777777" w:rsidR="00154AD2" w:rsidRDefault="007F6BF3">
            <w:pPr>
              <w:pStyle w:val="P68B1DB1-Normal23"/>
              <w:spacing w:after="0"/>
              <w:jc w:val="center"/>
              <w:rPr>
                <w:rFonts w:eastAsia="Calibri" w:cs="Calibri"/>
                <w:noProof/>
              </w:rPr>
            </w:pPr>
            <w:r>
              <w:rPr>
                <w:noProof/>
              </w:rPr>
              <w:t>TD-C16-i03</w:t>
            </w:r>
          </w:p>
        </w:tc>
        <w:tc>
          <w:tcPr>
            <w:tcW w:w="1520" w:type="dxa"/>
            <w:tcBorders>
              <w:top w:val="nil"/>
              <w:left w:val="nil"/>
              <w:bottom w:val="single" w:sz="4" w:space="0" w:color="auto"/>
              <w:right w:val="single" w:sz="4" w:space="0" w:color="auto"/>
            </w:tcBorders>
            <w:shd w:val="clear" w:color="auto" w:fill="C4EFCE"/>
            <w:vAlign w:val="center"/>
            <w:hideMark/>
          </w:tcPr>
          <w:p w14:paraId="4A580FA3"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F5CADD8" w14:textId="77777777" w:rsidR="00154AD2" w:rsidRDefault="007F6BF3">
            <w:pPr>
              <w:pStyle w:val="P68B1DB1-Normal23"/>
              <w:spacing w:after="0"/>
              <w:jc w:val="both"/>
              <w:rPr>
                <w:rFonts w:eastAsia="Calibri" w:cs="Calibri"/>
                <w:noProof/>
              </w:rPr>
            </w:pPr>
            <w:r>
              <w:rPr>
                <w:noProof/>
              </w:rPr>
              <w:t>Δικαιούχοι συμβουλευτικών υπηρεσιών κόμβων ψηφιακής καινοτομίας</w:t>
            </w:r>
          </w:p>
        </w:tc>
      </w:tr>
      <w:tr w:rsidR="00154AD2" w14:paraId="161C3A8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A9B8BB0" w14:textId="77777777" w:rsidR="00154AD2" w:rsidRDefault="007F6BF3">
            <w:pPr>
              <w:pStyle w:val="P68B1DB1-Normal23"/>
              <w:spacing w:after="0"/>
              <w:jc w:val="center"/>
              <w:rPr>
                <w:rFonts w:eastAsia="Calibri" w:cs="Calibri"/>
                <w:noProof/>
              </w:rPr>
            </w:pPr>
            <w:r>
              <w:rPr>
                <w:noProof/>
              </w:rPr>
              <w:t>16.17</w:t>
            </w:r>
          </w:p>
        </w:tc>
        <w:tc>
          <w:tcPr>
            <w:tcW w:w="1760" w:type="dxa"/>
            <w:tcBorders>
              <w:top w:val="nil"/>
              <w:left w:val="nil"/>
              <w:bottom w:val="single" w:sz="4" w:space="0" w:color="auto"/>
              <w:right w:val="single" w:sz="4" w:space="0" w:color="auto"/>
            </w:tcBorders>
            <w:shd w:val="clear" w:color="auto" w:fill="C4EFCE"/>
            <w:vAlign w:val="center"/>
            <w:hideMark/>
          </w:tcPr>
          <w:p w14:paraId="1C4ABCD3" w14:textId="77777777" w:rsidR="00154AD2" w:rsidRDefault="007F6BF3">
            <w:pPr>
              <w:pStyle w:val="P68B1DB1-Normal23"/>
              <w:spacing w:after="0"/>
              <w:jc w:val="center"/>
              <w:rPr>
                <w:rFonts w:eastAsia="Calibri" w:cs="Calibri"/>
                <w:noProof/>
              </w:rPr>
            </w:pPr>
            <w:r>
              <w:rPr>
                <w:noProof/>
              </w:rPr>
              <w:t>TD-C16-i04</w:t>
            </w:r>
          </w:p>
        </w:tc>
        <w:tc>
          <w:tcPr>
            <w:tcW w:w="1520" w:type="dxa"/>
            <w:tcBorders>
              <w:top w:val="nil"/>
              <w:left w:val="nil"/>
              <w:bottom w:val="single" w:sz="4" w:space="0" w:color="auto"/>
              <w:right w:val="single" w:sz="4" w:space="0" w:color="auto"/>
            </w:tcBorders>
            <w:shd w:val="clear" w:color="auto" w:fill="C4EFCE"/>
            <w:vAlign w:val="center"/>
            <w:hideMark/>
          </w:tcPr>
          <w:p w14:paraId="7A3AB4FA"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93DE237" w14:textId="77777777" w:rsidR="00154AD2" w:rsidRDefault="007F6BF3">
            <w:pPr>
              <w:pStyle w:val="P68B1DB1-Normal23"/>
              <w:spacing w:after="0"/>
              <w:jc w:val="both"/>
              <w:rPr>
                <w:rFonts w:eastAsia="Calibri" w:cs="Calibri"/>
                <w:noProof/>
              </w:rPr>
            </w:pPr>
            <w:r>
              <w:rPr>
                <w:noProof/>
              </w:rPr>
              <w:t>Ολοκλήρωση των έργων «Βιομηχανία 4.0»</w:t>
            </w:r>
          </w:p>
        </w:tc>
      </w:tr>
      <w:tr w:rsidR="00154AD2" w14:paraId="2775448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C8F97AC" w14:textId="77777777" w:rsidR="00154AD2" w:rsidRDefault="007F6BF3">
            <w:pPr>
              <w:pStyle w:val="P68B1DB1-Normal23"/>
              <w:spacing w:after="0"/>
              <w:jc w:val="center"/>
              <w:rPr>
                <w:rFonts w:eastAsia="Calibri" w:cs="Calibri"/>
                <w:noProof/>
              </w:rPr>
            </w:pPr>
            <w:r>
              <w:rPr>
                <w:noProof/>
              </w:rPr>
              <w:t>16.20</w:t>
            </w:r>
          </w:p>
        </w:tc>
        <w:tc>
          <w:tcPr>
            <w:tcW w:w="1760" w:type="dxa"/>
            <w:tcBorders>
              <w:top w:val="nil"/>
              <w:left w:val="nil"/>
              <w:bottom w:val="single" w:sz="4" w:space="0" w:color="auto"/>
              <w:right w:val="single" w:sz="4" w:space="0" w:color="auto"/>
            </w:tcBorders>
            <w:shd w:val="clear" w:color="auto" w:fill="C4EFCE"/>
            <w:vAlign w:val="center"/>
            <w:hideMark/>
          </w:tcPr>
          <w:p w14:paraId="6BBA6CB6" w14:textId="42406519" w:rsidR="00154AD2" w:rsidRDefault="007F6BF3">
            <w:pPr>
              <w:pStyle w:val="P68B1DB1-Normal23"/>
              <w:spacing w:after="0"/>
              <w:jc w:val="center"/>
              <w:rPr>
                <w:rFonts w:eastAsia="Calibri" w:cs="Calibri"/>
                <w:noProof/>
              </w:rPr>
            </w:pPr>
            <w:r>
              <w:rPr>
                <w:noProof/>
              </w:rPr>
              <w:t>TD-C16-i06-RAM</w:t>
            </w:r>
          </w:p>
        </w:tc>
        <w:tc>
          <w:tcPr>
            <w:tcW w:w="1520" w:type="dxa"/>
            <w:tcBorders>
              <w:top w:val="nil"/>
              <w:left w:val="nil"/>
              <w:bottom w:val="single" w:sz="4" w:space="0" w:color="auto"/>
              <w:right w:val="single" w:sz="4" w:space="0" w:color="auto"/>
            </w:tcBorders>
            <w:shd w:val="clear" w:color="auto" w:fill="C4EFCE"/>
            <w:vAlign w:val="center"/>
            <w:hideMark/>
          </w:tcPr>
          <w:p w14:paraId="69E96A0A"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A95FF70" w14:textId="3BE1C11E" w:rsidR="00154AD2" w:rsidRDefault="007F6BF3">
            <w:pPr>
              <w:pStyle w:val="P68B1DB1-Normal23"/>
              <w:spacing w:after="0"/>
              <w:jc w:val="both"/>
              <w:rPr>
                <w:rFonts w:eastAsia="Calibri" w:cs="Calibri"/>
                <w:noProof/>
              </w:rPr>
            </w:pPr>
            <w:r>
              <w:rPr>
                <w:noProof/>
              </w:rPr>
              <w:t>Επιχείρηση 4.0</w:t>
            </w:r>
          </w:p>
        </w:tc>
      </w:tr>
      <w:tr w:rsidR="00154AD2" w14:paraId="5F8D113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8D3BF65" w14:textId="77777777" w:rsidR="00154AD2" w:rsidRDefault="007F6BF3">
            <w:pPr>
              <w:pStyle w:val="P68B1DB1-Normal23"/>
              <w:spacing w:after="0"/>
              <w:jc w:val="center"/>
              <w:rPr>
                <w:rFonts w:eastAsia="Calibri" w:cs="Calibri"/>
                <w:noProof/>
              </w:rPr>
            </w:pPr>
            <w:r>
              <w:rPr>
                <w:noProof/>
              </w:rPr>
              <w:t>17.4</w:t>
            </w:r>
          </w:p>
        </w:tc>
        <w:tc>
          <w:tcPr>
            <w:tcW w:w="1760" w:type="dxa"/>
            <w:tcBorders>
              <w:top w:val="nil"/>
              <w:left w:val="nil"/>
              <w:bottom w:val="single" w:sz="4" w:space="0" w:color="auto"/>
              <w:right w:val="single" w:sz="4" w:space="0" w:color="auto"/>
            </w:tcBorders>
            <w:shd w:val="clear" w:color="auto" w:fill="C4EFCE"/>
            <w:vAlign w:val="center"/>
            <w:hideMark/>
          </w:tcPr>
          <w:p w14:paraId="4E626E4A" w14:textId="77777777" w:rsidR="00154AD2" w:rsidRDefault="007F6BF3">
            <w:pPr>
              <w:pStyle w:val="P68B1DB1-Normal23"/>
              <w:spacing w:after="0"/>
              <w:jc w:val="center"/>
              <w:rPr>
                <w:rFonts w:eastAsia="Calibri" w:cs="Calibri"/>
                <w:noProof/>
              </w:rPr>
            </w:pPr>
            <w:r>
              <w:rPr>
                <w:noProof/>
              </w:rPr>
              <w:t>TD-C17-r32</w:t>
            </w:r>
          </w:p>
        </w:tc>
        <w:tc>
          <w:tcPr>
            <w:tcW w:w="1520" w:type="dxa"/>
            <w:tcBorders>
              <w:top w:val="nil"/>
              <w:left w:val="nil"/>
              <w:bottom w:val="single" w:sz="4" w:space="0" w:color="auto"/>
              <w:right w:val="single" w:sz="4" w:space="0" w:color="auto"/>
            </w:tcBorders>
            <w:shd w:val="clear" w:color="auto" w:fill="C4EFCE"/>
            <w:vAlign w:val="center"/>
            <w:hideMark/>
          </w:tcPr>
          <w:p w14:paraId="312DFC9A"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C40731E" w14:textId="77777777" w:rsidR="00154AD2" w:rsidRDefault="007F6BF3">
            <w:pPr>
              <w:pStyle w:val="P68B1DB1-Normal23"/>
              <w:spacing w:after="0"/>
              <w:jc w:val="both"/>
              <w:rPr>
                <w:rFonts w:eastAsia="Calibri" w:cs="Calibri"/>
                <w:noProof/>
              </w:rPr>
            </w:pPr>
            <w:r>
              <w:rPr>
                <w:noProof/>
              </w:rPr>
              <w:t>Έγκριση του μοντέλου κοστολόγησης για την κατάρτιση του προϋπολογισμού των προγραμμάτων</w:t>
            </w:r>
          </w:p>
        </w:tc>
      </w:tr>
      <w:tr w:rsidR="00154AD2" w14:paraId="28486F34"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1D9C06C" w14:textId="77777777" w:rsidR="00154AD2" w:rsidRDefault="007F6BF3">
            <w:pPr>
              <w:pStyle w:val="P68B1DB1-Normal23"/>
              <w:spacing w:after="0"/>
              <w:jc w:val="center"/>
              <w:rPr>
                <w:rFonts w:eastAsia="Calibri" w:cs="Calibri"/>
                <w:noProof/>
              </w:rPr>
            </w:pPr>
            <w:r>
              <w:rPr>
                <w:noProof/>
              </w:rPr>
              <w:t>17.8</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59B7C27A" w14:textId="77777777" w:rsidR="00154AD2" w:rsidRDefault="007F6BF3">
            <w:pPr>
              <w:pStyle w:val="P68B1DB1-Normal23"/>
              <w:spacing w:after="0"/>
              <w:jc w:val="center"/>
              <w:rPr>
                <w:rFonts w:eastAsia="Calibri" w:cs="Calibri"/>
                <w:noProof/>
              </w:rPr>
            </w:pPr>
            <w:r>
              <w:rPr>
                <w:noProof/>
              </w:rPr>
              <w:t>TD-C17-r32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79ACBAF4"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28D0D69" w14:textId="77777777" w:rsidR="00154AD2" w:rsidRDefault="007F6BF3">
            <w:pPr>
              <w:pStyle w:val="P68B1DB1-Normal23"/>
              <w:spacing w:after="0"/>
              <w:jc w:val="both"/>
              <w:rPr>
                <w:rFonts w:eastAsia="Calibri" w:cs="Calibri"/>
                <w:noProof/>
              </w:rPr>
            </w:pPr>
            <w:r>
              <w:rPr>
                <w:noProof/>
              </w:rPr>
              <w:t>Αριθμός σχεδίων προϋπολογισμού και δραστηριοτήτων κρατικών επιχειρήσεων που εγκρίνονται με συνέπεια από τον υπουργό Οικονομικών και τους αντίστοιχους αρμόδιους υπουργούς</w:t>
            </w:r>
          </w:p>
        </w:tc>
      </w:tr>
      <w:tr w:rsidR="00154AD2" w14:paraId="0FFE3D6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DDEF3AE" w14:textId="77777777" w:rsidR="00154AD2" w:rsidRDefault="007F6BF3">
            <w:pPr>
              <w:pStyle w:val="P68B1DB1-Normal23"/>
              <w:spacing w:after="0"/>
              <w:jc w:val="center"/>
              <w:rPr>
                <w:rFonts w:eastAsia="Calibri" w:cs="Calibri"/>
                <w:noProof/>
              </w:rPr>
            </w:pPr>
            <w:r>
              <w:rPr>
                <w:noProof/>
              </w:rPr>
              <w:t>17.11</w:t>
            </w:r>
          </w:p>
        </w:tc>
        <w:tc>
          <w:tcPr>
            <w:tcW w:w="1760" w:type="dxa"/>
            <w:tcBorders>
              <w:top w:val="nil"/>
              <w:left w:val="nil"/>
              <w:bottom w:val="single" w:sz="4" w:space="0" w:color="auto"/>
              <w:right w:val="single" w:sz="4" w:space="0" w:color="auto"/>
            </w:tcBorders>
            <w:shd w:val="clear" w:color="auto" w:fill="C4EFCE"/>
            <w:vAlign w:val="center"/>
            <w:hideMark/>
          </w:tcPr>
          <w:p w14:paraId="6D375996" w14:textId="77777777" w:rsidR="00154AD2" w:rsidRDefault="007F6BF3">
            <w:pPr>
              <w:pStyle w:val="P68B1DB1-Normal23"/>
              <w:spacing w:after="0"/>
              <w:jc w:val="center"/>
              <w:rPr>
                <w:rFonts w:eastAsia="Calibri" w:cs="Calibri"/>
                <w:noProof/>
              </w:rPr>
            </w:pPr>
            <w:r>
              <w:rPr>
                <w:noProof/>
              </w:rPr>
              <w:t>TD-C17-i01</w:t>
            </w:r>
          </w:p>
        </w:tc>
        <w:tc>
          <w:tcPr>
            <w:tcW w:w="1520" w:type="dxa"/>
            <w:tcBorders>
              <w:top w:val="nil"/>
              <w:left w:val="nil"/>
              <w:bottom w:val="single" w:sz="4" w:space="0" w:color="auto"/>
              <w:right w:val="single" w:sz="4" w:space="0" w:color="auto"/>
            </w:tcBorders>
            <w:shd w:val="clear" w:color="auto" w:fill="C4EFCE"/>
            <w:vAlign w:val="center"/>
            <w:hideMark/>
          </w:tcPr>
          <w:p w14:paraId="7F74C799"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E1A3F61" w14:textId="77777777" w:rsidR="00154AD2" w:rsidRDefault="007F6BF3">
            <w:pPr>
              <w:pStyle w:val="P68B1DB1-Normal23"/>
              <w:spacing w:after="0"/>
              <w:jc w:val="both"/>
              <w:rPr>
                <w:rFonts w:eastAsia="Calibri" w:cs="Calibri"/>
                <w:noProof/>
              </w:rPr>
            </w:pPr>
            <w:r>
              <w:rPr>
                <w:noProof/>
              </w:rPr>
              <w:t>Έναρξη λειτουργίας συστήματος υποστηρικτικών πληροφοριών για το νέο μοντέλο δημοσιονομικού και χρηματοοικονομικού ελέγχου</w:t>
            </w:r>
          </w:p>
        </w:tc>
      </w:tr>
      <w:tr w:rsidR="00154AD2" w14:paraId="4E7B346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785CDF1" w14:textId="77777777" w:rsidR="00154AD2" w:rsidRDefault="007F6BF3">
            <w:pPr>
              <w:pStyle w:val="P68B1DB1-Normal23"/>
              <w:spacing w:after="0"/>
              <w:jc w:val="center"/>
              <w:rPr>
                <w:rFonts w:eastAsia="Calibri" w:cs="Calibri"/>
                <w:noProof/>
              </w:rPr>
            </w:pPr>
            <w:r>
              <w:rPr>
                <w:noProof/>
              </w:rPr>
              <w:t>17.14</w:t>
            </w:r>
          </w:p>
        </w:tc>
        <w:tc>
          <w:tcPr>
            <w:tcW w:w="1760" w:type="dxa"/>
            <w:tcBorders>
              <w:top w:val="nil"/>
              <w:left w:val="nil"/>
              <w:bottom w:val="single" w:sz="4" w:space="0" w:color="auto"/>
              <w:right w:val="single" w:sz="4" w:space="0" w:color="auto"/>
            </w:tcBorders>
            <w:shd w:val="clear" w:color="auto" w:fill="C4EFCE"/>
            <w:vAlign w:val="center"/>
            <w:hideMark/>
          </w:tcPr>
          <w:p w14:paraId="533A5B42" w14:textId="77777777" w:rsidR="00154AD2" w:rsidRDefault="007F6BF3">
            <w:pPr>
              <w:pStyle w:val="P68B1DB1-Normal23"/>
              <w:spacing w:after="0"/>
              <w:jc w:val="center"/>
              <w:rPr>
                <w:rFonts w:eastAsia="Calibri" w:cs="Calibri"/>
                <w:noProof/>
              </w:rPr>
            </w:pPr>
            <w:r>
              <w:rPr>
                <w:noProof/>
              </w:rPr>
              <w:t>TD-C17-i01</w:t>
            </w:r>
          </w:p>
        </w:tc>
        <w:tc>
          <w:tcPr>
            <w:tcW w:w="1520" w:type="dxa"/>
            <w:tcBorders>
              <w:top w:val="nil"/>
              <w:left w:val="nil"/>
              <w:bottom w:val="single" w:sz="4" w:space="0" w:color="auto"/>
              <w:right w:val="single" w:sz="4" w:space="0" w:color="auto"/>
            </w:tcBorders>
            <w:shd w:val="clear" w:color="auto" w:fill="C4EFCE"/>
            <w:vAlign w:val="center"/>
            <w:hideMark/>
          </w:tcPr>
          <w:p w14:paraId="00CBE279"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8BBFA39" w14:textId="77777777" w:rsidR="00154AD2" w:rsidRDefault="007F6BF3">
            <w:pPr>
              <w:pStyle w:val="P68B1DB1-Normal23"/>
              <w:spacing w:after="0"/>
              <w:jc w:val="both"/>
              <w:rPr>
                <w:rFonts w:eastAsia="Calibri" w:cs="Calibri"/>
                <w:noProof/>
              </w:rPr>
            </w:pPr>
            <w:r>
              <w:rPr>
                <w:noProof/>
              </w:rPr>
              <w:t>Ολοκλήρωση της υλοποίησης του κέντρου επιχειρήσεων ασφάλειας</w:t>
            </w:r>
          </w:p>
        </w:tc>
      </w:tr>
      <w:tr w:rsidR="00154AD2" w14:paraId="2825FB9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79519C8" w14:textId="77777777" w:rsidR="00154AD2" w:rsidRDefault="007F6BF3">
            <w:pPr>
              <w:pStyle w:val="P68B1DB1-Normal23"/>
              <w:spacing w:after="0"/>
              <w:jc w:val="center"/>
              <w:rPr>
                <w:rFonts w:eastAsia="Calibri" w:cs="Calibri"/>
                <w:noProof/>
              </w:rPr>
            </w:pPr>
            <w:r>
              <w:rPr>
                <w:noProof/>
              </w:rPr>
              <w:t>17.16</w:t>
            </w:r>
          </w:p>
        </w:tc>
        <w:tc>
          <w:tcPr>
            <w:tcW w:w="1760" w:type="dxa"/>
            <w:tcBorders>
              <w:top w:val="nil"/>
              <w:left w:val="nil"/>
              <w:bottom w:val="single" w:sz="4" w:space="0" w:color="auto"/>
              <w:right w:val="single" w:sz="4" w:space="0" w:color="auto"/>
            </w:tcBorders>
            <w:shd w:val="clear" w:color="auto" w:fill="C4EFCE"/>
            <w:vAlign w:val="center"/>
            <w:hideMark/>
          </w:tcPr>
          <w:p w14:paraId="5E0AFA27" w14:textId="77777777" w:rsidR="00154AD2" w:rsidRDefault="007F6BF3">
            <w:pPr>
              <w:pStyle w:val="P68B1DB1-Normal23"/>
              <w:spacing w:after="0"/>
              <w:jc w:val="center"/>
              <w:rPr>
                <w:rFonts w:eastAsia="Calibri" w:cs="Calibri"/>
                <w:noProof/>
              </w:rPr>
            </w:pPr>
            <w:r>
              <w:rPr>
                <w:noProof/>
              </w:rPr>
              <w:t>TD-C17-i02</w:t>
            </w:r>
          </w:p>
        </w:tc>
        <w:tc>
          <w:tcPr>
            <w:tcW w:w="1520" w:type="dxa"/>
            <w:tcBorders>
              <w:top w:val="nil"/>
              <w:left w:val="nil"/>
              <w:bottom w:val="single" w:sz="4" w:space="0" w:color="auto"/>
              <w:right w:val="single" w:sz="4" w:space="0" w:color="auto"/>
            </w:tcBorders>
            <w:shd w:val="clear" w:color="auto" w:fill="C4EFCE"/>
            <w:vAlign w:val="center"/>
            <w:hideMark/>
          </w:tcPr>
          <w:p w14:paraId="662B849B"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E8B115D" w14:textId="77777777" w:rsidR="00154AD2" w:rsidRDefault="007F6BF3">
            <w:pPr>
              <w:pStyle w:val="P68B1DB1-Normal23"/>
              <w:spacing w:after="0"/>
              <w:jc w:val="both"/>
              <w:rPr>
                <w:rFonts w:eastAsia="Calibri" w:cs="Calibri"/>
                <w:noProof/>
              </w:rPr>
            </w:pPr>
            <w:r>
              <w:rPr>
                <w:noProof/>
              </w:rPr>
              <w:t>Παροχή και θέση σε λειτουργία της τελικής έκδοσης του πληροφοριακού συστήματος που υποστηρίζει την απλουστευμένη αξιολόγηση των αγροτικών ακινήτων</w:t>
            </w:r>
          </w:p>
        </w:tc>
      </w:tr>
      <w:tr w:rsidR="00154AD2" w14:paraId="54C1C6B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430E143" w14:textId="77777777" w:rsidR="00154AD2" w:rsidRDefault="007F6BF3">
            <w:pPr>
              <w:pStyle w:val="P68B1DB1-Normal23"/>
              <w:spacing w:after="0"/>
              <w:jc w:val="center"/>
              <w:rPr>
                <w:rFonts w:eastAsia="Calibri" w:cs="Calibri"/>
                <w:noProof/>
              </w:rPr>
            </w:pPr>
            <w:r>
              <w:rPr>
                <w:noProof/>
              </w:rPr>
              <w:t>17.17</w:t>
            </w:r>
          </w:p>
        </w:tc>
        <w:tc>
          <w:tcPr>
            <w:tcW w:w="1760" w:type="dxa"/>
            <w:tcBorders>
              <w:top w:val="nil"/>
              <w:left w:val="nil"/>
              <w:bottom w:val="single" w:sz="4" w:space="0" w:color="auto"/>
              <w:right w:val="single" w:sz="4" w:space="0" w:color="auto"/>
            </w:tcBorders>
            <w:shd w:val="clear" w:color="auto" w:fill="C4EFCE"/>
            <w:vAlign w:val="center"/>
            <w:hideMark/>
          </w:tcPr>
          <w:p w14:paraId="723E9D48" w14:textId="77777777" w:rsidR="00154AD2" w:rsidRDefault="007F6BF3">
            <w:pPr>
              <w:pStyle w:val="P68B1DB1-Normal23"/>
              <w:spacing w:after="0"/>
              <w:jc w:val="center"/>
              <w:rPr>
                <w:rFonts w:eastAsia="Calibri" w:cs="Calibri"/>
                <w:noProof/>
              </w:rPr>
            </w:pPr>
            <w:r>
              <w:rPr>
                <w:noProof/>
              </w:rPr>
              <w:t>TD-C17-i02</w:t>
            </w:r>
          </w:p>
        </w:tc>
        <w:tc>
          <w:tcPr>
            <w:tcW w:w="1520" w:type="dxa"/>
            <w:tcBorders>
              <w:top w:val="nil"/>
              <w:left w:val="nil"/>
              <w:bottom w:val="single" w:sz="4" w:space="0" w:color="auto"/>
              <w:right w:val="single" w:sz="4" w:space="0" w:color="auto"/>
            </w:tcBorders>
            <w:shd w:val="clear" w:color="auto" w:fill="C4EFCE"/>
            <w:vAlign w:val="center"/>
            <w:hideMark/>
          </w:tcPr>
          <w:p w14:paraId="6724BA1B"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7048DD5" w14:textId="77777777" w:rsidR="00154AD2" w:rsidRDefault="007F6BF3">
            <w:pPr>
              <w:pStyle w:val="P68B1DB1-Normal23"/>
              <w:spacing w:after="0"/>
              <w:jc w:val="both"/>
              <w:rPr>
                <w:rFonts w:eastAsia="Calibri" w:cs="Calibri"/>
                <w:noProof/>
              </w:rPr>
            </w:pPr>
            <w:r>
              <w:rPr>
                <w:noProof/>
              </w:rPr>
              <w:t>Ολοκλήρωση του εδαφικού και κλιματολογικού (εδαφικού και κλιματικού) χαρακτηρισμού και αξιολόγησης του οικονομικού δυναμικού των αγροτικών ιδιοτήτων</w:t>
            </w:r>
          </w:p>
        </w:tc>
      </w:tr>
      <w:tr w:rsidR="00154AD2" w14:paraId="3DB5C52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8F07BD9" w14:textId="77777777" w:rsidR="00154AD2" w:rsidRDefault="007F6BF3">
            <w:pPr>
              <w:pStyle w:val="P68B1DB1-Normal23"/>
              <w:spacing w:after="0"/>
              <w:jc w:val="center"/>
              <w:rPr>
                <w:rFonts w:eastAsia="Calibri" w:cs="Calibri"/>
                <w:noProof/>
              </w:rPr>
            </w:pPr>
            <w:r>
              <w:rPr>
                <w:noProof/>
              </w:rPr>
              <w:t>17.18</w:t>
            </w:r>
          </w:p>
        </w:tc>
        <w:tc>
          <w:tcPr>
            <w:tcW w:w="1760" w:type="dxa"/>
            <w:tcBorders>
              <w:top w:val="nil"/>
              <w:left w:val="nil"/>
              <w:bottom w:val="single" w:sz="4" w:space="0" w:color="auto"/>
              <w:right w:val="single" w:sz="4" w:space="0" w:color="auto"/>
            </w:tcBorders>
            <w:shd w:val="clear" w:color="auto" w:fill="C4EFCE"/>
            <w:vAlign w:val="center"/>
            <w:hideMark/>
          </w:tcPr>
          <w:p w14:paraId="2CCBFDDD" w14:textId="77777777" w:rsidR="00154AD2" w:rsidRDefault="007F6BF3">
            <w:pPr>
              <w:pStyle w:val="P68B1DB1-Normal23"/>
              <w:spacing w:after="0"/>
              <w:jc w:val="center"/>
              <w:rPr>
                <w:rFonts w:eastAsia="Calibri" w:cs="Calibri"/>
                <w:noProof/>
              </w:rPr>
            </w:pPr>
            <w:r>
              <w:rPr>
                <w:noProof/>
              </w:rPr>
              <w:t>TD-C17-i03</w:t>
            </w:r>
          </w:p>
        </w:tc>
        <w:tc>
          <w:tcPr>
            <w:tcW w:w="1520" w:type="dxa"/>
            <w:tcBorders>
              <w:top w:val="nil"/>
              <w:left w:val="nil"/>
              <w:bottom w:val="single" w:sz="4" w:space="0" w:color="auto"/>
              <w:right w:val="single" w:sz="4" w:space="0" w:color="auto"/>
            </w:tcBorders>
            <w:shd w:val="clear" w:color="auto" w:fill="C4EFCE"/>
            <w:vAlign w:val="center"/>
            <w:hideMark/>
          </w:tcPr>
          <w:p w14:paraId="28D6CC72"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36DFDFD" w14:textId="77777777" w:rsidR="00154AD2" w:rsidRDefault="007F6BF3">
            <w:pPr>
              <w:pStyle w:val="P68B1DB1-Normal23"/>
              <w:spacing w:after="0"/>
              <w:jc w:val="both"/>
              <w:rPr>
                <w:rFonts w:eastAsia="Calibri" w:cs="Calibri"/>
                <w:noProof/>
              </w:rPr>
            </w:pPr>
            <w:r>
              <w:rPr>
                <w:noProof/>
              </w:rPr>
              <w:t>Επέκταση των λειτουργικών δυνατοτήτων του δικτυακού τόπου Segurança Social Direta, με την προσθήκη πέντε νέων επιγραμμικών υπηρεσιών</w:t>
            </w:r>
          </w:p>
        </w:tc>
      </w:tr>
      <w:tr w:rsidR="00154AD2" w14:paraId="47DDC25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15A2944" w14:textId="77777777" w:rsidR="00154AD2" w:rsidRDefault="007F6BF3">
            <w:pPr>
              <w:pStyle w:val="P68B1DB1-Normal23"/>
              <w:spacing w:after="0"/>
              <w:jc w:val="center"/>
              <w:rPr>
                <w:rFonts w:eastAsia="Calibri" w:cs="Calibri"/>
                <w:noProof/>
              </w:rPr>
            </w:pPr>
            <w:r>
              <w:rPr>
                <w:noProof/>
              </w:rPr>
              <w:t>17.19</w:t>
            </w:r>
          </w:p>
        </w:tc>
        <w:tc>
          <w:tcPr>
            <w:tcW w:w="1760" w:type="dxa"/>
            <w:tcBorders>
              <w:top w:val="nil"/>
              <w:left w:val="nil"/>
              <w:bottom w:val="single" w:sz="4" w:space="0" w:color="auto"/>
              <w:right w:val="single" w:sz="4" w:space="0" w:color="auto"/>
            </w:tcBorders>
            <w:shd w:val="clear" w:color="auto" w:fill="C4EFCE"/>
            <w:vAlign w:val="center"/>
            <w:hideMark/>
          </w:tcPr>
          <w:p w14:paraId="7AEDC7FA" w14:textId="77777777" w:rsidR="00154AD2" w:rsidRDefault="007F6BF3">
            <w:pPr>
              <w:pStyle w:val="P68B1DB1-Normal23"/>
              <w:spacing w:after="0"/>
              <w:jc w:val="center"/>
              <w:rPr>
                <w:rFonts w:eastAsia="Calibri" w:cs="Calibri"/>
                <w:noProof/>
              </w:rPr>
            </w:pPr>
            <w:r>
              <w:rPr>
                <w:noProof/>
              </w:rPr>
              <w:t>TD-C17-i03</w:t>
            </w:r>
          </w:p>
        </w:tc>
        <w:tc>
          <w:tcPr>
            <w:tcW w:w="1520" w:type="dxa"/>
            <w:tcBorders>
              <w:top w:val="nil"/>
              <w:left w:val="nil"/>
              <w:bottom w:val="single" w:sz="4" w:space="0" w:color="auto"/>
              <w:right w:val="single" w:sz="4" w:space="0" w:color="auto"/>
            </w:tcBorders>
            <w:shd w:val="clear" w:color="auto" w:fill="C4EFCE"/>
            <w:vAlign w:val="center"/>
            <w:hideMark/>
          </w:tcPr>
          <w:p w14:paraId="0F1DBD75"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2F9E549" w14:textId="77777777" w:rsidR="00154AD2" w:rsidRDefault="007F6BF3">
            <w:pPr>
              <w:pStyle w:val="P68B1DB1-Normal23"/>
              <w:spacing w:after="0"/>
              <w:jc w:val="both"/>
              <w:rPr>
                <w:rFonts w:eastAsia="Calibri" w:cs="Calibri"/>
                <w:noProof/>
              </w:rPr>
            </w:pPr>
            <w:r>
              <w:rPr>
                <w:noProof/>
              </w:rPr>
              <w:t>Μείωση κατά 80 % του μέσου αριθμού ημερών που απαιτούνται για τη χορήγηση κοινωνικών παροχών ανταποδοτικού χαρακτήρα, για όσους έχουν μέσο χρόνο χορήγησης μεγαλύτερο των 10 ημερών</w:t>
            </w:r>
          </w:p>
        </w:tc>
      </w:tr>
      <w:tr w:rsidR="00154AD2" w14:paraId="5B84839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1754C84" w14:textId="77777777" w:rsidR="00154AD2" w:rsidRDefault="007F6BF3">
            <w:pPr>
              <w:pStyle w:val="P68B1DB1-Normal23"/>
              <w:spacing w:after="0"/>
              <w:jc w:val="center"/>
              <w:rPr>
                <w:rFonts w:eastAsia="Calibri" w:cs="Calibri"/>
                <w:noProof/>
              </w:rPr>
            </w:pPr>
            <w:r>
              <w:rPr>
                <w:noProof/>
              </w:rPr>
              <w:t>17.20</w:t>
            </w:r>
          </w:p>
        </w:tc>
        <w:tc>
          <w:tcPr>
            <w:tcW w:w="1760" w:type="dxa"/>
            <w:tcBorders>
              <w:top w:val="nil"/>
              <w:left w:val="nil"/>
              <w:bottom w:val="single" w:sz="4" w:space="0" w:color="auto"/>
              <w:right w:val="single" w:sz="4" w:space="0" w:color="auto"/>
            </w:tcBorders>
            <w:shd w:val="clear" w:color="auto" w:fill="C4EFCE"/>
            <w:vAlign w:val="center"/>
            <w:hideMark/>
          </w:tcPr>
          <w:p w14:paraId="2C052451" w14:textId="77777777" w:rsidR="00154AD2" w:rsidRDefault="007F6BF3">
            <w:pPr>
              <w:pStyle w:val="P68B1DB1-Normal23"/>
              <w:spacing w:after="0"/>
              <w:jc w:val="center"/>
              <w:rPr>
                <w:rFonts w:eastAsia="Calibri" w:cs="Calibri"/>
                <w:noProof/>
              </w:rPr>
            </w:pPr>
            <w:r>
              <w:rPr>
                <w:noProof/>
              </w:rPr>
              <w:t>TD-C17-i03</w:t>
            </w:r>
          </w:p>
        </w:tc>
        <w:tc>
          <w:tcPr>
            <w:tcW w:w="1520" w:type="dxa"/>
            <w:tcBorders>
              <w:top w:val="nil"/>
              <w:left w:val="nil"/>
              <w:bottom w:val="single" w:sz="4" w:space="0" w:color="auto"/>
              <w:right w:val="single" w:sz="4" w:space="0" w:color="auto"/>
            </w:tcBorders>
            <w:shd w:val="clear" w:color="auto" w:fill="C4EFCE"/>
            <w:vAlign w:val="center"/>
            <w:hideMark/>
          </w:tcPr>
          <w:p w14:paraId="5C4F1263"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0814D6F" w14:textId="77777777" w:rsidR="00154AD2" w:rsidRDefault="007F6BF3">
            <w:pPr>
              <w:pStyle w:val="P68B1DB1-Normal23"/>
              <w:spacing w:after="0"/>
              <w:jc w:val="both"/>
              <w:rPr>
                <w:rFonts w:eastAsia="Calibri" w:cs="Calibri"/>
                <w:noProof/>
              </w:rPr>
            </w:pPr>
            <w:r>
              <w:rPr>
                <w:noProof/>
              </w:rPr>
              <w:t>Εφαρμογή έξυπνων μοντέλων επιτήρησης για τη στήριξη της πρόληψης της απάτης, με βάση διαδικασίες μηχανικής μάθησης</w:t>
            </w:r>
          </w:p>
        </w:tc>
      </w:tr>
      <w:tr w:rsidR="00154AD2" w14:paraId="3EABB5D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5BA64F9" w14:textId="77777777" w:rsidR="00154AD2" w:rsidRDefault="007F6BF3">
            <w:pPr>
              <w:pStyle w:val="P68B1DB1-Normal23"/>
              <w:spacing w:after="0"/>
              <w:jc w:val="center"/>
              <w:rPr>
                <w:rFonts w:eastAsia="Calibri" w:cs="Calibri"/>
                <w:noProof/>
              </w:rPr>
            </w:pPr>
            <w:r>
              <w:rPr>
                <w:noProof/>
              </w:rPr>
              <w:t>18.4</w:t>
            </w:r>
          </w:p>
        </w:tc>
        <w:tc>
          <w:tcPr>
            <w:tcW w:w="1760" w:type="dxa"/>
            <w:tcBorders>
              <w:top w:val="nil"/>
              <w:left w:val="nil"/>
              <w:bottom w:val="single" w:sz="4" w:space="0" w:color="auto"/>
              <w:right w:val="single" w:sz="4" w:space="0" w:color="auto"/>
            </w:tcBorders>
            <w:shd w:val="clear" w:color="auto" w:fill="C4EFCE"/>
            <w:vAlign w:val="center"/>
            <w:hideMark/>
          </w:tcPr>
          <w:p w14:paraId="5AC061BF" w14:textId="77777777" w:rsidR="00154AD2" w:rsidRDefault="007F6BF3">
            <w:pPr>
              <w:pStyle w:val="P68B1DB1-Normal23"/>
              <w:spacing w:after="0"/>
              <w:jc w:val="center"/>
              <w:rPr>
                <w:rFonts w:eastAsia="Calibri" w:cs="Calibri"/>
                <w:noProof/>
              </w:rPr>
            </w:pPr>
            <w:r>
              <w:rPr>
                <w:noProof/>
              </w:rPr>
              <w:t>TD-C18-r33</w:t>
            </w:r>
          </w:p>
        </w:tc>
        <w:tc>
          <w:tcPr>
            <w:tcW w:w="1520" w:type="dxa"/>
            <w:tcBorders>
              <w:top w:val="nil"/>
              <w:left w:val="nil"/>
              <w:bottom w:val="single" w:sz="4" w:space="0" w:color="auto"/>
              <w:right w:val="single" w:sz="4" w:space="0" w:color="auto"/>
            </w:tcBorders>
            <w:shd w:val="clear" w:color="auto" w:fill="C4EFCE"/>
            <w:vAlign w:val="center"/>
            <w:hideMark/>
          </w:tcPr>
          <w:p w14:paraId="2172CC8E"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C1E3A34" w14:textId="77777777" w:rsidR="00154AD2" w:rsidRDefault="007F6BF3">
            <w:pPr>
              <w:pStyle w:val="P68B1DB1-Normal23"/>
              <w:spacing w:after="0"/>
              <w:jc w:val="both"/>
              <w:rPr>
                <w:rFonts w:eastAsia="Calibri" w:cs="Calibri"/>
                <w:noProof/>
              </w:rPr>
            </w:pPr>
            <w:r>
              <w:rPr>
                <w:noProof/>
              </w:rPr>
              <w:t>Έναρξη ισχύος της νομοθετικής δέσμης για την άρση των εμποδίων στην αδειοδότηση και του νέου νομικού πλαισίου για το εθελοντικό διοικητικό αρμπιτράζ</w:t>
            </w:r>
          </w:p>
        </w:tc>
      </w:tr>
      <w:tr w:rsidR="00154AD2" w14:paraId="45D4515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C6B7728" w14:textId="77777777" w:rsidR="00154AD2" w:rsidRDefault="007F6BF3">
            <w:pPr>
              <w:pStyle w:val="P68B1DB1-Normal23"/>
              <w:spacing w:after="0"/>
              <w:jc w:val="center"/>
              <w:rPr>
                <w:rFonts w:eastAsia="Calibri" w:cs="Calibri"/>
                <w:noProof/>
              </w:rPr>
            </w:pPr>
            <w:r>
              <w:rPr>
                <w:noProof/>
              </w:rPr>
              <w:t>18.7</w:t>
            </w:r>
          </w:p>
        </w:tc>
        <w:tc>
          <w:tcPr>
            <w:tcW w:w="1760" w:type="dxa"/>
            <w:tcBorders>
              <w:top w:val="nil"/>
              <w:left w:val="nil"/>
              <w:bottom w:val="single" w:sz="4" w:space="0" w:color="auto"/>
              <w:right w:val="single" w:sz="4" w:space="0" w:color="auto"/>
            </w:tcBorders>
            <w:shd w:val="clear" w:color="auto" w:fill="C4EFCE"/>
            <w:vAlign w:val="center"/>
            <w:hideMark/>
          </w:tcPr>
          <w:p w14:paraId="21C71E03" w14:textId="77777777" w:rsidR="00154AD2" w:rsidRDefault="007F6BF3">
            <w:pPr>
              <w:pStyle w:val="P68B1DB1-Normal23"/>
              <w:spacing w:after="0"/>
              <w:jc w:val="center"/>
              <w:rPr>
                <w:rFonts w:eastAsia="Calibri" w:cs="Calibri"/>
                <w:noProof/>
              </w:rPr>
            </w:pPr>
            <w:r>
              <w:rPr>
                <w:noProof/>
              </w:rPr>
              <w:t>TD-C18-i01</w:t>
            </w:r>
          </w:p>
        </w:tc>
        <w:tc>
          <w:tcPr>
            <w:tcW w:w="1520" w:type="dxa"/>
            <w:tcBorders>
              <w:top w:val="nil"/>
              <w:left w:val="nil"/>
              <w:bottom w:val="single" w:sz="4" w:space="0" w:color="auto"/>
              <w:right w:val="single" w:sz="4" w:space="0" w:color="auto"/>
            </w:tcBorders>
            <w:shd w:val="clear" w:color="auto" w:fill="C4EFCE"/>
            <w:vAlign w:val="center"/>
            <w:hideMark/>
          </w:tcPr>
          <w:p w14:paraId="6ED722D1"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E5FA1F0" w14:textId="77777777" w:rsidR="00154AD2" w:rsidRDefault="007F6BF3">
            <w:pPr>
              <w:pStyle w:val="P68B1DB1-Normal23"/>
              <w:spacing w:after="0"/>
              <w:jc w:val="both"/>
              <w:rPr>
                <w:rFonts w:eastAsia="Calibri" w:cs="Calibri"/>
                <w:noProof/>
              </w:rPr>
            </w:pPr>
            <w:r>
              <w:rPr>
                <w:noProof/>
              </w:rPr>
              <w:t>Νέο σύστημα πληροφοριών για τον ψηφιακό μετασχηματισμό των δικαστηρίων και της εισαγγελίας</w:t>
            </w:r>
          </w:p>
        </w:tc>
      </w:tr>
      <w:tr w:rsidR="00154AD2" w14:paraId="1BD13F4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D40AE85" w14:textId="77777777" w:rsidR="00154AD2" w:rsidRDefault="007F6BF3">
            <w:pPr>
              <w:pStyle w:val="P68B1DB1-Normal23"/>
              <w:spacing w:after="0"/>
              <w:jc w:val="center"/>
              <w:rPr>
                <w:rFonts w:eastAsia="Calibri" w:cs="Calibri"/>
                <w:noProof/>
              </w:rPr>
            </w:pPr>
            <w:r>
              <w:rPr>
                <w:noProof/>
              </w:rPr>
              <w:t>18.8</w:t>
            </w:r>
          </w:p>
        </w:tc>
        <w:tc>
          <w:tcPr>
            <w:tcW w:w="1760" w:type="dxa"/>
            <w:tcBorders>
              <w:top w:val="nil"/>
              <w:left w:val="nil"/>
              <w:bottom w:val="single" w:sz="4" w:space="0" w:color="auto"/>
              <w:right w:val="single" w:sz="4" w:space="0" w:color="auto"/>
            </w:tcBorders>
            <w:shd w:val="clear" w:color="auto" w:fill="C4EFCE"/>
            <w:vAlign w:val="center"/>
            <w:hideMark/>
          </w:tcPr>
          <w:p w14:paraId="35742E8F" w14:textId="77777777" w:rsidR="00154AD2" w:rsidRDefault="007F6BF3">
            <w:pPr>
              <w:pStyle w:val="P68B1DB1-Normal23"/>
              <w:spacing w:after="0"/>
              <w:jc w:val="center"/>
              <w:rPr>
                <w:rFonts w:eastAsia="Calibri" w:cs="Calibri"/>
                <w:noProof/>
              </w:rPr>
            </w:pPr>
            <w:r>
              <w:rPr>
                <w:noProof/>
              </w:rPr>
              <w:t>TD-C18-i01</w:t>
            </w:r>
          </w:p>
        </w:tc>
        <w:tc>
          <w:tcPr>
            <w:tcW w:w="1520" w:type="dxa"/>
            <w:tcBorders>
              <w:top w:val="nil"/>
              <w:left w:val="nil"/>
              <w:bottom w:val="single" w:sz="4" w:space="0" w:color="auto"/>
              <w:right w:val="single" w:sz="4" w:space="0" w:color="auto"/>
            </w:tcBorders>
            <w:shd w:val="clear" w:color="auto" w:fill="C4EFCE"/>
            <w:vAlign w:val="center"/>
            <w:hideMark/>
          </w:tcPr>
          <w:p w14:paraId="452B02BC"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E14B786" w14:textId="77777777" w:rsidR="00154AD2" w:rsidRDefault="007F6BF3">
            <w:pPr>
              <w:pStyle w:val="P68B1DB1-Normal23"/>
              <w:spacing w:after="0"/>
              <w:jc w:val="both"/>
              <w:rPr>
                <w:rFonts w:eastAsia="Calibri" w:cs="Calibri"/>
                <w:noProof/>
              </w:rPr>
            </w:pPr>
            <w:r>
              <w:rPr>
                <w:noProof/>
              </w:rPr>
              <w:t>Εφαρμογή του νέου τεχνολογικού σχεδίου</w:t>
            </w:r>
          </w:p>
        </w:tc>
      </w:tr>
      <w:tr w:rsidR="00154AD2" w14:paraId="63D2E9F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574ADEE" w14:textId="77777777" w:rsidR="00154AD2" w:rsidRDefault="007F6BF3">
            <w:pPr>
              <w:pStyle w:val="P68B1DB1-Normal23"/>
              <w:spacing w:after="0"/>
              <w:jc w:val="center"/>
              <w:rPr>
                <w:rFonts w:eastAsia="Calibri" w:cs="Calibri"/>
                <w:noProof/>
              </w:rPr>
            </w:pPr>
            <w:r>
              <w:rPr>
                <w:noProof/>
              </w:rPr>
              <w:t>18.9</w:t>
            </w:r>
          </w:p>
        </w:tc>
        <w:tc>
          <w:tcPr>
            <w:tcW w:w="1760" w:type="dxa"/>
            <w:tcBorders>
              <w:top w:val="nil"/>
              <w:left w:val="nil"/>
              <w:bottom w:val="single" w:sz="4" w:space="0" w:color="auto"/>
              <w:right w:val="single" w:sz="4" w:space="0" w:color="auto"/>
            </w:tcBorders>
            <w:shd w:val="clear" w:color="auto" w:fill="C4EFCE"/>
            <w:vAlign w:val="center"/>
            <w:hideMark/>
          </w:tcPr>
          <w:p w14:paraId="28414CF8" w14:textId="77777777" w:rsidR="00154AD2" w:rsidRDefault="007F6BF3">
            <w:pPr>
              <w:pStyle w:val="P68B1DB1-Normal23"/>
              <w:spacing w:after="0"/>
              <w:jc w:val="center"/>
              <w:rPr>
                <w:rFonts w:eastAsia="Calibri" w:cs="Calibri"/>
                <w:noProof/>
              </w:rPr>
            </w:pPr>
            <w:r>
              <w:rPr>
                <w:noProof/>
              </w:rPr>
              <w:t>TD-C18-i01</w:t>
            </w:r>
          </w:p>
        </w:tc>
        <w:tc>
          <w:tcPr>
            <w:tcW w:w="1520" w:type="dxa"/>
            <w:tcBorders>
              <w:top w:val="nil"/>
              <w:left w:val="nil"/>
              <w:bottom w:val="single" w:sz="4" w:space="0" w:color="auto"/>
              <w:right w:val="single" w:sz="4" w:space="0" w:color="auto"/>
            </w:tcBorders>
            <w:shd w:val="clear" w:color="auto" w:fill="C4EFCE"/>
            <w:vAlign w:val="center"/>
            <w:hideMark/>
          </w:tcPr>
          <w:p w14:paraId="6C3280D6"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8857B2A" w14:textId="77777777" w:rsidR="00154AD2" w:rsidRDefault="007F6BF3">
            <w:pPr>
              <w:pStyle w:val="P68B1DB1-Normal23"/>
              <w:spacing w:after="0"/>
              <w:jc w:val="both"/>
              <w:rPr>
                <w:rFonts w:eastAsia="Calibri" w:cs="Calibri"/>
                <w:noProof/>
              </w:rPr>
            </w:pPr>
            <w:r>
              <w:rPr>
                <w:noProof/>
              </w:rPr>
              <w:t>Πλατφόρμες διαχείρισης γνώσεων στον τομέα της δικαιοσύνης</w:t>
            </w:r>
          </w:p>
        </w:tc>
      </w:tr>
      <w:tr w:rsidR="00154AD2" w14:paraId="31EEFCD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D66EEFE" w14:textId="77777777" w:rsidR="00154AD2" w:rsidRDefault="007F6BF3">
            <w:pPr>
              <w:pStyle w:val="P68B1DB1-Normal23"/>
              <w:spacing w:after="0"/>
              <w:jc w:val="center"/>
              <w:rPr>
                <w:rFonts w:eastAsia="Calibri" w:cs="Calibri"/>
                <w:noProof/>
              </w:rPr>
            </w:pPr>
            <w:r>
              <w:rPr>
                <w:noProof/>
              </w:rPr>
              <w:t>19.13</w:t>
            </w:r>
          </w:p>
        </w:tc>
        <w:tc>
          <w:tcPr>
            <w:tcW w:w="1760" w:type="dxa"/>
            <w:tcBorders>
              <w:top w:val="nil"/>
              <w:left w:val="nil"/>
              <w:bottom w:val="single" w:sz="4" w:space="0" w:color="auto"/>
              <w:right w:val="single" w:sz="4" w:space="0" w:color="auto"/>
            </w:tcBorders>
            <w:shd w:val="clear" w:color="auto" w:fill="C4EFCE"/>
            <w:vAlign w:val="center"/>
            <w:hideMark/>
          </w:tcPr>
          <w:p w14:paraId="60EB5193" w14:textId="77777777" w:rsidR="00154AD2" w:rsidRDefault="007F6BF3">
            <w:pPr>
              <w:pStyle w:val="P68B1DB1-Normal23"/>
              <w:spacing w:after="0"/>
              <w:jc w:val="center"/>
              <w:rPr>
                <w:rFonts w:eastAsia="Calibri" w:cs="Calibri"/>
                <w:noProof/>
              </w:rPr>
            </w:pPr>
            <w:r>
              <w:rPr>
                <w:noProof/>
              </w:rPr>
              <w:t>TD-C19-i04</w:t>
            </w:r>
          </w:p>
        </w:tc>
        <w:tc>
          <w:tcPr>
            <w:tcW w:w="1520" w:type="dxa"/>
            <w:tcBorders>
              <w:top w:val="nil"/>
              <w:left w:val="nil"/>
              <w:bottom w:val="single" w:sz="4" w:space="0" w:color="auto"/>
              <w:right w:val="single" w:sz="4" w:space="0" w:color="auto"/>
            </w:tcBorders>
            <w:shd w:val="clear" w:color="auto" w:fill="C4EFCE"/>
            <w:vAlign w:val="center"/>
            <w:hideMark/>
          </w:tcPr>
          <w:p w14:paraId="3EA5634C"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9DF2DDA" w14:textId="77777777" w:rsidR="00154AD2" w:rsidRDefault="007F6BF3">
            <w:pPr>
              <w:pStyle w:val="P68B1DB1-Normal23"/>
              <w:spacing w:after="0"/>
              <w:jc w:val="both"/>
              <w:rPr>
                <w:rFonts w:eastAsia="Calibri" w:cs="Calibri"/>
                <w:noProof/>
              </w:rPr>
            </w:pPr>
            <w:r>
              <w:rPr>
                <w:noProof/>
              </w:rPr>
              <w:t>Ολοκλήρωση αναβαθμίσεων σε κρίσιμες ψηφιακές υποδομές</w:t>
            </w:r>
          </w:p>
        </w:tc>
      </w:tr>
      <w:tr w:rsidR="00154AD2" w14:paraId="71D989E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8663BCA" w14:textId="77777777" w:rsidR="00154AD2" w:rsidRDefault="007F6BF3">
            <w:pPr>
              <w:pStyle w:val="P68B1DB1-Normal23"/>
              <w:spacing w:after="0"/>
              <w:jc w:val="center"/>
              <w:rPr>
                <w:rFonts w:eastAsia="Calibri" w:cs="Calibri"/>
                <w:noProof/>
              </w:rPr>
            </w:pPr>
            <w:r>
              <w:rPr>
                <w:noProof/>
              </w:rPr>
              <w:t>19.18</w:t>
            </w:r>
          </w:p>
        </w:tc>
        <w:tc>
          <w:tcPr>
            <w:tcW w:w="1760" w:type="dxa"/>
            <w:tcBorders>
              <w:top w:val="nil"/>
              <w:left w:val="nil"/>
              <w:bottom w:val="single" w:sz="4" w:space="0" w:color="auto"/>
              <w:right w:val="single" w:sz="4" w:space="0" w:color="auto"/>
            </w:tcBorders>
            <w:shd w:val="clear" w:color="auto" w:fill="C4EFCE"/>
            <w:vAlign w:val="center"/>
            <w:hideMark/>
          </w:tcPr>
          <w:p w14:paraId="45108801" w14:textId="77777777" w:rsidR="00154AD2" w:rsidRDefault="007F6BF3">
            <w:pPr>
              <w:pStyle w:val="P68B1DB1-Normal23"/>
              <w:spacing w:after="0"/>
              <w:jc w:val="center"/>
              <w:rPr>
                <w:rFonts w:eastAsia="Calibri" w:cs="Calibri"/>
                <w:noProof/>
              </w:rPr>
            </w:pPr>
            <w:r>
              <w:rPr>
                <w:noProof/>
              </w:rPr>
              <w:t>TD-C19-i06-RAA</w:t>
            </w:r>
          </w:p>
        </w:tc>
        <w:tc>
          <w:tcPr>
            <w:tcW w:w="1520" w:type="dxa"/>
            <w:tcBorders>
              <w:top w:val="nil"/>
              <w:left w:val="nil"/>
              <w:bottom w:val="single" w:sz="4" w:space="0" w:color="auto"/>
              <w:right w:val="single" w:sz="4" w:space="0" w:color="auto"/>
            </w:tcBorders>
            <w:shd w:val="clear" w:color="auto" w:fill="C4EFCE"/>
            <w:vAlign w:val="center"/>
            <w:hideMark/>
          </w:tcPr>
          <w:p w14:paraId="263E5D1D"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186F7B4" w14:textId="77777777" w:rsidR="00154AD2" w:rsidRDefault="007F6BF3">
            <w:pPr>
              <w:pStyle w:val="P68B1DB1-Normal23"/>
              <w:spacing w:after="0"/>
              <w:jc w:val="both"/>
              <w:rPr>
                <w:rFonts w:eastAsia="Calibri" w:cs="Calibri"/>
                <w:noProof/>
              </w:rPr>
            </w:pPr>
            <w:r>
              <w:rPr>
                <w:noProof/>
              </w:rPr>
              <w:t>Ψηφιοποίηση της περιφερειακής δημόσιας διοίκησης της ARA</w:t>
            </w:r>
          </w:p>
        </w:tc>
      </w:tr>
      <w:tr w:rsidR="00154AD2" w14:paraId="4826CD0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18B869B" w14:textId="77777777" w:rsidR="00154AD2" w:rsidRDefault="007F6BF3">
            <w:pPr>
              <w:pStyle w:val="P68B1DB1-Normal23"/>
              <w:spacing w:after="0"/>
              <w:jc w:val="center"/>
              <w:rPr>
                <w:rFonts w:eastAsia="Calibri" w:cs="Calibri"/>
                <w:noProof/>
              </w:rPr>
            </w:pPr>
            <w:r>
              <w:rPr>
                <w:noProof/>
              </w:rPr>
              <w:t>19.29</w:t>
            </w:r>
          </w:p>
        </w:tc>
        <w:tc>
          <w:tcPr>
            <w:tcW w:w="1760" w:type="dxa"/>
            <w:tcBorders>
              <w:top w:val="nil"/>
              <w:left w:val="nil"/>
              <w:bottom w:val="single" w:sz="4" w:space="0" w:color="auto"/>
              <w:right w:val="single" w:sz="4" w:space="0" w:color="auto"/>
            </w:tcBorders>
            <w:shd w:val="clear" w:color="auto" w:fill="C4EFCE"/>
            <w:vAlign w:val="center"/>
            <w:hideMark/>
          </w:tcPr>
          <w:p w14:paraId="20B7CA8B" w14:textId="5ECEEBAE" w:rsidR="00154AD2" w:rsidRDefault="007F6BF3">
            <w:pPr>
              <w:pStyle w:val="P68B1DB1-Normal23"/>
              <w:spacing w:after="0"/>
              <w:jc w:val="center"/>
              <w:rPr>
                <w:rFonts w:eastAsia="Calibri" w:cs="Calibri"/>
                <w:noProof/>
              </w:rPr>
            </w:pPr>
            <w:r>
              <w:rPr>
                <w:noProof/>
              </w:rPr>
              <w:t>TD-C19-i05-RAM</w:t>
            </w:r>
          </w:p>
        </w:tc>
        <w:tc>
          <w:tcPr>
            <w:tcW w:w="1520" w:type="dxa"/>
            <w:tcBorders>
              <w:top w:val="nil"/>
              <w:left w:val="nil"/>
              <w:bottom w:val="single" w:sz="4" w:space="0" w:color="auto"/>
              <w:right w:val="single" w:sz="4" w:space="0" w:color="auto"/>
            </w:tcBorders>
            <w:shd w:val="clear" w:color="auto" w:fill="C4EFCE"/>
            <w:vAlign w:val="center"/>
            <w:hideMark/>
          </w:tcPr>
          <w:p w14:paraId="45E1EEFE"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79A5E78" w14:textId="77777777" w:rsidR="00154AD2" w:rsidRDefault="007F6BF3">
            <w:pPr>
              <w:pStyle w:val="P68B1DB1-Normal23"/>
              <w:spacing w:after="0"/>
              <w:jc w:val="both"/>
              <w:rPr>
                <w:rFonts w:eastAsia="Calibri" w:cs="Calibri"/>
                <w:noProof/>
              </w:rPr>
            </w:pPr>
            <w:r>
              <w:rPr>
                <w:noProof/>
              </w:rPr>
              <w:t>Λύση κεντρικής διαχείρισης δεδομένων</w:t>
            </w:r>
          </w:p>
        </w:tc>
      </w:tr>
      <w:tr w:rsidR="00154AD2" w14:paraId="4F0A919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D6A267A" w14:textId="77777777" w:rsidR="00154AD2" w:rsidRDefault="007F6BF3">
            <w:pPr>
              <w:pStyle w:val="P68B1DB1-Normal23"/>
              <w:spacing w:after="0"/>
              <w:jc w:val="center"/>
              <w:rPr>
                <w:rFonts w:eastAsia="Calibri" w:cs="Calibri"/>
                <w:noProof/>
              </w:rPr>
            </w:pPr>
            <w:r>
              <w:rPr>
                <w:noProof/>
              </w:rPr>
              <w:t>19.36</w:t>
            </w:r>
          </w:p>
        </w:tc>
        <w:tc>
          <w:tcPr>
            <w:tcW w:w="1760" w:type="dxa"/>
            <w:tcBorders>
              <w:top w:val="nil"/>
              <w:left w:val="nil"/>
              <w:bottom w:val="single" w:sz="4" w:space="0" w:color="auto"/>
              <w:right w:val="single" w:sz="4" w:space="0" w:color="auto"/>
            </w:tcBorders>
            <w:shd w:val="clear" w:color="auto" w:fill="C4EFCE"/>
            <w:vAlign w:val="center"/>
            <w:hideMark/>
          </w:tcPr>
          <w:p w14:paraId="4C52EF1C" w14:textId="77777777" w:rsidR="00154AD2" w:rsidRDefault="007F6BF3">
            <w:pPr>
              <w:pStyle w:val="P68B1DB1-Normal23"/>
              <w:spacing w:after="0"/>
              <w:jc w:val="center"/>
              <w:rPr>
                <w:rFonts w:eastAsia="Calibri" w:cs="Calibri"/>
                <w:noProof/>
              </w:rPr>
            </w:pPr>
            <w:r>
              <w:rPr>
                <w:noProof/>
              </w:rPr>
              <w:t>TD-C19-i08</w:t>
            </w:r>
          </w:p>
        </w:tc>
        <w:tc>
          <w:tcPr>
            <w:tcW w:w="1520" w:type="dxa"/>
            <w:tcBorders>
              <w:top w:val="nil"/>
              <w:left w:val="nil"/>
              <w:bottom w:val="single" w:sz="4" w:space="0" w:color="auto"/>
              <w:right w:val="single" w:sz="4" w:space="0" w:color="auto"/>
            </w:tcBorders>
            <w:shd w:val="clear" w:color="auto" w:fill="C4EFCE"/>
            <w:vAlign w:val="center"/>
            <w:hideMark/>
          </w:tcPr>
          <w:p w14:paraId="24ABE861"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1FE9798" w14:textId="77777777" w:rsidR="00154AD2" w:rsidRDefault="007F6BF3">
            <w:pPr>
              <w:pStyle w:val="P68B1DB1-Normal23"/>
              <w:spacing w:after="0"/>
              <w:jc w:val="both"/>
              <w:rPr>
                <w:rFonts w:eastAsia="Calibri" w:cs="Calibri"/>
                <w:noProof/>
              </w:rPr>
            </w:pPr>
            <w:r>
              <w:rPr>
                <w:noProof/>
              </w:rPr>
              <w:t>Κατάρτιση σε έξυπνες περιοχές</w:t>
            </w:r>
          </w:p>
        </w:tc>
      </w:tr>
      <w:tr w:rsidR="00154AD2" w14:paraId="164483C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37F1827" w14:textId="77777777" w:rsidR="00154AD2" w:rsidRDefault="007F6BF3">
            <w:pPr>
              <w:pStyle w:val="P68B1DB1-Normal23"/>
              <w:spacing w:after="0"/>
              <w:jc w:val="center"/>
              <w:rPr>
                <w:rFonts w:eastAsia="Calibri" w:cs="Calibri"/>
                <w:noProof/>
              </w:rPr>
            </w:pPr>
            <w:r>
              <w:rPr>
                <w:noProof/>
              </w:rPr>
              <w:t>20.1</w:t>
            </w:r>
          </w:p>
        </w:tc>
        <w:tc>
          <w:tcPr>
            <w:tcW w:w="1760" w:type="dxa"/>
            <w:tcBorders>
              <w:top w:val="nil"/>
              <w:left w:val="nil"/>
              <w:bottom w:val="single" w:sz="4" w:space="0" w:color="auto"/>
              <w:right w:val="single" w:sz="4" w:space="0" w:color="auto"/>
            </w:tcBorders>
            <w:shd w:val="clear" w:color="auto" w:fill="C4EFCE"/>
            <w:vAlign w:val="center"/>
            <w:hideMark/>
          </w:tcPr>
          <w:p w14:paraId="1DCE7E04" w14:textId="77777777" w:rsidR="00154AD2" w:rsidRDefault="007F6BF3">
            <w:pPr>
              <w:pStyle w:val="P68B1DB1-Normal23"/>
              <w:spacing w:after="0"/>
              <w:jc w:val="center"/>
              <w:rPr>
                <w:rFonts w:eastAsia="Calibri" w:cs="Calibri"/>
                <w:noProof/>
              </w:rPr>
            </w:pPr>
            <w:r>
              <w:rPr>
                <w:noProof/>
              </w:rPr>
              <w:t>TD-C20-r37</w:t>
            </w:r>
          </w:p>
        </w:tc>
        <w:tc>
          <w:tcPr>
            <w:tcW w:w="1520" w:type="dxa"/>
            <w:tcBorders>
              <w:top w:val="nil"/>
              <w:left w:val="nil"/>
              <w:bottom w:val="single" w:sz="4" w:space="0" w:color="auto"/>
              <w:right w:val="single" w:sz="4" w:space="0" w:color="auto"/>
            </w:tcBorders>
            <w:shd w:val="clear" w:color="auto" w:fill="C4EFCE"/>
            <w:vAlign w:val="center"/>
            <w:hideMark/>
          </w:tcPr>
          <w:p w14:paraId="15C51DDF"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617B340" w14:textId="77777777" w:rsidR="00154AD2" w:rsidRDefault="007F6BF3">
            <w:pPr>
              <w:pStyle w:val="P68B1DB1-Normal23"/>
              <w:spacing w:after="0"/>
              <w:jc w:val="both"/>
              <w:rPr>
                <w:rFonts w:eastAsia="Calibri" w:cs="Calibri"/>
                <w:noProof/>
              </w:rPr>
            </w:pPr>
            <w:r>
              <w:rPr>
                <w:noProof/>
              </w:rPr>
              <w:t>Κατάρτιση σε ψηφιακές δεξιότητες για εκπαιδευτικούς και μη διδακτικό προσωπικό στο δημόσιο εκπαιδευτικό δίκτυο</w:t>
            </w:r>
          </w:p>
        </w:tc>
      </w:tr>
      <w:tr w:rsidR="00154AD2" w14:paraId="57E2CBB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D8047DA" w14:textId="77777777" w:rsidR="00154AD2" w:rsidRDefault="007F6BF3">
            <w:pPr>
              <w:pStyle w:val="P68B1DB1-Normal23"/>
              <w:spacing w:after="0"/>
              <w:jc w:val="center"/>
              <w:rPr>
                <w:rFonts w:eastAsia="Calibri" w:cs="Calibri"/>
                <w:noProof/>
              </w:rPr>
            </w:pPr>
            <w:r>
              <w:rPr>
                <w:noProof/>
              </w:rPr>
              <w:t>20.8</w:t>
            </w:r>
          </w:p>
        </w:tc>
        <w:tc>
          <w:tcPr>
            <w:tcW w:w="1760" w:type="dxa"/>
            <w:tcBorders>
              <w:top w:val="nil"/>
              <w:left w:val="nil"/>
              <w:bottom w:val="single" w:sz="4" w:space="0" w:color="auto"/>
              <w:right w:val="single" w:sz="4" w:space="0" w:color="auto"/>
            </w:tcBorders>
            <w:shd w:val="clear" w:color="auto" w:fill="C4EFCE"/>
            <w:vAlign w:val="center"/>
            <w:hideMark/>
          </w:tcPr>
          <w:p w14:paraId="1D5158E1" w14:textId="77777777" w:rsidR="00154AD2" w:rsidRDefault="007F6BF3">
            <w:pPr>
              <w:pStyle w:val="P68B1DB1-Normal23"/>
              <w:spacing w:after="0"/>
              <w:jc w:val="center"/>
              <w:rPr>
                <w:rFonts w:eastAsia="Calibri" w:cs="Calibri"/>
                <w:noProof/>
              </w:rPr>
            </w:pPr>
            <w:r>
              <w:rPr>
                <w:noProof/>
              </w:rPr>
              <w:t>TD-C20-i01</w:t>
            </w:r>
          </w:p>
        </w:tc>
        <w:tc>
          <w:tcPr>
            <w:tcW w:w="1520" w:type="dxa"/>
            <w:tcBorders>
              <w:top w:val="nil"/>
              <w:left w:val="nil"/>
              <w:bottom w:val="single" w:sz="4" w:space="0" w:color="auto"/>
              <w:right w:val="single" w:sz="4" w:space="0" w:color="auto"/>
            </w:tcBorders>
            <w:shd w:val="clear" w:color="auto" w:fill="C4EFCE"/>
            <w:vAlign w:val="center"/>
            <w:hideMark/>
          </w:tcPr>
          <w:p w14:paraId="54CB6BAE"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AEED80B" w14:textId="77777777" w:rsidR="00154AD2" w:rsidRDefault="007F6BF3">
            <w:pPr>
              <w:pStyle w:val="P68B1DB1-Normal23"/>
              <w:spacing w:after="0"/>
              <w:jc w:val="both"/>
              <w:rPr>
                <w:rFonts w:eastAsia="Calibri" w:cs="Calibri"/>
                <w:noProof/>
              </w:rPr>
            </w:pPr>
            <w:r>
              <w:rPr>
                <w:noProof/>
              </w:rPr>
              <w:t>Ψηφιακοί εκπαιδευτικοί πόροι</w:t>
            </w:r>
          </w:p>
        </w:tc>
      </w:tr>
      <w:tr w:rsidR="00154AD2" w14:paraId="1EA89E3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2AD8A97" w14:textId="77777777" w:rsidR="00154AD2" w:rsidRDefault="007F6BF3">
            <w:pPr>
              <w:pStyle w:val="P68B1DB1-Normal23"/>
              <w:spacing w:after="0"/>
              <w:jc w:val="center"/>
              <w:rPr>
                <w:rFonts w:eastAsia="Calibri" w:cs="Calibri"/>
                <w:noProof/>
              </w:rPr>
            </w:pPr>
            <w:r>
              <w:rPr>
                <w:noProof/>
              </w:rPr>
              <w:t>20.9</w:t>
            </w:r>
          </w:p>
        </w:tc>
        <w:tc>
          <w:tcPr>
            <w:tcW w:w="1760" w:type="dxa"/>
            <w:tcBorders>
              <w:top w:val="nil"/>
              <w:left w:val="nil"/>
              <w:bottom w:val="single" w:sz="4" w:space="0" w:color="auto"/>
              <w:right w:val="single" w:sz="4" w:space="0" w:color="auto"/>
            </w:tcBorders>
            <w:shd w:val="clear" w:color="auto" w:fill="C4EFCE"/>
            <w:vAlign w:val="center"/>
            <w:hideMark/>
          </w:tcPr>
          <w:p w14:paraId="46AA804C" w14:textId="77777777" w:rsidR="00154AD2" w:rsidRDefault="007F6BF3">
            <w:pPr>
              <w:pStyle w:val="P68B1DB1-Normal23"/>
              <w:spacing w:after="0"/>
              <w:jc w:val="center"/>
              <w:rPr>
                <w:rFonts w:eastAsia="Calibri" w:cs="Calibri"/>
                <w:noProof/>
              </w:rPr>
            </w:pPr>
            <w:r>
              <w:rPr>
                <w:noProof/>
              </w:rPr>
              <w:t>TD-C20-i01</w:t>
            </w:r>
          </w:p>
        </w:tc>
        <w:tc>
          <w:tcPr>
            <w:tcW w:w="1520" w:type="dxa"/>
            <w:tcBorders>
              <w:top w:val="nil"/>
              <w:left w:val="nil"/>
              <w:bottom w:val="single" w:sz="4" w:space="0" w:color="auto"/>
              <w:right w:val="single" w:sz="4" w:space="0" w:color="auto"/>
            </w:tcBorders>
            <w:shd w:val="clear" w:color="auto" w:fill="C4EFCE"/>
            <w:vAlign w:val="center"/>
            <w:hideMark/>
          </w:tcPr>
          <w:p w14:paraId="1608BB5A"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8083A11" w14:textId="77777777" w:rsidR="00154AD2" w:rsidRDefault="007F6BF3">
            <w:pPr>
              <w:pStyle w:val="P68B1DB1-Normal23"/>
              <w:spacing w:after="0"/>
              <w:jc w:val="both"/>
              <w:rPr>
                <w:rFonts w:eastAsia="Calibri" w:cs="Calibri"/>
                <w:noProof/>
              </w:rPr>
            </w:pPr>
            <w:r>
              <w:rPr>
                <w:noProof/>
              </w:rPr>
              <w:t>Ψηφιακές δοκιμασίες και εξετάσεις στα σχολεία</w:t>
            </w:r>
          </w:p>
        </w:tc>
      </w:tr>
      <w:tr w:rsidR="00154AD2" w14:paraId="49E74AF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5CB012B" w14:textId="77777777" w:rsidR="00154AD2" w:rsidRDefault="007F6BF3">
            <w:pPr>
              <w:pStyle w:val="P68B1DB1-Normal23"/>
              <w:spacing w:after="0"/>
              <w:jc w:val="center"/>
              <w:rPr>
                <w:rFonts w:eastAsia="Calibri" w:cs="Calibri"/>
                <w:noProof/>
              </w:rPr>
            </w:pPr>
            <w:r>
              <w:rPr>
                <w:noProof/>
              </w:rPr>
              <w:t>20.11</w:t>
            </w:r>
          </w:p>
        </w:tc>
        <w:tc>
          <w:tcPr>
            <w:tcW w:w="1760" w:type="dxa"/>
            <w:tcBorders>
              <w:top w:val="nil"/>
              <w:left w:val="nil"/>
              <w:bottom w:val="single" w:sz="4" w:space="0" w:color="auto"/>
              <w:right w:val="single" w:sz="4" w:space="0" w:color="auto"/>
            </w:tcBorders>
            <w:shd w:val="clear" w:color="auto" w:fill="C4EFCE"/>
            <w:vAlign w:val="center"/>
            <w:hideMark/>
          </w:tcPr>
          <w:p w14:paraId="17F8B041" w14:textId="77777777" w:rsidR="00154AD2" w:rsidRDefault="007F6BF3">
            <w:pPr>
              <w:pStyle w:val="P68B1DB1-Normal23"/>
              <w:spacing w:after="0"/>
              <w:jc w:val="center"/>
              <w:rPr>
                <w:rFonts w:eastAsia="Calibri" w:cs="Calibri"/>
                <w:noProof/>
              </w:rPr>
            </w:pPr>
            <w:r>
              <w:rPr>
                <w:noProof/>
              </w:rPr>
              <w:t>TD-C20-i02-RAA</w:t>
            </w:r>
          </w:p>
        </w:tc>
        <w:tc>
          <w:tcPr>
            <w:tcW w:w="1520" w:type="dxa"/>
            <w:tcBorders>
              <w:top w:val="nil"/>
              <w:left w:val="nil"/>
              <w:bottom w:val="single" w:sz="4" w:space="0" w:color="auto"/>
              <w:right w:val="single" w:sz="4" w:space="0" w:color="auto"/>
            </w:tcBorders>
            <w:shd w:val="clear" w:color="auto" w:fill="C4EFCE"/>
            <w:vAlign w:val="center"/>
            <w:hideMark/>
          </w:tcPr>
          <w:p w14:paraId="3A8E7B17"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714F428" w14:textId="77777777" w:rsidR="00154AD2" w:rsidRDefault="007F6BF3">
            <w:pPr>
              <w:pStyle w:val="P68B1DB1-Normal23"/>
              <w:spacing w:after="0"/>
              <w:jc w:val="both"/>
              <w:rPr>
                <w:rFonts w:eastAsia="Calibri" w:cs="Calibri"/>
                <w:noProof/>
              </w:rPr>
            </w:pPr>
            <w:r>
              <w:rPr>
                <w:noProof/>
              </w:rPr>
              <w:t>Νέοι φορητοί υπολογιστές και ταμπλέτες για σχολεία στην ARA</w:t>
            </w:r>
          </w:p>
        </w:tc>
      </w:tr>
      <w:tr w:rsidR="00154AD2" w14:paraId="1053A19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934CF69" w14:textId="77777777" w:rsidR="00154AD2" w:rsidRDefault="007F6BF3">
            <w:pPr>
              <w:pStyle w:val="P68B1DB1-Normal23"/>
              <w:spacing w:after="0"/>
              <w:jc w:val="center"/>
              <w:rPr>
                <w:rFonts w:eastAsia="Calibri" w:cs="Calibri"/>
                <w:noProof/>
              </w:rPr>
            </w:pPr>
            <w:r>
              <w:rPr>
                <w:noProof/>
              </w:rPr>
              <w:t>20.12</w:t>
            </w:r>
          </w:p>
        </w:tc>
        <w:tc>
          <w:tcPr>
            <w:tcW w:w="1760" w:type="dxa"/>
            <w:tcBorders>
              <w:top w:val="nil"/>
              <w:left w:val="nil"/>
              <w:bottom w:val="single" w:sz="4" w:space="0" w:color="auto"/>
              <w:right w:val="single" w:sz="4" w:space="0" w:color="auto"/>
            </w:tcBorders>
            <w:shd w:val="clear" w:color="auto" w:fill="C4EFCE"/>
            <w:vAlign w:val="center"/>
            <w:hideMark/>
          </w:tcPr>
          <w:p w14:paraId="0A05C085" w14:textId="77777777" w:rsidR="00154AD2" w:rsidRDefault="007F6BF3">
            <w:pPr>
              <w:pStyle w:val="P68B1DB1-Normal23"/>
              <w:spacing w:after="0"/>
              <w:jc w:val="center"/>
              <w:rPr>
                <w:rFonts w:eastAsia="Calibri" w:cs="Calibri"/>
                <w:noProof/>
              </w:rPr>
            </w:pPr>
            <w:r>
              <w:rPr>
                <w:noProof/>
              </w:rPr>
              <w:t>TD-C20-i02-RAA</w:t>
            </w:r>
          </w:p>
        </w:tc>
        <w:tc>
          <w:tcPr>
            <w:tcW w:w="1520" w:type="dxa"/>
            <w:tcBorders>
              <w:top w:val="nil"/>
              <w:left w:val="nil"/>
              <w:bottom w:val="single" w:sz="4" w:space="0" w:color="auto"/>
              <w:right w:val="single" w:sz="4" w:space="0" w:color="auto"/>
            </w:tcBorders>
            <w:shd w:val="clear" w:color="auto" w:fill="C4EFCE"/>
            <w:vAlign w:val="center"/>
            <w:hideMark/>
          </w:tcPr>
          <w:p w14:paraId="19B76BD6"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CB0A917" w14:textId="77777777" w:rsidR="00154AD2" w:rsidRDefault="007F6BF3">
            <w:pPr>
              <w:pStyle w:val="P68B1DB1-Normal23"/>
              <w:spacing w:after="0"/>
              <w:jc w:val="both"/>
              <w:rPr>
                <w:rFonts w:eastAsia="Calibri" w:cs="Calibri"/>
                <w:noProof/>
              </w:rPr>
            </w:pPr>
            <w:r>
              <w:rPr>
                <w:noProof/>
              </w:rPr>
              <w:t>Ψηφιακός εξοπλισμός και ψηφιακοί εκπαιδευτικοί πόροι των σχολείων στην ARA</w:t>
            </w:r>
          </w:p>
        </w:tc>
      </w:tr>
      <w:tr w:rsidR="00154AD2" w14:paraId="2E23C5A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36BB7BC" w14:textId="77777777" w:rsidR="00154AD2" w:rsidRDefault="007F6BF3">
            <w:pPr>
              <w:pStyle w:val="P68B1DB1-Normal23"/>
              <w:spacing w:after="0"/>
              <w:jc w:val="center"/>
              <w:rPr>
                <w:rFonts w:eastAsia="Calibri" w:cs="Calibri"/>
                <w:noProof/>
              </w:rPr>
            </w:pPr>
            <w:r>
              <w:rPr>
                <w:noProof/>
              </w:rPr>
              <w:t>20.13</w:t>
            </w:r>
          </w:p>
        </w:tc>
        <w:tc>
          <w:tcPr>
            <w:tcW w:w="1760" w:type="dxa"/>
            <w:tcBorders>
              <w:top w:val="nil"/>
              <w:left w:val="nil"/>
              <w:bottom w:val="single" w:sz="4" w:space="0" w:color="auto"/>
              <w:right w:val="single" w:sz="4" w:space="0" w:color="auto"/>
            </w:tcBorders>
            <w:shd w:val="clear" w:color="auto" w:fill="C4EFCE"/>
            <w:vAlign w:val="center"/>
            <w:hideMark/>
          </w:tcPr>
          <w:p w14:paraId="06748DE1" w14:textId="77777777" w:rsidR="00154AD2" w:rsidRDefault="007F6BF3">
            <w:pPr>
              <w:pStyle w:val="P68B1DB1-Normal23"/>
              <w:spacing w:after="0"/>
              <w:jc w:val="center"/>
              <w:rPr>
                <w:rFonts w:eastAsia="Calibri" w:cs="Calibri"/>
                <w:noProof/>
              </w:rPr>
            </w:pPr>
            <w:r>
              <w:rPr>
                <w:noProof/>
              </w:rPr>
              <w:t>TD-C20-i02-RAA</w:t>
            </w:r>
          </w:p>
        </w:tc>
        <w:tc>
          <w:tcPr>
            <w:tcW w:w="1520" w:type="dxa"/>
            <w:tcBorders>
              <w:top w:val="nil"/>
              <w:left w:val="nil"/>
              <w:bottom w:val="single" w:sz="4" w:space="0" w:color="auto"/>
              <w:right w:val="single" w:sz="4" w:space="0" w:color="auto"/>
            </w:tcBorders>
            <w:shd w:val="clear" w:color="auto" w:fill="C4EFCE"/>
            <w:vAlign w:val="center"/>
            <w:hideMark/>
          </w:tcPr>
          <w:p w14:paraId="4073977A"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D86F9A4" w14:textId="77777777" w:rsidR="00154AD2" w:rsidRDefault="007F6BF3">
            <w:pPr>
              <w:pStyle w:val="P68B1DB1-Normal23"/>
              <w:spacing w:after="0"/>
              <w:jc w:val="both"/>
              <w:rPr>
                <w:rFonts w:eastAsia="Calibri" w:cs="Calibri"/>
                <w:noProof/>
              </w:rPr>
            </w:pPr>
            <w:r>
              <w:rPr>
                <w:noProof/>
              </w:rPr>
              <w:t>Μαζικά ανοικτά διαδικτυακά μαθήματα για εκπαιδευτικούς και γονείς στην ARA</w:t>
            </w:r>
          </w:p>
        </w:tc>
      </w:tr>
      <w:tr w:rsidR="00154AD2" w14:paraId="6530CA1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D622635" w14:textId="77777777" w:rsidR="00154AD2" w:rsidRDefault="007F6BF3">
            <w:pPr>
              <w:pStyle w:val="P68B1DB1-Normal23"/>
              <w:spacing w:after="0"/>
              <w:jc w:val="center"/>
              <w:rPr>
                <w:rFonts w:eastAsia="Calibri" w:cs="Calibri"/>
                <w:noProof/>
              </w:rPr>
            </w:pPr>
            <w:r>
              <w:rPr>
                <w:noProof/>
              </w:rPr>
              <w:t>20.16</w:t>
            </w:r>
          </w:p>
        </w:tc>
        <w:tc>
          <w:tcPr>
            <w:tcW w:w="1760" w:type="dxa"/>
            <w:tcBorders>
              <w:top w:val="nil"/>
              <w:left w:val="nil"/>
              <w:bottom w:val="single" w:sz="4" w:space="0" w:color="auto"/>
              <w:right w:val="single" w:sz="4" w:space="0" w:color="auto"/>
            </w:tcBorders>
            <w:shd w:val="clear" w:color="auto" w:fill="C4EFCE"/>
            <w:vAlign w:val="center"/>
            <w:hideMark/>
          </w:tcPr>
          <w:p w14:paraId="29607BDF" w14:textId="77777777" w:rsidR="00154AD2" w:rsidRDefault="007F6BF3">
            <w:pPr>
              <w:pStyle w:val="P68B1DB1-Normal23"/>
              <w:spacing w:after="0"/>
              <w:jc w:val="center"/>
              <w:rPr>
                <w:rFonts w:eastAsia="Calibri" w:cs="Calibri"/>
                <w:noProof/>
              </w:rPr>
            </w:pPr>
            <w:r>
              <w:rPr>
                <w:noProof/>
              </w:rPr>
              <w:t>TD-C20-i03-RAM</w:t>
            </w:r>
          </w:p>
        </w:tc>
        <w:tc>
          <w:tcPr>
            <w:tcW w:w="1520" w:type="dxa"/>
            <w:tcBorders>
              <w:top w:val="nil"/>
              <w:left w:val="nil"/>
              <w:bottom w:val="single" w:sz="4" w:space="0" w:color="auto"/>
              <w:right w:val="single" w:sz="4" w:space="0" w:color="auto"/>
            </w:tcBorders>
            <w:shd w:val="clear" w:color="auto" w:fill="C4EFCE"/>
            <w:vAlign w:val="center"/>
            <w:hideMark/>
          </w:tcPr>
          <w:p w14:paraId="757CF1D3"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556275C" w14:textId="77777777" w:rsidR="00154AD2" w:rsidRDefault="007F6BF3">
            <w:pPr>
              <w:pStyle w:val="P68B1DB1-Normal23"/>
              <w:spacing w:after="0"/>
              <w:jc w:val="both"/>
              <w:rPr>
                <w:rFonts w:eastAsia="Calibri" w:cs="Calibri"/>
                <w:noProof/>
              </w:rPr>
            </w:pPr>
            <w:r>
              <w:rPr>
                <w:noProof/>
              </w:rPr>
              <w:t>Ψηφιακά εγχειρίδια για τους μαθητές του 2ου και 3ου κύκλου και για τους μαθητές δευτεροβάθμιας εκπαίδευσης στην ARM</w:t>
            </w:r>
          </w:p>
        </w:tc>
      </w:tr>
      <w:tr w:rsidR="00154AD2" w14:paraId="412F7A4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BC4B942" w14:textId="77777777" w:rsidR="00154AD2" w:rsidRDefault="007F6BF3">
            <w:pPr>
              <w:pStyle w:val="P68B1DB1-Normal23"/>
              <w:spacing w:after="0"/>
              <w:jc w:val="center"/>
              <w:rPr>
                <w:rFonts w:eastAsia="Calibri" w:cs="Calibri"/>
                <w:noProof/>
              </w:rPr>
            </w:pPr>
            <w:r>
              <w:rPr>
                <w:noProof/>
              </w:rPr>
              <w:t>20.17</w:t>
            </w:r>
          </w:p>
        </w:tc>
        <w:tc>
          <w:tcPr>
            <w:tcW w:w="1760" w:type="dxa"/>
            <w:tcBorders>
              <w:top w:val="nil"/>
              <w:left w:val="nil"/>
              <w:bottom w:val="single" w:sz="4" w:space="0" w:color="auto"/>
              <w:right w:val="single" w:sz="4" w:space="0" w:color="auto"/>
            </w:tcBorders>
            <w:shd w:val="clear" w:color="auto" w:fill="C4EFCE"/>
            <w:vAlign w:val="center"/>
            <w:hideMark/>
          </w:tcPr>
          <w:p w14:paraId="6503CC9A" w14:textId="77777777" w:rsidR="00154AD2" w:rsidRDefault="007F6BF3">
            <w:pPr>
              <w:pStyle w:val="P68B1DB1-Normal23"/>
              <w:spacing w:after="0"/>
              <w:jc w:val="center"/>
              <w:rPr>
                <w:rFonts w:eastAsia="Calibri" w:cs="Calibri"/>
                <w:noProof/>
              </w:rPr>
            </w:pPr>
            <w:r>
              <w:rPr>
                <w:noProof/>
              </w:rPr>
              <w:t>TD-C20-i03-RAM</w:t>
            </w:r>
          </w:p>
        </w:tc>
        <w:tc>
          <w:tcPr>
            <w:tcW w:w="1520" w:type="dxa"/>
            <w:tcBorders>
              <w:top w:val="nil"/>
              <w:left w:val="nil"/>
              <w:bottom w:val="single" w:sz="4" w:space="0" w:color="auto"/>
              <w:right w:val="single" w:sz="4" w:space="0" w:color="auto"/>
            </w:tcBorders>
            <w:shd w:val="clear" w:color="auto" w:fill="C4EFCE"/>
            <w:vAlign w:val="center"/>
            <w:hideMark/>
          </w:tcPr>
          <w:p w14:paraId="5DCD0F8D"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EDA8BBC" w14:textId="5BA216F8" w:rsidR="00154AD2" w:rsidRDefault="007F6BF3">
            <w:pPr>
              <w:pStyle w:val="P68B1DB1-Normal23"/>
              <w:spacing w:after="0"/>
              <w:jc w:val="both"/>
              <w:rPr>
                <w:rFonts w:eastAsia="Calibri" w:cs="Calibri"/>
                <w:noProof/>
              </w:rPr>
            </w:pPr>
            <w:r>
              <w:rPr>
                <w:noProof/>
              </w:rPr>
              <w:t>Κατάρτιση εκπαιδευτικών και μη διδακτικού προσωπικού σε ψηφιακές ικανότητες στην ΕΕΜ</w:t>
            </w:r>
          </w:p>
        </w:tc>
      </w:tr>
      <w:tr w:rsidR="00154AD2" w14:paraId="7AFE04F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5729423" w14:textId="77777777" w:rsidR="00154AD2" w:rsidRDefault="007F6BF3">
            <w:pPr>
              <w:pStyle w:val="P68B1DB1-Normal23"/>
              <w:spacing w:after="0"/>
              <w:jc w:val="center"/>
              <w:rPr>
                <w:rFonts w:eastAsia="Calibri" w:cs="Calibri"/>
                <w:noProof/>
              </w:rPr>
            </w:pPr>
            <w:r>
              <w:rPr>
                <w:noProof/>
              </w:rPr>
              <w:t>20.18</w:t>
            </w:r>
          </w:p>
        </w:tc>
        <w:tc>
          <w:tcPr>
            <w:tcW w:w="1760" w:type="dxa"/>
            <w:tcBorders>
              <w:top w:val="nil"/>
              <w:left w:val="nil"/>
              <w:bottom w:val="single" w:sz="4" w:space="0" w:color="auto"/>
              <w:right w:val="single" w:sz="4" w:space="0" w:color="auto"/>
            </w:tcBorders>
            <w:shd w:val="clear" w:color="auto" w:fill="C4EFCE"/>
            <w:vAlign w:val="center"/>
            <w:hideMark/>
          </w:tcPr>
          <w:p w14:paraId="27A9F236" w14:textId="77777777" w:rsidR="00154AD2" w:rsidRDefault="007F6BF3">
            <w:pPr>
              <w:pStyle w:val="P68B1DB1-Normal23"/>
              <w:spacing w:after="0"/>
              <w:jc w:val="center"/>
              <w:rPr>
                <w:rFonts w:eastAsia="Calibri" w:cs="Calibri"/>
                <w:noProof/>
              </w:rPr>
            </w:pPr>
            <w:r>
              <w:rPr>
                <w:noProof/>
              </w:rPr>
              <w:t>TD-C20-i03-RAM</w:t>
            </w:r>
          </w:p>
        </w:tc>
        <w:tc>
          <w:tcPr>
            <w:tcW w:w="1520" w:type="dxa"/>
            <w:tcBorders>
              <w:top w:val="nil"/>
              <w:left w:val="nil"/>
              <w:bottom w:val="single" w:sz="4" w:space="0" w:color="auto"/>
              <w:right w:val="single" w:sz="4" w:space="0" w:color="auto"/>
            </w:tcBorders>
            <w:shd w:val="clear" w:color="auto" w:fill="C4EFCE"/>
            <w:vAlign w:val="center"/>
            <w:hideMark/>
          </w:tcPr>
          <w:p w14:paraId="3DBDBFE2"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37718C5" w14:textId="77777777" w:rsidR="00154AD2" w:rsidRDefault="007F6BF3">
            <w:pPr>
              <w:pStyle w:val="P68B1DB1-Normal23"/>
              <w:spacing w:after="0"/>
              <w:jc w:val="both"/>
              <w:rPr>
                <w:rFonts w:eastAsia="Calibri" w:cs="Calibri"/>
                <w:noProof/>
              </w:rPr>
            </w:pPr>
            <w:r>
              <w:rPr>
                <w:noProof/>
              </w:rPr>
              <w:t>Παράδοση επιστημονικού και τεχνολογικού εξοπλισμού σε σχολεία της ARM</w:t>
            </w:r>
          </w:p>
        </w:tc>
      </w:tr>
      <w:tr w:rsidR="00154AD2" w14:paraId="007A1F3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E11A244" w14:textId="77777777" w:rsidR="00154AD2" w:rsidRDefault="007F6BF3">
            <w:pPr>
              <w:pStyle w:val="P68B1DB1-Normal23"/>
              <w:spacing w:after="0"/>
              <w:jc w:val="center"/>
              <w:rPr>
                <w:rFonts w:eastAsia="Calibri" w:cs="Calibri"/>
                <w:noProof/>
              </w:rPr>
            </w:pPr>
            <w:r>
              <w:rPr>
                <w:noProof/>
              </w:rPr>
              <w:t>21.2</w:t>
            </w:r>
          </w:p>
        </w:tc>
        <w:tc>
          <w:tcPr>
            <w:tcW w:w="1760" w:type="dxa"/>
            <w:tcBorders>
              <w:top w:val="nil"/>
              <w:left w:val="nil"/>
              <w:bottom w:val="single" w:sz="4" w:space="0" w:color="auto"/>
              <w:right w:val="single" w:sz="4" w:space="0" w:color="auto"/>
            </w:tcBorders>
            <w:shd w:val="clear" w:color="auto" w:fill="C4EFCE"/>
            <w:vAlign w:val="center"/>
            <w:hideMark/>
          </w:tcPr>
          <w:p w14:paraId="058AF46E" w14:textId="77777777" w:rsidR="00154AD2" w:rsidRDefault="007F6BF3">
            <w:pPr>
              <w:pStyle w:val="P68B1DB1-Normal23"/>
              <w:spacing w:after="0"/>
              <w:jc w:val="center"/>
              <w:rPr>
                <w:rFonts w:eastAsia="Calibri" w:cs="Calibri"/>
                <w:noProof/>
              </w:rPr>
            </w:pPr>
            <w:r>
              <w:rPr>
                <w:noProof/>
              </w:rPr>
              <w:t>RP-C21-i02</w:t>
            </w:r>
          </w:p>
        </w:tc>
        <w:tc>
          <w:tcPr>
            <w:tcW w:w="1520" w:type="dxa"/>
            <w:tcBorders>
              <w:top w:val="nil"/>
              <w:left w:val="nil"/>
              <w:bottom w:val="single" w:sz="4" w:space="0" w:color="auto"/>
              <w:right w:val="single" w:sz="4" w:space="0" w:color="auto"/>
            </w:tcBorders>
            <w:shd w:val="clear" w:color="auto" w:fill="C4EFCE"/>
            <w:vAlign w:val="center"/>
            <w:hideMark/>
          </w:tcPr>
          <w:p w14:paraId="3ECFDED4"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7A42DB4" w14:textId="77777777" w:rsidR="00154AD2" w:rsidRDefault="007F6BF3">
            <w:pPr>
              <w:pStyle w:val="P68B1DB1-Normal23"/>
              <w:spacing w:after="0"/>
              <w:jc w:val="both"/>
              <w:rPr>
                <w:rFonts w:eastAsia="Calibri" w:cs="Calibri"/>
                <w:noProof/>
              </w:rPr>
            </w:pPr>
            <w:r>
              <w:rPr>
                <w:noProof/>
              </w:rPr>
              <w:t>Ενεργειακή απόδοση ανακαινίσεων ιδιωτικών οικιστικών κτιρίων</w:t>
            </w:r>
          </w:p>
        </w:tc>
      </w:tr>
      <w:tr w:rsidR="00154AD2" w14:paraId="44A00B2D"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80B7B9B" w14:textId="77777777" w:rsidR="00154AD2" w:rsidRDefault="007F6BF3">
            <w:pPr>
              <w:pStyle w:val="P68B1DB1-Normal23"/>
              <w:spacing w:after="0"/>
              <w:jc w:val="center"/>
              <w:rPr>
                <w:rFonts w:eastAsia="Calibri" w:cs="Calibri"/>
                <w:noProof/>
              </w:rPr>
            </w:pPr>
            <w:r>
              <w:rPr>
                <w:noProof/>
              </w:rPr>
              <w:t>21.3</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1B91DD3A" w14:textId="77777777" w:rsidR="00154AD2" w:rsidRDefault="007F6BF3">
            <w:pPr>
              <w:pStyle w:val="P68B1DB1-Normal23"/>
              <w:spacing w:after="0"/>
              <w:jc w:val="center"/>
              <w:rPr>
                <w:rFonts w:eastAsia="Calibri" w:cs="Calibri"/>
                <w:noProof/>
              </w:rPr>
            </w:pPr>
            <w:r>
              <w:rPr>
                <w:noProof/>
              </w:rPr>
              <w:t>RP-C21-i02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45E0B8EF"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92391DF" w14:textId="52537185" w:rsidR="00154AD2" w:rsidRDefault="007F6BF3">
            <w:pPr>
              <w:pStyle w:val="P68B1DB1-Normal23"/>
              <w:spacing w:after="0"/>
              <w:jc w:val="both"/>
              <w:rPr>
                <w:rFonts w:eastAsia="Calibri" w:cs="Calibri"/>
                <w:noProof/>
              </w:rPr>
            </w:pPr>
            <w:r>
              <w:rPr>
                <w:noProof/>
              </w:rPr>
              <w:t>Πρόσθετη ικανότητα παραγωγής ενέργειας από ανανεώσιμες πηγές για αυτοκατανάλωση και για χρήση σε κοινότητες ανανεώσιμων πηγών ενέργειας στον ιδιωτικό οικιστικό τομέα</w:t>
            </w:r>
          </w:p>
        </w:tc>
      </w:tr>
      <w:tr w:rsidR="00154AD2" w14:paraId="2E3B4A3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AD99E28" w14:textId="77777777" w:rsidR="00154AD2" w:rsidRDefault="007F6BF3">
            <w:pPr>
              <w:pStyle w:val="P68B1DB1-Normal23"/>
              <w:spacing w:after="0"/>
              <w:jc w:val="center"/>
              <w:rPr>
                <w:rFonts w:eastAsia="Calibri" w:cs="Calibri"/>
                <w:noProof/>
              </w:rPr>
            </w:pPr>
            <w:r>
              <w:rPr>
                <w:noProof/>
              </w:rPr>
              <w:t>21.5</w:t>
            </w:r>
          </w:p>
        </w:tc>
        <w:tc>
          <w:tcPr>
            <w:tcW w:w="1760" w:type="dxa"/>
            <w:tcBorders>
              <w:top w:val="nil"/>
              <w:left w:val="nil"/>
              <w:bottom w:val="single" w:sz="4" w:space="0" w:color="auto"/>
              <w:right w:val="single" w:sz="4" w:space="0" w:color="auto"/>
            </w:tcBorders>
            <w:shd w:val="clear" w:color="auto" w:fill="C4EFCE"/>
            <w:vAlign w:val="center"/>
            <w:hideMark/>
          </w:tcPr>
          <w:p w14:paraId="19953216" w14:textId="77777777" w:rsidR="00154AD2" w:rsidRDefault="007F6BF3">
            <w:pPr>
              <w:pStyle w:val="P68B1DB1-Normal23"/>
              <w:spacing w:after="0"/>
              <w:jc w:val="center"/>
              <w:rPr>
                <w:rFonts w:eastAsia="Calibri" w:cs="Calibri"/>
                <w:noProof/>
              </w:rPr>
            </w:pPr>
            <w:r>
              <w:rPr>
                <w:noProof/>
              </w:rPr>
              <w:t>RP-C21-i04-RAM</w:t>
            </w:r>
          </w:p>
        </w:tc>
        <w:tc>
          <w:tcPr>
            <w:tcW w:w="1520" w:type="dxa"/>
            <w:tcBorders>
              <w:top w:val="nil"/>
              <w:left w:val="nil"/>
              <w:bottom w:val="single" w:sz="4" w:space="0" w:color="auto"/>
              <w:right w:val="single" w:sz="4" w:space="0" w:color="auto"/>
            </w:tcBorders>
            <w:shd w:val="clear" w:color="auto" w:fill="C4EFCE"/>
            <w:vAlign w:val="center"/>
            <w:hideMark/>
          </w:tcPr>
          <w:p w14:paraId="0BAF2966"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9D3D265" w14:textId="3EA05A82" w:rsidR="00154AD2" w:rsidRDefault="007F6BF3">
            <w:pPr>
              <w:pStyle w:val="P68B1DB1-Normal23"/>
              <w:spacing w:after="0"/>
              <w:jc w:val="both"/>
              <w:rPr>
                <w:rFonts w:eastAsia="Calibri" w:cs="Calibri"/>
                <w:noProof/>
              </w:rPr>
            </w:pPr>
            <w:r>
              <w:rPr>
                <w:noProof/>
              </w:rPr>
              <w:t>Πρόσθετη ικανότητα παραγωγής ενέργειας από ανανεώσιμες πηγές για αυτοκατανάλωση και κοινοτική χρήση ενέργειας από ανανεώσιμες πηγές σε ανακαινισμένα κτίρια που χρησιμοποιούνται από τον τομέα των υπηρεσιών κοινής ωφελείας</w:t>
            </w:r>
          </w:p>
        </w:tc>
      </w:tr>
      <w:tr w:rsidR="00154AD2" w14:paraId="060AEF5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39A7ABE" w14:textId="77777777" w:rsidR="00154AD2" w:rsidRDefault="007F6BF3">
            <w:pPr>
              <w:pStyle w:val="P68B1DB1-Normal23"/>
              <w:spacing w:after="0"/>
              <w:jc w:val="center"/>
              <w:rPr>
                <w:rFonts w:eastAsia="Calibri" w:cs="Calibri"/>
                <w:noProof/>
              </w:rPr>
            </w:pPr>
            <w:r>
              <w:rPr>
                <w:noProof/>
              </w:rPr>
              <w:t>21.6</w:t>
            </w:r>
          </w:p>
        </w:tc>
        <w:tc>
          <w:tcPr>
            <w:tcW w:w="1760" w:type="dxa"/>
            <w:tcBorders>
              <w:top w:val="nil"/>
              <w:left w:val="nil"/>
              <w:bottom w:val="single" w:sz="4" w:space="0" w:color="auto"/>
              <w:right w:val="single" w:sz="4" w:space="0" w:color="auto"/>
            </w:tcBorders>
            <w:shd w:val="clear" w:color="auto" w:fill="C4EFCE"/>
            <w:vAlign w:val="center"/>
            <w:hideMark/>
          </w:tcPr>
          <w:p w14:paraId="48639A4C" w14:textId="77777777" w:rsidR="00154AD2" w:rsidRDefault="007F6BF3">
            <w:pPr>
              <w:pStyle w:val="P68B1DB1-Normal23"/>
              <w:spacing w:after="0"/>
              <w:jc w:val="center"/>
              <w:rPr>
                <w:rFonts w:eastAsia="Calibri" w:cs="Calibri"/>
                <w:noProof/>
              </w:rPr>
            </w:pPr>
            <w:r>
              <w:rPr>
                <w:noProof/>
              </w:rPr>
              <w:t>RP-C21-i04-RAM</w:t>
            </w:r>
          </w:p>
        </w:tc>
        <w:tc>
          <w:tcPr>
            <w:tcW w:w="1520" w:type="dxa"/>
            <w:tcBorders>
              <w:top w:val="nil"/>
              <w:left w:val="nil"/>
              <w:bottom w:val="single" w:sz="4" w:space="0" w:color="auto"/>
              <w:right w:val="single" w:sz="4" w:space="0" w:color="auto"/>
            </w:tcBorders>
            <w:shd w:val="clear" w:color="auto" w:fill="C4EFCE"/>
            <w:vAlign w:val="center"/>
            <w:hideMark/>
          </w:tcPr>
          <w:p w14:paraId="30233631"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1E2D4CF" w14:textId="77777777" w:rsidR="00154AD2" w:rsidRDefault="007F6BF3">
            <w:pPr>
              <w:pStyle w:val="P68B1DB1-Normal23"/>
              <w:spacing w:after="0"/>
              <w:jc w:val="both"/>
              <w:rPr>
                <w:rFonts w:eastAsia="Calibri" w:cs="Calibri"/>
                <w:noProof/>
              </w:rPr>
            </w:pPr>
            <w:r>
              <w:rPr>
                <w:noProof/>
              </w:rPr>
              <w:t>Ανακαίνιση ενεργειακής απόδοσης σε κτίρια δημόσιων υπηρεσιών</w:t>
            </w:r>
          </w:p>
        </w:tc>
      </w:tr>
      <w:tr w:rsidR="00154AD2" w14:paraId="1EC0C3D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C8C3318" w14:textId="77777777" w:rsidR="00154AD2" w:rsidRDefault="007F6BF3">
            <w:pPr>
              <w:pStyle w:val="P68B1DB1-Normal23"/>
              <w:spacing w:after="0"/>
              <w:jc w:val="center"/>
              <w:rPr>
                <w:rFonts w:eastAsia="Calibri" w:cs="Calibri"/>
                <w:noProof/>
              </w:rPr>
            </w:pPr>
            <w:r>
              <w:rPr>
                <w:noProof/>
              </w:rPr>
              <w:t>21.15</w:t>
            </w:r>
          </w:p>
        </w:tc>
        <w:tc>
          <w:tcPr>
            <w:tcW w:w="1760" w:type="dxa"/>
            <w:tcBorders>
              <w:top w:val="nil"/>
              <w:left w:val="nil"/>
              <w:bottom w:val="single" w:sz="4" w:space="0" w:color="auto"/>
              <w:right w:val="single" w:sz="4" w:space="0" w:color="auto"/>
            </w:tcBorders>
            <w:shd w:val="clear" w:color="auto" w:fill="C4EFCE"/>
            <w:vAlign w:val="center"/>
            <w:hideMark/>
          </w:tcPr>
          <w:p w14:paraId="599107CB" w14:textId="3DFFAC63" w:rsidR="00154AD2" w:rsidRDefault="007F6BF3">
            <w:pPr>
              <w:pStyle w:val="P68B1DB1-Normal23"/>
              <w:spacing w:after="0"/>
              <w:jc w:val="center"/>
              <w:rPr>
                <w:rFonts w:eastAsia="Calibri" w:cs="Calibri"/>
                <w:noProof/>
              </w:rPr>
            </w:pPr>
            <w:r>
              <w:rPr>
                <w:noProof/>
              </w:rPr>
              <w:t>RP-C21-r45</w:t>
            </w:r>
          </w:p>
        </w:tc>
        <w:tc>
          <w:tcPr>
            <w:tcW w:w="1520" w:type="dxa"/>
            <w:tcBorders>
              <w:top w:val="nil"/>
              <w:left w:val="nil"/>
              <w:bottom w:val="single" w:sz="4" w:space="0" w:color="auto"/>
              <w:right w:val="single" w:sz="4" w:space="0" w:color="auto"/>
            </w:tcBorders>
            <w:shd w:val="clear" w:color="auto" w:fill="C4EFCE"/>
            <w:vAlign w:val="center"/>
            <w:hideMark/>
          </w:tcPr>
          <w:p w14:paraId="2BE4DC20"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5DD8840" w14:textId="77777777" w:rsidR="00154AD2" w:rsidRDefault="007F6BF3">
            <w:pPr>
              <w:pStyle w:val="P68B1DB1-Normal23"/>
              <w:spacing w:after="0"/>
              <w:jc w:val="both"/>
              <w:rPr>
                <w:rFonts w:eastAsia="Calibri" w:cs="Calibri"/>
                <w:noProof/>
              </w:rPr>
            </w:pPr>
            <w:r>
              <w:rPr>
                <w:noProof/>
              </w:rPr>
              <w:t>Δράσεις κατάρτισης για τις πράσινες δεξιότητες</w:t>
            </w:r>
          </w:p>
        </w:tc>
      </w:tr>
      <w:tr w:rsidR="00154AD2" w14:paraId="088199F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424BDC1" w14:textId="77777777" w:rsidR="00154AD2" w:rsidRDefault="007F6BF3">
            <w:pPr>
              <w:pStyle w:val="P68B1DB1-Normal23"/>
              <w:spacing w:after="0"/>
              <w:jc w:val="center"/>
              <w:rPr>
                <w:rFonts w:eastAsia="Calibri" w:cs="Calibri"/>
                <w:noProof/>
              </w:rPr>
            </w:pPr>
            <w:r>
              <w:rPr>
                <w:noProof/>
              </w:rPr>
              <w:t>21.29</w:t>
            </w:r>
          </w:p>
        </w:tc>
        <w:tc>
          <w:tcPr>
            <w:tcW w:w="1760" w:type="dxa"/>
            <w:tcBorders>
              <w:top w:val="nil"/>
              <w:left w:val="nil"/>
              <w:bottom w:val="single" w:sz="4" w:space="0" w:color="auto"/>
              <w:right w:val="single" w:sz="4" w:space="0" w:color="auto"/>
            </w:tcBorders>
            <w:shd w:val="clear" w:color="auto" w:fill="C4EFCE"/>
            <w:vAlign w:val="center"/>
            <w:hideMark/>
          </w:tcPr>
          <w:p w14:paraId="709081FB" w14:textId="160BC41F" w:rsidR="00154AD2" w:rsidRDefault="007F6BF3">
            <w:pPr>
              <w:pStyle w:val="P68B1DB1-Normal23"/>
              <w:spacing w:after="0"/>
              <w:jc w:val="center"/>
              <w:rPr>
                <w:rFonts w:eastAsia="Calibri" w:cs="Calibri"/>
                <w:noProof/>
              </w:rPr>
            </w:pPr>
            <w:r>
              <w:rPr>
                <w:noProof/>
              </w:rPr>
              <w:t>RP-C21-i08</w:t>
            </w:r>
          </w:p>
        </w:tc>
        <w:tc>
          <w:tcPr>
            <w:tcW w:w="1520" w:type="dxa"/>
            <w:tcBorders>
              <w:top w:val="nil"/>
              <w:left w:val="nil"/>
              <w:bottom w:val="single" w:sz="4" w:space="0" w:color="auto"/>
              <w:right w:val="single" w:sz="4" w:space="0" w:color="auto"/>
            </w:tcBorders>
            <w:shd w:val="clear" w:color="auto" w:fill="C4EFCE"/>
            <w:vAlign w:val="center"/>
            <w:hideMark/>
          </w:tcPr>
          <w:p w14:paraId="72D77776"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F0EDEAE" w14:textId="77777777" w:rsidR="00154AD2" w:rsidRDefault="007F6BF3">
            <w:pPr>
              <w:pStyle w:val="P68B1DB1-Normal23"/>
              <w:spacing w:after="0"/>
              <w:jc w:val="both"/>
              <w:rPr>
                <w:rFonts w:eastAsia="Calibri" w:cs="Calibri"/>
                <w:noProof/>
              </w:rPr>
            </w:pPr>
            <w:r>
              <w:rPr>
                <w:noProof/>
              </w:rPr>
              <w:t>Εγκατάσταση δυναμικότητας αποθήκευσης ηλεκτρικής ενέργειας</w:t>
            </w:r>
          </w:p>
        </w:tc>
      </w:tr>
      <w:tr w:rsidR="00154AD2" w14:paraId="182B195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EFB9F7E" w14:textId="77777777" w:rsidR="00154AD2" w:rsidRDefault="007F6BF3">
            <w:pPr>
              <w:pStyle w:val="P68B1DB1-Normal23"/>
              <w:spacing w:after="0"/>
              <w:jc w:val="center"/>
              <w:rPr>
                <w:rFonts w:eastAsia="Calibri" w:cs="Calibri"/>
                <w:noProof/>
              </w:rPr>
            </w:pPr>
            <w:r>
              <w:rPr>
                <w:noProof/>
              </w:rPr>
              <w:t>21.32</w:t>
            </w:r>
          </w:p>
        </w:tc>
        <w:tc>
          <w:tcPr>
            <w:tcW w:w="1760" w:type="dxa"/>
            <w:tcBorders>
              <w:top w:val="nil"/>
              <w:left w:val="nil"/>
              <w:bottom w:val="single" w:sz="4" w:space="0" w:color="auto"/>
              <w:right w:val="single" w:sz="4" w:space="0" w:color="auto"/>
            </w:tcBorders>
            <w:shd w:val="clear" w:color="auto" w:fill="C4EFCE"/>
            <w:vAlign w:val="center"/>
            <w:hideMark/>
          </w:tcPr>
          <w:p w14:paraId="4622A906" w14:textId="5BFBA1D2" w:rsidR="00154AD2" w:rsidRDefault="007F6BF3">
            <w:pPr>
              <w:pStyle w:val="P68B1DB1-Normal23"/>
              <w:spacing w:after="0"/>
              <w:jc w:val="center"/>
              <w:rPr>
                <w:rFonts w:eastAsia="Calibri" w:cs="Calibri"/>
                <w:noProof/>
              </w:rPr>
            </w:pPr>
            <w:r>
              <w:rPr>
                <w:noProof/>
              </w:rPr>
              <w:t>RP-C21-i10-RAA</w:t>
            </w:r>
          </w:p>
        </w:tc>
        <w:tc>
          <w:tcPr>
            <w:tcW w:w="1520" w:type="dxa"/>
            <w:tcBorders>
              <w:top w:val="nil"/>
              <w:left w:val="nil"/>
              <w:bottom w:val="single" w:sz="4" w:space="0" w:color="auto"/>
              <w:right w:val="single" w:sz="4" w:space="0" w:color="auto"/>
            </w:tcBorders>
            <w:shd w:val="clear" w:color="auto" w:fill="C4EFCE"/>
            <w:vAlign w:val="center"/>
            <w:hideMark/>
          </w:tcPr>
          <w:p w14:paraId="3ABB1596"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637DD21" w14:textId="77777777" w:rsidR="00154AD2" w:rsidRDefault="007F6BF3">
            <w:pPr>
              <w:pStyle w:val="P68B1DB1-Normal23"/>
              <w:spacing w:after="0"/>
              <w:jc w:val="both"/>
              <w:rPr>
                <w:rFonts w:eastAsia="Calibri" w:cs="Calibri"/>
                <w:noProof/>
              </w:rPr>
            </w:pPr>
            <w:r>
              <w:rPr>
                <w:noProof/>
              </w:rPr>
              <w:t>Εγκατάσταση δυναμικότητας αποθήκευσης ηλεκτρικής ενέργειας</w:t>
            </w:r>
          </w:p>
        </w:tc>
      </w:tr>
      <w:tr w:rsidR="00154AD2" w14:paraId="54999BA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87752ED" w14:textId="77777777" w:rsidR="00154AD2" w:rsidRDefault="007F6BF3">
            <w:pPr>
              <w:pStyle w:val="P68B1DB1-Normal23"/>
              <w:spacing w:after="0"/>
              <w:jc w:val="center"/>
              <w:rPr>
                <w:rFonts w:eastAsia="Calibri" w:cs="Calibri"/>
                <w:noProof/>
              </w:rPr>
            </w:pPr>
            <w:r>
              <w:rPr>
                <w:noProof/>
              </w:rPr>
              <w:t>21.34</w:t>
            </w:r>
          </w:p>
        </w:tc>
        <w:tc>
          <w:tcPr>
            <w:tcW w:w="1760" w:type="dxa"/>
            <w:tcBorders>
              <w:top w:val="nil"/>
              <w:left w:val="nil"/>
              <w:bottom w:val="single" w:sz="4" w:space="0" w:color="auto"/>
              <w:right w:val="single" w:sz="4" w:space="0" w:color="auto"/>
            </w:tcBorders>
            <w:shd w:val="clear" w:color="auto" w:fill="C4EFCE"/>
            <w:vAlign w:val="center"/>
            <w:hideMark/>
          </w:tcPr>
          <w:p w14:paraId="24B53CC5" w14:textId="65310D0F" w:rsidR="00154AD2" w:rsidRDefault="007F6BF3">
            <w:pPr>
              <w:pStyle w:val="P68B1DB1-Normal23"/>
              <w:spacing w:after="0"/>
              <w:jc w:val="center"/>
              <w:rPr>
                <w:rFonts w:eastAsia="Calibri" w:cs="Calibri"/>
                <w:noProof/>
              </w:rPr>
            </w:pPr>
            <w:r>
              <w:rPr>
                <w:noProof/>
              </w:rPr>
              <w:t>RP-C21-i11-RAM</w:t>
            </w:r>
          </w:p>
        </w:tc>
        <w:tc>
          <w:tcPr>
            <w:tcW w:w="1520" w:type="dxa"/>
            <w:tcBorders>
              <w:top w:val="nil"/>
              <w:left w:val="nil"/>
              <w:bottom w:val="single" w:sz="4" w:space="0" w:color="auto"/>
              <w:right w:val="single" w:sz="4" w:space="0" w:color="auto"/>
            </w:tcBorders>
            <w:shd w:val="clear" w:color="auto" w:fill="C4EFCE"/>
            <w:vAlign w:val="center"/>
            <w:hideMark/>
          </w:tcPr>
          <w:p w14:paraId="57E90FE8"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31415EB" w14:textId="77777777" w:rsidR="00154AD2" w:rsidRDefault="007F6BF3">
            <w:pPr>
              <w:pStyle w:val="P68B1DB1-Normal23"/>
              <w:spacing w:after="0"/>
              <w:jc w:val="both"/>
              <w:rPr>
                <w:rFonts w:eastAsia="Calibri" w:cs="Calibri"/>
                <w:noProof/>
              </w:rPr>
            </w:pPr>
            <w:r>
              <w:rPr>
                <w:noProof/>
              </w:rPr>
              <w:t>Ενίσχυση της εγκατεστημένης δυναμικότητας αιολικής ενέργειας</w:t>
            </w:r>
          </w:p>
        </w:tc>
      </w:tr>
      <w:tr w:rsidR="00154AD2" w14:paraId="44FCEE2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3F55A38" w14:textId="77777777" w:rsidR="00154AD2" w:rsidRDefault="007F6BF3">
            <w:pPr>
              <w:pStyle w:val="P68B1DB1-Normal23"/>
              <w:spacing w:after="0"/>
              <w:jc w:val="center"/>
              <w:rPr>
                <w:rFonts w:eastAsia="Calibri" w:cs="Calibri"/>
                <w:noProof/>
              </w:rPr>
            </w:pPr>
            <w:r>
              <w:rPr>
                <w:noProof/>
              </w:rPr>
              <w:t>21.41</w:t>
            </w:r>
          </w:p>
        </w:tc>
        <w:tc>
          <w:tcPr>
            <w:tcW w:w="1760" w:type="dxa"/>
            <w:tcBorders>
              <w:top w:val="nil"/>
              <w:left w:val="nil"/>
              <w:bottom w:val="single" w:sz="4" w:space="0" w:color="auto"/>
              <w:right w:val="single" w:sz="4" w:space="0" w:color="auto"/>
            </w:tcBorders>
            <w:shd w:val="clear" w:color="auto" w:fill="C4EFCE"/>
            <w:vAlign w:val="center"/>
            <w:hideMark/>
          </w:tcPr>
          <w:p w14:paraId="1692D62F" w14:textId="64537686" w:rsidR="00154AD2" w:rsidRDefault="007F6BF3">
            <w:pPr>
              <w:pStyle w:val="P68B1DB1-Normal23"/>
              <w:spacing w:after="0"/>
              <w:jc w:val="center"/>
              <w:rPr>
                <w:rFonts w:eastAsia="Calibri" w:cs="Calibri"/>
                <w:noProof/>
              </w:rPr>
            </w:pPr>
            <w:r>
              <w:rPr>
                <w:noProof/>
              </w:rPr>
              <w:t>RP-C21-i15-RAA</w:t>
            </w:r>
          </w:p>
        </w:tc>
        <w:tc>
          <w:tcPr>
            <w:tcW w:w="1520" w:type="dxa"/>
            <w:tcBorders>
              <w:top w:val="nil"/>
              <w:left w:val="nil"/>
              <w:bottom w:val="single" w:sz="4" w:space="0" w:color="auto"/>
              <w:right w:val="single" w:sz="4" w:space="0" w:color="auto"/>
            </w:tcBorders>
            <w:shd w:val="clear" w:color="auto" w:fill="C4EFCE"/>
            <w:vAlign w:val="center"/>
            <w:hideMark/>
          </w:tcPr>
          <w:p w14:paraId="1A2F99A0"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F254CB8" w14:textId="77777777" w:rsidR="00154AD2" w:rsidRDefault="007F6BF3">
            <w:pPr>
              <w:pStyle w:val="P68B1DB1-Normal23"/>
              <w:spacing w:after="0"/>
              <w:jc w:val="both"/>
              <w:rPr>
                <w:rFonts w:eastAsia="Calibri" w:cs="Calibri"/>
                <w:noProof/>
              </w:rPr>
            </w:pPr>
            <w:r>
              <w:rPr>
                <w:noProof/>
              </w:rPr>
              <w:t>Θέση σε λειτουργία δύο νέων ηλεκτρικών πορθμείων</w:t>
            </w:r>
          </w:p>
        </w:tc>
      </w:tr>
      <w:tr w:rsidR="00154AD2" w14:paraId="4686FE2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6496107" w14:textId="77777777" w:rsidR="00154AD2" w:rsidRDefault="007F6BF3">
            <w:pPr>
              <w:pStyle w:val="P68B1DB1-Normal8"/>
              <w:spacing w:after="0" w:line="240" w:lineRule="auto"/>
              <w:jc w:val="center"/>
              <w:rPr>
                <w:rFonts w:eastAsia="Times New Roman" w:cs="Calibri"/>
                <w:noProof/>
              </w:rPr>
            </w:pPr>
            <w:r>
              <w:rPr>
                <w:noProof/>
              </w:rPr>
              <w:t> </w:t>
            </w:r>
          </w:p>
        </w:tc>
        <w:tc>
          <w:tcPr>
            <w:tcW w:w="1760" w:type="dxa"/>
            <w:tcBorders>
              <w:top w:val="nil"/>
              <w:left w:val="nil"/>
              <w:bottom w:val="single" w:sz="4" w:space="0" w:color="auto"/>
              <w:right w:val="single" w:sz="4" w:space="0" w:color="auto"/>
            </w:tcBorders>
            <w:shd w:val="clear" w:color="auto" w:fill="C4EFCE"/>
            <w:vAlign w:val="center"/>
            <w:hideMark/>
          </w:tcPr>
          <w:p w14:paraId="381C23FB" w14:textId="77777777" w:rsidR="00154AD2" w:rsidRDefault="007F6BF3">
            <w:pPr>
              <w:pStyle w:val="P68B1DB1-Normal8"/>
              <w:spacing w:after="0" w:line="240" w:lineRule="auto"/>
              <w:jc w:val="center"/>
              <w:rPr>
                <w:rFonts w:eastAsia="Times New Roman" w:cs="Calibri"/>
                <w:noProof/>
              </w:rPr>
            </w:pPr>
            <w:r>
              <w:rPr>
                <w:noProof/>
              </w:rPr>
              <w:t> </w:t>
            </w:r>
          </w:p>
        </w:tc>
        <w:tc>
          <w:tcPr>
            <w:tcW w:w="1520" w:type="dxa"/>
            <w:tcBorders>
              <w:top w:val="nil"/>
              <w:left w:val="nil"/>
              <w:bottom w:val="single" w:sz="4" w:space="0" w:color="auto"/>
              <w:right w:val="single" w:sz="4" w:space="0" w:color="auto"/>
            </w:tcBorders>
            <w:shd w:val="clear" w:color="auto" w:fill="C4EFCE"/>
            <w:vAlign w:val="center"/>
            <w:hideMark/>
          </w:tcPr>
          <w:p w14:paraId="2A9D373E" w14:textId="77777777" w:rsidR="00154AD2" w:rsidRDefault="007F6BF3">
            <w:pPr>
              <w:pStyle w:val="P68B1DB1-Normal24"/>
              <w:spacing w:after="0" w:line="240" w:lineRule="auto"/>
              <w:jc w:val="center"/>
              <w:rPr>
                <w:rFonts w:eastAsia="Times New Roman" w:cs="Calibri"/>
                <w:noProof/>
              </w:rPr>
            </w:pPr>
            <w:r>
              <w:rPr>
                <w:noProof/>
              </w:rPr>
              <w:t>Ποσό δόσης</w:t>
            </w:r>
          </w:p>
        </w:tc>
        <w:tc>
          <w:tcPr>
            <w:tcW w:w="5060" w:type="dxa"/>
            <w:tcBorders>
              <w:top w:val="nil"/>
              <w:left w:val="nil"/>
              <w:bottom w:val="single" w:sz="4" w:space="0" w:color="auto"/>
              <w:right w:val="single" w:sz="4" w:space="0" w:color="auto"/>
            </w:tcBorders>
            <w:shd w:val="clear" w:color="auto" w:fill="C4EFCE"/>
            <w:vAlign w:val="center"/>
            <w:hideMark/>
          </w:tcPr>
          <w:p w14:paraId="6C5CFDF1" w14:textId="3C8B9DE9" w:rsidR="00154AD2" w:rsidRDefault="007F6BF3">
            <w:pPr>
              <w:pStyle w:val="P68B1DB1-Normal25"/>
              <w:spacing w:after="0" w:line="240" w:lineRule="auto"/>
              <w:jc w:val="center"/>
              <w:rPr>
                <w:rFonts w:cs="Calibri"/>
                <w:noProof/>
              </w:rPr>
            </w:pPr>
            <w:r>
              <w:rPr>
                <w:noProof/>
              </w:rPr>
              <w:t xml:space="preserve"> 2 284 617 001 EUR </w:t>
            </w:r>
          </w:p>
        </w:tc>
      </w:tr>
    </w:tbl>
    <w:p w14:paraId="43D05AA8" w14:textId="77777777" w:rsidR="00154AD2" w:rsidRDefault="00154AD2">
      <w:pPr>
        <w:keepNext/>
        <w:spacing w:before="40" w:after="160" w:line="259" w:lineRule="auto"/>
        <w:ind w:left="360"/>
        <w:contextualSpacing/>
        <w:jc w:val="both"/>
        <w:rPr>
          <w:rFonts w:ascii="Times New Roman" w:eastAsiaTheme="minorEastAsia" w:hAnsi="Times New Roman" w:cs="Times New Roman"/>
          <w:noProof/>
          <w:sz w:val="24"/>
        </w:rPr>
      </w:pPr>
    </w:p>
    <w:p w14:paraId="607CA0DB" w14:textId="77777777" w:rsidR="00154AD2" w:rsidRDefault="00154AD2">
      <w:pPr>
        <w:keepNext/>
        <w:spacing w:before="40" w:after="160" w:line="259" w:lineRule="auto"/>
        <w:ind w:left="360"/>
        <w:contextualSpacing/>
        <w:jc w:val="both"/>
        <w:rPr>
          <w:rFonts w:ascii="Times New Roman" w:eastAsiaTheme="minorEastAsia" w:hAnsi="Times New Roman" w:cs="Times New Roman"/>
          <w:noProof/>
          <w:sz w:val="24"/>
        </w:rPr>
      </w:pPr>
    </w:p>
    <w:p w14:paraId="2B32C5FC" w14:textId="77777777" w:rsidR="00154AD2" w:rsidRDefault="007F6BF3">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Δέκατο αίτημα πληρωμής (μη επιστρεπτέα στήριξη): </w:t>
      </w:r>
    </w:p>
    <w:p w14:paraId="55E21E0D" w14:textId="77777777" w:rsidR="00154AD2" w:rsidRDefault="00154AD2">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Look w:val="04A0" w:firstRow="1" w:lastRow="0" w:firstColumn="1" w:lastColumn="0" w:noHBand="0" w:noVBand="1"/>
      </w:tblPr>
      <w:tblGrid>
        <w:gridCol w:w="1188"/>
        <w:gridCol w:w="1750"/>
        <w:gridCol w:w="1670"/>
        <w:gridCol w:w="4932"/>
      </w:tblGrid>
      <w:tr w:rsidR="00154AD2" w14:paraId="7D06A10D" w14:textId="77777777">
        <w:trPr>
          <w:trHeight w:val="1018"/>
          <w:tblHeader/>
        </w:trPr>
        <w:tc>
          <w:tcPr>
            <w:tcW w:w="120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EA7B9D4" w14:textId="77777777" w:rsidR="00154AD2" w:rsidRDefault="007F6BF3">
            <w:pPr>
              <w:pStyle w:val="P68B1DB1-Normal22"/>
              <w:spacing w:after="0" w:line="240" w:lineRule="auto"/>
              <w:jc w:val="center"/>
              <w:rPr>
                <w:rFonts w:eastAsia="Times New Roman" w:cs="Times New Roman"/>
                <w:noProof/>
              </w:rPr>
            </w:pPr>
            <w:r>
              <w:rPr>
                <w:noProof/>
              </w:rPr>
              <w:t>Αύξων αριθμός</w:t>
            </w:r>
          </w:p>
        </w:tc>
        <w:tc>
          <w:tcPr>
            <w:tcW w:w="17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390E370" w14:textId="77777777" w:rsidR="00154AD2" w:rsidRDefault="007F6BF3">
            <w:pPr>
              <w:pStyle w:val="P68B1DB1-Normal22"/>
              <w:spacing w:after="0" w:line="240" w:lineRule="auto"/>
              <w:jc w:val="center"/>
              <w:rPr>
                <w:rFonts w:eastAsia="Times New Roman" w:cs="Times New Roman"/>
                <w:noProof/>
              </w:rPr>
            </w:pPr>
            <w:r>
              <w:rPr>
                <w:noProof/>
              </w:rPr>
              <w:t>Σχετικό μέτρο (μεταρρύθμιση ή επένδυση)</w:t>
            </w:r>
          </w:p>
        </w:tc>
        <w:tc>
          <w:tcPr>
            <w:tcW w:w="152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8722F55" w14:textId="77777777" w:rsidR="00154AD2" w:rsidRDefault="007F6BF3">
            <w:pPr>
              <w:pStyle w:val="P68B1DB1-Normal22"/>
              <w:spacing w:after="0" w:line="240" w:lineRule="auto"/>
              <w:jc w:val="center"/>
              <w:rPr>
                <w:rFonts w:eastAsia="Times New Roman" w:cs="Times New Roman"/>
                <w:noProof/>
              </w:rPr>
            </w:pPr>
            <w:r>
              <w:rPr>
                <w:noProof/>
              </w:rPr>
              <w:t>Ορόσημο/Στόχος</w:t>
            </w:r>
          </w:p>
        </w:tc>
        <w:tc>
          <w:tcPr>
            <w:tcW w:w="50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F8E9C14" w14:textId="77777777" w:rsidR="00154AD2" w:rsidRDefault="007F6BF3">
            <w:pPr>
              <w:pStyle w:val="P68B1DB1-Normal22"/>
              <w:spacing w:after="0" w:line="240" w:lineRule="auto"/>
              <w:jc w:val="center"/>
              <w:rPr>
                <w:rFonts w:eastAsia="Times New Roman" w:cs="Times New Roman"/>
                <w:noProof/>
              </w:rPr>
            </w:pPr>
            <w:r>
              <w:rPr>
                <w:noProof/>
              </w:rPr>
              <w:t>Όνομα</w:t>
            </w:r>
          </w:p>
        </w:tc>
      </w:tr>
      <w:tr w:rsidR="00154AD2" w14:paraId="3D3D479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25D5E3F" w14:textId="77777777" w:rsidR="00154AD2" w:rsidRDefault="007F6BF3">
            <w:pPr>
              <w:pStyle w:val="P68B1DB1-Normal23"/>
              <w:spacing w:after="0"/>
              <w:jc w:val="center"/>
              <w:rPr>
                <w:noProof/>
              </w:rPr>
            </w:pPr>
            <w:r>
              <w:rPr>
                <w:noProof/>
              </w:rPr>
              <w:t>1.15</w:t>
            </w:r>
          </w:p>
        </w:tc>
        <w:tc>
          <w:tcPr>
            <w:tcW w:w="1760" w:type="dxa"/>
            <w:tcBorders>
              <w:top w:val="nil"/>
              <w:left w:val="nil"/>
              <w:bottom w:val="single" w:sz="4" w:space="0" w:color="auto"/>
              <w:right w:val="single" w:sz="4" w:space="0" w:color="auto"/>
            </w:tcBorders>
            <w:shd w:val="clear" w:color="auto" w:fill="C4EFCE"/>
            <w:vAlign w:val="center"/>
            <w:hideMark/>
          </w:tcPr>
          <w:p w14:paraId="52F5475D" w14:textId="77777777" w:rsidR="00154AD2" w:rsidRDefault="007F6BF3">
            <w:pPr>
              <w:pStyle w:val="P68B1DB1-Normal23"/>
              <w:spacing w:after="0"/>
              <w:jc w:val="center"/>
              <w:rPr>
                <w:noProof/>
              </w:rPr>
            </w:pPr>
            <w:r>
              <w:rPr>
                <w:noProof/>
              </w:rPr>
              <w:t>RE-C01-i01</w:t>
            </w:r>
          </w:p>
        </w:tc>
        <w:tc>
          <w:tcPr>
            <w:tcW w:w="1520" w:type="dxa"/>
            <w:tcBorders>
              <w:top w:val="nil"/>
              <w:left w:val="nil"/>
              <w:bottom w:val="single" w:sz="4" w:space="0" w:color="auto"/>
              <w:right w:val="single" w:sz="4" w:space="0" w:color="auto"/>
            </w:tcBorders>
            <w:shd w:val="clear" w:color="auto" w:fill="C4EFCE"/>
            <w:vAlign w:val="center"/>
            <w:hideMark/>
          </w:tcPr>
          <w:p w14:paraId="26BFA8A2" w14:textId="77777777" w:rsidR="00154AD2" w:rsidRDefault="007F6BF3">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1B52446" w14:textId="77777777" w:rsidR="00154AD2" w:rsidRDefault="007F6BF3">
            <w:pPr>
              <w:pStyle w:val="P68B1DB1-Normal23"/>
              <w:spacing w:after="0"/>
              <w:jc w:val="both"/>
              <w:rPr>
                <w:rFonts w:eastAsia="Calibri" w:cs="Calibri"/>
                <w:noProof/>
              </w:rPr>
            </w:pPr>
            <w:r>
              <w:rPr>
                <w:noProof/>
              </w:rPr>
              <w:t>Δημιουργία νέων μονάδων υγείας</w:t>
            </w:r>
          </w:p>
        </w:tc>
      </w:tr>
      <w:tr w:rsidR="00154AD2" w14:paraId="6806F24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2F0C54B" w14:textId="77777777" w:rsidR="00154AD2" w:rsidRDefault="007F6BF3">
            <w:pPr>
              <w:pStyle w:val="P68B1DB1-Normal23"/>
              <w:spacing w:after="0"/>
              <w:jc w:val="center"/>
              <w:rPr>
                <w:noProof/>
              </w:rPr>
            </w:pPr>
            <w:r>
              <w:rPr>
                <w:noProof/>
              </w:rPr>
              <w:t>1.16</w:t>
            </w:r>
          </w:p>
        </w:tc>
        <w:tc>
          <w:tcPr>
            <w:tcW w:w="1760" w:type="dxa"/>
            <w:tcBorders>
              <w:top w:val="nil"/>
              <w:left w:val="nil"/>
              <w:bottom w:val="single" w:sz="4" w:space="0" w:color="auto"/>
              <w:right w:val="single" w:sz="4" w:space="0" w:color="auto"/>
            </w:tcBorders>
            <w:shd w:val="clear" w:color="auto" w:fill="C4EFCE"/>
            <w:vAlign w:val="center"/>
            <w:hideMark/>
          </w:tcPr>
          <w:p w14:paraId="19CDD319" w14:textId="77777777" w:rsidR="00154AD2" w:rsidRDefault="007F6BF3">
            <w:pPr>
              <w:pStyle w:val="P68B1DB1-Normal23"/>
              <w:spacing w:after="0"/>
              <w:jc w:val="center"/>
              <w:rPr>
                <w:noProof/>
              </w:rPr>
            </w:pPr>
            <w:r>
              <w:rPr>
                <w:noProof/>
              </w:rPr>
              <w:t>RE-C01-i01</w:t>
            </w:r>
          </w:p>
        </w:tc>
        <w:tc>
          <w:tcPr>
            <w:tcW w:w="1520" w:type="dxa"/>
            <w:tcBorders>
              <w:top w:val="nil"/>
              <w:left w:val="nil"/>
              <w:bottom w:val="single" w:sz="4" w:space="0" w:color="auto"/>
              <w:right w:val="single" w:sz="4" w:space="0" w:color="auto"/>
            </w:tcBorders>
            <w:shd w:val="clear" w:color="auto" w:fill="C4EFCE"/>
            <w:vAlign w:val="center"/>
            <w:hideMark/>
          </w:tcPr>
          <w:p w14:paraId="08281B82" w14:textId="77777777" w:rsidR="00154AD2" w:rsidRDefault="007F6BF3">
            <w:pPr>
              <w:pStyle w:val="P68B1DB1-Normal23"/>
              <w:spacing w:after="0"/>
              <w:jc w:val="center"/>
              <w:rPr>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5B41143" w14:textId="77777777" w:rsidR="00154AD2" w:rsidRDefault="007F6BF3">
            <w:pPr>
              <w:pStyle w:val="P68B1DB1-Normal23"/>
              <w:spacing w:after="0"/>
              <w:jc w:val="both"/>
              <w:rPr>
                <w:rFonts w:eastAsia="Calibri" w:cs="Calibri"/>
                <w:noProof/>
              </w:rPr>
            </w:pPr>
            <w:r>
              <w:rPr>
                <w:noProof/>
              </w:rPr>
              <w:t>Ολοκλήρωση της εθνικής κάλυψης των προγραμμάτων προσυμπτωματικού ελέγχου και έγκαιρης διάγνωσης στην πρωτοβάθμια υγειονομική περίθαλψη</w:t>
            </w:r>
          </w:p>
        </w:tc>
      </w:tr>
      <w:tr w:rsidR="00154AD2" w14:paraId="217E40E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D8A98AA" w14:textId="77777777" w:rsidR="00154AD2" w:rsidRDefault="007F6BF3">
            <w:pPr>
              <w:pStyle w:val="P68B1DB1-Normal23"/>
              <w:spacing w:after="0"/>
              <w:jc w:val="center"/>
              <w:rPr>
                <w:noProof/>
              </w:rPr>
            </w:pPr>
            <w:r>
              <w:rPr>
                <w:noProof/>
              </w:rPr>
              <w:t>1.17</w:t>
            </w:r>
          </w:p>
        </w:tc>
        <w:tc>
          <w:tcPr>
            <w:tcW w:w="1760" w:type="dxa"/>
            <w:tcBorders>
              <w:top w:val="nil"/>
              <w:left w:val="nil"/>
              <w:bottom w:val="single" w:sz="4" w:space="0" w:color="auto"/>
              <w:right w:val="single" w:sz="4" w:space="0" w:color="auto"/>
            </w:tcBorders>
            <w:shd w:val="clear" w:color="auto" w:fill="C4EFCE"/>
            <w:vAlign w:val="center"/>
            <w:hideMark/>
          </w:tcPr>
          <w:p w14:paraId="790F9509" w14:textId="77777777" w:rsidR="00154AD2" w:rsidRDefault="007F6BF3">
            <w:pPr>
              <w:pStyle w:val="P68B1DB1-Normal23"/>
              <w:spacing w:after="0"/>
              <w:jc w:val="center"/>
              <w:rPr>
                <w:noProof/>
              </w:rPr>
            </w:pPr>
            <w:r>
              <w:rPr>
                <w:noProof/>
              </w:rPr>
              <w:t>RE-C01-i01</w:t>
            </w:r>
          </w:p>
        </w:tc>
        <w:tc>
          <w:tcPr>
            <w:tcW w:w="1520" w:type="dxa"/>
            <w:tcBorders>
              <w:top w:val="nil"/>
              <w:left w:val="nil"/>
              <w:bottom w:val="single" w:sz="4" w:space="0" w:color="auto"/>
              <w:right w:val="single" w:sz="4" w:space="0" w:color="auto"/>
            </w:tcBorders>
            <w:shd w:val="clear" w:color="auto" w:fill="C4EFCE"/>
            <w:vAlign w:val="center"/>
            <w:hideMark/>
          </w:tcPr>
          <w:p w14:paraId="65D56E08" w14:textId="77777777" w:rsidR="00154AD2" w:rsidRDefault="007F6BF3">
            <w:pPr>
              <w:pStyle w:val="P68B1DB1-Normal23"/>
              <w:spacing w:after="0"/>
              <w:jc w:val="center"/>
              <w:rPr>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7EB1B2C" w14:textId="77777777" w:rsidR="00154AD2" w:rsidRDefault="007F6BF3">
            <w:pPr>
              <w:pStyle w:val="P68B1DB1-Normal23"/>
              <w:spacing w:after="0"/>
              <w:jc w:val="both"/>
              <w:rPr>
                <w:rFonts w:eastAsia="Calibri" w:cs="Calibri"/>
                <w:noProof/>
              </w:rPr>
            </w:pPr>
            <w:r>
              <w:rPr>
                <w:noProof/>
              </w:rPr>
              <w:t>Αύξηση της ικανότητας αντίδρασης των κέντρων πρωτοβάθμιας υγείας και επέκταση των τομέων παρέμβασής τους</w:t>
            </w:r>
          </w:p>
        </w:tc>
      </w:tr>
      <w:tr w:rsidR="00154AD2" w14:paraId="01A92F4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38C9033" w14:textId="77777777" w:rsidR="00154AD2" w:rsidRDefault="007F6BF3">
            <w:pPr>
              <w:pStyle w:val="P68B1DB1-Normal23"/>
              <w:spacing w:after="0"/>
              <w:jc w:val="center"/>
              <w:rPr>
                <w:noProof/>
              </w:rPr>
            </w:pPr>
            <w:r>
              <w:rPr>
                <w:noProof/>
              </w:rPr>
              <w:t>1.18</w:t>
            </w:r>
          </w:p>
        </w:tc>
        <w:tc>
          <w:tcPr>
            <w:tcW w:w="1760" w:type="dxa"/>
            <w:tcBorders>
              <w:top w:val="nil"/>
              <w:left w:val="nil"/>
              <w:bottom w:val="single" w:sz="4" w:space="0" w:color="auto"/>
              <w:right w:val="single" w:sz="4" w:space="0" w:color="auto"/>
            </w:tcBorders>
            <w:shd w:val="clear" w:color="auto" w:fill="C4EFCE"/>
            <w:vAlign w:val="center"/>
            <w:hideMark/>
          </w:tcPr>
          <w:p w14:paraId="4284A36F" w14:textId="77777777" w:rsidR="00154AD2" w:rsidRDefault="007F6BF3">
            <w:pPr>
              <w:pStyle w:val="P68B1DB1-Normal23"/>
              <w:spacing w:after="0"/>
              <w:jc w:val="center"/>
              <w:rPr>
                <w:noProof/>
              </w:rPr>
            </w:pPr>
            <w:r>
              <w:rPr>
                <w:noProof/>
              </w:rPr>
              <w:t>RE-C01-i01</w:t>
            </w:r>
          </w:p>
        </w:tc>
        <w:tc>
          <w:tcPr>
            <w:tcW w:w="1520" w:type="dxa"/>
            <w:tcBorders>
              <w:top w:val="nil"/>
              <w:left w:val="nil"/>
              <w:bottom w:val="single" w:sz="4" w:space="0" w:color="auto"/>
              <w:right w:val="single" w:sz="4" w:space="0" w:color="auto"/>
            </w:tcBorders>
            <w:shd w:val="clear" w:color="auto" w:fill="C4EFCE"/>
            <w:vAlign w:val="center"/>
            <w:hideMark/>
          </w:tcPr>
          <w:p w14:paraId="757EA7EC" w14:textId="77777777" w:rsidR="00154AD2" w:rsidRDefault="007F6BF3">
            <w:pPr>
              <w:pStyle w:val="P68B1DB1-Normal23"/>
              <w:spacing w:after="0"/>
              <w:jc w:val="center"/>
              <w:rPr>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6FCF755" w14:textId="77777777" w:rsidR="00154AD2" w:rsidRDefault="007F6BF3">
            <w:pPr>
              <w:pStyle w:val="P68B1DB1-Normal23"/>
              <w:spacing w:after="0"/>
              <w:jc w:val="both"/>
              <w:rPr>
                <w:rFonts w:eastAsia="Calibri" w:cs="Calibri"/>
                <w:noProof/>
              </w:rPr>
            </w:pPr>
            <w:r>
              <w:rPr>
                <w:noProof/>
              </w:rPr>
              <w:t>Ανακαίνιση εγκαταστάσεων και εξοπλισμού υγείας για τη διασφάλιση της προσβασιμότητας, της ποιότητας και των συνθηκών ασφάλειας στα πρωτοβάθμια κέντρα υγείας</w:t>
            </w:r>
          </w:p>
        </w:tc>
      </w:tr>
      <w:tr w:rsidR="00154AD2" w14:paraId="5284CCA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2868D01" w14:textId="77777777" w:rsidR="00154AD2" w:rsidRDefault="007F6BF3">
            <w:pPr>
              <w:pStyle w:val="P68B1DB1-Normal23"/>
              <w:spacing w:after="0"/>
              <w:jc w:val="center"/>
              <w:rPr>
                <w:noProof/>
              </w:rPr>
            </w:pPr>
            <w:r>
              <w:rPr>
                <w:noProof/>
              </w:rPr>
              <w:t>1.19</w:t>
            </w:r>
          </w:p>
        </w:tc>
        <w:tc>
          <w:tcPr>
            <w:tcW w:w="1760" w:type="dxa"/>
            <w:tcBorders>
              <w:top w:val="nil"/>
              <w:left w:val="nil"/>
              <w:bottom w:val="single" w:sz="4" w:space="0" w:color="auto"/>
              <w:right w:val="single" w:sz="4" w:space="0" w:color="auto"/>
            </w:tcBorders>
            <w:shd w:val="clear" w:color="auto" w:fill="C4EFCE"/>
            <w:vAlign w:val="center"/>
            <w:hideMark/>
          </w:tcPr>
          <w:p w14:paraId="0EDC48A4" w14:textId="77777777" w:rsidR="00154AD2" w:rsidRDefault="007F6BF3">
            <w:pPr>
              <w:pStyle w:val="P68B1DB1-Normal23"/>
              <w:spacing w:after="0"/>
              <w:jc w:val="center"/>
              <w:rPr>
                <w:noProof/>
              </w:rPr>
            </w:pPr>
            <w:r>
              <w:rPr>
                <w:noProof/>
              </w:rPr>
              <w:t>RE-C01-i01</w:t>
            </w:r>
          </w:p>
        </w:tc>
        <w:tc>
          <w:tcPr>
            <w:tcW w:w="1520" w:type="dxa"/>
            <w:tcBorders>
              <w:top w:val="nil"/>
              <w:left w:val="nil"/>
              <w:bottom w:val="single" w:sz="4" w:space="0" w:color="auto"/>
              <w:right w:val="single" w:sz="4" w:space="0" w:color="auto"/>
            </w:tcBorders>
            <w:shd w:val="clear" w:color="auto" w:fill="C4EFCE"/>
            <w:vAlign w:val="center"/>
            <w:hideMark/>
          </w:tcPr>
          <w:p w14:paraId="33DB8263" w14:textId="77777777" w:rsidR="00154AD2" w:rsidRDefault="007F6BF3">
            <w:pPr>
              <w:pStyle w:val="P68B1DB1-Normal23"/>
              <w:spacing w:after="0"/>
              <w:jc w:val="center"/>
              <w:rPr>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725DC65" w14:textId="77777777" w:rsidR="00154AD2" w:rsidRDefault="007F6BF3">
            <w:pPr>
              <w:pStyle w:val="P68B1DB1-Normal23"/>
              <w:spacing w:after="0"/>
              <w:jc w:val="both"/>
              <w:rPr>
                <w:rFonts w:eastAsia="Calibri" w:cs="Calibri"/>
                <w:noProof/>
              </w:rPr>
            </w:pPr>
            <w:r>
              <w:rPr>
                <w:noProof/>
              </w:rPr>
              <w:t>Ενίσχυση των παρεμβάσεων σε επίπεδο τοπικής κοινότητας, κατ’ οίκον και σε επίπεδο κοινότητας</w:t>
            </w:r>
          </w:p>
        </w:tc>
      </w:tr>
      <w:tr w:rsidR="00154AD2" w14:paraId="3D01E1B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BAC2B30" w14:textId="77777777" w:rsidR="00154AD2" w:rsidRDefault="007F6BF3">
            <w:pPr>
              <w:pStyle w:val="P68B1DB1-Normal23"/>
              <w:spacing w:after="0"/>
              <w:jc w:val="center"/>
              <w:rPr>
                <w:noProof/>
              </w:rPr>
            </w:pPr>
            <w:r>
              <w:rPr>
                <w:noProof/>
              </w:rPr>
              <w:t>1.26</w:t>
            </w:r>
          </w:p>
        </w:tc>
        <w:tc>
          <w:tcPr>
            <w:tcW w:w="1760" w:type="dxa"/>
            <w:tcBorders>
              <w:top w:val="nil"/>
              <w:left w:val="nil"/>
              <w:bottom w:val="single" w:sz="4" w:space="0" w:color="auto"/>
              <w:right w:val="single" w:sz="4" w:space="0" w:color="auto"/>
            </w:tcBorders>
            <w:shd w:val="clear" w:color="auto" w:fill="C4EFCE"/>
            <w:vAlign w:val="center"/>
            <w:hideMark/>
          </w:tcPr>
          <w:p w14:paraId="2701A855" w14:textId="77777777" w:rsidR="00154AD2" w:rsidRDefault="007F6BF3">
            <w:pPr>
              <w:pStyle w:val="P68B1DB1-Normal23"/>
              <w:spacing w:after="0"/>
              <w:jc w:val="center"/>
              <w:rPr>
                <w:noProof/>
              </w:rPr>
            </w:pPr>
            <w:r>
              <w:rPr>
                <w:noProof/>
              </w:rPr>
              <w:t>RE-C01-i04</w:t>
            </w:r>
          </w:p>
        </w:tc>
        <w:tc>
          <w:tcPr>
            <w:tcW w:w="1520" w:type="dxa"/>
            <w:tcBorders>
              <w:top w:val="nil"/>
              <w:left w:val="nil"/>
              <w:bottom w:val="single" w:sz="4" w:space="0" w:color="auto"/>
              <w:right w:val="single" w:sz="4" w:space="0" w:color="auto"/>
            </w:tcBorders>
            <w:shd w:val="clear" w:color="auto" w:fill="C4EFCE"/>
            <w:vAlign w:val="center"/>
            <w:hideMark/>
          </w:tcPr>
          <w:p w14:paraId="05A37AD5" w14:textId="77777777" w:rsidR="00154AD2" w:rsidRDefault="007F6BF3">
            <w:pPr>
              <w:pStyle w:val="P68B1DB1-Normal23"/>
              <w:spacing w:after="0"/>
              <w:jc w:val="center"/>
              <w:rPr>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BABE876" w14:textId="77777777" w:rsidR="00154AD2" w:rsidRDefault="007F6BF3">
            <w:pPr>
              <w:pStyle w:val="P68B1DB1-Normal23"/>
              <w:spacing w:after="0"/>
              <w:jc w:val="both"/>
              <w:rPr>
                <w:rFonts w:eastAsia="Calibri" w:cs="Calibri"/>
                <w:noProof/>
              </w:rPr>
            </w:pPr>
            <w:r>
              <w:rPr>
                <w:noProof/>
              </w:rPr>
              <w:t>Κατασκευή του ανατολικού νοσοκομείου της Λισαβόνας και αγορά εξοπλισμού για νοσοκομεία στη Λισαβόνα και στο Vale do Tejo</w:t>
            </w:r>
          </w:p>
        </w:tc>
      </w:tr>
      <w:tr w:rsidR="00154AD2" w14:paraId="3D441B1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C3D0439" w14:textId="77777777" w:rsidR="00154AD2" w:rsidRDefault="007F6BF3">
            <w:pPr>
              <w:pStyle w:val="P68B1DB1-Normal23"/>
              <w:spacing w:after="0"/>
              <w:jc w:val="center"/>
              <w:rPr>
                <w:noProof/>
              </w:rPr>
            </w:pPr>
            <w:r>
              <w:rPr>
                <w:noProof/>
              </w:rPr>
              <w:t>1.27</w:t>
            </w:r>
          </w:p>
        </w:tc>
        <w:tc>
          <w:tcPr>
            <w:tcW w:w="1760" w:type="dxa"/>
            <w:tcBorders>
              <w:top w:val="nil"/>
              <w:left w:val="nil"/>
              <w:bottom w:val="single" w:sz="4" w:space="0" w:color="auto"/>
              <w:right w:val="single" w:sz="4" w:space="0" w:color="auto"/>
            </w:tcBorders>
            <w:shd w:val="clear" w:color="auto" w:fill="C4EFCE"/>
            <w:vAlign w:val="center"/>
            <w:hideMark/>
          </w:tcPr>
          <w:p w14:paraId="1BD7B0E9" w14:textId="77777777" w:rsidR="00154AD2" w:rsidRDefault="007F6BF3">
            <w:pPr>
              <w:pStyle w:val="P68B1DB1-Normal23"/>
              <w:spacing w:after="0"/>
              <w:jc w:val="center"/>
              <w:rPr>
                <w:noProof/>
              </w:rPr>
            </w:pPr>
            <w:r>
              <w:rPr>
                <w:noProof/>
              </w:rPr>
              <w:t>RE-C01-i05-RAM</w:t>
            </w:r>
          </w:p>
        </w:tc>
        <w:tc>
          <w:tcPr>
            <w:tcW w:w="1520" w:type="dxa"/>
            <w:tcBorders>
              <w:top w:val="nil"/>
              <w:left w:val="nil"/>
              <w:bottom w:val="single" w:sz="4" w:space="0" w:color="auto"/>
              <w:right w:val="single" w:sz="4" w:space="0" w:color="auto"/>
            </w:tcBorders>
            <w:shd w:val="clear" w:color="auto" w:fill="C4EFCE"/>
            <w:vAlign w:val="center"/>
            <w:hideMark/>
          </w:tcPr>
          <w:p w14:paraId="3CAAA8F2" w14:textId="77777777" w:rsidR="00154AD2" w:rsidRDefault="007F6BF3">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A201EA2" w14:textId="77777777" w:rsidR="00154AD2" w:rsidRDefault="007F6BF3">
            <w:pPr>
              <w:pStyle w:val="P68B1DB1-Normal23"/>
              <w:spacing w:after="0"/>
              <w:jc w:val="both"/>
              <w:rPr>
                <w:rFonts w:eastAsia="Calibri" w:cs="Calibri"/>
                <w:noProof/>
              </w:rPr>
            </w:pPr>
            <w:r>
              <w:rPr>
                <w:noProof/>
              </w:rPr>
              <w:t>Αύξηση του αριθμού των διαθέσιμων θέσεων στο σύστημα κατ’ οίκον νοσηλείας της περιφερειακής υπηρεσίας υγείας της Μαδέρας</w:t>
            </w:r>
          </w:p>
        </w:tc>
      </w:tr>
      <w:tr w:rsidR="00154AD2" w14:paraId="5762E4B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8CF62DE" w14:textId="77777777" w:rsidR="00154AD2" w:rsidRDefault="007F6BF3">
            <w:pPr>
              <w:pStyle w:val="P68B1DB1-Normal23"/>
              <w:spacing w:after="0"/>
              <w:jc w:val="center"/>
              <w:rPr>
                <w:noProof/>
              </w:rPr>
            </w:pPr>
            <w:r>
              <w:rPr>
                <w:noProof/>
              </w:rPr>
              <w:t>1.28</w:t>
            </w:r>
          </w:p>
        </w:tc>
        <w:tc>
          <w:tcPr>
            <w:tcW w:w="1760" w:type="dxa"/>
            <w:tcBorders>
              <w:top w:val="nil"/>
              <w:left w:val="nil"/>
              <w:bottom w:val="single" w:sz="4" w:space="0" w:color="auto"/>
              <w:right w:val="single" w:sz="4" w:space="0" w:color="auto"/>
            </w:tcBorders>
            <w:shd w:val="clear" w:color="auto" w:fill="C4EFCE"/>
            <w:vAlign w:val="center"/>
            <w:hideMark/>
          </w:tcPr>
          <w:p w14:paraId="4710DCFA" w14:textId="77777777" w:rsidR="00154AD2" w:rsidRDefault="007F6BF3">
            <w:pPr>
              <w:pStyle w:val="P68B1DB1-Normal23"/>
              <w:spacing w:after="0"/>
              <w:jc w:val="center"/>
              <w:rPr>
                <w:noProof/>
              </w:rPr>
            </w:pPr>
            <w:r>
              <w:rPr>
                <w:noProof/>
              </w:rPr>
              <w:t>RE-C01-i05-RAM</w:t>
            </w:r>
          </w:p>
        </w:tc>
        <w:tc>
          <w:tcPr>
            <w:tcW w:w="1520" w:type="dxa"/>
            <w:tcBorders>
              <w:top w:val="nil"/>
              <w:left w:val="nil"/>
              <w:bottom w:val="single" w:sz="4" w:space="0" w:color="auto"/>
              <w:right w:val="single" w:sz="4" w:space="0" w:color="auto"/>
            </w:tcBorders>
            <w:shd w:val="clear" w:color="auto" w:fill="C4EFCE"/>
            <w:vAlign w:val="center"/>
            <w:hideMark/>
          </w:tcPr>
          <w:p w14:paraId="6CFA463F" w14:textId="77777777" w:rsidR="00154AD2" w:rsidRDefault="007F6BF3">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865E083" w14:textId="77777777" w:rsidR="00154AD2" w:rsidRDefault="007F6BF3">
            <w:pPr>
              <w:pStyle w:val="P68B1DB1-Normal23"/>
              <w:spacing w:after="0"/>
              <w:jc w:val="both"/>
              <w:rPr>
                <w:rFonts w:eastAsia="Calibri" w:cs="Calibri"/>
                <w:noProof/>
              </w:rPr>
            </w:pPr>
            <w:r>
              <w:rPr>
                <w:noProof/>
              </w:rPr>
              <w:t>Σύσταση κοινοτικών ομάδων ψυχικής υγείας στο περιφερειακό σύστημα υγείας της Μαδέρας</w:t>
            </w:r>
          </w:p>
        </w:tc>
      </w:tr>
      <w:tr w:rsidR="00154AD2" w14:paraId="01524A3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7ED4C9A" w14:textId="77777777" w:rsidR="00154AD2" w:rsidRDefault="007F6BF3">
            <w:pPr>
              <w:pStyle w:val="P68B1DB1-Normal23"/>
              <w:spacing w:after="0"/>
              <w:jc w:val="center"/>
              <w:rPr>
                <w:noProof/>
              </w:rPr>
            </w:pPr>
            <w:r>
              <w:rPr>
                <w:noProof/>
              </w:rPr>
              <w:t>1.31</w:t>
            </w:r>
          </w:p>
        </w:tc>
        <w:tc>
          <w:tcPr>
            <w:tcW w:w="1760" w:type="dxa"/>
            <w:tcBorders>
              <w:top w:val="nil"/>
              <w:left w:val="nil"/>
              <w:bottom w:val="single" w:sz="4" w:space="0" w:color="auto"/>
              <w:right w:val="single" w:sz="4" w:space="0" w:color="auto"/>
            </w:tcBorders>
            <w:shd w:val="clear" w:color="auto" w:fill="C4EFCE"/>
            <w:vAlign w:val="center"/>
            <w:hideMark/>
          </w:tcPr>
          <w:p w14:paraId="35A056AF" w14:textId="77777777" w:rsidR="00154AD2" w:rsidRDefault="007F6BF3">
            <w:pPr>
              <w:pStyle w:val="P68B1DB1-Normal23"/>
              <w:spacing w:after="0"/>
              <w:jc w:val="center"/>
              <w:rPr>
                <w:noProof/>
              </w:rPr>
            </w:pPr>
            <w:r>
              <w:rPr>
                <w:noProof/>
              </w:rPr>
              <w:t>RE-C01-i05-RAM</w:t>
            </w:r>
          </w:p>
        </w:tc>
        <w:tc>
          <w:tcPr>
            <w:tcW w:w="1520" w:type="dxa"/>
            <w:tcBorders>
              <w:top w:val="nil"/>
              <w:left w:val="nil"/>
              <w:bottom w:val="single" w:sz="4" w:space="0" w:color="auto"/>
              <w:right w:val="single" w:sz="4" w:space="0" w:color="auto"/>
            </w:tcBorders>
            <w:shd w:val="clear" w:color="auto" w:fill="C4EFCE"/>
            <w:vAlign w:val="center"/>
            <w:hideMark/>
          </w:tcPr>
          <w:p w14:paraId="632A4DE4" w14:textId="77777777" w:rsidR="00154AD2" w:rsidRDefault="007F6BF3">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8FB0741" w14:textId="77777777" w:rsidR="00154AD2" w:rsidRDefault="007F6BF3">
            <w:pPr>
              <w:pStyle w:val="P68B1DB1-Normal23"/>
              <w:spacing w:after="0"/>
              <w:jc w:val="both"/>
              <w:rPr>
                <w:rFonts w:eastAsia="Calibri" w:cs="Calibri"/>
                <w:noProof/>
              </w:rPr>
            </w:pPr>
            <w:r>
              <w:rPr>
                <w:noProof/>
              </w:rPr>
              <w:t>Ανακαίνιση των υπηρεσιών πρωτοβάθμιας υγειονομικής περίθαλψης στο περιφερειακό σύστημα υγείας της Μαδέρας</w:t>
            </w:r>
          </w:p>
        </w:tc>
      </w:tr>
      <w:tr w:rsidR="00154AD2" w14:paraId="5ABD1AF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CF6E924" w14:textId="77777777" w:rsidR="00154AD2" w:rsidRDefault="007F6BF3">
            <w:pPr>
              <w:pStyle w:val="P68B1DB1-Normal23"/>
              <w:spacing w:after="0"/>
              <w:jc w:val="center"/>
              <w:rPr>
                <w:noProof/>
              </w:rPr>
            </w:pPr>
            <w:r>
              <w:rPr>
                <w:noProof/>
              </w:rPr>
              <w:t>1.43</w:t>
            </w:r>
          </w:p>
        </w:tc>
        <w:tc>
          <w:tcPr>
            <w:tcW w:w="1760" w:type="dxa"/>
            <w:tcBorders>
              <w:top w:val="nil"/>
              <w:left w:val="nil"/>
              <w:bottom w:val="single" w:sz="4" w:space="0" w:color="auto"/>
              <w:right w:val="single" w:sz="4" w:space="0" w:color="auto"/>
            </w:tcBorders>
            <w:shd w:val="clear" w:color="auto" w:fill="C4EFCE"/>
            <w:vAlign w:val="center"/>
            <w:hideMark/>
          </w:tcPr>
          <w:p w14:paraId="375AE1E5" w14:textId="77777777" w:rsidR="00154AD2" w:rsidRDefault="007F6BF3">
            <w:pPr>
              <w:pStyle w:val="P68B1DB1-Normal23"/>
              <w:spacing w:after="0"/>
              <w:jc w:val="center"/>
              <w:rPr>
                <w:noProof/>
              </w:rPr>
            </w:pPr>
            <w:r>
              <w:rPr>
                <w:noProof/>
              </w:rPr>
              <w:t>RE-C01-i10</w:t>
            </w:r>
          </w:p>
        </w:tc>
        <w:tc>
          <w:tcPr>
            <w:tcW w:w="1520" w:type="dxa"/>
            <w:tcBorders>
              <w:top w:val="nil"/>
              <w:left w:val="nil"/>
              <w:bottom w:val="single" w:sz="4" w:space="0" w:color="auto"/>
              <w:right w:val="single" w:sz="4" w:space="0" w:color="auto"/>
            </w:tcBorders>
            <w:shd w:val="clear" w:color="auto" w:fill="C4EFCE"/>
            <w:vAlign w:val="center"/>
            <w:hideMark/>
          </w:tcPr>
          <w:p w14:paraId="3498EF00" w14:textId="77777777" w:rsidR="00154AD2" w:rsidRDefault="007F6BF3">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A15A08C" w14:textId="77777777" w:rsidR="00154AD2" w:rsidRDefault="007F6BF3">
            <w:pPr>
              <w:pStyle w:val="P68B1DB1-Normal23"/>
              <w:spacing w:after="0"/>
              <w:jc w:val="both"/>
              <w:rPr>
                <w:rFonts w:eastAsia="Calibri" w:cs="Calibri"/>
                <w:noProof/>
              </w:rPr>
            </w:pPr>
            <w:r>
              <w:rPr>
                <w:noProof/>
              </w:rPr>
              <w:t>Αγορά βαρέος ιατρικού εξοπλισμού</w:t>
            </w:r>
          </w:p>
        </w:tc>
      </w:tr>
      <w:tr w:rsidR="00154AD2" w14:paraId="6AC77FE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3C1269E" w14:textId="77777777" w:rsidR="00154AD2" w:rsidRDefault="007F6BF3">
            <w:pPr>
              <w:pStyle w:val="P68B1DB1-Normal23"/>
              <w:spacing w:after="0"/>
              <w:jc w:val="center"/>
              <w:rPr>
                <w:noProof/>
              </w:rPr>
            </w:pPr>
            <w:r>
              <w:rPr>
                <w:noProof/>
              </w:rPr>
              <w:t>2.3</w:t>
            </w:r>
          </w:p>
        </w:tc>
        <w:tc>
          <w:tcPr>
            <w:tcW w:w="1760" w:type="dxa"/>
            <w:tcBorders>
              <w:top w:val="nil"/>
              <w:left w:val="nil"/>
              <w:bottom w:val="single" w:sz="4" w:space="0" w:color="auto"/>
              <w:right w:val="single" w:sz="4" w:space="0" w:color="auto"/>
            </w:tcBorders>
            <w:shd w:val="clear" w:color="auto" w:fill="C4EFCE"/>
            <w:vAlign w:val="center"/>
            <w:hideMark/>
          </w:tcPr>
          <w:p w14:paraId="43F3328C" w14:textId="77777777" w:rsidR="00154AD2" w:rsidRDefault="007F6BF3">
            <w:pPr>
              <w:pStyle w:val="P68B1DB1-Normal23"/>
              <w:spacing w:after="0"/>
              <w:jc w:val="center"/>
              <w:rPr>
                <w:noProof/>
              </w:rPr>
            </w:pPr>
            <w:r>
              <w:rPr>
                <w:noProof/>
              </w:rPr>
              <w:t>RE-C02-i01</w:t>
            </w:r>
          </w:p>
        </w:tc>
        <w:tc>
          <w:tcPr>
            <w:tcW w:w="1520" w:type="dxa"/>
            <w:tcBorders>
              <w:top w:val="nil"/>
              <w:left w:val="nil"/>
              <w:bottom w:val="single" w:sz="4" w:space="0" w:color="auto"/>
              <w:right w:val="single" w:sz="4" w:space="0" w:color="auto"/>
            </w:tcBorders>
            <w:shd w:val="clear" w:color="auto" w:fill="C4EFCE"/>
            <w:vAlign w:val="center"/>
            <w:hideMark/>
          </w:tcPr>
          <w:p w14:paraId="63E6F2B5" w14:textId="77777777" w:rsidR="00154AD2" w:rsidRDefault="007F6BF3">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DF9FF65" w14:textId="77777777" w:rsidR="00154AD2" w:rsidRDefault="007F6BF3">
            <w:pPr>
              <w:pStyle w:val="P68B1DB1-Normal23"/>
              <w:spacing w:after="0"/>
              <w:jc w:val="both"/>
              <w:rPr>
                <w:rFonts w:eastAsia="Calibri" w:cs="Calibri"/>
                <w:noProof/>
              </w:rPr>
            </w:pPr>
            <w:r>
              <w:rPr>
                <w:noProof/>
              </w:rPr>
              <w:t>Πρόγραμμα στήριξης για την πρόσβαση σε στέγαση — Αγορασμένες, κατασκευασμένες (υψηλής ενεργειακής απόδοσης) ή αποκατεστημένες (με βελτιωμένη ενεργειακή απόδοση) κατοικίες που παρέχονται σε νοικοκυριά</w:t>
            </w:r>
          </w:p>
        </w:tc>
      </w:tr>
      <w:tr w:rsidR="00154AD2" w14:paraId="72A5938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282ECA8" w14:textId="77777777" w:rsidR="00154AD2" w:rsidRDefault="007F6BF3">
            <w:pPr>
              <w:pStyle w:val="P68B1DB1-Normal23"/>
              <w:spacing w:after="0"/>
              <w:jc w:val="center"/>
              <w:rPr>
                <w:noProof/>
              </w:rPr>
            </w:pPr>
            <w:r>
              <w:rPr>
                <w:noProof/>
              </w:rPr>
              <w:t>2.7</w:t>
            </w:r>
          </w:p>
        </w:tc>
        <w:tc>
          <w:tcPr>
            <w:tcW w:w="1760" w:type="dxa"/>
            <w:tcBorders>
              <w:top w:val="nil"/>
              <w:left w:val="nil"/>
              <w:bottom w:val="single" w:sz="4" w:space="0" w:color="auto"/>
              <w:right w:val="single" w:sz="4" w:space="0" w:color="auto"/>
            </w:tcBorders>
            <w:shd w:val="clear" w:color="auto" w:fill="C4EFCE"/>
            <w:vAlign w:val="center"/>
            <w:hideMark/>
          </w:tcPr>
          <w:p w14:paraId="73BDA8CB" w14:textId="77777777" w:rsidR="00154AD2" w:rsidRDefault="007F6BF3">
            <w:pPr>
              <w:pStyle w:val="P68B1DB1-Normal23"/>
              <w:spacing w:after="0"/>
              <w:jc w:val="center"/>
              <w:rPr>
                <w:noProof/>
              </w:rPr>
            </w:pPr>
            <w:r>
              <w:rPr>
                <w:noProof/>
              </w:rPr>
              <w:t>RE-C02-i02</w:t>
            </w:r>
          </w:p>
        </w:tc>
        <w:tc>
          <w:tcPr>
            <w:tcW w:w="1520" w:type="dxa"/>
            <w:tcBorders>
              <w:top w:val="nil"/>
              <w:left w:val="nil"/>
              <w:bottom w:val="single" w:sz="4" w:space="0" w:color="auto"/>
              <w:right w:val="single" w:sz="4" w:space="0" w:color="auto"/>
            </w:tcBorders>
            <w:shd w:val="clear" w:color="auto" w:fill="C4EFCE"/>
            <w:vAlign w:val="center"/>
            <w:hideMark/>
          </w:tcPr>
          <w:p w14:paraId="4E0163B1" w14:textId="77777777" w:rsidR="00154AD2" w:rsidRDefault="007F6BF3">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65A5618" w14:textId="77777777" w:rsidR="00154AD2" w:rsidRDefault="007F6BF3">
            <w:pPr>
              <w:pStyle w:val="P68B1DB1-Normal23"/>
              <w:spacing w:after="0"/>
              <w:jc w:val="both"/>
              <w:rPr>
                <w:rFonts w:eastAsia="Calibri" w:cs="Calibri"/>
                <w:noProof/>
              </w:rPr>
            </w:pPr>
            <w:r>
              <w:rPr>
                <w:noProof/>
              </w:rPr>
              <w:t>Εθνική επιχορήγηση έκτακτης ανάγκης και προσωρινής στέγασης — Κατασκευές έκτακτης ανάγκης και μετάβασης που δημιουργήθηκαν (κατασκευάστηκαν ή αγοράστηκαν σύμφωνα με το πρότυπο ενεργειακής απόδοσης ή αποκαταστάθηκαν, μεταξύ άλλων αγοράστηκαν, με βελτιωμένη ενεργειακή απόδοση) και παραδόθηκαν σε φορείς ανάπτυξης έργων</w:t>
            </w:r>
          </w:p>
        </w:tc>
      </w:tr>
      <w:tr w:rsidR="00154AD2" w14:paraId="0F56588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51AC1AB" w14:textId="77777777" w:rsidR="00154AD2" w:rsidRDefault="007F6BF3">
            <w:pPr>
              <w:pStyle w:val="P68B1DB1-Normal23"/>
              <w:spacing w:after="0"/>
              <w:jc w:val="center"/>
              <w:rPr>
                <w:noProof/>
              </w:rPr>
            </w:pPr>
            <w:r>
              <w:rPr>
                <w:noProof/>
              </w:rPr>
              <w:t>2.8</w:t>
            </w:r>
          </w:p>
        </w:tc>
        <w:tc>
          <w:tcPr>
            <w:tcW w:w="1760" w:type="dxa"/>
            <w:tcBorders>
              <w:top w:val="nil"/>
              <w:left w:val="nil"/>
              <w:bottom w:val="single" w:sz="4" w:space="0" w:color="auto"/>
              <w:right w:val="single" w:sz="4" w:space="0" w:color="auto"/>
            </w:tcBorders>
            <w:shd w:val="clear" w:color="auto" w:fill="C4EFCE"/>
            <w:vAlign w:val="center"/>
            <w:hideMark/>
          </w:tcPr>
          <w:p w14:paraId="7E84AC89" w14:textId="77777777" w:rsidR="00154AD2" w:rsidRDefault="007F6BF3">
            <w:pPr>
              <w:pStyle w:val="P68B1DB1-Normal23"/>
              <w:spacing w:after="0"/>
              <w:jc w:val="center"/>
              <w:rPr>
                <w:noProof/>
              </w:rPr>
            </w:pPr>
            <w:r>
              <w:rPr>
                <w:noProof/>
              </w:rPr>
              <w:t>RE-C02-i02</w:t>
            </w:r>
          </w:p>
        </w:tc>
        <w:tc>
          <w:tcPr>
            <w:tcW w:w="1520" w:type="dxa"/>
            <w:tcBorders>
              <w:top w:val="nil"/>
              <w:left w:val="nil"/>
              <w:bottom w:val="single" w:sz="4" w:space="0" w:color="auto"/>
              <w:right w:val="single" w:sz="4" w:space="0" w:color="auto"/>
            </w:tcBorders>
            <w:shd w:val="clear" w:color="auto" w:fill="C4EFCE"/>
            <w:vAlign w:val="center"/>
            <w:hideMark/>
          </w:tcPr>
          <w:p w14:paraId="42DC07CB" w14:textId="77777777" w:rsidR="00154AD2" w:rsidRDefault="007F6BF3">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E23D2B0" w14:textId="77777777" w:rsidR="00154AD2" w:rsidRDefault="007F6BF3">
            <w:pPr>
              <w:pStyle w:val="P68B1DB1-Normal23"/>
              <w:spacing w:after="0"/>
              <w:jc w:val="both"/>
              <w:rPr>
                <w:rFonts w:eastAsia="Calibri" w:cs="Calibri"/>
                <w:noProof/>
              </w:rPr>
            </w:pPr>
            <w:r>
              <w:rPr>
                <w:noProof/>
              </w:rPr>
              <w:t>Παροχή καταλύματος στις δυνάμεις ασφαλείας και προσωρινή στέγαση για ανθρωπιστικούς λόγους ή λόγους ασφάλειας</w:t>
            </w:r>
          </w:p>
        </w:tc>
      </w:tr>
      <w:tr w:rsidR="00154AD2" w14:paraId="02FF4B3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E8FA595" w14:textId="77777777" w:rsidR="00154AD2" w:rsidRDefault="007F6BF3">
            <w:pPr>
              <w:pStyle w:val="P68B1DB1-Normal23"/>
              <w:spacing w:after="0"/>
              <w:jc w:val="center"/>
              <w:rPr>
                <w:noProof/>
              </w:rPr>
            </w:pPr>
            <w:r>
              <w:rPr>
                <w:noProof/>
              </w:rPr>
              <w:t>2.11</w:t>
            </w:r>
          </w:p>
        </w:tc>
        <w:tc>
          <w:tcPr>
            <w:tcW w:w="1760" w:type="dxa"/>
            <w:tcBorders>
              <w:top w:val="nil"/>
              <w:left w:val="nil"/>
              <w:bottom w:val="single" w:sz="4" w:space="0" w:color="auto"/>
              <w:right w:val="single" w:sz="4" w:space="0" w:color="auto"/>
            </w:tcBorders>
            <w:shd w:val="clear" w:color="auto" w:fill="C4EFCE"/>
            <w:vAlign w:val="center"/>
            <w:hideMark/>
          </w:tcPr>
          <w:p w14:paraId="67D04435" w14:textId="77777777" w:rsidR="00154AD2" w:rsidRDefault="007F6BF3">
            <w:pPr>
              <w:pStyle w:val="P68B1DB1-Normal23"/>
              <w:spacing w:after="0"/>
              <w:jc w:val="center"/>
              <w:rPr>
                <w:noProof/>
              </w:rPr>
            </w:pPr>
            <w:r>
              <w:rPr>
                <w:noProof/>
              </w:rPr>
              <w:t>RE-C02-i03-RAM</w:t>
            </w:r>
          </w:p>
        </w:tc>
        <w:tc>
          <w:tcPr>
            <w:tcW w:w="1520" w:type="dxa"/>
            <w:tcBorders>
              <w:top w:val="nil"/>
              <w:left w:val="nil"/>
              <w:bottom w:val="single" w:sz="4" w:space="0" w:color="auto"/>
              <w:right w:val="single" w:sz="4" w:space="0" w:color="auto"/>
            </w:tcBorders>
            <w:shd w:val="clear" w:color="auto" w:fill="C4EFCE"/>
            <w:vAlign w:val="center"/>
            <w:hideMark/>
          </w:tcPr>
          <w:p w14:paraId="3BD5817E" w14:textId="77777777" w:rsidR="00154AD2" w:rsidRDefault="007F6BF3">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8D58941" w14:textId="77777777" w:rsidR="00154AD2" w:rsidRDefault="007F6BF3">
            <w:pPr>
              <w:pStyle w:val="P68B1DB1-Normal23"/>
              <w:spacing w:after="0"/>
              <w:jc w:val="both"/>
              <w:rPr>
                <w:rFonts w:eastAsia="Calibri" w:cs="Calibri"/>
                <w:noProof/>
              </w:rPr>
            </w:pPr>
            <w:r>
              <w:rPr>
                <w:noProof/>
              </w:rPr>
              <w:t>Υποστηριζόμενη στέγαση στην αυτόνομη περιφέρεια της Μαδέρας</w:t>
            </w:r>
          </w:p>
        </w:tc>
      </w:tr>
      <w:tr w:rsidR="00154AD2" w14:paraId="29129C5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6F57D8F" w14:textId="77777777" w:rsidR="00154AD2" w:rsidRDefault="007F6BF3">
            <w:pPr>
              <w:pStyle w:val="P68B1DB1-Normal23"/>
              <w:spacing w:after="0"/>
              <w:jc w:val="center"/>
              <w:rPr>
                <w:noProof/>
              </w:rPr>
            </w:pPr>
            <w:r>
              <w:rPr>
                <w:noProof/>
              </w:rPr>
              <w:t>2.12</w:t>
            </w:r>
          </w:p>
        </w:tc>
        <w:tc>
          <w:tcPr>
            <w:tcW w:w="1760" w:type="dxa"/>
            <w:tcBorders>
              <w:top w:val="nil"/>
              <w:left w:val="nil"/>
              <w:bottom w:val="single" w:sz="4" w:space="0" w:color="auto"/>
              <w:right w:val="single" w:sz="4" w:space="0" w:color="auto"/>
            </w:tcBorders>
            <w:shd w:val="clear" w:color="auto" w:fill="C4EFCE"/>
            <w:vAlign w:val="center"/>
            <w:hideMark/>
          </w:tcPr>
          <w:p w14:paraId="62DEA51A" w14:textId="77777777" w:rsidR="00154AD2" w:rsidRDefault="007F6BF3">
            <w:pPr>
              <w:pStyle w:val="P68B1DB1-Normal23"/>
              <w:spacing w:after="0"/>
              <w:jc w:val="center"/>
              <w:rPr>
                <w:noProof/>
              </w:rPr>
            </w:pPr>
            <w:r>
              <w:rPr>
                <w:noProof/>
              </w:rPr>
              <w:t>RE-C02-i03-RAM</w:t>
            </w:r>
          </w:p>
        </w:tc>
        <w:tc>
          <w:tcPr>
            <w:tcW w:w="1520" w:type="dxa"/>
            <w:tcBorders>
              <w:top w:val="nil"/>
              <w:left w:val="nil"/>
              <w:bottom w:val="single" w:sz="4" w:space="0" w:color="auto"/>
              <w:right w:val="single" w:sz="4" w:space="0" w:color="auto"/>
            </w:tcBorders>
            <w:shd w:val="clear" w:color="auto" w:fill="C4EFCE"/>
            <w:vAlign w:val="center"/>
            <w:hideMark/>
          </w:tcPr>
          <w:p w14:paraId="1270B23C" w14:textId="77777777" w:rsidR="00154AD2" w:rsidRDefault="007F6BF3">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8726ED5" w14:textId="77777777" w:rsidR="00154AD2" w:rsidRDefault="007F6BF3">
            <w:pPr>
              <w:pStyle w:val="P68B1DB1-Normal23"/>
              <w:spacing w:after="0"/>
              <w:jc w:val="both"/>
              <w:rPr>
                <w:rFonts w:eastAsia="Calibri" w:cs="Calibri"/>
                <w:noProof/>
              </w:rPr>
            </w:pPr>
            <w:r>
              <w:rPr>
                <w:noProof/>
              </w:rPr>
              <w:t>Αριθμός κατειλημμένων από ιδιώτες κατοικιών που ανακαινίστηκαν, μεταξύ άλλων με βελτιωμένη ενεργειακή απόδοση</w:t>
            </w:r>
          </w:p>
        </w:tc>
      </w:tr>
      <w:tr w:rsidR="00154AD2" w14:paraId="18ACBA6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A04DA4C" w14:textId="77777777" w:rsidR="00154AD2" w:rsidRDefault="007F6BF3">
            <w:pPr>
              <w:pStyle w:val="P68B1DB1-Normal23"/>
              <w:spacing w:after="0"/>
              <w:jc w:val="center"/>
              <w:rPr>
                <w:noProof/>
              </w:rPr>
            </w:pPr>
            <w:r>
              <w:rPr>
                <w:noProof/>
              </w:rPr>
              <w:t>2.30</w:t>
            </w:r>
          </w:p>
        </w:tc>
        <w:tc>
          <w:tcPr>
            <w:tcW w:w="1760" w:type="dxa"/>
            <w:tcBorders>
              <w:top w:val="nil"/>
              <w:left w:val="nil"/>
              <w:bottom w:val="single" w:sz="4" w:space="0" w:color="auto"/>
              <w:right w:val="single" w:sz="4" w:space="0" w:color="auto"/>
            </w:tcBorders>
            <w:shd w:val="clear" w:color="auto" w:fill="C4EFCE"/>
            <w:vAlign w:val="center"/>
            <w:hideMark/>
          </w:tcPr>
          <w:p w14:paraId="373778E4" w14:textId="77777777" w:rsidR="00154AD2" w:rsidRDefault="007F6BF3">
            <w:pPr>
              <w:pStyle w:val="P68B1DB1-Normal23"/>
              <w:spacing w:after="0"/>
              <w:jc w:val="center"/>
              <w:rPr>
                <w:noProof/>
              </w:rPr>
            </w:pPr>
            <w:r>
              <w:rPr>
                <w:noProof/>
              </w:rPr>
              <w:t>RE-C02-i07-RAA</w:t>
            </w:r>
          </w:p>
        </w:tc>
        <w:tc>
          <w:tcPr>
            <w:tcW w:w="1520" w:type="dxa"/>
            <w:tcBorders>
              <w:top w:val="nil"/>
              <w:left w:val="nil"/>
              <w:bottom w:val="single" w:sz="4" w:space="0" w:color="auto"/>
              <w:right w:val="single" w:sz="4" w:space="0" w:color="auto"/>
            </w:tcBorders>
            <w:shd w:val="clear" w:color="auto" w:fill="C4EFCE"/>
            <w:vAlign w:val="center"/>
            <w:hideMark/>
          </w:tcPr>
          <w:p w14:paraId="66259027" w14:textId="77777777" w:rsidR="00154AD2" w:rsidRDefault="007F6BF3">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A181364" w14:textId="77777777" w:rsidR="00154AD2" w:rsidRDefault="007F6BF3">
            <w:pPr>
              <w:pStyle w:val="P68B1DB1-Normal23"/>
              <w:spacing w:after="0"/>
              <w:jc w:val="both"/>
              <w:rPr>
                <w:rFonts w:eastAsia="Calibri" w:cs="Calibri"/>
                <w:noProof/>
              </w:rPr>
            </w:pPr>
            <w:r>
              <w:rPr>
                <w:noProof/>
              </w:rPr>
              <w:t>Υποδομή αγροτεμαχίων</w:t>
            </w:r>
          </w:p>
        </w:tc>
      </w:tr>
      <w:tr w:rsidR="00154AD2" w14:paraId="17A4FE4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5779114" w14:textId="77777777" w:rsidR="00154AD2" w:rsidRDefault="007F6BF3">
            <w:pPr>
              <w:pStyle w:val="P68B1DB1-Normal23"/>
              <w:spacing w:after="0"/>
              <w:jc w:val="center"/>
              <w:rPr>
                <w:noProof/>
              </w:rPr>
            </w:pPr>
            <w:r>
              <w:rPr>
                <w:noProof/>
              </w:rPr>
              <w:t>3.1</w:t>
            </w:r>
          </w:p>
        </w:tc>
        <w:tc>
          <w:tcPr>
            <w:tcW w:w="1760" w:type="dxa"/>
            <w:tcBorders>
              <w:top w:val="nil"/>
              <w:left w:val="nil"/>
              <w:bottom w:val="single" w:sz="4" w:space="0" w:color="auto"/>
              <w:right w:val="single" w:sz="4" w:space="0" w:color="auto"/>
            </w:tcBorders>
            <w:shd w:val="clear" w:color="auto" w:fill="C4EFCE"/>
            <w:vAlign w:val="center"/>
            <w:hideMark/>
          </w:tcPr>
          <w:p w14:paraId="470584AE" w14:textId="77777777" w:rsidR="00154AD2" w:rsidRDefault="007F6BF3">
            <w:pPr>
              <w:pStyle w:val="P68B1DB1-Normal23"/>
              <w:spacing w:after="0"/>
              <w:jc w:val="center"/>
              <w:rPr>
                <w:noProof/>
              </w:rPr>
            </w:pPr>
            <w:r>
              <w:rPr>
                <w:noProof/>
              </w:rPr>
              <w:t>RE-C03-i01</w:t>
            </w:r>
          </w:p>
        </w:tc>
        <w:tc>
          <w:tcPr>
            <w:tcW w:w="1520" w:type="dxa"/>
            <w:tcBorders>
              <w:top w:val="nil"/>
              <w:left w:val="nil"/>
              <w:bottom w:val="single" w:sz="4" w:space="0" w:color="auto"/>
              <w:right w:val="single" w:sz="4" w:space="0" w:color="auto"/>
            </w:tcBorders>
            <w:shd w:val="clear" w:color="auto" w:fill="C4EFCE"/>
            <w:vAlign w:val="center"/>
            <w:hideMark/>
          </w:tcPr>
          <w:p w14:paraId="39BFEDF0" w14:textId="77777777" w:rsidR="00154AD2" w:rsidRDefault="007F6BF3">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317EB27" w14:textId="77777777" w:rsidR="00154AD2" w:rsidRDefault="007F6BF3">
            <w:pPr>
              <w:pStyle w:val="P68B1DB1-Normal23"/>
              <w:spacing w:after="0"/>
              <w:jc w:val="both"/>
              <w:rPr>
                <w:rFonts w:eastAsia="Calibri" w:cs="Calibri"/>
                <w:noProof/>
              </w:rPr>
            </w:pPr>
            <w:r>
              <w:rPr>
                <w:noProof/>
              </w:rPr>
              <w:t>Παράδοση ηλεκτρικών οχημάτων</w:t>
            </w:r>
          </w:p>
        </w:tc>
      </w:tr>
      <w:tr w:rsidR="00154AD2" w14:paraId="5728D53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FBBABBB" w14:textId="77777777" w:rsidR="00154AD2" w:rsidRDefault="007F6BF3">
            <w:pPr>
              <w:pStyle w:val="P68B1DB1-Normal23"/>
              <w:spacing w:after="0"/>
              <w:jc w:val="center"/>
              <w:rPr>
                <w:noProof/>
              </w:rPr>
            </w:pPr>
            <w:r>
              <w:rPr>
                <w:noProof/>
              </w:rPr>
              <w:t>3.4</w:t>
            </w:r>
          </w:p>
        </w:tc>
        <w:tc>
          <w:tcPr>
            <w:tcW w:w="1760" w:type="dxa"/>
            <w:tcBorders>
              <w:top w:val="nil"/>
              <w:left w:val="nil"/>
              <w:bottom w:val="single" w:sz="4" w:space="0" w:color="auto"/>
              <w:right w:val="single" w:sz="4" w:space="0" w:color="auto"/>
            </w:tcBorders>
            <w:shd w:val="clear" w:color="auto" w:fill="C4EFCE"/>
            <w:vAlign w:val="center"/>
            <w:hideMark/>
          </w:tcPr>
          <w:p w14:paraId="4DB7F8C7" w14:textId="77777777" w:rsidR="00154AD2" w:rsidRDefault="007F6BF3">
            <w:pPr>
              <w:pStyle w:val="P68B1DB1-Normal23"/>
              <w:spacing w:after="0"/>
              <w:jc w:val="center"/>
              <w:rPr>
                <w:noProof/>
              </w:rPr>
            </w:pPr>
            <w:r>
              <w:rPr>
                <w:noProof/>
              </w:rPr>
              <w:t>RE-C03-i01</w:t>
            </w:r>
          </w:p>
        </w:tc>
        <w:tc>
          <w:tcPr>
            <w:tcW w:w="1520" w:type="dxa"/>
            <w:tcBorders>
              <w:top w:val="nil"/>
              <w:left w:val="nil"/>
              <w:bottom w:val="single" w:sz="4" w:space="0" w:color="auto"/>
              <w:right w:val="single" w:sz="4" w:space="0" w:color="auto"/>
            </w:tcBorders>
            <w:shd w:val="clear" w:color="auto" w:fill="C4EFCE"/>
            <w:vAlign w:val="center"/>
            <w:hideMark/>
          </w:tcPr>
          <w:p w14:paraId="25CFCDF3" w14:textId="77777777" w:rsidR="00154AD2" w:rsidRDefault="007F6BF3">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01CAD15" w14:textId="77777777" w:rsidR="00154AD2" w:rsidRDefault="007F6BF3">
            <w:pPr>
              <w:pStyle w:val="P68B1DB1-Normal23"/>
              <w:spacing w:after="0"/>
              <w:jc w:val="both"/>
              <w:rPr>
                <w:rFonts w:eastAsia="Calibri" w:cs="Calibri"/>
                <w:noProof/>
              </w:rPr>
            </w:pPr>
            <w:r>
              <w:rPr>
                <w:noProof/>
              </w:rPr>
              <w:t>Δημιουργία νέων χώρων και ανακαίνιση υφιστάμενων χώρων σε κοινωνικές εγκαταστάσεις</w:t>
            </w:r>
          </w:p>
        </w:tc>
      </w:tr>
      <w:tr w:rsidR="00154AD2" w14:paraId="7D873F1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489AAD3" w14:textId="77777777" w:rsidR="00154AD2" w:rsidRDefault="007F6BF3">
            <w:pPr>
              <w:pStyle w:val="P68B1DB1-Normal23"/>
              <w:spacing w:after="0"/>
              <w:jc w:val="center"/>
              <w:rPr>
                <w:noProof/>
              </w:rPr>
            </w:pPr>
            <w:r>
              <w:rPr>
                <w:noProof/>
              </w:rPr>
              <w:t>3.5</w:t>
            </w:r>
          </w:p>
        </w:tc>
        <w:tc>
          <w:tcPr>
            <w:tcW w:w="1760" w:type="dxa"/>
            <w:tcBorders>
              <w:top w:val="nil"/>
              <w:left w:val="nil"/>
              <w:bottom w:val="single" w:sz="4" w:space="0" w:color="auto"/>
              <w:right w:val="single" w:sz="4" w:space="0" w:color="auto"/>
            </w:tcBorders>
            <w:shd w:val="clear" w:color="auto" w:fill="C4EFCE"/>
            <w:vAlign w:val="center"/>
            <w:hideMark/>
          </w:tcPr>
          <w:p w14:paraId="406B51CB" w14:textId="77777777" w:rsidR="00154AD2" w:rsidRDefault="007F6BF3">
            <w:pPr>
              <w:pStyle w:val="P68B1DB1-Normal23"/>
              <w:spacing w:after="0"/>
              <w:jc w:val="center"/>
              <w:rPr>
                <w:noProof/>
              </w:rPr>
            </w:pPr>
            <w:r>
              <w:rPr>
                <w:noProof/>
              </w:rPr>
              <w:t>RE-C03-i01</w:t>
            </w:r>
          </w:p>
        </w:tc>
        <w:tc>
          <w:tcPr>
            <w:tcW w:w="1520" w:type="dxa"/>
            <w:tcBorders>
              <w:top w:val="nil"/>
              <w:left w:val="nil"/>
              <w:bottom w:val="single" w:sz="4" w:space="0" w:color="auto"/>
              <w:right w:val="single" w:sz="4" w:space="0" w:color="auto"/>
            </w:tcBorders>
            <w:shd w:val="clear" w:color="auto" w:fill="C4EFCE"/>
            <w:vAlign w:val="center"/>
            <w:hideMark/>
          </w:tcPr>
          <w:p w14:paraId="702DBD39" w14:textId="77777777" w:rsidR="00154AD2" w:rsidRDefault="007F6BF3">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5C123CD" w14:textId="77777777" w:rsidR="00154AD2" w:rsidRDefault="007F6BF3">
            <w:pPr>
              <w:pStyle w:val="P68B1DB1-Normal23"/>
              <w:spacing w:after="0"/>
              <w:jc w:val="both"/>
              <w:rPr>
                <w:rFonts w:eastAsia="Calibri" w:cs="Calibri"/>
                <w:noProof/>
              </w:rPr>
            </w:pPr>
            <w:r>
              <w:rPr>
                <w:noProof/>
              </w:rPr>
              <w:t>Χρήστες υπηρεσιών υποστήριξης κατ’ οίκον και προσωπικό που λαμβάνουν πρόσβαση σε ταμπλέτες και άλλο εξοπλισμό ΤΠ και επικοινωνίας, εξοπλισμό τεχνικής βοήθειας ή κατάρτιση.</w:t>
            </w:r>
          </w:p>
        </w:tc>
      </w:tr>
      <w:tr w:rsidR="00154AD2" w14:paraId="221C68F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88D6553" w14:textId="77777777" w:rsidR="00154AD2" w:rsidRDefault="007F6BF3">
            <w:pPr>
              <w:pStyle w:val="P68B1DB1-Normal23"/>
              <w:spacing w:after="0"/>
              <w:jc w:val="center"/>
              <w:rPr>
                <w:noProof/>
              </w:rPr>
            </w:pPr>
            <w:r>
              <w:rPr>
                <w:noProof/>
              </w:rPr>
              <w:t>3.13</w:t>
            </w:r>
          </w:p>
        </w:tc>
        <w:tc>
          <w:tcPr>
            <w:tcW w:w="1760" w:type="dxa"/>
            <w:tcBorders>
              <w:top w:val="nil"/>
              <w:left w:val="nil"/>
              <w:bottom w:val="single" w:sz="4" w:space="0" w:color="auto"/>
              <w:right w:val="single" w:sz="4" w:space="0" w:color="auto"/>
            </w:tcBorders>
            <w:shd w:val="clear" w:color="auto" w:fill="C4EFCE"/>
            <w:vAlign w:val="center"/>
            <w:hideMark/>
          </w:tcPr>
          <w:p w14:paraId="7374EBB4" w14:textId="77777777" w:rsidR="00154AD2" w:rsidRDefault="007F6BF3">
            <w:pPr>
              <w:pStyle w:val="P68B1DB1-Normal23"/>
              <w:spacing w:after="0"/>
              <w:jc w:val="center"/>
              <w:rPr>
                <w:noProof/>
              </w:rPr>
            </w:pPr>
            <w:r>
              <w:rPr>
                <w:noProof/>
              </w:rPr>
              <w:t>RE-C03-i04-RAA</w:t>
            </w:r>
          </w:p>
        </w:tc>
        <w:tc>
          <w:tcPr>
            <w:tcW w:w="1520" w:type="dxa"/>
            <w:tcBorders>
              <w:top w:val="nil"/>
              <w:left w:val="nil"/>
              <w:bottom w:val="single" w:sz="4" w:space="0" w:color="auto"/>
              <w:right w:val="single" w:sz="4" w:space="0" w:color="auto"/>
            </w:tcBorders>
            <w:shd w:val="clear" w:color="auto" w:fill="C4EFCE"/>
            <w:vAlign w:val="center"/>
            <w:hideMark/>
          </w:tcPr>
          <w:p w14:paraId="67834E53" w14:textId="77777777" w:rsidR="00154AD2" w:rsidRDefault="007F6BF3">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360C2C2" w14:textId="77777777" w:rsidR="00154AD2" w:rsidRDefault="007F6BF3">
            <w:pPr>
              <w:pStyle w:val="P68B1DB1-Normal23"/>
              <w:spacing w:after="0"/>
              <w:jc w:val="both"/>
              <w:rPr>
                <w:rFonts w:eastAsia="Calibri" w:cs="Calibri"/>
                <w:noProof/>
              </w:rPr>
            </w:pPr>
            <w:r>
              <w:rPr>
                <w:noProof/>
              </w:rPr>
              <w:t>Νέες θέσεις για άτομα με αναπηρία σε κέντρα φροντίδας που υποστηρίζουν άτομα με αναπηρία</w:t>
            </w:r>
          </w:p>
        </w:tc>
      </w:tr>
      <w:tr w:rsidR="00154AD2" w14:paraId="4ED34FB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6F29E92" w14:textId="77777777" w:rsidR="00154AD2" w:rsidRDefault="007F6BF3">
            <w:pPr>
              <w:pStyle w:val="P68B1DB1-Normal23"/>
              <w:spacing w:after="0"/>
              <w:jc w:val="center"/>
              <w:rPr>
                <w:noProof/>
              </w:rPr>
            </w:pPr>
            <w:r>
              <w:rPr>
                <w:noProof/>
              </w:rPr>
              <w:t>3.28</w:t>
            </w:r>
          </w:p>
        </w:tc>
        <w:tc>
          <w:tcPr>
            <w:tcW w:w="1760" w:type="dxa"/>
            <w:tcBorders>
              <w:top w:val="nil"/>
              <w:left w:val="nil"/>
              <w:bottom w:val="single" w:sz="4" w:space="0" w:color="auto"/>
              <w:right w:val="single" w:sz="4" w:space="0" w:color="auto"/>
            </w:tcBorders>
            <w:shd w:val="clear" w:color="auto" w:fill="C4EFCE"/>
            <w:vAlign w:val="center"/>
            <w:hideMark/>
          </w:tcPr>
          <w:p w14:paraId="14BA29A6" w14:textId="77777777" w:rsidR="00154AD2" w:rsidRDefault="007F6BF3">
            <w:pPr>
              <w:pStyle w:val="P68B1DB1-Normal23"/>
              <w:spacing w:after="0"/>
              <w:jc w:val="center"/>
              <w:rPr>
                <w:noProof/>
              </w:rPr>
            </w:pPr>
            <w:r>
              <w:rPr>
                <w:noProof/>
              </w:rPr>
              <w:t>RE-C03-i07-RAA</w:t>
            </w:r>
          </w:p>
        </w:tc>
        <w:tc>
          <w:tcPr>
            <w:tcW w:w="1520" w:type="dxa"/>
            <w:tcBorders>
              <w:top w:val="nil"/>
              <w:left w:val="nil"/>
              <w:bottom w:val="single" w:sz="4" w:space="0" w:color="auto"/>
              <w:right w:val="single" w:sz="4" w:space="0" w:color="auto"/>
            </w:tcBorders>
            <w:shd w:val="clear" w:color="auto" w:fill="C4EFCE"/>
            <w:vAlign w:val="center"/>
            <w:hideMark/>
          </w:tcPr>
          <w:p w14:paraId="44DC7A47" w14:textId="77777777" w:rsidR="00154AD2" w:rsidRDefault="007F6BF3">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94BDFBE" w14:textId="77777777" w:rsidR="00154AD2" w:rsidRDefault="007F6BF3">
            <w:pPr>
              <w:pStyle w:val="P68B1DB1-Normal23"/>
              <w:spacing w:after="0"/>
              <w:jc w:val="both"/>
              <w:rPr>
                <w:rFonts w:eastAsia="Calibri" w:cs="Calibri"/>
                <w:noProof/>
              </w:rPr>
            </w:pPr>
            <w:r>
              <w:rPr>
                <w:noProof/>
              </w:rPr>
              <w:t>Διευρυμένες ή ανακαινισμένες θέσεις σε οίκους ευγηρίας</w:t>
            </w:r>
          </w:p>
        </w:tc>
      </w:tr>
      <w:tr w:rsidR="00154AD2" w14:paraId="5285504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BA61B90" w14:textId="77777777" w:rsidR="00154AD2" w:rsidRDefault="007F6BF3">
            <w:pPr>
              <w:pStyle w:val="P68B1DB1-Normal23"/>
              <w:spacing w:after="0"/>
              <w:jc w:val="center"/>
              <w:rPr>
                <w:noProof/>
              </w:rPr>
            </w:pPr>
            <w:r>
              <w:rPr>
                <w:noProof/>
              </w:rPr>
              <w:t>3.30</w:t>
            </w:r>
          </w:p>
        </w:tc>
        <w:tc>
          <w:tcPr>
            <w:tcW w:w="1760" w:type="dxa"/>
            <w:tcBorders>
              <w:top w:val="nil"/>
              <w:left w:val="nil"/>
              <w:bottom w:val="single" w:sz="4" w:space="0" w:color="auto"/>
              <w:right w:val="single" w:sz="4" w:space="0" w:color="auto"/>
            </w:tcBorders>
            <w:shd w:val="clear" w:color="auto" w:fill="C4EFCE"/>
            <w:vAlign w:val="center"/>
            <w:hideMark/>
          </w:tcPr>
          <w:p w14:paraId="4E7C355C" w14:textId="77777777" w:rsidR="00154AD2" w:rsidRDefault="007F6BF3">
            <w:pPr>
              <w:pStyle w:val="P68B1DB1-Normal23"/>
              <w:spacing w:after="0"/>
              <w:jc w:val="center"/>
              <w:rPr>
                <w:noProof/>
              </w:rPr>
            </w:pPr>
            <w:r>
              <w:rPr>
                <w:noProof/>
              </w:rPr>
              <w:t>RE-C03-r38</w:t>
            </w:r>
          </w:p>
        </w:tc>
        <w:tc>
          <w:tcPr>
            <w:tcW w:w="1520" w:type="dxa"/>
            <w:tcBorders>
              <w:top w:val="nil"/>
              <w:left w:val="nil"/>
              <w:bottom w:val="single" w:sz="4" w:space="0" w:color="auto"/>
              <w:right w:val="single" w:sz="4" w:space="0" w:color="auto"/>
            </w:tcBorders>
            <w:shd w:val="clear" w:color="auto" w:fill="C4EFCE"/>
            <w:vAlign w:val="center"/>
            <w:hideMark/>
          </w:tcPr>
          <w:p w14:paraId="0E17E04B" w14:textId="77777777" w:rsidR="00154AD2" w:rsidRDefault="007F6BF3">
            <w:pPr>
              <w:pStyle w:val="P68B1DB1-Normal23"/>
              <w:spacing w:after="0"/>
              <w:jc w:val="center"/>
              <w:rPr>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50456DE" w14:textId="77777777" w:rsidR="00154AD2" w:rsidRDefault="007F6BF3">
            <w:pPr>
              <w:pStyle w:val="P68B1DB1-Normal23"/>
              <w:spacing w:after="0"/>
              <w:jc w:val="both"/>
              <w:rPr>
                <w:rFonts w:eastAsia="Calibri" w:cs="Calibri"/>
                <w:noProof/>
              </w:rPr>
            </w:pPr>
            <w:r>
              <w:rPr>
                <w:noProof/>
              </w:rPr>
              <w:t>Έναρξη ισχύος του Ενιαίου Κοινωνικού Παροχής (στο πλαίσιο του συστήματος κοινωνικής προστασίας του πολίτη) και του Κώδικα Κοινωνικών Παροχών</w:t>
            </w:r>
          </w:p>
        </w:tc>
      </w:tr>
      <w:tr w:rsidR="00154AD2" w14:paraId="3397C6F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F656E29" w14:textId="77777777" w:rsidR="00154AD2" w:rsidRDefault="007F6BF3">
            <w:pPr>
              <w:pStyle w:val="P68B1DB1-Normal23"/>
              <w:spacing w:after="0"/>
              <w:jc w:val="center"/>
              <w:rPr>
                <w:rFonts w:eastAsia="Calibri" w:cs="Calibri"/>
                <w:noProof/>
              </w:rPr>
            </w:pPr>
            <w:r>
              <w:rPr>
                <w:noProof/>
              </w:rPr>
              <w:t>4.4</w:t>
            </w:r>
          </w:p>
        </w:tc>
        <w:tc>
          <w:tcPr>
            <w:tcW w:w="1760" w:type="dxa"/>
            <w:tcBorders>
              <w:top w:val="nil"/>
              <w:left w:val="nil"/>
              <w:bottom w:val="single" w:sz="4" w:space="0" w:color="auto"/>
              <w:right w:val="single" w:sz="4" w:space="0" w:color="auto"/>
            </w:tcBorders>
            <w:shd w:val="clear" w:color="auto" w:fill="C4EFCE"/>
            <w:vAlign w:val="center"/>
            <w:hideMark/>
          </w:tcPr>
          <w:p w14:paraId="514007D7" w14:textId="77777777" w:rsidR="00154AD2" w:rsidRDefault="007F6BF3">
            <w:pPr>
              <w:pStyle w:val="P68B1DB1-Normal23"/>
              <w:spacing w:after="0"/>
              <w:jc w:val="center"/>
              <w:rPr>
                <w:rFonts w:eastAsia="Calibri" w:cs="Calibri"/>
                <w:noProof/>
              </w:rPr>
            </w:pPr>
            <w:r>
              <w:rPr>
                <w:noProof/>
              </w:rPr>
              <w:t>RE-C04-i01</w:t>
            </w:r>
          </w:p>
        </w:tc>
        <w:tc>
          <w:tcPr>
            <w:tcW w:w="1520" w:type="dxa"/>
            <w:tcBorders>
              <w:top w:val="nil"/>
              <w:left w:val="nil"/>
              <w:bottom w:val="single" w:sz="4" w:space="0" w:color="auto"/>
              <w:right w:val="single" w:sz="4" w:space="0" w:color="auto"/>
            </w:tcBorders>
            <w:shd w:val="clear" w:color="auto" w:fill="C4EFCE"/>
            <w:vAlign w:val="center"/>
            <w:hideMark/>
          </w:tcPr>
          <w:p w14:paraId="2079A0FE"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521FA99" w14:textId="77777777" w:rsidR="00154AD2" w:rsidRDefault="007F6BF3">
            <w:pPr>
              <w:pStyle w:val="P68B1DB1-Normal23"/>
              <w:spacing w:after="0"/>
              <w:jc w:val="both"/>
              <w:rPr>
                <w:rFonts w:eastAsia="Calibri" w:cs="Calibri"/>
                <w:noProof/>
              </w:rPr>
            </w:pPr>
            <w:r>
              <w:rPr>
                <w:noProof/>
              </w:rPr>
              <w:t>Παροχή εκσυγχρονισμένης τεχνολογικής υποδομής για το δίκτυο πολιτιστικών εγκαταστάσεων</w:t>
            </w:r>
          </w:p>
        </w:tc>
      </w:tr>
      <w:tr w:rsidR="00154AD2" w14:paraId="22480C7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0B94759" w14:textId="77777777" w:rsidR="00154AD2" w:rsidRDefault="007F6BF3">
            <w:pPr>
              <w:pStyle w:val="P68B1DB1-Normal23"/>
              <w:spacing w:after="0"/>
              <w:jc w:val="center"/>
              <w:rPr>
                <w:rFonts w:eastAsia="Calibri" w:cs="Calibri"/>
                <w:noProof/>
              </w:rPr>
            </w:pPr>
            <w:r>
              <w:rPr>
                <w:noProof/>
              </w:rPr>
              <w:t>4.8</w:t>
            </w:r>
          </w:p>
        </w:tc>
        <w:tc>
          <w:tcPr>
            <w:tcW w:w="1760" w:type="dxa"/>
            <w:tcBorders>
              <w:top w:val="nil"/>
              <w:left w:val="nil"/>
              <w:bottom w:val="single" w:sz="4" w:space="0" w:color="auto"/>
              <w:right w:val="single" w:sz="4" w:space="0" w:color="auto"/>
            </w:tcBorders>
            <w:shd w:val="clear" w:color="auto" w:fill="C4EFCE"/>
            <w:vAlign w:val="center"/>
            <w:hideMark/>
          </w:tcPr>
          <w:p w14:paraId="3EF31C11" w14:textId="77777777" w:rsidR="00154AD2" w:rsidRDefault="007F6BF3">
            <w:pPr>
              <w:pStyle w:val="P68B1DB1-Normal23"/>
              <w:spacing w:after="0"/>
              <w:jc w:val="center"/>
              <w:rPr>
                <w:rFonts w:eastAsia="Calibri" w:cs="Calibri"/>
                <w:noProof/>
              </w:rPr>
            </w:pPr>
            <w:r>
              <w:rPr>
                <w:noProof/>
              </w:rPr>
              <w:t>RE-C04-i02</w:t>
            </w:r>
          </w:p>
        </w:tc>
        <w:tc>
          <w:tcPr>
            <w:tcW w:w="1520" w:type="dxa"/>
            <w:tcBorders>
              <w:top w:val="nil"/>
              <w:left w:val="nil"/>
              <w:bottom w:val="single" w:sz="4" w:space="0" w:color="auto"/>
              <w:right w:val="single" w:sz="4" w:space="0" w:color="auto"/>
            </w:tcBorders>
            <w:shd w:val="clear" w:color="auto" w:fill="C4EFCE"/>
            <w:vAlign w:val="center"/>
            <w:hideMark/>
          </w:tcPr>
          <w:p w14:paraId="0F887FE3"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29ED46D" w14:textId="77777777" w:rsidR="00154AD2" w:rsidRDefault="007F6BF3">
            <w:pPr>
              <w:pStyle w:val="P68B1DB1-Normal23"/>
              <w:spacing w:after="0"/>
              <w:jc w:val="both"/>
              <w:rPr>
                <w:rFonts w:eastAsia="Calibri" w:cs="Calibri"/>
                <w:noProof/>
              </w:rPr>
            </w:pPr>
            <w:r>
              <w:rPr>
                <w:noProof/>
              </w:rPr>
              <w:t>Περατωθείσες εργασίες αποκατάστασης και συντήρησης κτιρίων πολιτιστικής κληρονομιάς και εθνικών θεάτρων</w:t>
            </w:r>
          </w:p>
        </w:tc>
      </w:tr>
      <w:tr w:rsidR="00154AD2" w14:paraId="6AE61A9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113649D" w14:textId="77777777" w:rsidR="00154AD2" w:rsidRDefault="007F6BF3">
            <w:pPr>
              <w:pStyle w:val="P68B1DB1-Normal23"/>
              <w:spacing w:after="0"/>
              <w:jc w:val="center"/>
              <w:rPr>
                <w:rFonts w:eastAsia="Calibri" w:cs="Calibri"/>
                <w:noProof/>
              </w:rPr>
            </w:pPr>
            <w:r>
              <w:rPr>
                <w:noProof/>
              </w:rPr>
              <w:t>4.10</w:t>
            </w:r>
          </w:p>
        </w:tc>
        <w:tc>
          <w:tcPr>
            <w:tcW w:w="1760" w:type="dxa"/>
            <w:tcBorders>
              <w:top w:val="nil"/>
              <w:left w:val="nil"/>
              <w:bottom w:val="single" w:sz="4" w:space="0" w:color="auto"/>
              <w:right w:val="single" w:sz="4" w:space="0" w:color="auto"/>
            </w:tcBorders>
            <w:shd w:val="clear" w:color="auto" w:fill="C4EFCE"/>
            <w:vAlign w:val="center"/>
            <w:hideMark/>
          </w:tcPr>
          <w:p w14:paraId="20079FAC" w14:textId="77777777" w:rsidR="00154AD2" w:rsidRDefault="007F6BF3">
            <w:pPr>
              <w:pStyle w:val="P68B1DB1-Normal23"/>
              <w:spacing w:after="0"/>
              <w:jc w:val="center"/>
              <w:rPr>
                <w:rFonts w:eastAsia="Calibri" w:cs="Calibri"/>
                <w:noProof/>
              </w:rPr>
            </w:pPr>
            <w:r>
              <w:rPr>
                <w:noProof/>
              </w:rPr>
              <w:t>RE-C04-i01</w:t>
            </w:r>
          </w:p>
        </w:tc>
        <w:tc>
          <w:tcPr>
            <w:tcW w:w="1520" w:type="dxa"/>
            <w:tcBorders>
              <w:top w:val="nil"/>
              <w:left w:val="nil"/>
              <w:bottom w:val="single" w:sz="4" w:space="0" w:color="auto"/>
              <w:right w:val="single" w:sz="4" w:space="0" w:color="auto"/>
            </w:tcBorders>
            <w:shd w:val="clear" w:color="auto" w:fill="C4EFCE"/>
            <w:vAlign w:val="center"/>
            <w:hideMark/>
          </w:tcPr>
          <w:p w14:paraId="5F854BA5"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7B3E1B2" w14:textId="77777777" w:rsidR="00154AD2" w:rsidRDefault="007F6BF3">
            <w:pPr>
              <w:pStyle w:val="P68B1DB1-Normal23"/>
              <w:spacing w:after="0"/>
              <w:jc w:val="both"/>
              <w:rPr>
                <w:rFonts w:eastAsia="Calibri" w:cs="Calibri"/>
                <w:noProof/>
              </w:rPr>
            </w:pPr>
            <w:r>
              <w:rPr>
                <w:noProof/>
              </w:rPr>
              <w:t>Παράδοση εξοπλισμού για την εγκατάσταση του Εθνικού Αρχείου Σήχου και για τον τεχνολογικό εκσυγχρονισμό των δημόσιων εργαστηρίων</w:t>
            </w:r>
          </w:p>
        </w:tc>
      </w:tr>
      <w:tr w:rsidR="00154AD2" w14:paraId="26B43C5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8970426" w14:textId="77777777" w:rsidR="00154AD2" w:rsidRDefault="007F6BF3">
            <w:pPr>
              <w:pStyle w:val="P68B1DB1-Normal23"/>
              <w:spacing w:after="0"/>
              <w:jc w:val="center"/>
              <w:rPr>
                <w:rFonts w:eastAsia="Calibri" w:cs="Calibri"/>
                <w:noProof/>
              </w:rPr>
            </w:pPr>
            <w:r>
              <w:rPr>
                <w:noProof/>
              </w:rPr>
              <w:t>4.12</w:t>
            </w:r>
          </w:p>
        </w:tc>
        <w:tc>
          <w:tcPr>
            <w:tcW w:w="1760" w:type="dxa"/>
            <w:tcBorders>
              <w:top w:val="nil"/>
              <w:left w:val="nil"/>
              <w:bottom w:val="single" w:sz="4" w:space="0" w:color="auto"/>
              <w:right w:val="single" w:sz="4" w:space="0" w:color="auto"/>
            </w:tcBorders>
            <w:shd w:val="clear" w:color="auto" w:fill="C4EFCE"/>
            <w:vAlign w:val="center"/>
            <w:hideMark/>
          </w:tcPr>
          <w:p w14:paraId="7486F1DB" w14:textId="77777777" w:rsidR="00154AD2" w:rsidRDefault="007F6BF3">
            <w:pPr>
              <w:pStyle w:val="P68B1DB1-Normal23"/>
              <w:spacing w:after="0"/>
              <w:jc w:val="center"/>
              <w:rPr>
                <w:rFonts w:eastAsia="Calibri" w:cs="Calibri"/>
                <w:noProof/>
              </w:rPr>
            </w:pPr>
            <w:r>
              <w:rPr>
                <w:noProof/>
              </w:rPr>
              <w:t>RE-C04-i02</w:t>
            </w:r>
          </w:p>
        </w:tc>
        <w:tc>
          <w:tcPr>
            <w:tcW w:w="1520" w:type="dxa"/>
            <w:tcBorders>
              <w:top w:val="nil"/>
              <w:left w:val="nil"/>
              <w:bottom w:val="single" w:sz="4" w:space="0" w:color="auto"/>
              <w:right w:val="single" w:sz="4" w:space="0" w:color="auto"/>
            </w:tcBorders>
            <w:shd w:val="clear" w:color="auto" w:fill="C4EFCE"/>
            <w:vAlign w:val="center"/>
            <w:hideMark/>
          </w:tcPr>
          <w:p w14:paraId="77F94668"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10EFAB2" w14:textId="77777777" w:rsidR="00154AD2" w:rsidRDefault="007F6BF3">
            <w:pPr>
              <w:pStyle w:val="P68B1DB1-Normal23"/>
              <w:spacing w:after="0"/>
              <w:jc w:val="both"/>
              <w:rPr>
                <w:rFonts w:eastAsia="Calibri" w:cs="Calibri"/>
                <w:noProof/>
              </w:rPr>
            </w:pPr>
            <w:r>
              <w:rPr>
                <w:noProof/>
              </w:rPr>
              <w:t>Ολοκλήρωση της κατασκευής του Εθνικού Αρχειακού Αρχείου</w:t>
            </w:r>
          </w:p>
        </w:tc>
      </w:tr>
      <w:tr w:rsidR="00154AD2" w14:paraId="2415A55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B7B4F29" w14:textId="77777777" w:rsidR="00154AD2" w:rsidRDefault="007F6BF3">
            <w:pPr>
              <w:pStyle w:val="P68B1DB1-Normal23"/>
              <w:spacing w:after="0"/>
              <w:jc w:val="center"/>
              <w:rPr>
                <w:rFonts w:eastAsia="Calibri" w:cs="Calibri"/>
                <w:noProof/>
              </w:rPr>
            </w:pPr>
            <w:r>
              <w:rPr>
                <w:noProof/>
              </w:rPr>
              <w:t>5.36</w:t>
            </w:r>
          </w:p>
        </w:tc>
        <w:tc>
          <w:tcPr>
            <w:tcW w:w="1760" w:type="dxa"/>
            <w:tcBorders>
              <w:top w:val="nil"/>
              <w:left w:val="nil"/>
              <w:bottom w:val="single" w:sz="4" w:space="0" w:color="auto"/>
              <w:right w:val="single" w:sz="4" w:space="0" w:color="auto"/>
            </w:tcBorders>
            <w:shd w:val="clear" w:color="auto" w:fill="C4EFCE"/>
            <w:vAlign w:val="center"/>
            <w:hideMark/>
          </w:tcPr>
          <w:p w14:paraId="7498C044" w14:textId="77777777" w:rsidR="00154AD2" w:rsidRDefault="007F6BF3">
            <w:pPr>
              <w:pStyle w:val="P68B1DB1-Normal23"/>
              <w:spacing w:after="0"/>
              <w:jc w:val="center"/>
              <w:rPr>
                <w:rFonts w:eastAsia="Calibri" w:cs="Calibri"/>
                <w:noProof/>
              </w:rPr>
            </w:pPr>
            <w:r>
              <w:rPr>
                <w:noProof/>
              </w:rPr>
              <w:t>RE-C05-i08</w:t>
            </w:r>
          </w:p>
        </w:tc>
        <w:tc>
          <w:tcPr>
            <w:tcW w:w="1520" w:type="dxa"/>
            <w:tcBorders>
              <w:top w:val="nil"/>
              <w:left w:val="nil"/>
              <w:bottom w:val="single" w:sz="4" w:space="0" w:color="auto"/>
              <w:right w:val="single" w:sz="4" w:space="0" w:color="auto"/>
            </w:tcBorders>
            <w:shd w:val="clear" w:color="auto" w:fill="C4EFCE"/>
            <w:vAlign w:val="center"/>
            <w:hideMark/>
          </w:tcPr>
          <w:p w14:paraId="2314F1F5"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5930437" w14:textId="77777777" w:rsidR="00154AD2" w:rsidRDefault="007F6BF3">
            <w:pPr>
              <w:pStyle w:val="P68B1DB1-Normal23"/>
              <w:spacing w:after="0"/>
              <w:jc w:val="both"/>
              <w:rPr>
                <w:rFonts w:eastAsia="Calibri" w:cs="Calibri"/>
                <w:noProof/>
              </w:rPr>
            </w:pPr>
            <w:r>
              <w:rPr>
                <w:noProof/>
              </w:rPr>
              <w:t>Ολοκλήρωση έργων στο πλαίσιο του προγράμματος Ε &amp; Α στη δημόσια διοίκηση και νέων μαθημάτων στην Εθνική Πλατφόρμα για Μαζικά Επιγραμμικά Μαθήματα (NAU)</w:t>
            </w:r>
          </w:p>
        </w:tc>
      </w:tr>
      <w:tr w:rsidR="00154AD2" w14:paraId="3F7C914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D75FCDC" w14:textId="77777777" w:rsidR="00154AD2" w:rsidRDefault="007F6BF3">
            <w:pPr>
              <w:pStyle w:val="P68B1DB1-Normal23"/>
              <w:spacing w:after="0"/>
              <w:jc w:val="center"/>
              <w:rPr>
                <w:rFonts w:eastAsia="Calibri" w:cs="Calibri"/>
                <w:noProof/>
              </w:rPr>
            </w:pPr>
            <w:r>
              <w:rPr>
                <w:noProof/>
              </w:rPr>
              <w:t>5.38</w:t>
            </w:r>
          </w:p>
        </w:tc>
        <w:tc>
          <w:tcPr>
            <w:tcW w:w="1760" w:type="dxa"/>
            <w:tcBorders>
              <w:top w:val="nil"/>
              <w:left w:val="nil"/>
              <w:bottom w:val="single" w:sz="4" w:space="0" w:color="auto"/>
              <w:right w:val="single" w:sz="4" w:space="0" w:color="auto"/>
            </w:tcBorders>
            <w:shd w:val="clear" w:color="auto" w:fill="C4EFCE"/>
            <w:vAlign w:val="center"/>
            <w:hideMark/>
          </w:tcPr>
          <w:p w14:paraId="62726B79" w14:textId="77777777" w:rsidR="00154AD2" w:rsidRDefault="007F6BF3">
            <w:pPr>
              <w:pStyle w:val="P68B1DB1-Normal23"/>
              <w:spacing w:after="0"/>
              <w:jc w:val="center"/>
              <w:rPr>
                <w:rFonts w:eastAsia="Calibri" w:cs="Calibri"/>
                <w:noProof/>
              </w:rPr>
            </w:pPr>
            <w:r>
              <w:rPr>
                <w:noProof/>
              </w:rPr>
              <w:t>RE-C05-i08</w:t>
            </w:r>
          </w:p>
        </w:tc>
        <w:tc>
          <w:tcPr>
            <w:tcW w:w="1520" w:type="dxa"/>
            <w:tcBorders>
              <w:top w:val="nil"/>
              <w:left w:val="nil"/>
              <w:bottom w:val="single" w:sz="4" w:space="0" w:color="auto"/>
              <w:right w:val="single" w:sz="4" w:space="0" w:color="auto"/>
            </w:tcBorders>
            <w:shd w:val="clear" w:color="auto" w:fill="C4EFCE"/>
            <w:vAlign w:val="center"/>
            <w:hideMark/>
          </w:tcPr>
          <w:p w14:paraId="5A91DBFE"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8B193B7" w14:textId="18BBE676" w:rsidR="00154AD2" w:rsidRDefault="007F6BF3">
            <w:pPr>
              <w:pStyle w:val="P68B1DB1-Normal23"/>
              <w:spacing w:after="0"/>
              <w:jc w:val="both"/>
              <w:rPr>
                <w:rFonts w:eastAsia="Calibri" w:cs="Calibri"/>
                <w:noProof/>
              </w:rPr>
            </w:pPr>
            <w:r>
              <w:rPr>
                <w:noProof/>
              </w:rPr>
              <w:t>Ολοκλήρωση της υποστηρικτικής υποδομής και του κέντρου δεδομένων του Εθνικού Κέντρου Προηγμένης Πληροφορικής</w:t>
            </w:r>
          </w:p>
        </w:tc>
      </w:tr>
      <w:tr w:rsidR="00154AD2" w14:paraId="0D66E2E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8DEE4D5" w14:textId="77777777" w:rsidR="00154AD2" w:rsidRDefault="007F6BF3">
            <w:pPr>
              <w:pStyle w:val="P68B1DB1-Normal23"/>
              <w:spacing w:after="0"/>
              <w:jc w:val="center"/>
              <w:rPr>
                <w:rFonts w:eastAsia="Calibri" w:cs="Calibri"/>
                <w:noProof/>
              </w:rPr>
            </w:pPr>
            <w:r>
              <w:rPr>
                <w:noProof/>
              </w:rPr>
              <w:t>6.19</w:t>
            </w:r>
          </w:p>
        </w:tc>
        <w:tc>
          <w:tcPr>
            <w:tcW w:w="1760" w:type="dxa"/>
            <w:tcBorders>
              <w:top w:val="nil"/>
              <w:left w:val="nil"/>
              <w:bottom w:val="single" w:sz="4" w:space="0" w:color="auto"/>
              <w:right w:val="single" w:sz="4" w:space="0" w:color="auto"/>
            </w:tcBorders>
            <w:shd w:val="clear" w:color="auto" w:fill="C4EFCE"/>
            <w:vAlign w:val="center"/>
            <w:hideMark/>
          </w:tcPr>
          <w:p w14:paraId="09FD7927" w14:textId="77777777" w:rsidR="00154AD2" w:rsidRDefault="007F6BF3">
            <w:pPr>
              <w:pStyle w:val="P68B1DB1-Normal23"/>
              <w:spacing w:after="0"/>
              <w:jc w:val="center"/>
              <w:rPr>
                <w:rFonts w:eastAsia="Calibri" w:cs="Calibri"/>
                <w:noProof/>
              </w:rPr>
            </w:pPr>
            <w:r>
              <w:rPr>
                <w:noProof/>
              </w:rPr>
              <w:t>RE-C06-i06</w:t>
            </w:r>
          </w:p>
        </w:tc>
        <w:tc>
          <w:tcPr>
            <w:tcW w:w="1520" w:type="dxa"/>
            <w:tcBorders>
              <w:top w:val="nil"/>
              <w:left w:val="nil"/>
              <w:bottom w:val="single" w:sz="4" w:space="0" w:color="auto"/>
              <w:right w:val="single" w:sz="4" w:space="0" w:color="auto"/>
            </w:tcBorders>
            <w:shd w:val="clear" w:color="auto" w:fill="C4EFCE"/>
            <w:vAlign w:val="center"/>
            <w:hideMark/>
          </w:tcPr>
          <w:p w14:paraId="5C1D825E"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31F28A3" w14:textId="77777777" w:rsidR="00154AD2" w:rsidRDefault="007F6BF3">
            <w:pPr>
              <w:pStyle w:val="P68B1DB1-Normal23"/>
              <w:spacing w:after="0"/>
              <w:jc w:val="both"/>
              <w:rPr>
                <w:rFonts w:eastAsia="Calibri" w:cs="Calibri"/>
                <w:noProof/>
              </w:rPr>
            </w:pPr>
            <w:r>
              <w:rPr>
                <w:noProof/>
              </w:rPr>
              <w:t>Στήριξη για συμβάσεις αορίστου χρόνου με διδακτορικούς ερευνητές στο πλαίσιο του προγράμματος FCT-Tenure και στήριξη ερευνητών στο πλαίσιο του ΕΣΕ Πορτογαλίας</w:t>
            </w:r>
          </w:p>
        </w:tc>
      </w:tr>
      <w:tr w:rsidR="00154AD2" w14:paraId="00F72F2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F1BDB7D" w14:textId="77777777" w:rsidR="00154AD2" w:rsidRDefault="007F6BF3">
            <w:pPr>
              <w:pStyle w:val="P68B1DB1-Normal23"/>
              <w:spacing w:after="0"/>
              <w:jc w:val="center"/>
              <w:rPr>
                <w:rFonts w:eastAsia="Calibri" w:cs="Calibri"/>
                <w:noProof/>
              </w:rPr>
            </w:pPr>
            <w:r>
              <w:rPr>
                <w:noProof/>
              </w:rPr>
              <w:t>6.20</w:t>
            </w:r>
          </w:p>
        </w:tc>
        <w:tc>
          <w:tcPr>
            <w:tcW w:w="1760" w:type="dxa"/>
            <w:tcBorders>
              <w:top w:val="nil"/>
              <w:left w:val="nil"/>
              <w:bottom w:val="single" w:sz="4" w:space="0" w:color="auto"/>
              <w:right w:val="single" w:sz="4" w:space="0" w:color="auto"/>
            </w:tcBorders>
            <w:shd w:val="clear" w:color="auto" w:fill="C4EFCE"/>
            <w:vAlign w:val="center"/>
            <w:hideMark/>
          </w:tcPr>
          <w:p w14:paraId="2AC011E5" w14:textId="77777777" w:rsidR="00154AD2" w:rsidRDefault="007F6BF3">
            <w:pPr>
              <w:pStyle w:val="P68B1DB1-Normal23"/>
              <w:spacing w:after="0"/>
              <w:jc w:val="center"/>
              <w:rPr>
                <w:rFonts w:eastAsia="Calibri" w:cs="Calibri"/>
                <w:noProof/>
              </w:rPr>
            </w:pPr>
            <w:r>
              <w:rPr>
                <w:noProof/>
              </w:rPr>
              <w:t>RE-C06-i06</w:t>
            </w:r>
          </w:p>
        </w:tc>
        <w:tc>
          <w:tcPr>
            <w:tcW w:w="1520" w:type="dxa"/>
            <w:tcBorders>
              <w:top w:val="nil"/>
              <w:left w:val="nil"/>
              <w:bottom w:val="single" w:sz="4" w:space="0" w:color="auto"/>
              <w:right w:val="single" w:sz="4" w:space="0" w:color="auto"/>
            </w:tcBorders>
            <w:shd w:val="clear" w:color="auto" w:fill="C4EFCE"/>
            <w:vAlign w:val="center"/>
            <w:hideMark/>
          </w:tcPr>
          <w:p w14:paraId="257B3C9C"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3D0EBEA" w14:textId="77777777" w:rsidR="00154AD2" w:rsidRDefault="007F6BF3">
            <w:pPr>
              <w:pStyle w:val="P68B1DB1-Normal23"/>
              <w:spacing w:after="0"/>
              <w:jc w:val="both"/>
              <w:rPr>
                <w:rFonts w:eastAsia="Calibri" w:cs="Calibri"/>
                <w:noProof/>
              </w:rPr>
            </w:pPr>
            <w:r>
              <w:rPr>
                <w:noProof/>
              </w:rPr>
              <w:t>Διεθνείς συμπράξεις στους τομείς της επιστήμης, της τεχνολογίας και της καινοτομίας: Υποστηριζόμενες διεθνείς εταιρικές σχέσεις· Υποστηριζόμενα έργα Ε &amp; Ι· Υποστηριζόμενη διεθνής κινητικότητα</w:t>
            </w:r>
          </w:p>
        </w:tc>
      </w:tr>
      <w:tr w:rsidR="00154AD2" w14:paraId="1808226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5D9898C" w14:textId="77777777" w:rsidR="00154AD2" w:rsidRDefault="007F6BF3">
            <w:pPr>
              <w:pStyle w:val="P68B1DB1-Normal23"/>
              <w:spacing w:after="0"/>
              <w:jc w:val="center"/>
              <w:rPr>
                <w:rFonts w:eastAsia="Calibri" w:cs="Calibri"/>
                <w:noProof/>
              </w:rPr>
            </w:pPr>
            <w:r>
              <w:rPr>
                <w:noProof/>
              </w:rPr>
              <w:t>6.21</w:t>
            </w:r>
          </w:p>
        </w:tc>
        <w:tc>
          <w:tcPr>
            <w:tcW w:w="1760" w:type="dxa"/>
            <w:tcBorders>
              <w:top w:val="nil"/>
              <w:left w:val="nil"/>
              <w:bottom w:val="single" w:sz="4" w:space="0" w:color="auto"/>
              <w:right w:val="single" w:sz="4" w:space="0" w:color="auto"/>
            </w:tcBorders>
            <w:shd w:val="clear" w:color="auto" w:fill="C4EFCE"/>
            <w:vAlign w:val="center"/>
            <w:hideMark/>
          </w:tcPr>
          <w:p w14:paraId="257E7C2E" w14:textId="77777777" w:rsidR="00154AD2" w:rsidRDefault="007F6BF3">
            <w:pPr>
              <w:pStyle w:val="P68B1DB1-Normal23"/>
              <w:spacing w:after="0"/>
              <w:jc w:val="center"/>
              <w:rPr>
                <w:rFonts w:eastAsia="Calibri" w:cs="Calibri"/>
                <w:noProof/>
              </w:rPr>
            </w:pPr>
            <w:r>
              <w:rPr>
                <w:noProof/>
              </w:rPr>
              <w:t>RE-C06-i07</w:t>
            </w:r>
          </w:p>
        </w:tc>
        <w:tc>
          <w:tcPr>
            <w:tcW w:w="1520" w:type="dxa"/>
            <w:tcBorders>
              <w:top w:val="nil"/>
              <w:left w:val="nil"/>
              <w:bottom w:val="single" w:sz="4" w:space="0" w:color="auto"/>
              <w:right w:val="single" w:sz="4" w:space="0" w:color="auto"/>
            </w:tcBorders>
            <w:shd w:val="clear" w:color="auto" w:fill="C4EFCE"/>
            <w:vAlign w:val="center"/>
            <w:hideMark/>
          </w:tcPr>
          <w:p w14:paraId="006EB829"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29BA4A5" w14:textId="2E25EB52" w:rsidR="00154AD2" w:rsidRDefault="007F6BF3">
            <w:pPr>
              <w:pStyle w:val="P68B1DB1-Normal23"/>
              <w:spacing w:after="0"/>
              <w:jc w:val="both"/>
              <w:rPr>
                <w:rFonts w:eastAsia="Calibri" w:cs="Calibri"/>
                <w:noProof/>
              </w:rPr>
            </w:pPr>
            <w:r>
              <w:rPr>
                <w:noProof/>
              </w:rPr>
              <w:t>Τεχνολογικός και ψηφιακός εκσυγχρονισμός των αγροτικών επιστημών: Μεταρρύθμιση του προγράμματος σπουδών των αγροτικών επιστημών, άνοιγμα των γεωργικών σχολείων σε μαθητές δευτεροβάθμιας εκπαίδευσης και επανειδίκευση των επαγγελματιών</w:t>
            </w:r>
          </w:p>
        </w:tc>
      </w:tr>
      <w:tr w:rsidR="00154AD2" w14:paraId="2CF11C7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B1D7A14" w14:textId="77777777" w:rsidR="00154AD2" w:rsidRDefault="007F6BF3">
            <w:pPr>
              <w:pStyle w:val="P68B1DB1-Normal23"/>
              <w:spacing w:after="0"/>
              <w:jc w:val="center"/>
              <w:rPr>
                <w:rFonts w:eastAsia="Calibri" w:cs="Calibri"/>
                <w:noProof/>
              </w:rPr>
            </w:pPr>
            <w:r>
              <w:rPr>
                <w:noProof/>
              </w:rPr>
              <w:t>6.22</w:t>
            </w:r>
          </w:p>
        </w:tc>
        <w:tc>
          <w:tcPr>
            <w:tcW w:w="1760" w:type="dxa"/>
            <w:tcBorders>
              <w:top w:val="nil"/>
              <w:left w:val="nil"/>
              <w:bottom w:val="single" w:sz="4" w:space="0" w:color="auto"/>
              <w:right w:val="single" w:sz="4" w:space="0" w:color="auto"/>
            </w:tcBorders>
            <w:shd w:val="clear" w:color="auto" w:fill="C4EFCE"/>
            <w:vAlign w:val="center"/>
            <w:hideMark/>
          </w:tcPr>
          <w:p w14:paraId="04E119E0" w14:textId="77777777" w:rsidR="00154AD2" w:rsidRDefault="007F6BF3">
            <w:pPr>
              <w:pStyle w:val="P68B1DB1-Normal23"/>
              <w:spacing w:after="0"/>
              <w:jc w:val="center"/>
              <w:rPr>
                <w:rFonts w:eastAsia="Calibri" w:cs="Calibri"/>
                <w:noProof/>
              </w:rPr>
            </w:pPr>
            <w:r>
              <w:rPr>
                <w:noProof/>
              </w:rPr>
              <w:t>RE-C06-i07</w:t>
            </w:r>
          </w:p>
        </w:tc>
        <w:tc>
          <w:tcPr>
            <w:tcW w:w="1520" w:type="dxa"/>
            <w:tcBorders>
              <w:top w:val="nil"/>
              <w:left w:val="nil"/>
              <w:bottom w:val="single" w:sz="4" w:space="0" w:color="auto"/>
              <w:right w:val="single" w:sz="4" w:space="0" w:color="auto"/>
            </w:tcBorders>
            <w:shd w:val="clear" w:color="auto" w:fill="C4EFCE"/>
            <w:vAlign w:val="center"/>
            <w:hideMark/>
          </w:tcPr>
          <w:p w14:paraId="4AAA5A3A"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4543139" w14:textId="77777777" w:rsidR="00154AD2" w:rsidRDefault="007F6BF3">
            <w:pPr>
              <w:pStyle w:val="P68B1DB1-Normal23"/>
              <w:spacing w:after="0"/>
              <w:jc w:val="both"/>
              <w:rPr>
                <w:rFonts w:eastAsia="Calibri" w:cs="Calibri"/>
                <w:noProof/>
              </w:rPr>
            </w:pPr>
            <w:r>
              <w:rPr>
                <w:noProof/>
              </w:rPr>
              <w:t>Εκσυγχρονισμός της ιατρικής</w:t>
            </w:r>
          </w:p>
        </w:tc>
      </w:tr>
      <w:tr w:rsidR="00154AD2" w14:paraId="59F2330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8DEDDDF" w14:textId="77777777" w:rsidR="00154AD2" w:rsidRDefault="007F6BF3">
            <w:pPr>
              <w:pStyle w:val="P68B1DB1-Normal23"/>
              <w:spacing w:after="0"/>
              <w:jc w:val="center"/>
              <w:rPr>
                <w:rFonts w:eastAsia="Calibri" w:cs="Calibri"/>
                <w:noProof/>
              </w:rPr>
            </w:pPr>
            <w:r>
              <w:rPr>
                <w:noProof/>
              </w:rPr>
              <w:t>6.23</w:t>
            </w:r>
          </w:p>
        </w:tc>
        <w:tc>
          <w:tcPr>
            <w:tcW w:w="1760" w:type="dxa"/>
            <w:tcBorders>
              <w:top w:val="nil"/>
              <w:left w:val="nil"/>
              <w:bottom w:val="single" w:sz="4" w:space="0" w:color="auto"/>
              <w:right w:val="single" w:sz="4" w:space="0" w:color="auto"/>
            </w:tcBorders>
            <w:shd w:val="clear" w:color="auto" w:fill="C4EFCE"/>
            <w:vAlign w:val="center"/>
            <w:hideMark/>
          </w:tcPr>
          <w:p w14:paraId="58F29485" w14:textId="77777777" w:rsidR="00154AD2" w:rsidRDefault="007F6BF3">
            <w:pPr>
              <w:pStyle w:val="P68B1DB1-Normal23"/>
              <w:spacing w:after="0"/>
              <w:jc w:val="center"/>
              <w:rPr>
                <w:rFonts w:eastAsia="Calibri" w:cs="Calibri"/>
                <w:noProof/>
              </w:rPr>
            </w:pPr>
            <w:r>
              <w:rPr>
                <w:noProof/>
              </w:rPr>
              <w:t>RE-C06-i07</w:t>
            </w:r>
          </w:p>
        </w:tc>
        <w:tc>
          <w:tcPr>
            <w:tcW w:w="1520" w:type="dxa"/>
            <w:tcBorders>
              <w:top w:val="nil"/>
              <w:left w:val="nil"/>
              <w:bottom w:val="single" w:sz="4" w:space="0" w:color="auto"/>
              <w:right w:val="single" w:sz="4" w:space="0" w:color="auto"/>
            </w:tcBorders>
            <w:shd w:val="clear" w:color="auto" w:fill="C4EFCE"/>
            <w:vAlign w:val="center"/>
            <w:hideMark/>
          </w:tcPr>
          <w:p w14:paraId="6D388A5B"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D20AF4F" w14:textId="77777777" w:rsidR="00154AD2" w:rsidRDefault="007F6BF3">
            <w:pPr>
              <w:pStyle w:val="P68B1DB1-Normal23"/>
              <w:spacing w:after="0"/>
              <w:jc w:val="both"/>
              <w:rPr>
                <w:rFonts w:eastAsia="Calibri" w:cs="Calibri"/>
                <w:noProof/>
              </w:rPr>
            </w:pPr>
            <w:r>
              <w:rPr>
                <w:noProof/>
              </w:rPr>
              <w:t>Ενίσχυση των ψηφιακών δεξιοτήτων</w:t>
            </w:r>
          </w:p>
        </w:tc>
      </w:tr>
      <w:tr w:rsidR="00154AD2" w14:paraId="4628545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9D7342" w14:textId="77777777" w:rsidR="00154AD2" w:rsidRDefault="007F6BF3">
            <w:pPr>
              <w:pStyle w:val="P68B1DB1-Normal23"/>
              <w:spacing w:after="0"/>
              <w:jc w:val="center"/>
              <w:rPr>
                <w:rFonts w:eastAsia="Calibri" w:cs="Calibri"/>
                <w:noProof/>
              </w:rPr>
            </w:pPr>
            <w:r>
              <w:rPr>
                <w:noProof/>
              </w:rPr>
              <w:t>6.25</w:t>
            </w:r>
          </w:p>
        </w:tc>
        <w:tc>
          <w:tcPr>
            <w:tcW w:w="1760" w:type="dxa"/>
            <w:tcBorders>
              <w:top w:val="nil"/>
              <w:left w:val="nil"/>
              <w:bottom w:val="single" w:sz="4" w:space="0" w:color="auto"/>
              <w:right w:val="single" w:sz="4" w:space="0" w:color="auto"/>
            </w:tcBorders>
            <w:shd w:val="clear" w:color="auto" w:fill="C4EFCE"/>
            <w:vAlign w:val="center"/>
            <w:hideMark/>
          </w:tcPr>
          <w:p w14:paraId="225B7648" w14:textId="77777777" w:rsidR="00154AD2" w:rsidRDefault="007F6BF3">
            <w:pPr>
              <w:pStyle w:val="P68B1DB1-Normal23"/>
              <w:spacing w:after="0"/>
              <w:jc w:val="center"/>
              <w:rPr>
                <w:rFonts w:eastAsia="Calibri" w:cs="Calibri"/>
                <w:noProof/>
              </w:rPr>
            </w:pPr>
            <w:r>
              <w:rPr>
                <w:noProof/>
              </w:rPr>
              <w:t>RE-C06-i07</w:t>
            </w:r>
          </w:p>
        </w:tc>
        <w:tc>
          <w:tcPr>
            <w:tcW w:w="1520" w:type="dxa"/>
            <w:tcBorders>
              <w:top w:val="nil"/>
              <w:left w:val="nil"/>
              <w:bottom w:val="single" w:sz="4" w:space="0" w:color="auto"/>
              <w:right w:val="single" w:sz="4" w:space="0" w:color="auto"/>
            </w:tcBorders>
            <w:shd w:val="clear" w:color="auto" w:fill="C4EFCE"/>
            <w:vAlign w:val="center"/>
            <w:hideMark/>
          </w:tcPr>
          <w:p w14:paraId="29D570B0"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C50E32E" w14:textId="77777777" w:rsidR="00154AD2" w:rsidRDefault="007F6BF3">
            <w:pPr>
              <w:pStyle w:val="P68B1DB1-Normal23"/>
              <w:spacing w:after="0"/>
              <w:jc w:val="both"/>
              <w:rPr>
                <w:rFonts w:eastAsia="Calibri" w:cs="Calibri"/>
                <w:noProof/>
              </w:rPr>
            </w:pPr>
            <w:r>
              <w:rPr>
                <w:noProof/>
              </w:rPr>
              <w:t>Καινοτομία και παιδαγωγικός εκσυγχρονισμός στην τριτοβάθμια εκπαίδευση</w:t>
            </w:r>
          </w:p>
        </w:tc>
      </w:tr>
      <w:tr w:rsidR="00154AD2" w14:paraId="542E2DD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4389EE5" w14:textId="77777777" w:rsidR="00154AD2" w:rsidRDefault="007F6BF3">
            <w:pPr>
              <w:pStyle w:val="P68B1DB1-Normal23"/>
              <w:spacing w:after="0"/>
              <w:jc w:val="center"/>
              <w:rPr>
                <w:rFonts w:eastAsia="Calibri" w:cs="Calibri"/>
                <w:noProof/>
              </w:rPr>
            </w:pPr>
            <w:r>
              <w:rPr>
                <w:noProof/>
              </w:rPr>
              <w:t>6.27</w:t>
            </w:r>
          </w:p>
        </w:tc>
        <w:tc>
          <w:tcPr>
            <w:tcW w:w="1760" w:type="dxa"/>
            <w:tcBorders>
              <w:top w:val="nil"/>
              <w:left w:val="nil"/>
              <w:bottom w:val="single" w:sz="4" w:space="0" w:color="auto"/>
              <w:right w:val="single" w:sz="4" w:space="0" w:color="auto"/>
            </w:tcBorders>
            <w:shd w:val="clear" w:color="auto" w:fill="C4EFCE"/>
            <w:vAlign w:val="center"/>
            <w:hideMark/>
          </w:tcPr>
          <w:p w14:paraId="5B347262" w14:textId="167A3DA3" w:rsidR="00154AD2" w:rsidRDefault="007F6BF3">
            <w:pPr>
              <w:pStyle w:val="P68B1DB1-Normal23"/>
              <w:spacing w:after="0"/>
              <w:jc w:val="center"/>
              <w:rPr>
                <w:rFonts w:eastAsia="Calibri" w:cs="Calibri"/>
                <w:noProof/>
              </w:rPr>
            </w:pPr>
            <w:r>
              <w:rPr>
                <w:noProof/>
              </w:rPr>
              <w:t>RE-C06-i08-RAM</w:t>
            </w:r>
          </w:p>
        </w:tc>
        <w:tc>
          <w:tcPr>
            <w:tcW w:w="1520" w:type="dxa"/>
            <w:tcBorders>
              <w:top w:val="nil"/>
              <w:left w:val="nil"/>
              <w:bottom w:val="single" w:sz="4" w:space="0" w:color="auto"/>
              <w:right w:val="single" w:sz="4" w:space="0" w:color="auto"/>
            </w:tcBorders>
            <w:shd w:val="clear" w:color="auto" w:fill="C4EFCE"/>
            <w:vAlign w:val="center"/>
            <w:hideMark/>
          </w:tcPr>
          <w:p w14:paraId="0615067A"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FA626DF" w14:textId="77777777" w:rsidR="00154AD2" w:rsidRDefault="007F6BF3">
            <w:pPr>
              <w:pStyle w:val="P68B1DB1-Normal23"/>
              <w:spacing w:after="0"/>
              <w:jc w:val="both"/>
              <w:rPr>
                <w:rFonts w:eastAsia="Calibri" w:cs="Calibri"/>
                <w:noProof/>
              </w:rPr>
            </w:pPr>
            <w:r>
              <w:rPr>
                <w:noProof/>
              </w:rPr>
              <w:t>Οι εργασίες έχουν ολοκληρωθεί για την επέκταση του κτιρίου CITMA</w:t>
            </w:r>
          </w:p>
        </w:tc>
      </w:tr>
      <w:tr w:rsidR="00154AD2" w14:paraId="22766E8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AA0D863" w14:textId="77777777" w:rsidR="00154AD2" w:rsidRDefault="007F6BF3">
            <w:pPr>
              <w:pStyle w:val="P68B1DB1-Normal23"/>
              <w:spacing w:after="0"/>
              <w:jc w:val="center"/>
              <w:rPr>
                <w:rFonts w:eastAsia="Calibri" w:cs="Calibri"/>
                <w:noProof/>
              </w:rPr>
            </w:pPr>
            <w:r>
              <w:rPr>
                <w:noProof/>
              </w:rPr>
              <w:t>7.15</w:t>
            </w:r>
          </w:p>
        </w:tc>
        <w:tc>
          <w:tcPr>
            <w:tcW w:w="1760" w:type="dxa"/>
            <w:tcBorders>
              <w:top w:val="nil"/>
              <w:left w:val="nil"/>
              <w:bottom w:val="single" w:sz="4" w:space="0" w:color="auto"/>
              <w:right w:val="single" w:sz="4" w:space="0" w:color="auto"/>
            </w:tcBorders>
            <w:shd w:val="clear" w:color="auto" w:fill="C4EFCE"/>
            <w:vAlign w:val="center"/>
            <w:hideMark/>
          </w:tcPr>
          <w:p w14:paraId="579A148C" w14:textId="77777777" w:rsidR="00154AD2" w:rsidRDefault="007F6BF3">
            <w:pPr>
              <w:pStyle w:val="P68B1DB1-Normal23"/>
              <w:spacing w:after="0"/>
              <w:jc w:val="center"/>
              <w:rPr>
                <w:rFonts w:eastAsia="Calibri" w:cs="Calibri"/>
                <w:noProof/>
              </w:rPr>
            </w:pPr>
            <w:r>
              <w:rPr>
                <w:noProof/>
              </w:rPr>
              <w:t>RE-C07-i05-RAA</w:t>
            </w:r>
          </w:p>
        </w:tc>
        <w:tc>
          <w:tcPr>
            <w:tcW w:w="1520" w:type="dxa"/>
            <w:tcBorders>
              <w:top w:val="nil"/>
              <w:left w:val="nil"/>
              <w:bottom w:val="single" w:sz="4" w:space="0" w:color="auto"/>
              <w:right w:val="single" w:sz="4" w:space="0" w:color="auto"/>
            </w:tcBorders>
            <w:shd w:val="clear" w:color="auto" w:fill="C4EFCE"/>
            <w:vAlign w:val="center"/>
            <w:hideMark/>
          </w:tcPr>
          <w:p w14:paraId="4D131CBE"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14295B7" w14:textId="77777777" w:rsidR="00154AD2" w:rsidRDefault="007F6BF3">
            <w:pPr>
              <w:pStyle w:val="P68B1DB1-Normal23"/>
              <w:spacing w:after="0"/>
              <w:jc w:val="both"/>
              <w:rPr>
                <w:rFonts w:eastAsia="Calibri" w:cs="Calibri"/>
                <w:noProof/>
              </w:rPr>
            </w:pPr>
            <w:r>
              <w:rPr>
                <w:noProof/>
              </w:rPr>
              <w:t>Οδοί που κατασκευάστηκαν ή αποκαταστάθηκαν</w:t>
            </w:r>
          </w:p>
        </w:tc>
      </w:tr>
      <w:tr w:rsidR="00154AD2" w14:paraId="718FC24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47A7A1F" w14:textId="77777777" w:rsidR="00154AD2" w:rsidRDefault="007F6BF3">
            <w:pPr>
              <w:pStyle w:val="P68B1DB1-Normal23"/>
              <w:spacing w:after="0"/>
              <w:jc w:val="center"/>
              <w:rPr>
                <w:rFonts w:eastAsia="Calibri" w:cs="Calibri"/>
                <w:noProof/>
              </w:rPr>
            </w:pPr>
            <w:r>
              <w:rPr>
                <w:noProof/>
              </w:rPr>
              <w:t>9.2</w:t>
            </w:r>
          </w:p>
        </w:tc>
        <w:tc>
          <w:tcPr>
            <w:tcW w:w="1760" w:type="dxa"/>
            <w:tcBorders>
              <w:top w:val="nil"/>
              <w:left w:val="nil"/>
              <w:bottom w:val="single" w:sz="4" w:space="0" w:color="auto"/>
              <w:right w:val="single" w:sz="4" w:space="0" w:color="auto"/>
            </w:tcBorders>
            <w:shd w:val="clear" w:color="auto" w:fill="C4EFCE"/>
            <w:vAlign w:val="center"/>
            <w:hideMark/>
          </w:tcPr>
          <w:p w14:paraId="59ABCBA1" w14:textId="77777777" w:rsidR="00154AD2" w:rsidRDefault="007F6BF3">
            <w:pPr>
              <w:pStyle w:val="P68B1DB1-Normal23"/>
              <w:spacing w:after="0"/>
              <w:jc w:val="center"/>
              <w:rPr>
                <w:rFonts w:eastAsia="Calibri" w:cs="Calibri"/>
                <w:noProof/>
              </w:rPr>
            </w:pPr>
            <w:r>
              <w:rPr>
                <w:noProof/>
              </w:rPr>
              <w:t>RE-C09-i01</w:t>
            </w:r>
          </w:p>
        </w:tc>
        <w:tc>
          <w:tcPr>
            <w:tcW w:w="1520" w:type="dxa"/>
            <w:tcBorders>
              <w:top w:val="nil"/>
              <w:left w:val="nil"/>
              <w:bottom w:val="single" w:sz="4" w:space="0" w:color="auto"/>
              <w:right w:val="single" w:sz="4" w:space="0" w:color="auto"/>
            </w:tcBorders>
            <w:shd w:val="clear" w:color="auto" w:fill="C4EFCE"/>
            <w:vAlign w:val="center"/>
            <w:hideMark/>
          </w:tcPr>
          <w:p w14:paraId="2EAFCD8F"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96DBA45" w14:textId="77777777" w:rsidR="00154AD2" w:rsidRDefault="007F6BF3">
            <w:pPr>
              <w:pStyle w:val="P68B1DB1-Normal23"/>
              <w:spacing w:after="0"/>
              <w:jc w:val="both"/>
              <w:rPr>
                <w:rFonts w:eastAsia="Calibri" w:cs="Calibri"/>
                <w:noProof/>
              </w:rPr>
            </w:pPr>
            <w:r>
              <w:rPr>
                <w:noProof/>
              </w:rPr>
              <w:t>Ολοκλήρωση παρεμβάσεων δικτύου για τη μείωση των απωλειών νερού (SM1)</w:t>
            </w:r>
          </w:p>
        </w:tc>
      </w:tr>
      <w:tr w:rsidR="00154AD2" w14:paraId="37AC4EF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31E10FD" w14:textId="77777777" w:rsidR="00154AD2" w:rsidRDefault="007F6BF3">
            <w:pPr>
              <w:pStyle w:val="P68B1DB1-Normal23"/>
              <w:spacing w:after="0"/>
              <w:jc w:val="center"/>
              <w:rPr>
                <w:rFonts w:eastAsia="Calibri" w:cs="Calibri"/>
                <w:noProof/>
              </w:rPr>
            </w:pPr>
            <w:r>
              <w:rPr>
                <w:noProof/>
              </w:rPr>
              <w:t>9.3</w:t>
            </w:r>
          </w:p>
        </w:tc>
        <w:tc>
          <w:tcPr>
            <w:tcW w:w="1760" w:type="dxa"/>
            <w:tcBorders>
              <w:top w:val="nil"/>
              <w:left w:val="nil"/>
              <w:bottom w:val="single" w:sz="4" w:space="0" w:color="auto"/>
              <w:right w:val="single" w:sz="4" w:space="0" w:color="auto"/>
            </w:tcBorders>
            <w:shd w:val="clear" w:color="auto" w:fill="C4EFCE"/>
            <w:vAlign w:val="center"/>
            <w:hideMark/>
          </w:tcPr>
          <w:p w14:paraId="237E8E0F" w14:textId="77777777" w:rsidR="00154AD2" w:rsidRDefault="007F6BF3">
            <w:pPr>
              <w:pStyle w:val="P68B1DB1-Normal23"/>
              <w:spacing w:after="0"/>
              <w:jc w:val="center"/>
              <w:rPr>
                <w:rFonts w:eastAsia="Calibri" w:cs="Calibri"/>
                <w:noProof/>
              </w:rPr>
            </w:pPr>
            <w:r>
              <w:rPr>
                <w:noProof/>
              </w:rPr>
              <w:t>RE-C09-i01</w:t>
            </w:r>
          </w:p>
        </w:tc>
        <w:tc>
          <w:tcPr>
            <w:tcW w:w="1520" w:type="dxa"/>
            <w:tcBorders>
              <w:top w:val="nil"/>
              <w:left w:val="nil"/>
              <w:bottom w:val="single" w:sz="4" w:space="0" w:color="auto"/>
              <w:right w:val="single" w:sz="4" w:space="0" w:color="auto"/>
            </w:tcBorders>
            <w:shd w:val="clear" w:color="auto" w:fill="C4EFCE"/>
            <w:vAlign w:val="center"/>
            <w:hideMark/>
          </w:tcPr>
          <w:p w14:paraId="491C8840"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6A3DEEE" w14:textId="77777777" w:rsidR="00154AD2" w:rsidRDefault="007F6BF3">
            <w:pPr>
              <w:pStyle w:val="P68B1DB1-Normal23"/>
              <w:spacing w:after="0"/>
              <w:jc w:val="both"/>
              <w:rPr>
                <w:rFonts w:eastAsia="Calibri" w:cs="Calibri"/>
                <w:noProof/>
              </w:rPr>
            </w:pPr>
            <w:r>
              <w:rPr>
                <w:noProof/>
              </w:rPr>
              <w:t>Εκσυγχρονισμός της έκτασης συλλογικής υδρογεωργικής χρήσης και ατομικής άρδευσης (SM2)</w:t>
            </w:r>
          </w:p>
        </w:tc>
      </w:tr>
      <w:tr w:rsidR="00154AD2" w14:paraId="6F7B778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85D3E67" w14:textId="77777777" w:rsidR="00154AD2" w:rsidRDefault="007F6BF3">
            <w:pPr>
              <w:pStyle w:val="P68B1DB1-Normal23"/>
              <w:spacing w:after="0"/>
              <w:jc w:val="center"/>
              <w:rPr>
                <w:rFonts w:eastAsia="Calibri" w:cs="Calibri"/>
                <w:noProof/>
              </w:rPr>
            </w:pPr>
            <w:r>
              <w:rPr>
                <w:noProof/>
              </w:rPr>
              <w:t>9.4</w:t>
            </w:r>
          </w:p>
        </w:tc>
        <w:tc>
          <w:tcPr>
            <w:tcW w:w="1760" w:type="dxa"/>
            <w:tcBorders>
              <w:top w:val="nil"/>
              <w:left w:val="nil"/>
              <w:bottom w:val="single" w:sz="4" w:space="0" w:color="auto"/>
              <w:right w:val="single" w:sz="4" w:space="0" w:color="auto"/>
            </w:tcBorders>
            <w:shd w:val="clear" w:color="auto" w:fill="C4EFCE"/>
            <w:vAlign w:val="center"/>
            <w:hideMark/>
          </w:tcPr>
          <w:p w14:paraId="5C2FE0DD" w14:textId="77777777" w:rsidR="00154AD2" w:rsidRDefault="007F6BF3">
            <w:pPr>
              <w:pStyle w:val="P68B1DB1-Normal23"/>
              <w:spacing w:after="0"/>
              <w:jc w:val="center"/>
              <w:rPr>
                <w:rFonts w:eastAsia="Calibri" w:cs="Calibri"/>
                <w:noProof/>
              </w:rPr>
            </w:pPr>
            <w:r>
              <w:rPr>
                <w:noProof/>
              </w:rPr>
              <w:t>RE-C09-i01</w:t>
            </w:r>
          </w:p>
        </w:tc>
        <w:tc>
          <w:tcPr>
            <w:tcW w:w="1520" w:type="dxa"/>
            <w:tcBorders>
              <w:top w:val="nil"/>
              <w:left w:val="nil"/>
              <w:bottom w:val="single" w:sz="4" w:space="0" w:color="auto"/>
              <w:right w:val="single" w:sz="4" w:space="0" w:color="auto"/>
            </w:tcBorders>
            <w:shd w:val="clear" w:color="auto" w:fill="C4EFCE"/>
            <w:vAlign w:val="center"/>
            <w:hideMark/>
          </w:tcPr>
          <w:p w14:paraId="33D26A42"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A433600" w14:textId="77777777" w:rsidR="00154AD2" w:rsidRDefault="007F6BF3">
            <w:pPr>
              <w:pStyle w:val="P68B1DB1-Normal23"/>
              <w:spacing w:after="0"/>
              <w:jc w:val="both"/>
              <w:rPr>
                <w:rFonts w:eastAsia="Calibri" w:cs="Calibri"/>
                <w:noProof/>
              </w:rPr>
            </w:pPr>
            <w:r>
              <w:rPr>
                <w:noProof/>
              </w:rPr>
              <w:t>Αριθμός μονάδων επεξεργασίας για τη διασφάλιση της παραγωγής και της διύλισης επεξεργασμένων λυμάτων (SM4)</w:t>
            </w:r>
          </w:p>
        </w:tc>
      </w:tr>
      <w:tr w:rsidR="00154AD2" w14:paraId="1D13C9B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EA5C54B" w14:textId="77777777" w:rsidR="00154AD2" w:rsidRDefault="007F6BF3">
            <w:pPr>
              <w:pStyle w:val="P68B1DB1-Normal23"/>
              <w:spacing w:after="0"/>
              <w:jc w:val="center"/>
              <w:rPr>
                <w:rFonts w:eastAsia="Calibri" w:cs="Calibri"/>
                <w:noProof/>
              </w:rPr>
            </w:pPr>
            <w:r>
              <w:rPr>
                <w:noProof/>
              </w:rPr>
              <w:t>9.6</w:t>
            </w:r>
          </w:p>
        </w:tc>
        <w:tc>
          <w:tcPr>
            <w:tcW w:w="1760" w:type="dxa"/>
            <w:tcBorders>
              <w:top w:val="nil"/>
              <w:left w:val="nil"/>
              <w:bottom w:val="single" w:sz="4" w:space="0" w:color="auto"/>
              <w:right w:val="single" w:sz="4" w:space="0" w:color="auto"/>
            </w:tcBorders>
            <w:shd w:val="clear" w:color="auto" w:fill="C4EFCE"/>
            <w:vAlign w:val="center"/>
            <w:hideMark/>
          </w:tcPr>
          <w:p w14:paraId="688EB844" w14:textId="77777777" w:rsidR="00154AD2" w:rsidRDefault="007F6BF3">
            <w:pPr>
              <w:pStyle w:val="P68B1DB1-Normal23"/>
              <w:spacing w:after="0"/>
              <w:jc w:val="center"/>
              <w:rPr>
                <w:rFonts w:eastAsia="Calibri" w:cs="Calibri"/>
                <w:noProof/>
              </w:rPr>
            </w:pPr>
            <w:r>
              <w:rPr>
                <w:noProof/>
              </w:rPr>
              <w:t>RE-C09-i01</w:t>
            </w:r>
          </w:p>
        </w:tc>
        <w:tc>
          <w:tcPr>
            <w:tcW w:w="1520" w:type="dxa"/>
            <w:tcBorders>
              <w:top w:val="nil"/>
              <w:left w:val="nil"/>
              <w:bottom w:val="single" w:sz="4" w:space="0" w:color="auto"/>
              <w:right w:val="single" w:sz="4" w:space="0" w:color="auto"/>
            </w:tcBorders>
            <w:shd w:val="clear" w:color="auto" w:fill="C4EFCE"/>
            <w:vAlign w:val="center"/>
            <w:hideMark/>
          </w:tcPr>
          <w:p w14:paraId="464009CE"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1C4FC67" w14:textId="77777777" w:rsidR="00154AD2" w:rsidRDefault="007F6BF3">
            <w:pPr>
              <w:pStyle w:val="P68B1DB1-Normal23"/>
              <w:spacing w:after="0"/>
              <w:jc w:val="both"/>
              <w:rPr>
                <w:rFonts w:eastAsia="Calibri" w:cs="Calibri"/>
                <w:noProof/>
              </w:rPr>
            </w:pPr>
            <w:r>
              <w:rPr>
                <w:noProof/>
              </w:rPr>
              <w:t>Έναρξη λειτουργίας της άντλησης στη Guadiana με πλήρη σεβασμό των αποτελεσμάτων και των όρων που καθορίζονται στην εκτίμηση περιβαλλοντικών επιπτώσεων (SM5)</w:t>
            </w:r>
          </w:p>
        </w:tc>
      </w:tr>
      <w:tr w:rsidR="00154AD2" w14:paraId="00AC9B8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B2E6A91" w14:textId="77777777" w:rsidR="00154AD2" w:rsidRDefault="007F6BF3">
            <w:pPr>
              <w:pStyle w:val="P68B1DB1-Normal23"/>
              <w:spacing w:after="0"/>
              <w:jc w:val="center"/>
              <w:rPr>
                <w:rFonts w:eastAsia="Calibri" w:cs="Calibri"/>
                <w:noProof/>
              </w:rPr>
            </w:pPr>
            <w:r>
              <w:rPr>
                <w:noProof/>
              </w:rPr>
              <w:t>9.8</w:t>
            </w:r>
          </w:p>
        </w:tc>
        <w:tc>
          <w:tcPr>
            <w:tcW w:w="1760" w:type="dxa"/>
            <w:tcBorders>
              <w:top w:val="nil"/>
              <w:left w:val="nil"/>
              <w:bottom w:val="single" w:sz="4" w:space="0" w:color="auto"/>
              <w:right w:val="single" w:sz="4" w:space="0" w:color="auto"/>
            </w:tcBorders>
            <w:shd w:val="clear" w:color="auto" w:fill="C4EFCE"/>
            <w:vAlign w:val="center"/>
            <w:hideMark/>
          </w:tcPr>
          <w:p w14:paraId="5EBB0488" w14:textId="77777777" w:rsidR="00154AD2" w:rsidRDefault="007F6BF3">
            <w:pPr>
              <w:pStyle w:val="P68B1DB1-Normal23"/>
              <w:spacing w:after="0"/>
              <w:jc w:val="center"/>
              <w:rPr>
                <w:rFonts w:eastAsia="Calibri" w:cs="Calibri"/>
                <w:noProof/>
              </w:rPr>
            </w:pPr>
            <w:r>
              <w:rPr>
                <w:noProof/>
              </w:rPr>
              <w:t>RE-C09-i01</w:t>
            </w:r>
          </w:p>
        </w:tc>
        <w:tc>
          <w:tcPr>
            <w:tcW w:w="1520" w:type="dxa"/>
            <w:tcBorders>
              <w:top w:val="nil"/>
              <w:left w:val="nil"/>
              <w:bottom w:val="single" w:sz="4" w:space="0" w:color="auto"/>
              <w:right w:val="single" w:sz="4" w:space="0" w:color="auto"/>
            </w:tcBorders>
            <w:shd w:val="clear" w:color="auto" w:fill="C4EFCE"/>
            <w:vAlign w:val="center"/>
            <w:hideMark/>
          </w:tcPr>
          <w:p w14:paraId="47A9B6AA"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54D168C1" w14:textId="0C32D8AF" w:rsidR="00154AD2" w:rsidRDefault="007F6BF3">
            <w:pPr>
              <w:pStyle w:val="P68B1DB1-Normal23"/>
              <w:spacing w:after="0"/>
              <w:jc w:val="both"/>
              <w:rPr>
                <w:rFonts w:eastAsia="Calibri" w:cs="Calibri"/>
                <w:noProof/>
              </w:rPr>
            </w:pPr>
            <w:r>
              <w:rPr>
                <w:noProof/>
              </w:rPr>
              <w:t>Έναρξη λειτουργίας του μέτρου αφαλάτωσης, με πλήρη σεβασμό των αποτελεσμάτων και των όρων που καθορίζονται στην εκτίμηση περιβαλλοντικών επιπτώσεων (SM6)</w:t>
            </w:r>
          </w:p>
        </w:tc>
      </w:tr>
      <w:tr w:rsidR="00154AD2" w14:paraId="2BDB914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8D6E3E7" w14:textId="77777777" w:rsidR="00154AD2" w:rsidRDefault="007F6BF3">
            <w:pPr>
              <w:pStyle w:val="P68B1DB1-Normal23"/>
              <w:spacing w:after="0"/>
              <w:jc w:val="center"/>
              <w:rPr>
                <w:rFonts w:eastAsia="Calibri" w:cs="Calibri"/>
                <w:noProof/>
              </w:rPr>
            </w:pPr>
            <w:r>
              <w:rPr>
                <w:noProof/>
              </w:rPr>
              <w:t>10.10</w:t>
            </w:r>
          </w:p>
        </w:tc>
        <w:tc>
          <w:tcPr>
            <w:tcW w:w="1760" w:type="dxa"/>
            <w:tcBorders>
              <w:top w:val="nil"/>
              <w:left w:val="nil"/>
              <w:bottom w:val="single" w:sz="4" w:space="0" w:color="auto"/>
              <w:right w:val="single" w:sz="4" w:space="0" w:color="auto"/>
            </w:tcBorders>
            <w:shd w:val="clear" w:color="auto" w:fill="C4EFCE"/>
            <w:vAlign w:val="center"/>
            <w:hideMark/>
          </w:tcPr>
          <w:p w14:paraId="66F203A9" w14:textId="77777777" w:rsidR="00154AD2" w:rsidRDefault="007F6BF3">
            <w:pPr>
              <w:pStyle w:val="P68B1DB1-Normal23"/>
              <w:spacing w:after="0"/>
              <w:jc w:val="center"/>
              <w:rPr>
                <w:rFonts w:eastAsia="Calibri" w:cs="Calibri"/>
                <w:noProof/>
              </w:rPr>
            </w:pPr>
            <w:r>
              <w:rPr>
                <w:noProof/>
              </w:rPr>
              <w:t>TC-C10-i04-RAA</w:t>
            </w:r>
          </w:p>
        </w:tc>
        <w:tc>
          <w:tcPr>
            <w:tcW w:w="1520" w:type="dxa"/>
            <w:tcBorders>
              <w:top w:val="nil"/>
              <w:left w:val="nil"/>
              <w:bottom w:val="single" w:sz="4" w:space="0" w:color="auto"/>
              <w:right w:val="single" w:sz="4" w:space="0" w:color="auto"/>
            </w:tcBorders>
            <w:shd w:val="clear" w:color="auto" w:fill="C4EFCE"/>
            <w:vAlign w:val="center"/>
            <w:hideMark/>
          </w:tcPr>
          <w:p w14:paraId="6D83619A"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44450C5" w14:textId="77777777" w:rsidR="00154AD2" w:rsidRDefault="007F6BF3">
            <w:pPr>
              <w:pStyle w:val="P68B1DB1-Normal23"/>
              <w:spacing w:after="0"/>
              <w:jc w:val="both"/>
              <w:rPr>
                <w:rFonts w:eastAsia="Calibri" w:cs="Calibri"/>
                <w:noProof/>
              </w:rPr>
            </w:pPr>
            <w:r>
              <w:rPr>
                <w:noProof/>
              </w:rPr>
              <w:t xml:space="preserve">Θέση σε λειτουργία του κέντρου πειραματικής έρευνας και ανάπτυξης που συνδέεται με τη θάλασσα στις Αζόρες (κέντρο MARTEC) </w:t>
            </w:r>
          </w:p>
        </w:tc>
      </w:tr>
      <w:tr w:rsidR="00154AD2" w14:paraId="12909A0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1610000" w14:textId="77777777" w:rsidR="00154AD2" w:rsidRDefault="007F6BF3">
            <w:pPr>
              <w:pStyle w:val="P68B1DB1-Normal23"/>
              <w:spacing w:after="0"/>
              <w:jc w:val="center"/>
              <w:rPr>
                <w:rFonts w:eastAsia="Calibri" w:cs="Calibri"/>
                <w:noProof/>
              </w:rPr>
            </w:pPr>
            <w:r>
              <w:rPr>
                <w:noProof/>
              </w:rPr>
              <w:t>10.11</w:t>
            </w:r>
          </w:p>
        </w:tc>
        <w:tc>
          <w:tcPr>
            <w:tcW w:w="1760" w:type="dxa"/>
            <w:tcBorders>
              <w:top w:val="nil"/>
              <w:left w:val="nil"/>
              <w:bottom w:val="single" w:sz="4" w:space="0" w:color="auto"/>
              <w:right w:val="single" w:sz="4" w:space="0" w:color="auto"/>
            </w:tcBorders>
            <w:shd w:val="clear" w:color="auto" w:fill="C4EFCE"/>
            <w:vAlign w:val="center"/>
            <w:hideMark/>
          </w:tcPr>
          <w:p w14:paraId="2149C41D" w14:textId="77777777" w:rsidR="00154AD2" w:rsidRDefault="007F6BF3">
            <w:pPr>
              <w:pStyle w:val="P68B1DB1-Normal23"/>
              <w:spacing w:after="0"/>
              <w:jc w:val="center"/>
              <w:rPr>
                <w:rFonts w:eastAsia="Calibri" w:cs="Calibri"/>
                <w:noProof/>
              </w:rPr>
            </w:pPr>
            <w:r>
              <w:rPr>
                <w:noProof/>
              </w:rPr>
              <w:t>TC-C10-i04-RAA</w:t>
            </w:r>
          </w:p>
        </w:tc>
        <w:tc>
          <w:tcPr>
            <w:tcW w:w="1520" w:type="dxa"/>
            <w:tcBorders>
              <w:top w:val="nil"/>
              <w:left w:val="nil"/>
              <w:bottom w:val="single" w:sz="4" w:space="0" w:color="auto"/>
              <w:right w:val="single" w:sz="4" w:space="0" w:color="auto"/>
            </w:tcBorders>
            <w:shd w:val="clear" w:color="auto" w:fill="C4EFCE"/>
            <w:vAlign w:val="center"/>
            <w:hideMark/>
          </w:tcPr>
          <w:p w14:paraId="25F54449"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D495D64" w14:textId="77777777" w:rsidR="00154AD2" w:rsidRDefault="007F6BF3">
            <w:pPr>
              <w:pStyle w:val="P68B1DB1-Normal23"/>
              <w:spacing w:after="0"/>
              <w:jc w:val="both"/>
              <w:rPr>
                <w:rFonts w:eastAsia="Calibri" w:cs="Calibri"/>
                <w:noProof/>
              </w:rPr>
            </w:pPr>
            <w:r>
              <w:rPr>
                <w:noProof/>
              </w:rPr>
              <w:t>Παράδοση 2 ενοτήτων για το νέο ερευνητικό σκάφος</w:t>
            </w:r>
          </w:p>
        </w:tc>
      </w:tr>
      <w:tr w:rsidR="00154AD2" w14:paraId="58CCDB4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070AF37" w14:textId="77777777" w:rsidR="00154AD2" w:rsidRDefault="007F6BF3">
            <w:pPr>
              <w:pStyle w:val="P68B1DB1-Normal23"/>
              <w:spacing w:after="0"/>
              <w:jc w:val="center"/>
              <w:rPr>
                <w:rFonts w:eastAsia="Calibri" w:cs="Calibri"/>
                <w:noProof/>
              </w:rPr>
            </w:pPr>
            <w:r>
              <w:rPr>
                <w:noProof/>
              </w:rPr>
              <w:t>10.12</w:t>
            </w:r>
          </w:p>
        </w:tc>
        <w:tc>
          <w:tcPr>
            <w:tcW w:w="1760" w:type="dxa"/>
            <w:tcBorders>
              <w:top w:val="nil"/>
              <w:left w:val="nil"/>
              <w:bottom w:val="single" w:sz="4" w:space="0" w:color="auto"/>
              <w:right w:val="single" w:sz="4" w:space="0" w:color="auto"/>
            </w:tcBorders>
            <w:shd w:val="clear" w:color="auto" w:fill="C4EFCE"/>
            <w:vAlign w:val="center"/>
            <w:hideMark/>
          </w:tcPr>
          <w:p w14:paraId="0DFEBA2F" w14:textId="77777777" w:rsidR="00154AD2" w:rsidRDefault="007F6BF3">
            <w:pPr>
              <w:pStyle w:val="P68B1DB1-Normal23"/>
              <w:spacing w:after="0"/>
              <w:jc w:val="center"/>
              <w:rPr>
                <w:rFonts w:eastAsia="Calibri" w:cs="Calibri"/>
                <w:noProof/>
              </w:rPr>
            </w:pPr>
            <w:r>
              <w:rPr>
                <w:noProof/>
              </w:rPr>
              <w:t>TC-C10-i05-RAA</w:t>
            </w:r>
          </w:p>
        </w:tc>
        <w:tc>
          <w:tcPr>
            <w:tcW w:w="1520" w:type="dxa"/>
            <w:tcBorders>
              <w:top w:val="nil"/>
              <w:left w:val="nil"/>
              <w:bottom w:val="single" w:sz="4" w:space="0" w:color="auto"/>
              <w:right w:val="single" w:sz="4" w:space="0" w:color="auto"/>
            </w:tcBorders>
            <w:shd w:val="clear" w:color="auto" w:fill="C4EFCE"/>
            <w:vAlign w:val="center"/>
            <w:hideMark/>
          </w:tcPr>
          <w:p w14:paraId="00395174"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1F68158" w14:textId="77777777" w:rsidR="00154AD2" w:rsidRDefault="007F6BF3">
            <w:pPr>
              <w:pStyle w:val="P68B1DB1-Normal23"/>
              <w:spacing w:after="0"/>
              <w:jc w:val="both"/>
              <w:rPr>
                <w:rFonts w:eastAsia="Calibri" w:cs="Calibri"/>
                <w:noProof/>
              </w:rPr>
            </w:pPr>
            <w:r>
              <w:rPr>
                <w:noProof/>
              </w:rPr>
              <w:t xml:space="preserve">Ολοκλήρωση έργων στον τομέα της αλιείας και της υδατοκαλλιέργειας </w:t>
            </w:r>
          </w:p>
        </w:tc>
      </w:tr>
      <w:tr w:rsidR="00154AD2" w14:paraId="675CEDE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604C72C" w14:textId="77777777" w:rsidR="00154AD2" w:rsidRDefault="007F6BF3">
            <w:pPr>
              <w:pStyle w:val="P68B1DB1-Normal23"/>
              <w:spacing w:after="0"/>
              <w:jc w:val="center"/>
              <w:rPr>
                <w:rFonts w:eastAsia="Calibri" w:cs="Calibri"/>
                <w:noProof/>
              </w:rPr>
            </w:pPr>
            <w:r>
              <w:rPr>
                <w:noProof/>
              </w:rPr>
              <w:t>10.14</w:t>
            </w:r>
          </w:p>
        </w:tc>
        <w:tc>
          <w:tcPr>
            <w:tcW w:w="1760" w:type="dxa"/>
            <w:tcBorders>
              <w:top w:val="nil"/>
              <w:left w:val="nil"/>
              <w:bottom w:val="single" w:sz="4" w:space="0" w:color="auto"/>
              <w:right w:val="single" w:sz="4" w:space="0" w:color="auto"/>
            </w:tcBorders>
            <w:shd w:val="clear" w:color="auto" w:fill="C4EFCE"/>
            <w:vAlign w:val="center"/>
            <w:hideMark/>
          </w:tcPr>
          <w:p w14:paraId="4059CC69" w14:textId="77777777" w:rsidR="00154AD2" w:rsidRDefault="007F6BF3">
            <w:pPr>
              <w:pStyle w:val="P68B1DB1-Normal23"/>
              <w:spacing w:after="0"/>
              <w:jc w:val="center"/>
              <w:rPr>
                <w:rFonts w:eastAsia="Calibri" w:cs="Calibri"/>
                <w:noProof/>
              </w:rPr>
            </w:pPr>
            <w:r>
              <w:rPr>
                <w:noProof/>
              </w:rPr>
              <w:t>TC-C10-i06-RAM</w:t>
            </w:r>
          </w:p>
        </w:tc>
        <w:tc>
          <w:tcPr>
            <w:tcW w:w="1520" w:type="dxa"/>
            <w:tcBorders>
              <w:top w:val="nil"/>
              <w:left w:val="nil"/>
              <w:bottom w:val="single" w:sz="4" w:space="0" w:color="auto"/>
              <w:right w:val="single" w:sz="4" w:space="0" w:color="auto"/>
            </w:tcBorders>
            <w:shd w:val="clear" w:color="auto" w:fill="C4EFCE"/>
            <w:vAlign w:val="center"/>
            <w:hideMark/>
          </w:tcPr>
          <w:p w14:paraId="5003A16C"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6549ECD" w14:textId="77777777" w:rsidR="00154AD2" w:rsidRDefault="007F6BF3">
            <w:pPr>
              <w:pStyle w:val="P68B1DB1-Normal23"/>
              <w:spacing w:after="0"/>
              <w:jc w:val="both"/>
              <w:rPr>
                <w:rFonts w:eastAsia="Calibri" w:cs="Calibri"/>
                <w:noProof/>
              </w:rPr>
            </w:pPr>
            <w:r>
              <w:rPr>
                <w:noProof/>
              </w:rPr>
              <w:t>Παράδοση ενεργειακά αποδοτικού ερευνητικού σκάφους πολλαπλών χρήσεων</w:t>
            </w:r>
          </w:p>
        </w:tc>
      </w:tr>
      <w:tr w:rsidR="00154AD2" w14:paraId="782F16D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31F58B5" w14:textId="77777777" w:rsidR="00154AD2" w:rsidRDefault="007F6BF3">
            <w:pPr>
              <w:pStyle w:val="P68B1DB1-Normal23"/>
              <w:spacing w:after="0"/>
              <w:jc w:val="center"/>
              <w:rPr>
                <w:rFonts w:eastAsia="Calibri" w:cs="Calibri"/>
                <w:noProof/>
              </w:rPr>
            </w:pPr>
            <w:r>
              <w:rPr>
                <w:noProof/>
              </w:rPr>
              <w:t>14.3</w:t>
            </w:r>
          </w:p>
        </w:tc>
        <w:tc>
          <w:tcPr>
            <w:tcW w:w="1760" w:type="dxa"/>
            <w:tcBorders>
              <w:top w:val="nil"/>
              <w:left w:val="nil"/>
              <w:bottom w:val="single" w:sz="4" w:space="0" w:color="auto"/>
              <w:right w:val="single" w:sz="4" w:space="0" w:color="auto"/>
            </w:tcBorders>
            <w:shd w:val="clear" w:color="auto" w:fill="C4EFCE"/>
            <w:vAlign w:val="center"/>
            <w:hideMark/>
          </w:tcPr>
          <w:p w14:paraId="149B14E3" w14:textId="77777777" w:rsidR="00154AD2" w:rsidRDefault="007F6BF3">
            <w:pPr>
              <w:pStyle w:val="P68B1DB1-Normal23"/>
              <w:spacing w:after="0"/>
              <w:jc w:val="center"/>
              <w:rPr>
                <w:rFonts w:eastAsia="Calibri" w:cs="Calibri"/>
                <w:noProof/>
              </w:rPr>
            </w:pPr>
            <w:r>
              <w:rPr>
                <w:noProof/>
              </w:rPr>
              <w:t>TC-C14-I01</w:t>
            </w:r>
          </w:p>
        </w:tc>
        <w:tc>
          <w:tcPr>
            <w:tcW w:w="1520" w:type="dxa"/>
            <w:tcBorders>
              <w:top w:val="nil"/>
              <w:left w:val="nil"/>
              <w:bottom w:val="single" w:sz="4" w:space="0" w:color="auto"/>
              <w:right w:val="single" w:sz="4" w:space="0" w:color="auto"/>
            </w:tcBorders>
            <w:shd w:val="clear" w:color="auto" w:fill="C4EFCE"/>
            <w:vAlign w:val="center"/>
            <w:hideMark/>
          </w:tcPr>
          <w:p w14:paraId="1C7D0921"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3D40777" w14:textId="77777777" w:rsidR="00154AD2" w:rsidRDefault="007F6BF3">
            <w:pPr>
              <w:pStyle w:val="P68B1DB1-Normal23"/>
              <w:spacing w:after="0"/>
              <w:jc w:val="both"/>
              <w:rPr>
                <w:rFonts w:eastAsia="Calibri" w:cs="Calibri"/>
                <w:noProof/>
              </w:rPr>
            </w:pPr>
            <w:r>
              <w:rPr>
                <w:noProof/>
              </w:rPr>
              <w:t>Πρόσθετη δυναμικότητα παραγωγής ανανεώσιμου υδρογόνου και ανανεώσιμου αερίου</w:t>
            </w:r>
          </w:p>
        </w:tc>
      </w:tr>
      <w:tr w:rsidR="00154AD2" w14:paraId="6E3719A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18C92FF" w14:textId="77777777" w:rsidR="00154AD2" w:rsidRDefault="007F6BF3">
            <w:pPr>
              <w:pStyle w:val="P68B1DB1-Normal23"/>
              <w:spacing w:after="0"/>
              <w:jc w:val="center"/>
              <w:rPr>
                <w:rFonts w:eastAsia="Calibri" w:cs="Calibri"/>
                <w:noProof/>
              </w:rPr>
            </w:pPr>
            <w:r>
              <w:rPr>
                <w:noProof/>
              </w:rPr>
              <w:t>14.11</w:t>
            </w:r>
          </w:p>
        </w:tc>
        <w:tc>
          <w:tcPr>
            <w:tcW w:w="1760" w:type="dxa"/>
            <w:tcBorders>
              <w:top w:val="nil"/>
              <w:left w:val="nil"/>
              <w:bottom w:val="single" w:sz="4" w:space="0" w:color="auto"/>
              <w:right w:val="single" w:sz="4" w:space="0" w:color="auto"/>
            </w:tcBorders>
            <w:shd w:val="clear" w:color="auto" w:fill="C4EFCE"/>
            <w:vAlign w:val="center"/>
            <w:hideMark/>
          </w:tcPr>
          <w:p w14:paraId="48F00665" w14:textId="77777777" w:rsidR="00154AD2" w:rsidRDefault="007F6BF3">
            <w:pPr>
              <w:pStyle w:val="P68B1DB1-Normal23"/>
              <w:spacing w:after="0"/>
              <w:jc w:val="center"/>
              <w:rPr>
                <w:rFonts w:eastAsia="Calibri" w:cs="Calibri"/>
                <w:noProof/>
              </w:rPr>
            </w:pPr>
            <w:r>
              <w:rPr>
                <w:noProof/>
              </w:rPr>
              <w:t>TC-C14-i03-RAA</w:t>
            </w:r>
          </w:p>
        </w:tc>
        <w:tc>
          <w:tcPr>
            <w:tcW w:w="1520" w:type="dxa"/>
            <w:tcBorders>
              <w:top w:val="nil"/>
              <w:left w:val="nil"/>
              <w:bottom w:val="single" w:sz="4" w:space="0" w:color="auto"/>
              <w:right w:val="single" w:sz="4" w:space="0" w:color="auto"/>
            </w:tcBorders>
            <w:shd w:val="clear" w:color="auto" w:fill="C4EFCE"/>
            <w:vAlign w:val="center"/>
            <w:hideMark/>
          </w:tcPr>
          <w:p w14:paraId="3B322EA7"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F348DF8" w14:textId="77777777" w:rsidR="00154AD2" w:rsidRDefault="007F6BF3">
            <w:pPr>
              <w:pStyle w:val="P68B1DB1-Normal23"/>
              <w:spacing w:after="0"/>
              <w:jc w:val="both"/>
              <w:rPr>
                <w:rFonts w:eastAsia="Calibri" w:cs="Calibri"/>
                <w:noProof/>
              </w:rPr>
            </w:pPr>
            <w:r>
              <w:rPr>
                <w:noProof/>
              </w:rPr>
              <w:t>Πρόσθετη και ανακαινισμένη εγκατεστημένη γεωθερμική παραγωγική ικανότητα</w:t>
            </w:r>
          </w:p>
        </w:tc>
      </w:tr>
      <w:tr w:rsidR="00154AD2" w14:paraId="5FD8198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2DF8B68" w14:textId="77777777" w:rsidR="00154AD2" w:rsidRDefault="007F6BF3">
            <w:pPr>
              <w:pStyle w:val="P68B1DB1-Normal23"/>
              <w:spacing w:after="0"/>
              <w:jc w:val="center"/>
              <w:rPr>
                <w:rFonts w:eastAsia="Calibri" w:cs="Calibri"/>
                <w:noProof/>
              </w:rPr>
            </w:pPr>
            <w:r>
              <w:rPr>
                <w:noProof/>
              </w:rPr>
              <w:t>14.13</w:t>
            </w:r>
          </w:p>
        </w:tc>
        <w:tc>
          <w:tcPr>
            <w:tcW w:w="1760" w:type="dxa"/>
            <w:tcBorders>
              <w:top w:val="nil"/>
              <w:left w:val="nil"/>
              <w:bottom w:val="single" w:sz="4" w:space="0" w:color="auto"/>
              <w:right w:val="single" w:sz="4" w:space="0" w:color="auto"/>
            </w:tcBorders>
            <w:shd w:val="clear" w:color="auto" w:fill="C4EFCE"/>
            <w:vAlign w:val="center"/>
            <w:hideMark/>
          </w:tcPr>
          <w:p w14:paraId="64F40519" w14:textId="77777777" w:rsidR="00154AD2" w:rsidRDefault="007F6BF3">
            <w:pPr>
              <w:pStyle w:val="P68B1DB1-Normal23"/>
              <w:spacing w:after="0"/>
              <w:jc w:val="center"/>
              <w:rPr>
                <w:rFonts w:eastAsia="Calibri" w:cs="Calibri"/>
                <w:noProof/>
              </w:rPr>
            </w:pPr>
            <w:r>
              <w:rPr>
                <w:noProof/>
              </w:rPr>
              <w:t>TC-C14-i03-RAA</w:t>
            </w:r>
          </w:p>
        </w:tc>
        <w:tc>
          <w:tcPr>
            <w:tcW w:w="1520" w:type="dxa"/>
            <w:tcBorders>
              <w:top w:val="nil"/>
              <w:left w:val="nil"/>
              <w:bottom w:val="single" w:sz="4" w:space="0" w:color="auto"/>
              <w:right w:val="single" w:sz="4" w:space="0" w:color="auto"/>
            </w:tcBorders>
            <w:shd w:val="clear" w:color="auto" w:fill="C4EFCE"/>
            <w:vAlign w:val="center"/>
            <w:hideMark/>
          </w:tcPr>
          <w:p w14:paraId="007474A4"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EAB61EA" w14:textId="77777777" w:rsidR="00154AD2" w:rsidRDefault="007F6BF3">
            <w:pPr>
              <w:pStyle w:val="P68B1DB1-Normal23"/>
              <w:spacing w:after="0"/>
              <w:jc w:val="both"/>
              <w:rPr>
                <w:rFonts w:eastAsia="Calibri" w:cs="Calibri"/>
                <w:noProof/>
              </w:rPr>
            </w:pPr>
            <w:r>
              <w:rPr>
                <w:noProof/>
              </w:rPr>
              <w:t>Νέα συστήματα αποθήκευσης ενέργειας σε συσσωρευτές και συστήματα ενεργειακής διαχείρισης στην ARA</w:t>
            </w:r>
          </w:p>
        </w:tc>
      </w:tr>
      <w:tr w:rsidR="00154AD2" w14:paraId="3D2D7C2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05885B6" w14:textId="77777777" w:rsidR="00154AD2" w:rsidRDefault="007F6BF3">
            <w:pPr>
              <w:pStyle w:val="P68B1DB1-Normal23"/>
              <w:spacing w:after="0"/>
              <w:jc w:val="center"/>
              <w:rPr>
                <w:rFonts w:eastAsia="Calibri" w:cs="Calibri"/>
                <w:noProof/>
              </w:rPr>
            </w:pPr>
            <w:r>
              <w:rPr>
                <w:noProof/>
              </w:rPr>
              <w:t>15.3</w:t>
            </w:r>
          </w:p>
        </w:tc>
        <w:tc>
          <w:tcPr>
            <w:tcW w:w="1760" w:type="dxa"/>
            <w:tcBorders>
              <w:top w:val="nil"/>
              <w:left w:val="nil"/>
              <w:bottom w:val="single" w:sz="4" w:space="0" w:color="auto"/>
              <w:right w:val="single" w:sz="4" w:space="0" w:color="auto"/>
            </w:tcBorders>
            <w:shd w:val="clear" w:color="auto" w:fill="C4EFCE"/>
            <w:vAlign w:val="center"/>
            <w:hideMark/>
          </w:tcPr>
          <w:p w14:paraId="5F0E4652" w14:textId="77777777" w:rsidR="00154AD2" w:rsidRDefault="007F6BF3">
            <w:pPr>
              <w:pStyle w:val="P68B1DB1-Normal23"/>
              <w:spacing w:after="0"/>
              <w:jc w:val="center"/>
              <w:rPr>
                <w:rFonts w:eastAsia="Calibri" w:cs="Calibri"/>
                <w:noProof/>
              </w:rPr>
            </w:pPr>
            <w:r>
              <w:rPr>
                <w:noProof/>
              </w:rPr>
              <w:t>TC-C15-I01</w:t>
            </w:r>
          </w:p>
        </w:tc>
        <w:tc>
          <w:tcPr>
            <w:tcW w:w="1520" w:type="dxa"/>
            <w:tcBorders>
              <w:top w:val="nil"/>
              <w:left w:val="nil"/>
              <w:bottom w:val="single" w:sz="4" w:space="0" w:color="auto"/>
              <w:right w:val="single" w:sz="4" w:space="0" w:color="auto"/>
            </w:tcBorders>
            <w:shd w:val="clear" w:color="auto" w:fill="C4EFCE"/>
            <w:vAlign w:val="center"/>
            <w:hideMark/>
          </w:tcPr>
          <w:p w14:paraId="41ACA244"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6D9D0D7" w14:textId="77777777" w:rsidR="00154AD2" w:rsidRDefault="007F6BF3">
            <w:pPr>
              <w:pStyle w:val="P68B1DB1-Normal23"/>
              <w:spacing w:after="0"/>
              <w:jc w:val="both"/>
              <w:rPr>
                <w:rFonts w:eastAsia="Calibri" w:cs="Calibri"/>
                <w:noProof/>
              </w:rPr>
            </w:pPr>
            <w:r>
              <w:rPr>
                <w:noProof/>
              </w:rPr>
              <w:t>Ολοκλήρωση της επέκτασης του δικτύου μετρό της Λισαβόνας</w:t>
            </w:r>
          </w:p>
        </w:tc>
      </w:tr>
      <w:tr w:rsidR="00154AD2" w14:paraId="7EB0F83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501D3C5" w14:textId="77777777" w:rsidR="00154AD2" w:rsidRDefault="007F6BF3">
            <w:pPr>
              <w:pStyle w:val="P68B1DB1-Normal23"/>
              <w:spacing w:after="0"/>
              <w:jc w:val="center"/>
              <w:rPr>
                <w:rFonts w:eastAsia="Calibri" w:cs="Calibri"/>
                <w:noProof/>
              </w:rPr>
            </w:pPr>
            <w:r>
              <w:rPr>
                <w:noProof/>
              </w:rPr>
              <w:t>15.6</w:t>
            </w:r>
          </w:p>
        </w:tc>
        <w:tc>
          <w:tcPr>
            <w:tcW w:w="1760" w:type="dxa"/>
            <w:tcBorders>
              <w:top w:val="nil"/>
              <w:left w:val="nil"/>
              <w:bottom w:val="single" w:sz="4" w:space="0" w:color="auto"/>
              <w:right w:val="single" w:sz="4" w:space="0" w:color="auto"/>
            </w:tcBorders>
            <w:shd w:val="clear" w:color="auto" w:fill="C4EFCE"/>
            <w:vAlign w:val="center"/>
            <w:hideMark/>
          </w:tcPr>
          <w:p w14:paraId="0225E4FE" w14:textId="77777777" w:rsidR="00154AD2" w:rsidRDefault="007F6BF3">
            <w:pPr>
              <w:pStyle w:val="P68B1DB1-Normal23"/>
              <w:spacing w:after="0"/>
              <w:jc w:val="center"/>
              <w:rPr>
                <w:rFonts w:eastAsia="Calibri" w:cs="Calibri"/>
                <w:noProof/>
              </w:rPr>
            </w:pPr>
            <w:r>
              <w:rPr>
                <w:noProof/>
              </w:rPr>
              <w:t>TC-C15-I02</w:t>
            </w:r>
          </w:p>
        </w:tc>
        <w:tc>
          <w:tcPr>
            <w:tcW w:w="1520" w:type="dxa"/>
            <w:tcBorders>
              <w:top w:val="nil"/>
              <w:left w:val="nil"/>
              <w:bottom w:val="single" w:sz="4" w:space="0" w:color="auto"/>
              <w:right w:val="single" w:sz="4" w:space="0" w:color="auto"/>
            </w:tcBorders>
            <w:shd w:val="clear" w:color="auto" w:fill="C4EFCE"/>
            <w:vAlign w:val="center"/>
            <w:hideMark/>
          </w:tcPr>
          <w:p w14:paraId="02CE8F23"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955E14C" w14:textId="77777777" w:rsidR="00154AD2" w:rsidRDefault="007F6BF3">
            <w:pPr>
              <w:pStyle w:val="P68B1DB1-Normal23"/>
              <w:spacing w:after="0"/>
              <w:jc w:val="both"/>
              <w:rPr>
                <w:rFonts w:eastAsia="Calibri" w:cs="Calibri"/>
                <w:noProof/>
              </w:rPr>
            </w:pPr>
            <w:r>
              <w:rPr>
                <w:noProof/>
              </w:rPr>
              <w:t>Ολοκλήρωση της επέκτασης του δικτύου του Porto Metro</w:t>
            </w:r>
          </w:p>
        </w:tc>
      </w:tr>
      <w:tr w:rsidR="00154AD2" w14:paraId="3122821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62E7552" w14:textId="77777777" w:rsidR="00154AD2" w:rsidRDefault="007F6BF3">
            <w:pPr>
              <w:pStyle w:val="P68B1DB1-Normal23"/>
              <w:spacing w:after="0"/>
              <w:jc w:val="center"/>
              <w:rPr>
                <w:rFonts w:eastAsia="Calibri" w:cs="Calibri"/>
                <w:noProof/>
              </w:rPr>
            </w:pPr>
            <w:r>
              <w:rPr>
                <w:noProof/>
              </w:rPr>
              <w:t>15.16</w:t>
            </w:r>
          </w:p>
        </w:tc>
        <w:tc>
          <w:tcPr>
            <w:tcW w:w="1760" w:type="dxa"/>
            <w:tcBorders>
              <w:top w:val="nil"/>
              <w:left w:val="nil"/>
              <w:bottom w:val="single" w:sz="4" w:space="0" w:color="auto"/>
              <w:right w:val="single" w:sz="4" w:space="0" w:color="auto"/>
            </w:tcBorders>
            <w:shd w:val="clear" w:color="auto" w:fill="C4EFCE"/>
            <w:vAlign w:val="center"/>
            <w:hideMark/>
          </w:tcPr>
          <w:p w14:paraId="1F57BF01" w14:textId="77777777" w:rsidR="00154AD2" w:rsidRDefault="007F6BF3">
            <w:pPr>
              <w:pStyle w:val="P68B1DB1-Normal23"/>
              <w:spacing w:after="0"/>
              <w:jc w:val="center"/>
              <w:rPr>
                <w:rFonts w:eastAsia="Calibri" w:cs="Calibri"/>
                <w:noProof/>
              </w:rPr>
            </w:pPr>
            <w:r>
              <w:rPr>
                <w:noProof/>
              </w:rPr>
              <w:t>TC-C15-I06</w:t>
            </w:r>
          </w:p>
        </w:tc>
        <w:tc>
          <w:tcPr>
            <w:tcW w:w="1520" w:type="dxa"/>
            <w:tcBorders>
              <w:top w:val="nil"/>
              <w:left w:val="nil"/>
              <w:bottom w:val="single" w:sz="4" w:space="0" w:color="auto"/>
              <w:right w:val="single" w:sz="4" w:space="0" w:color="auto"/>
            </w:tcBorders>
            <w:shd w:val="clear" w:color="auto" w:fill="C4EFCE"/>
            <w:vAlign w:val="center"/>
            <w:hideMark/>
          </w:tcPr>
          <w:p w14:paraId="044758A4"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02045CC" w14:textId="77777777" w:rsidR="00154AD2" w:rsidRDefault="007F6BF3">
            <w:pPr>
              <w:pStyle w:val="P68B1DB1-Normal23"/>
              <w:spacing w:after="0"/>
              <w:jc w:val="both"/>
              <w:rPr>
                <w:rFonts w:eastAsia="Calibri" w:cs="Calibri"/>
                <w:noProof/>
              </w:rPr>
            </w:pPr>
            <w:r>
              <w:rPr>
                <w:noProof/>
              </w:rPr>
              <w:t>Αντικατάσταση σιδηροδρομικών γραμμών με ηλεκτρονικά συστήματα σηματοδότησης</w:t>
            </w:r>
          </w:p>
        </w:tc>
      </w:tr>
      <w:tr w:rsidR="00154AD2" w14:paraId="702497F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2452F7C6" w14:textId="525B27D9" w:rsidR="00154AD2" w:rsidRDefault="007F6BF3">
            <w:pPr>
              <w:pStyle w:val="P68B1DB1-Normal23"/>
              <w:spacing w:after="0"/>
              <w:jc w:val="center"/>
              <w:rPr>
                <w:rFonts w:eastAsia="Calibri" w:cs="Calibri"/>
                <w:noProof/>
              </w:rPr>
            </w:pPr>
            <w:r>
              <w:rPr>
                <w:noProof/>
              </w:rPr>
              <w:t>16.18</w:t>
            </w:r>
          </w:p>
        </w:tc>
        <w:tc>
          <w:tcPr>
            <w:tcW w:w="1760" w:type="dxa"/>
            <w:tcBorders>
              <w:top w:val="nil"/>
              <w:left w:val="nil"/>
              <w:bottom w:val="single" w:sz="4" w:space="0" w:color="auto"/>
              <w:right w:val="single" w:sz="4" w:space="0" w:color="auto"/>
            </w:tcBorders>
            <w:shd w:val="clear" w:color="auto" w:fill="C4EFCE"/>
            <w:vAlign w:val="center"/>
          </w:tcPr>
          <w:p w14:paraId="1DF82366" w14:textId="0E1489C0" w:rsidR="00154AD2" w:rsidRDefault="007F6BF3">
            <w:pPr>
              <w:pStyle w:val="P68B1DB1-Normal23"/>
              <w:spacing w:after="0"/>
              <w:jc w:val="center"/>
              <w:rPr>
                <w:rFonts w:eastAsia="Calibri" w:cs="Calibri"/>
                <w:noProof/>
              </w:rPr>
            </w:pPr>
            <w:r>
              <w:rPr>
                <w:noProof/>
              </w:rPr>
              <w:t>TD-C16-i05-RAA</w:t>
            </w:r>
          </w:p>
        </w:tc>
        <w:tc>
          <w:tcPr>
            <w:tcW w:w="1520" w:type="dxa"/>
            <w:tcBorders>
              <w:top w:val="nil"/>
              <w:left w:val="nil"/>
              <w:bottom w:val="single" w:sz="4" w:space="0" w:color="auto"/>
              <w:right w:val="single" w:sz="4" w:space="0" w:color="auto"/>
            </w:tcBorders>
            <w:shd w:val="clear" w:color="auto" w:fill="C4EFCE"/>
            <w:vAlign w:val="center"/>
          </w:tcPr>
          <w:p w14:paraId="5372C9EF" w14:textId="44F53D0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75B9B368" w14:textId="0F330AD1" w:rsidR="00154AD2" w:rsidRDefault="007F6BF3">
            <w:pPr>
              <w:pStyle w:val="P68B1DB1-Normal23"/>
              <w:spacing w:after="0"/>
              <w:jc w:val="both"/>
              <w:rPr>
                <w:rFonts w:eastAsia="Calibri" w:cs="Calibri"/>
                <w:noProof/>
              </w:rPr>
            </w:pPr>
            <w:r>
              <w:rPr>
                <w:noProof/>
              </w:rPr>
              <w:t>Αριθμός έργων που λαμβάνουν στήριξη στο πλαίσιο του συστήματος κινήτρων για την ψηφιακή μετάβαση των επιχειρήσεων</w:t>
            </w:r>
          </w:p>
        </w:tc>
      </w:tr>
      <w:tr w:rsidR="00154AD2" w14:paraId="51C61E8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3E69F07" w14:textId="77777777" w:rsidR="00154AD2" w:rsidRDefault="007F6BF3">
            <w:pPr>
              <w:pStyle w:val="P68B1DB1-Normal23"/>
              <w:spacing w:after="0"/>
              <w:jc w:val="center"/>
              <w:rPr>
                <w:rFonts w:eastAsia="Calibri" w:cs="Calibri"/>
                <w:noProof/>
              </w:rPr>
            </w:pPr>
            <w:r>
              <w:rPr>
                <w:noProof/>
              </w:rPr>
              <w:t>16.19</w:t>
            </w:r>
          </w:p>
        </w:tc>
        <w:tc>
          <w:tcPr>
            <w:tcW w:w="1760" w:type="dxa"/>
            <w:tcBorders>
              <w:top w:val="nil"/>
              <w:left w:val="nil"/>
              <w:bottom w:val="single" w:sz="4" w:space="0" w:color="auto"/>
              <w:right w:val="single" w:sz="4" w:space="0" w:color="auto"/>
            </w:tcBorders>
            <w:shd w:val="clear" w:color="auto" w:fill="C4EFCE"/>
            <w:vAlign w:val="center"/>
            <w:hideMark/>
          </w:tcPr>
          <w:p w14:paraId="116F9920" w14:textId="147B6CDA" w:rsidR="00154AD2" w:rsidRDefault="007F6BF3">
            <w:pPr>
              <w:pStyle w:val="P68B1DB1-Normal23"/>
              <w:spacing w:after="0"/>
              <w:jc w:val="center"/>
              <w:rPr>
                <w:rFonts w:eastAsia="Calibri" w:cs="Calibri"/>
                <w:noProof/>
              </w:rPr>
            </w:pPr>
            <w:r>
              <w:rPr>
                <w:noProof/>
              </w:rPr>
              <w:t>TD-C16-i05-RAA</w:t>
            </w:r>
          </w:p>
        </w:tc>
        <w:tc>
          <w:tcPr>
            <w:tcW w:w="1520" w:type="dxa"/>
            <w:tcBorders>
              <w:top w:val="nil"/>
              <w:left w:val="nil"/>
              <w:bottom w:val="single" w:sz="4" w:space="0" w:color="auto"/>
              <w:right w:val="single" w:sz="4" w:space="0" w:color="auto"/>
            </w:tcBorders>
            <w:shd w:val="clear" w:color="auto" w:fill="C4EFCE"/>
            <w:vAlign w:val="center"/>
            <w:hideMark/>
          </w:tcPr>
          <w:p w14:paraId="01522257"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6FC228C" w14:textId="77777777" w:rsidR="00154AD2" w:rsidRDefault="007F6BF3">
            <w:pPr>
              <w:pStyle w:val="P68B1DB1-Normal23"/>
              <w:spacing w:after="0"/>
              <w:jc w:val="both"/>
              <w:rPr>
                <w:rFonts w:eastAsia="Calibri" w:cs="Calibri"/>
                <w:noProof/>
              </w:rPr>
            </w:pPr>
            <w:r>
              <w:rPr>
                <w:noProof/>
              </w:rPr>
              <w:t>Επέκταση ή εξοπλισμός των επιστημονικών και τεχνολογικών πάρκων</w:t>
            </w:r>
          </w:p>
        </w:tc>
      </w:tr>
      <w:tr w:rsidR="00154AD2" w14:paraId="2CA2E86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88D8219" w14:textId="77777777" w:rsidR="00154AD2" w:rsidRDefault="007F6BF3">
            <w:pPr>
              <w:pStyle w:val="P68B1DB1-Normal23"/>
              <w:spacing w:after="0"/>
              <w:jc w:val="center"/>
              <w:rPr>
                <w:rFonts w:eastAsia="Calibri" w:cs="Calibri"/>
                <w:noProof/>
              </w:rPr>
            </w:pPr>
            <w:r>
              <w:rPr>
                <w:noProof/>
              </w:rPr>
              <w:t>17.13</w:t>
            </w:r>
          </w:p>
        </w:tc>
        <w:tc>
          <w:tcPr>
            <w:tcW w:w="1760" w:type="dxa"/>
            <w:tcBorders>
              <w:top w:val="nil"/>
              <w:left w:val="nil"/>
              <w:bottom w:val="single" w:sz="4" w:space="0" w:color="auto"/>
              <w:right w:val="single" w:sz="4" w:space="0" w:color="auto"/>
            </w:tcBorders>
            <w:shd w:val="clear" w:color="auto" w:fill="C4EFCE"/>
            <w:vAlign w:val="center"/>
            <w:hideMark/>
          </w:tcPr>
          <w:p w14:paraId="27C4D240" w14:textId="77777777" w:rsidR="00154AD2" w:rsidRDefault="007F6BF3">
            <w:pPr>
              <w:pStyle w:val="P68B1DB1-Normal23"/>
              <w:spacing w:after="0"/>
              <w:jc w:val="center"/>
              <w:rPr>
                <w:rFonts w:eastAsia="Calibri" w:cs="Calibri"/>
                <w:noProof/>
              </w:rPr>
            </w:pPr>
            <w:r>
              <w:rPr>
                <w:noProof/>
              </w:rPr>
              <w:t>TD-C17-i01</w:t>
            </w:r>
          </w:p>
        </w:tc>
        <w:tc>
          <w:tcPr>
            <w:tcW w:w="1520" w:type="dxa"/>
            <w:tcBorders>
              <w:top w:val="nil"/>
              <w:left w:val="nil"/>
              <w:bottom w:val="single" w:sz="4" w:space="0" w:color="auto"/>
              <w:right w:val="single" w:sz="4" w:space="0" w:color="auto"/>
            </w:tcBorders>
            <w:shd w:val="clear" w:color="auto" w:fill="C4EFCE"/>
            <w:vAlign w:val="center"/>
            <w:hideMark/>
          </w:tcPr>
          <w:p w14:paraId="44C29A92"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8B0AB27" w14:textId="77777777" w:rsidR="00154AD2" w:rsidRDefault="007F6BF3">
            <w:pPr>
              <w:pStyle w:val="P68B1DB1-Normal23"/>
              <w:spacing w:after="0"/>
              <w:jc w:val="both"/>
              <w:rPr>
                <w:rFonts w:eastAsia="Calibri" w:cs="Calibri"/>
                <w:noProof/>
              </w:rPr>
            </w:pPr>
            <w:r>
              <w:rPr>
                <w:noProof/>
              </w:rPr>
              <w:t>Ολοκλήρωση της εφαρμογής του Sistema de Gestão de Património Imobiliário Público (SIGPIP) και του εκσυγχρονισμού των συστημάτων πληροφοριών για τα κρατικά οχήματα</w:t>
            </w:r>
          </w:p>
        </w:tc>
      </w:tr>
      <w:tr w:rsidR="00154AD2" w14:paraId="17F0D9F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0B9E321" w14:textId="77777777" w:rsidR="00154AD2" w:rsidRDefault="007F6BF3">
            <w:pPr>
              <w:pStyle w:val="P68B1DB1-Normal23"/>
              <w:spacing w:after="0"/>
              <w:jc w:val="center"/>
              <w:rPr>
                <w:rFonts w:eastAsia="Calibri" w:cs="Calibri"/>
                <w:noProof/>
              </w:rPr>
            </w:pPr>
            <w:r>
              <w:rPr>
                <w:noProof/>
              </w:rPr>
              <w:t>17.25</w:t>
            </w:r>
          </w:p>
        </w:tc>
        <w:tc>
          <w:tcPr>
            <w:tcW w:w="1760" w:type="dxa"/>
            <w:tcBorders>
              <w:top w:val="nil"/>
              <w:left w:val="nil"/>
              <w:bottom w:val="single" w:sz="4" w:space="0" w:color="auto"/>
              <w:right w:val="single" w:sz="4" w:space="0" w:color="auto"/>
            </w:tcBorders>
            <w:shd w:val="clear" w:color="auto" w:fill="C4EFCE"/>
            <w:vAlign w:val="center"/>
            <w:hideMark/>
          </w:tcPr>
          <w:p w14:paraId="764B0F33" w14:textId="482904A7" w:rsidR="00154AD2" w:rsidRDefault="007F6BF3">
            <w:pPr>
              <w:pStyle w:val="P68B1DB1-Normal23"/>
              <w:spacing w:after="0"/>
              <w:jc w:val="center"/>
              <w:rPr>
                <w:rFonts w:eastAsia="Calibri" w:cs="Calibri"/>
                <w:noProof/>
              </w:rPr>
            </w:pPr>
            <w:r>
              <w:rPr>
                <w:noProof/>
              </w:rPr>
              <w:t>TD-C17-r40</w:t>
            </w:r>
          </w:p>
        </w:tc>
        <w:tc>
          <w:tcPr>
            <w:tcW w:w="1520" w:type="dxa"/>
            <w:tcBorders>
              <w:top w:val="nil"/>
              <w:left w:val="nil"/>
              <w:bottom w:val="single" w:sz="4" w:space="0" w:color="auto"/>
              <w:right w:val="single" w:sz="4" w:space="0" w:color="auto"/>
            </w:tcBorders>
            <w:shd w:val="clear" w:color="auto" w:fill="C4EFCE"/>
            <w:vAlign w:val="center"/>
            <w:hideMark/>
          </w:tcPr>
          <w:p w14:paraId="389309CC"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BEB9645" w14:textId="77777777" w:rsidR="00154AD2" w:rsidRDefault="007F6BF3">
            <w:pPr>
              <w:pStyle w:val="P68B1DB1-Normal23"/>
              <w:spacing w:after="0"/>
              <w:jc w:val="both"/>
              <w:rPr>
                <w:rFonts w:eastAsia="Calibri" w:cs="Calibri"/>
                <w:noProof/>
              </w:rPr>
            </w:pPr>
            <w:r>
              <w:rPr>
                <w:noProof/>
              </w:rPr>
              <w:t>Έναρξη ισχύος νομικής πράξης για τη φορολογία — πλεονεκτήματα</w:t>
            </w:r>
          </w:p>
        </w:tc>
      </w:tr>
      <w:tr w:rsidR="00154AD2" w14:paraId="3C4237B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DE7A1BE" w14:textId="77777777" w:rsidR="00154AD2" w:rsidRDefault="007F6BF3">
            <w:pPr>
              <w:pStyle w:val="P68B1DB1-Normal23"/>
              <w:spacing w:after="0"/>
              <w:jc w:val="center"/>
              <w:rPr>
                <w:rFonts w:eastAsia="Calibri" w:cs="Calibri"/>
                <w:noProof/>
              </w:rPr>
            </w:pPr>
            <w:r>
              <w:rPr>
                <w:noProof/>
              </w:rPr>
              <w:t>19.2</w:t>
            </w:r>
          </w:p>
        </w:tc>
        <w:tc>
          <w:tcPr>
            <w:tcW w:w="1760" w:type="dxa"/>
            <w:tcBorders>
              <w:top w:val="nil"/>
              <w:left w:val="nil"/>
              <w:bottom w:val="single" w:sz="4" w:space="0" w:color="auto"/>
              <w:right w:val="single" w:sz="4" w:space="0" w:color="auto"/>
            </w:tcBorders>
            <w:shd w:val="clear" w:color="auto" w:fill="C4EFCE"/>
            <w:vAlign w:val="center"/>
            <w:hideMark/>
          </w:tcPr>
          <w:p w14:paraId="0A34BFE8" w14:textId="77777777" w:rsidR="00154AD2" w:rsidRDefault="007F6BF3">
            <w:pPr>
              <w:pStyle w:val="P68B1DB1-Normal23"/>
              <w:spacing w:after="0"/>
              <w:jc w:val="center"/>
              <w:rPr>
                <w:rFonts w:eastAsia="Calibri" w:cs="Calibri"/>
                <w:noProof/>
              </w:rPr>
            </w:pPr>
            <w:r>
              <w:rPr>
                <w:noProof/>
              </w:rPr>
              <w:t>TD-C19-i01</w:t>
            </w:r>
          </w:p>
        </w:tc>
        <w:tc>
          <w:tcPr>
            <w:tcW w:w="1520" w:type="dxa"/>
            <w:tcBorders>
              <w:top w:val="nil"/>
              <w:left w:val="nil"/>
              <w:bottom w:val="single" w:sz="4" w:space="0" w:color="auto"/>
              <w:right w:val="single" w:sz="4" w:space="0" w:color="auto"/>
            </w:tcBorders>
            <w:shd w:val="clear" w:color="auto" w:fill="C4EFCE"/>
            <w:vAlign w:val="center"/>
            <w:hideMark/>
          </w:tcPr>
          <w:p w14:paraId="24B2DE81"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D0ECFAE" w14:textId="77777777" w:rsidR="00154AD2" w:rsidRDefault="007F6BF3">
            <w:pPr>
              <w:pStyle w:val="P68B1DB1-Normal23"/>
              <w:spacing w:after="0"/>
              <w:jc w:val="both"/>
              <w:rPr>
                <w:rFonts w:eastAsia="Calibri" w:cs="Calibri"/>
                <w:noProof/>
              </w:rPr>
            </w:pPr>
            <w:r>
              <w:rPr>
                <w:noProof/>
              </w:rPr>
              <w:t>Δημόσιες υπηρεσίες διαθέσιμες με απλουστευμένο και συνεκτικό τρόπο μέσω διαφόρων διαύλων</w:t>
            </w:r>
          </w:p>
        </w:tc>
      </w:tr>
      <w:tr w:rsidR="00154AD2" w14:paraId="30CE9AD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360BB9A" w14:textId="77777777" w:rsidR="00154AD2" w:rsidRDefault="007F6BF3">
            <w:pPr>
              <w:pStyle w:val="P68B1DB1-Normal23"/>
              <w:spacing w:after="0"/>
              <w:jc w:val="center"/>
              <w:rPr>
                <w:rFonts w:eastAsia="Calibri" w:cs="Calibri"/>
                <w:noProof/>
              </w:rPr>
            </w:pPr>
            <w:r>
              <w:rPr>
                <w:noProof/>
              </w:rPr>
              <w:t>19.3</w:t>
            </w:r>
          </w:p>
        </w:tc>
        <w:tc>
          <w:tcPr>
            <w:tcW w:w="1760" w:type="dxa"/>
            <w:tcBorders>
              <w:top w:val="nil"/>
              <w:left w:val="nil"/>
              <w:bottom w:val="single" w:sz="4" w:space="0" w:color="auto"/>
              <w:right w:val="single" w:sz="4" w:space="0" w:color="auto"/>
            </w:tcBorders>
            <w:shd w:val="clear" w:color="auto" w:fill="C4EFCE"/>
            <w:vAlign w:val="center"/>
            <w:hideMark/>
          </w:tcPr>
          <w:p w14:paraId="4109E567" w14:textId="77777777" w:rsidR="00154AD2" w:rsidRDefault="007F6BF3">
            <w:pPr>
              <w:pStyle w:val="P68B1DB1-Normal23"/>
              <w:spacing w:after="0"/>
              <w:jc w:val="center"/>
              <w:rPr>
                <w:rFonts w:eastAsia="Calibri" w:cs="Calibri"/>
                <w:noProof/>
              </w:rPr>
            </w:pPr>
            <w:r>
              <w:rPr>
                <w:noProof/>
              </w:rPr>
              <w:t>TD-C19-i01</w:t>
            </w:r>
          </w:p>
        </w:tc>
        <w:tc>
          <w:tcPr>
            <w:tcW w:w="1520" w:type="dxa"/>
            <w:tcBorders>
              <w:top w:val="nil"/>
              <w:left w:val="nil"/>
              <w:bottom w:val="single" w:sz="4" w:space="0" w:color="auto"/>
              <w:right w:val="single" w:sz="4" w:space="0" w:color="auto"/>
            </w:tcBorders>
            <w:shd w:val="clear" w:color="auto" w:fill="C4EFCE"/>
            <w:vAlign w:val="center"/>
            <w:hideMark/>
          </w:tcPr>
          <w:p w14:paraId="33B26DD2"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5F2BDD1D" w14:textId="77777777" w:rsidR="00154AD2" w:rsidRDefault="007F6BF3">
            <w:pPr>
              <w:pStyle w:val="P68B1DB1-Normal23"/>
              <w:spacing w:after="0"/>
              <w:jc w:val="both"/>
              <w:rPr>
                <w:rFonts w:eastAsia="Calibri" w:cs="Calibri"/>
                <w:noProof/>
              </w:rPr>
            </w:pPr>
            <w:r>
              <w:rPr>
                <w:noProof/>
              </w:rPr>
              <w:t>Εφαρμόζεται νέο μοντέλο προξενικής διαχείρισης</w:t>
            </w:r>
          </w:p>
        </w:tc>
      </w:tr>
      <w:tr w:rsidR="00154AD2" w14:paraId="33DF1DA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1172D3C" w14:textId="77777777" w:rsidR="00154AD2" w:rsidRDefault="007F6BF3">
            <w:pPr>
              <w:pStyle w:val="P68B1DB1-Normal23"/>
              <w:spacing w:after="0"/>
              <w:jc w:val="center"/>
              <w:rPr>
                <w:rFonts w:eastAsia="Calibri" w:cs="Calibri"/>
                <w:noProof/>
              </w:rPr>
            </w:pPr>
            <w:r>
              <w:rPr>
                <w:noProof/>
              </w:rPr>
              <w:t>19.5</w:t>
            </w:r>
          </w:p>
        </w:tc>
        <w:tc>
          <w:tcPr>
            <w:tcW w:w="1760" w:type="dxa"/>
            <w:tcBorders>
              <w:top w:val="nil"/>
              <w:left w:val="nil"/>
              <w:bottom w:val="single" w:sz="4" w:space="0" w:color="auto"/>
              <w:right w:val="single" w:sz="4" w:space="0" w:color="auto"/>
            </w:tcBorders>
            <w:shd w:val="clear" w:color="auto" w:fill="C4EFCE"/>
            <w:vAlign w:val="center"/>
            <w:hideMark/>
          </w:tcPr>
          <w:p w14:paraId="712F0553" w14:textId="77777777" w:rsidR="00154AD2" w:rsidRDefault="007F6BF3">
            <w:pPr>
              <w:pStyle w:val="P68B1DB1-Normal23"/>
              <w:spacing w:after="0"/>
              <w:jc w:val="center"/>
              <w:rPr>
                <w:rFonts w:eastAsia="Calibri" w:cs="Calibri"/>
                <w:noProof/>
              </w:rPr>
            </w:pPr>
            <w:r>
              <w:rPr>
                <w:noProof/>
              </w:rPr>
              <w:t>TD-C19-i02</w:t>
            </w:r>
          </w:p>
        </w:tc>
        <w:tc>
          <w:tcPr>
            <w:tcW w:w="1520" w:type="dxa"/>
            <w:tcBorders>
              <w:top w:val="nil"/>
              <w:left w:val="nil"/>
              <w:bottom w:val="single" w:sz="4" w:space="0" w:color="auto"/>
              <w:right w:val="single" w:sz="4" w:space="0" w:color="auto"/>
            </w:tcBorders>
            <w:shd w:val="clear" w:color="auto" w:fill="C4EFCE"/>
            <w:vAlign w:val="center"/>
            <w:hideMark/>
          </w:tcPr>
          <w:p w14:paraId="33EC39A4"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86C0A98" w14:textId="77777777" w:rsidR="00154AD2" w:rsidRDefault="007F6BF3">
            <w:pPr>
              <w:pStyle w:val="P68B1DB1-Normal23"/>
              <w:spacing w:after="0"/>
              <w:jc w:val="both"/>
              <w:rPr>
                <w:rFonts w:eastAsia="Calibri" w:cs="Calibri"/>
                <w:noProof/>
              </w:rPr>
            </w:pPr>
            <w:r>
              <w:rPr>
                <w:noProof/>
              </w:rPr>
              <w:t>Δημόσιες υπηρεσίες με ασφαλή πρόσβαση μέσω ηλεκτρονικής ταυτότητας και με σεβασμό της αρχής «μόνον άπαξ»</w:t>
            </w:r>
          </w:p>
        </w:tc>
      </w:tr>
      <w:tr w:rsidR="00154AD2" w14:paraId="1C29A39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18208A8" w14:textId="77777777" w:rsidR="00154AD2" w:rsidRDefault="007F6BF3">
            <w:pPr>
              <w:pStyle w:val="P68B1DB1-Normal23"/>
              <w:spacing w:after="0"/>
              <w:jc w:val="center"/>
              <w:rPr>
                <w:rFonts w:eastAsia="Calibri" w:cs="Calibri"/>
                <w:noProof/>
              </w:rPr>
            </w:pPr>
            <w:r>
              <w:rPr>
                <w:noProof/>
              </w:rPr>
              <w:t>19.6</w:t>
            </w:r>
          </w:p>
        </w:tc>
        <w:tc>
          <w:tcPr>
            <w:tcW w:w="1760" w:type="dxa"/>
            <w:tcBorders>
              <w:top w:val="nil"/>
              <w:left w:val="nil"/>
              <w:bottom w:val="single" w:sz="4" w:space="0" w:color="auto"/>
              <w:right w:val="single" w:sz="4" w:space="0" w:color="auto"/>
            </w:tcBorders>
            <w:shd w:val="clear" w:color="auto" w:fill="C4EFCE"/>
            <w:vAlign w:val="center"/>
            <w:hideMark/>
          </w:tcPr>
          <w:p w14:paraId="4492DF36" w14:textId="77777777" w:rsidR="00154AD2" w:rsidRDefault="007F6BF3">
            <w:pPr>
              <w:pStyle w:val="P68B1DB1-Normal23"/>
              <w:spacing w:after="0"/>
              <w:jc w:val="center"/>
              <w:rPr>
                <w:rFonts w:eastAsia="Calibri" w:cs="Calibri"/>
                <w:noProof/>
              </w:rPr>
            </w:pPr>
            <w:r>
              <w:rPr>
                <w:noProof/>
              </w:rPr>
              <w:t>TD-C19-i02</w:t>
            </w:r>
          </w:p>
        </w:tc>
        <w:tc>
          <w:tcPr>
            <w:tcW w:w="1520" w:type="dxa"/>
            <w:tcBorders>
              <w:top w:val="nil"/>
              <w:left w:val="nil"/>
              <w:bottom w:val="single" w:sz="4" w:space="0" w:color="auto"/>
              <w:right w:val="single" w:sz="4" w:space="0" w:color="auto"/>
            </w:tcBorders>
            <w:shd w:val="clear" w:color="auto" w:fill="C4EFCE"/>
            <w:vAlign w:val="center"/>
            <w:hideMark/>
          </w:tcPr>
          <w:p w14:paraId="5189EDB6"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37149D1" w14:textId="77777777" w:rsidR="00154AD2" w:rsidRDefault="007F6BF3">
            <w:pPr>
              <w:pStyle w:val="P68B1DB1-Normal23"/>
              <w:spacing w:after="0"/>
              <w:jc w:val="both"/>
              <w:rPr>
                <w:rFonts w:eastAsia="Calibri" w:cs="Calibri"/>
                <w:noProof/>
              </w:rPr>
            </w:pPr>
            <w:r>
              <w:rPr>
                <w:noProof/>
              </w:rPr>
              <w:t>Υποδομή εδαφικών πληροφοριών</w:t>
            </w:r>
          </w:p>
        </w:tc>
      </w:tr>
      <w:tr w:rsidR="00154AD2" w14:paraId="30AE8AE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47537A4" w14:textId="77777777" w:rsidR="00154AD2" w:rsidRDefault="007F6BF3">
            <w:pPr>
              <w:pStyle w:val="P68B1DB1-Normal23"/>
              <w:spacing w:after="0"/>
              <w:jc w:val="center"/>
              <w:rPr>
                <w:rFonts w:eastAsia="Calibri" w:cs="Calibri"/>
                <w:noProof/>
              </w:rPr>
            </w:pPr>
            <w:r>
              <w:rPr>
                <w:noProof/>
              </w:rPr>
              <w:t>19.7</w:t>
            </w:r>
          </w:p>
        </w:tc>
        <w:tc>
          <w:tcPr>
            <w:tcW w:w="1760" w:type="dxa"/>
            <w:tcBorders>
              <w:top w:val="nil"/>
              <w:left w:val="nil"/>
              <w:bottom w:val="single" w:sz="4" w:space="0" w:color="auto"/>
              <w:right w:val="single" w:sz="4" w:space="0" w:color="auto"/>
            </w:tcBorders>
            <w:shd w:val="clear" w:color="auto" w:fill="C4EFCE"/>
            <w:vAlign w:val="center"/>
            <w:hideMark/>
          </w:tcPr>
          <w:p w14:paraId="1FE43E03" w14:textId="77777777" w:rsidR="00154AD2" w:rsidRDefault="007F6BF3">
            <w:pPr>
              <w:pStyle w:val="P68B1DB1-Normal23"/>
              <w:spacing w:after="0"/>
              <w:jc w:val="center"/>
              <w:rPr>
                <w:rFonts w:eastAsia="Calibri" w:cs="Calibri"/>
                <w:noProof/>
              </w:rPr>
            </w:pPr>
            <w:r>
              <w:rPr>
                <w:noProof/>
              </w:rPr>
              <w:t>TD-C19-i03</w:t>
            </w:r>
          </w:p>
        </w:tc>
        <w:tc>
          <w:tcPr>
            <w:tcW w:w="1520" w:type="dxa"/>
            <w:tcBorders>
              <w:top w:val="nil"/>
              <w:left w:val="nil"/>
              <w:bottom w:val="single" w:sz="4" w:space="0" w:color="auto"/>
              <w:right w:val="single" w:sz="4" w:space="0" w:color="auto"/>
            </w:tcBorders>
            <w:shd w:val="clear" w:color="auto" w:fill="C4EFCE"/>
            <w:vAlign w:val="center"/>
            <w:hideMark/>
          </w:tcPr>
          <w:p w14:paraId="122BABBF"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06869C5" w14:textId="77777777" w:rsidR="00154AD2" w:rsidRDefault="007F6BF3">
            <w:pPr>
              <w:pStyle w:val="P68B1DB1-Normal23"/>
              <w:spacing w:after="0"/>
              <w:jc w:val="both"/>
              <w:rPr>
                <w:rFonts w:eastAsia="Calibri" w:cs="Calibri"/>
                <w:noProof/>
              </w:rPr>
            </w:pPr>
            <w:r>
              <w:rPr>
                <w:noProof/>
              </w:rPr>
              <w:t>Κατάρτιση ειδικών ΤΠ για την ενίσχυση των ικανοτήτων κυβερνοασφάλειας και ασφάλειας των πληροφοριών</w:t>
            </w:r>
          </w:p>
        </w:tc>
      </w:tr>
      <w:tr w:rsidR="00154AD2" w14:paraId="1999A62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3147034" w14:textId="77777777" w:rsidR="00154AD2" w:rsidRDefault="007F6BF3">
            <w:pPr>
              <w:pStyle w:val="P68B1DB1-Normal23"/>
              <w:spacing w:after="0"/>
              <w:jc w:val="center"/>
              <w:rPr>
                <w:rFonts w:eastAsia="Calibri" w:cs="Calibri"/>
                <w:noProof/>
              </w:rPr>
            </w:pPr>
            <w:r>
              <w:rPr>
                <w:noProof/>
              </w:rPr>
              <w:t>19.8</w:t>
            </w:r>
          </w:p>
        </w:tc>
        <w:tc>
          <w:tcPr>
            <w:tcW w:w="1760" w:type="dxa"/>
            <w:tcBorders>
              <w:top w:val="nil"/>
              <w:left w:val="nil"/>
              <w:bottom w:val="single" w:sz="4" w:space="0" w:color="auto"/>
              <w:right w:val="single" w:sz="4" w:space="0" w:color="auto"/>
            </w:tcBorders>
            <w:shd w:val="clear" w:color="auto" w:fill="C4EFCE"/>
            <w:vAlign w:val="center"/>
            <w:hideMark/>
          </w:tcPr>
          <w:p w14:paraId="32214705" w14:textId="77777777" w:rsidR="00154AD2" w:rsidRDefault="007F6BF3">
            <w:pPr>
              <w:pStyle w:val="P68B1DB1-Normal23"/>
              <w:spacing w:after="0"/>
              <w:jc w:val="center"/>
              <w:rPr>
                <w:rFonts w:eastAsia="Calibri" w:cs="Calibri"/>
                <w:noProof/>
              </w:rPr>
            </w:pPr>
            <w:r>
              <w:rPr>
                <w:noProof/>
              </w:rPr>
              <w:t>TD-C19-i03</w:t>
            </w:r>
          </w:p>
        </w:tc>
        <w:tc>
          <w:tcPr>
            <w:tcW w:w="1520" w:type="dxa"/>
            <w:tcBorders>
              <w:top w:val="nil"/>
              <w:left w:val="nil"/>
              <w:bottom w:val="single" w:sz="4" w:space="0" w:color="auto"/>
              <w:right w:val="single" w:sz="4" w:space="0" w:color="auto"/>
            </w:tcBorders>
            <w:shd w:val="clear" w:color="auto" w:fill="C4EFCE"/>
            <w:vAlign w:val="center"/>
            <w:hideMark/>
          </w:tcPr>
          <w:p w14:paraId="41AE5346"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7BD70B5" w14:textId="77777777" w:rsidR="00154AD2" w:rsidRDefault="007F6BF3">
            <w:pPr>
              <w:pStyle w:val="P68B1DB1-Normal23"/>
              <w:spacing w:after="0"/>
              <w:jc w:val="both"/>
              <w:rPr>
                <w:rFonts w:eastAsia="Calibri" w:cs="Calibri"/>
                <w:noProof/>
              </w:rPr>
            </w:pPr>
            <w:r>
              <w:rPr>
                <w:noProof/>
              </w:rPr>
              <w:t>Υιοθέτηση της πορτογαλικής κρυπτογραφικής λύσης από τις δημόσιες αρχές</w:t>
            </w:r>
          </w:p>
        </w:tc>
      </w:tr>
      <w:tr w:rsidR="00154AD2" w14:paraId="4419910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687C3D7" w14:textId="77777777" w:rsidR="00154AD2" w:rsidRDefault="007F6BF3">
            <w:pPr>
              <w:pStyle w:val="P68B1DB1-Normal23"/>
              <w:spacing w:after="0"/>
              <w:jc w:val="center"/>
              <w:rPr>
                <w:rFonts w:eastAsia="Calibri" w:cs="Calibri"/>
                <w:noProof/>
              </w:rPr>
            </w:pPr>
            <w:r>
              <w:rPr>
                <w:noProof/>
              </w:rPr>
              <w:t>19.9</w:t>
            </w:r>
          </w:p>
        </w:tc>
        <w:tc>
          <w:tcPr>
            <w:tcW w:w="1760" w:type="dxa"/>
            <w:tcBorders>
              <w:top w:val="nil"/>
              <w:left w:val="nil"/>
              <w:bottom w:val="single" w:sz="4" w:space="0" w:color="auto"/>
              <w:right w:val="single" w:sz="4" w:space="0" w:color="auto"/>
            </w:tcBorders>
            <w:shd w:val="clear" w:color="auto" w:fill="C4EFCE"/>
            <w:vAlign w:val="center"/>
            <w:hideMark/>
          </w:tcPr>
          <w:p w14:paraId="1170E640" w14:textId="77777777" w:rsidR="00154AD2" w:rsidRDefault="007F6BF3">
            <w:pPr>
              <w:pStyle w:val="P68B1DB1-Normal23"/>
              <w:spacing w:after="0"/>
              <w:jc w:val="center"/>
              <w:rPr>
                <w:rFonts w:eastAsia="Calibri" w:cs="Calibri"/>
                <w:noProof/>
              </w:rPr>
            </w:pPr>
            <w:r>
              <w:rPr>
                <w:noProof/>
              </w:rPr>
              <w:t>TD-C19-i03</w:t>
            </w:r>
          </w:p>
        </w:tc>
        <w:tc>
          <w:tcPr>
            <w:tcW w:w="1520" w:type="dxa"/>
            <w:tcBorders>
              <w:top w:val="nil"/>
              <w:left w:val="nil"/>
              <w:bottom w:val="single" w:sz="4" w:space="0" w:color="auto"/>
              <w:right w:val="single" w:sz="4" w:space="0" w:color="auto"/>
            </w:tcBorders>
            <w:shd w:val="clear" w:color="auto" w:fill="C4EFCE"/>
            <w:vAlign w:val="center"/>
            <w:hideMark/>
          </w:tcPr>
          <w:p w14:paraId="333DE23E"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81D38D1" w14:textId="77777777" w:rsidR="00154AD2" w:rsidRDefault="007F6BF3">
            <w:pPr>
              <w:pStyle w:val="P68B1DB1-Normal23"/>
              <w:spacing w:after="0"/>
              <w:jc w:val="both"/>
              <w:rPr>
                <w:rFonts w:eastAsia="Calibri" w:cs="Calibri"/>
                <w:noProof/>
              </w:rPr>
            </w:pPr>
            <w:r>
              <w:rPr>
                <w:noProof/>
              </w:rPr>
              <w:t>Εφαρμογή του Εθνικού Πλαισίου Κυβερνοασφάλειας</w:t>
            </w:r>
          </w:p>
        </w:tc>
      </w:tr>
      <w:tr w:rsidR="00154AD2" w14:paraId="07AB23E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3DD90FD" w14:textId="77777777" w:rsidR="00154AD2" w:rsidRDefault="007F6BF3">
            <w:pPr>
              <w:pStyle w:val="P68B1DB1-Normal23"/>
              <w:spacing w:after="0"/>
              <w:jc w:val="center"/>
              <w:rPr>
                <w:rFonts w:eastAsia="Calibri" w:cs="Calibri"/>
                <w:noProof/>
              </w:rPr>
            </w:pPr>
            <w:r>
              <w:rPr>
                <w:noProof/>
              </w:rPr>
              <w:t>19.10</w:t>
            </w:r>
          </w:p>
        </w:tc>
        <w:tc>
          <w:tcPr>
            <w:tcW w:w="1760" w:type="dxa"/>
            <w:tcBorders>
              <w:top w:val="nil"/>
              <w:left w:val="nil"/>
              <w:bottom w:val="single" w:sz="4" w:space="0" w:color="auto"/>
              <w:right w:val="single" w:sz="4" w:space="0" w:color="auto"/>
            </w:tcBorders>
            <w:shd w:val="clear" w:color="auto" w:fill="C4EFCE"/>
            <w:vAlign w:val="center"/>
            <w:hideMark/>
          </w:tcPr>
          <w:p w14:paraId="060FEC6A" w14:textId="77777777" w:rsidR="00154AD2" w:rsidRDefault="007F6BF3">
            <w:pPr>
              <w:pStyle w:val="P68B1DB1-Normal23"/>
              <w:spacing w:after="0"/>
              <w:jc w:val="center"/>
              <w:rPr>
                <w:rFonts w:eastAsia="Calibri" w:cs="Calibri"/>
                <w:noProof/>
              </w:rPr>
            </w:pPr>
            <w:r>
              <w:rPr>
                <w:noProof/>
              </w:rPr>
              <w:t>TD-C19-i03</w:t>
            </w:r>
          </w:p>
        </w:tc>
        <w:tc>
          <w:tcPr>
            <w:tcW w:w="1520" w:type="dxa"/>
            <w:tcBorders>
              <w:top w:val="nil"/>
              <w:left w:val="nil"/>
              <w:bottom w:val="single" w:sz="4" w:space="0" w:color="auto"/>
              <w:right w:val="single" w:sz="4" w:space="0" w:color="auto"/>
            </w:tcBorders>
            <w:shd w:val="clear" w:color="auto" w:fill="C4EFCE"/>
            <w:vAlign w:val="center"/>
            <w:hideMark/>
          </w:tcPr>
          <w:p w14:paraId="2BED6252"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CE1A606" w14:textId="77777777" w:rsidR="00154AD2" w:rsidRDefault="007F6BF3">
            <w:pPr>
              <w:pStyle w:val="P68B1DB1-Normal23"/>
              <w:spacing w:after="0"/>
              <w:jc w:val="both"/>
              <w:rPr>
                <w:rFonts w:eastAsia="Calibri" w:cs="Calibri"/>
                <w:noProof/>
              </w:rPr>
            </w:pPr>
            <w:r>
              <w:rPr>
                <w:noProof/>
              </w:rPr>
              <w:t>Ολοκλήρωση της οικοδόμησης των αρχών κυβερνοασφάλειας και ασφάλειας πληροφοριών</w:t>
            </w:r>
          </w:p>
        </w:tc>
      </w:tr>
      <w:tr w:rsidR="00154AD2" w14:paraId="760DEC5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B8D01BA" w14:textId="77777777" w:rsidR="00154AD2" w:rsidRDefault="007F6BF3">
            <w:pPr>
              <w:pStyle w:val="P68B1DB1-Normal23"/>
              <w:spacing w:after="0"/>
              <w:jc w:val="center"/>
              <w:rPr>
                <w:rFonts w:eastAsia="Calibri" w:cs="Calibri"/>
                <w:noProof/>
              </w:rPr>
            </w:pPr>
            <w:r>
              <w:rPr>
                <w:noProof/>
              </w:rPr>
              <w:t>19.15</w:t>
            </w:r>
          </w:p>
        </w:tc>
        <w:tc>
          <w:tcPr>
            <w:tcW w:w="1760" w:type="dxa"/>
            <w:tcBorders>
              <w:top w:val="nil"/>
              <w:left w:val="nil"/>
              <w:bottom w:val="single" w:sz="4" w:space="0" w:color="auto"/>
              <w:right w:val="single" w:sz="4" w:space="0" w:color="auto"/>
            </w:tcBorders>
            <w:shd w:val="clear" w:color="auto" w:fill="C4EFCE"/>
            <w:vAlign w:val="center"/>
            <w:hideMark/>
          </w:tcPr>
          <w:p w14:paraId="7B8807DF" w14:textId="77777777" w:rsidR="00154AD2" w:rsidRDefault="007F6BF3">
            <w:pPr>
              <w:pStyle w:val="P68B1DB1-Normal23"/>
              <w:spacing w:after="0"/>
              <w:jc w:val="center"/>
              <w:rPr>
                <w:rFonts w:eastAsia="Calibri" w:cs="Calibri"/>
                <w:noProof/>
              </w:rPr>
            </w:pPr>
            <w:r>
              <w:rPr>
                <w:noProof/>
              </w:rPr>
              <w:t>TD-C19-i04</w:t>
            </w:r>
          </w:p>
        </w:tc>
        <w:tc>
          <w:tcPr>
            <w:tcW w:w="1520" w:type="dxa"/>
            <w:tcBorders>
              <w:top w:val="nil"/>
              <w:left w:val="nil"/>
              <w:bottom w:val="single" w:sz="4" w:space="0" w:color="auto"/>
              <w:right w:val="single" w:sz="4" w:space="0" w:color="auto"/>
            </w:tcBorders>
            <w:shd w:val="clear" w:color="auto" w:fill="C4EFCE"/>
            <w:vAlign w:val="center"/>
            <w:hideMark/>
          </w:tcPr>
          <w:p w14:paraId="2CA2E4E8"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0346B88" w14:textId="77777777" w:rsidR="00154AD2" w:rsidRDefault="007F6BF3">
            <w:pPr>
              <w:pStyle w:val="P68B1DB1-Normal23"/>
              <w:spacing w:after="0"/>
              <w:jc w:val="both"/>
              <w:rPr>
                <w:rFonts w:eastAsia="Calibri" w:cs="Calibri"/>
                <w:noProof/>
              </w:rPr>
            </w:pPr>
            <w:r>
              <w:rPr>
                <w:noProof/>
              </w:rPr>
              <w:t>Ενίσχυση του κυβερνητικού κέντρου διαχείρισης δικτύου ΤΠ (RING)</w:t>
            </w:r>
          </w:p>
        </w:tc>
      </w:tr>
      <w:tr w:rsidR="00154AD2" w14:paraId="792CC6D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F2FA3D7" w14:textId="77777777" w:rsidR="00154AD2" w:rsidRDefault="007F6BF3">
            <w:pPr>
              <w:pStyle w:val="P68B1DB1-Normal23"/>
              <w:spacing w:after="0"/>
              <w:jc w:val="center"/>
              <w:rPr>
                <w:rFonts w:eastAsia="Calibri" w:cs="Calibri"/>
                <w:noProof/>
              </w:rPr>
            </w:pPr>
            <w:r>
              <w:rPr>
                <w:noProof/>
              </w:rPr>
              <w:t>19.21</w:t>
            </w:r>
          </w:p>
        </w:tc>
        <w:tc>
          <w:tcPr>
            <w:tcW w:w="1760" w:type="dxa"/>
            <w:tcBorders>
              <w:top w:val="nil"/>
              <w:left w:val="nil"/>
              <w:bottom w:val="single" w:sz="4" w:space="0" w:color="auto"/>
              <w:right w:val="single" w:sz="4" w:space="0" w:color="auto"/>
            </w:tcBorders>
            <w:shd w:val="clear" w:color="auto" w:fill="C4EFCE"/>
            <w:vAlign w:val="center"/>
            <w:hideMark/>
          </w:tcPr>
          <w:p w14:paraId="31AD2AD3" w14:textId="77777777" w:rsidR="00154AD2" w:rsidRDefault="007F6BF3">
            <w:pPr>
              <w:pStyle w:val="P68B1DB1-Normal23"/>
              <w:spacing w:after="0"/>
              <w:jc w:val="center"/>
              <w:rPr>
                <w:rFonts w:eastAsia="Calibri" w:cs="Calibri"/>
                <w:noProof/>
              </w:rPr>
            </w:pPr>
            <w:r>
              <w:rPr>
                <w:noProof/>
              </w:rPr>
              <w:t>TD-C19-i07</w:t>
            </w:r>
          </w:p>
        </w:tc>
        <w:tc>
          <w:tcPr>
            <w:tcW w:w="1520" w:type="dxa"/>
            <w:tcBorders>
              <w:top w:val="nil"/>
              <w:left w:val="nil"/>
              <w:bottom w:val="single" w:sz="4" w:space="0" w:color="auto"/>
              <w:right w:val="single" w:sz="4" w:space="0" w:color="auto"/>
            </w:tcBorders>
            <w:shd w:val="clear" w:color="auto" w:fill="C4EFCE"/>
            <w:vAlign w:val="center"/>
            <w:hideMark/>
          </w:tcPr>
          <w:p w14:paraId="5B50B193"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1B934D6" w14:textId="77777777" w:rsidR="00154AD2" w:rsidRDefault="007F6BF3">
            <w:pPr>
              <w:pStyle w:val="P68B1DB1-Normal23"/>
              <w:spacing w:after="0"/>
              <w:jc w:val="both"/>
              <w:rPr>
                <w:rFonts w:eastAsia="Calibri" w:cs="Calibri"/>
                <w:noProof/>
              </w:rPr>
            </w:pPr>
            <w:r>
              <w:rPr>
                <w:noProof/>
              </w:rPr>
              <w:t>Κατάρτιση των υπαλλήλων της δημόσιας διοίκησης</w:t>
            </w:r>
          </w:p>
        </w:tc>
      </w:tr>
      <w:tr w:rsidR="00154AD2" w14:paraId="4D1F4A1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5D407EF" w14:textId="77777777" w:rsidR="00154AD2" w:rsidRDefault="007F6BF3">
            <w:pPr>
              <w:pStyle w:val="P68B1DB1-Normal23"/>
              <w:spacing w:after="0"/>
              <w:jc w:val="center"/>
              <w:rPr>
                <w:rFonts w:eastAsia="Calibri" w:cs="Calibri"/>
                <w:noProof/>
              </w:rPr>
            </w:pPr>
            <w:r>
              <w:rPr>
                <w:noProof/>
              </w:rPr>
              <w:t>19.26</w:t>
            </w:r>
          </w:p>
        </w:tc>
        <w:tc>
          <w:tcPr>
            <w:tcW w:w="1760" w:type="dxa"/>
            <w:tcBorders>
              <w:top w:val="nil"/>
              <w:left w:val="nil"/>
              <w:bottom w:val="single" w:sz="4" w:space="0" w:color="auto"/>
              <w:right w:val="single" w:sz="4" w:space="0" w:color="auto"/>
            </w:tcBorders>
            <w:shd w:val="clear" w:color="auto" w:fill="C4EFCE"/>
            <w:vAlign w:val="center"/>
            <w:hideMark/>
          </w:tcPr>
          <w:p w14:paraId="724124BA" w14:textId="77777777" w:rsidR="00154AD2" w:rsidRDefault="007F6BF3">
            <w:pPr>
              <w:pStyle w:val="P68B1DB1-Normal23"/>
              <w:spacing w:after="0"/>
              <w:jc w:val="center"/>
              <w:rPr>
                <w:rFonts w:eastAsia="Calibri" w:cs="Calibri"/>
                <w:noProof/>
              </w:rPr>
            </w:pPr>
            <w:r>
              <w:rPr>
                <w:noProof/>
              </w:rPr>
              <w:t>TD-C19-i01</w:t>
            </w:r>
          </w:p>
        </w:tc>
        <w:tc>
          <w:tcPr>
            <w:tcW w:w="1520" w:type="dxa"/>
            <w:tcBorders>
              <w:top w:val="nil"/>
              <w:left w:val="nil"/>
              <w:bottom w:val="single" w:sz="4" w:space="0" w:color="auto"/>
              <w:right w:val="single" w:sz="4" w:space="0" w:color="auto"/>
            </w:tcBorders>
            <w:shd w:val="clear" w:color="auto" w:fill="C4EFCE"/>
            <w:vAlign w:val="center"/>
            <w:hideMark/>
          </w:tcPr>
          <w:p w14:paraId="482AE9A8"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152B610" w14:textId="0A982997" w:rsidR="00154AD2" w:rsidRDefault="007F6BF3">
            <w:pPr>
              <w:pStyle w:val="P68B1DB1-Normal23"/>
              <w:spacing w:after="0"/>
              <w:jc w:val="both"/>
              <w:rPr>
                <w:rFonts w:eastAsia="Calibri" w:cs="Calibri"/>
                <w:noProof/>
              </w:rPr>
            </w:pPr>
            <w:r>
              <w:rPr>
                <w:noProof/>
              </w:rPr>
              <w:t>Lojas do Cidadão και Espaços cidadão</w:t>
            </w:r>
          </w:p>
        </w:tc>
      </w:tr>
      <w:tr w:rsidR="00154AD2" w14:paraId="0A6C160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46A6318" w14:textId="77777777" w:rsidR="00154AD2" w:rsidRDefault="007F6BF3">
            <w:pPr>
              <w:pStyle w:val="P68B1DB1-Normal23"/>
              <w:spacing w:after="0"/>
              <w:jc w:val="center"/>
              <w:rPr>
                <w:rFonts w:eastAsia="Calibri" w:cs="Calibri"/>
                <w:noProof/>
              </w:rPr>
            </w:pPr>
            <w:r>
              <w:rPr>
                <w:noProof/>
              </w:rPr>
              <w:t>19.35</w:t>
            </w:r>
          </w:p>
        </w:tc>
        <w:tc>
          <w:tcPr>
            <w:tcW w:w="1760" w:type="dxa"/>
            <w:tcBorders>
              <w:top w:val="nil"/>
              <w:left w:val="nil"/>
              <w:bottom w:val="single" w:sz="4" w:space="0" w:color="auto"/>
              <w:right w:val="single" w:sz="4" w:space="0" w:color="auto"/>
            </w:tcBorders>
            <w:shd w:val="clear" w:color="auto" w:fill="C4EFCE"/>
            <w:vAlign w:val="center"/>
            <w:hideMark/>
          </w:tcPr>
          <w:p w14:paraId="40686A88" w14:textId="77777777" w:rsidR="00154AD2" w:rsidRDefault="007F6BF3">
            <w:pPr>
              <w:pStyle w:val="P68B1DB1-Normal23"/>
              <w:spacing w:after="0"/>
              <w:jc w:val="center"/>
              <w:rPr>
                <w:rFonts w:eastAsia="Calibri" w:cs="Calibri"/>
                <w:noProof/>
              </w:rPr>
            </w:pPr>
            <w:r>
              <w:rPr>
                <w:noProof/>
              </w:rPr>
              <w:t>TD-C19-i08</w:t>
            </w:r>
          </w:p>
        </w:tc>
        <w:tc>
          <w:tcPr>
            <w:tcW w:w="1520" w:type="dxa"/>
            <w:tcBorders>
              <w:top w:val="nil"/>
              <w:left w:val="nil"/>
              <w:bottom w:val="single" w:sz="4" w:space="0" w:color="auto"/>
              <w:right w:val="single" w:sz="4" w:space="0" w:color="auto"/>
            </w:tcBorders>
            <w:shd w:val="clear" w:color="auto" w:fill="C4EFCE"/>
            <w:vAlign w:val="center"/>
            <w:hideMark/>
          </w:tcPr>
          <w:p w14:paraId="00CBC2F2"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40261BB" w14:textId="77777777" w:rsidR="00154AD2" w:rsidRDefault="007F6BF3">
            <w:pPr>
              <w:pStyle w:val="P68B1DB1-Normal23"/>
              <w:spacing w:after="0"/>
              <w:jc w:val="both"/>
              <w:rPr>
                <w:rFonts w:eastAsia="Calibri" w:cs="Calibri"/>
                <w:noProof/>
              </w:rPr>
            </w:pPr>
            <w:r>
              <w:rPr>
                <w:noProof/>
              </w:rPr>
              <w:t>Έξυπνα εδάφη: Πλατφόρμες αστικής διαχείρισης, ψηφιακά δίδυμα και πίνακας εργαλείων δημόσιας πολιτικής</w:t>
            </w:r>
          </w:p>
        </w:tc>
      </w:tr>
      <w:tr w:rsidR="00154AD2" w14:paraId="680F3CB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F9600BD" w14:textId="77777777" w:rsidR="00154AD2" w:rsidRDefault="007F6BF3">
            <w:pPr>
              <w:pStyle w:val="P68B1DB1-Normal23"/>
              <w:spacing w:after="0"/>
              <w:jc w:val="center"/>
              <w:rPr>
                <w:rFonts w:eastAsia="Calibri" w:cs="Calibri"/>
                <w:noProof/>
              </w:rPr>
            </w:pPr>
            <w:r>
              <w:rPr>
                <w:noProof/>
              </w:rPr>
              <w:t>21.1</w:t>
            </w:r>
          </w:p>
        </w:tc>
        <w:tc>
          <w:tcPr>
            <w:tcW w:w="1760" w:type="dxa"/>
            <w:tcBorders>
              <w:top w:val="nil"/>
              <w:left w:val="nil"/>
              <w:bottom w:val="single" w:sz="4" w:space="0" w:color="auto"/>
              <w:right w:val="single" w:sz="4" w:space="0" w:color="auto"/>
            </w:tcBorders>
            <w:shd w:val="clear" w:color="auto" w:fill="C4EFCE"/>
            <w:vAlign w:val="center"/>
            <w:hideMark/>
          </w:tcPr>
          <w:p w14:paraId="68A75452" w14:textId="77777777" w:rsidR="00154AD2" w:rsidRDefault="007F6BF3">
            <w:pPr>
              <w:pStyle w:val="P68B1DB1-Normal23"/>
              <w:spacing w:after="0"/>
              <w:jc w:val="center"/>
              <w:rPr>
                <w:rFonts w:eastAsia="Calibri" w:cs="Calibri"/>
                <w:noProof/>
              </w:rPr>
            </w:pPr>
            <w:r>
              <w:rPr>
                <w:noProof/>
              </w:rPr>
              <w:t>RP-C21-i01</w:t>
            </w:r>
          </w:p>
        </w:tc>
        <w:tc>
          <w:tcPr>
            <w:tcW w:w="1520" w:type="dxa"/>
            <w:tcBorders>
              <w:top w:val="nil"/>
              <w:left w:val="nil"/>
              <w:bottom w:val="single" w:sz="4" w:space="0" w:color="auto"/>
              <w:right w:val="single" w:sz="4" w:space="0" w:color="auto"/>
            </w:tcBorders>
            <w:shd w:val="clear" w:color="auto" w:fill="C4EFCE"/>
            <w:vAlign w:val="center"/>
            <w:hideMark/>
          </w:tcPr>
          <w:p w14:paraId="765AC78B"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3A62612" w14:textId="77777777" w:rsidR="00154AD2" w:rsidRDefault="007F6BF3">
            <w:pPr>
              <w:pStyle w:val="P68B1DB1-Normal23"/>
              <w:spacing w:after="0"/>
              <w:jc w:val="both"/>
              <w:rPr>
                <w:rFonts w:eastAsia="Calibri" w:cs="Calibri"/>
                <w:noProof/>
              </w:rPr>
            </w:pPr>
            <w:r>
              <w:rPr>
                <w:noProof/>
              </w:rPr>
              <w:t>Χρηματοδοτική στήριξη για απλουστευμένα έργα απαλλαγής της βιομηχανίας από τις ανθρακούχες εκπομπές</w:t>
            </w:r>
          </w:p>
        </w:tc>
      </w:tr>
      <w:tr w:rsidR="00154AD2" w14:paraId="0AB05DD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B98C020" w14:textId="77777777" w:rsidR="00154AD2" w:rsidRDefault="007F6BF3">
            <w:pPr>
              <w:pStyle w:val="P68B1DB1-Normal23"/>
              <w:spacing w:after="0"/>
              <w:jc w:val="center"/>
              <w:rPr>
                <w:rFonts w:eastAsia="Calibri" w:cs="Calibri"/>
                <w:noProof/>
              </w:rPr>
            </w:pPr>
            <w:r>
              <w:rPr>
                <w:noProof/>
              </w:rPr>
              <w:t>21.4</w:t>
            </w:r>
          </w:p>
        </w:tc>
        <w:tc>
          <w:tcPr>
            <w:tcW w:w="1760" w:type="dxa"/>
            <w:tcBorders>
              <w:top w:val="nil"/>
              <w:left w:val="nil"/>
              <w:bottom w:val="single" w:sz="4" w:space="0" w:color="auto"/>
              <w:right w:val="single" w:sz="4" w:space="0" w:color="auto"/>
            </w:tcBorders>
            <w:shd w:val="clear" w:color="auto" w:fill="C4EFCE"/>
            <w:vAlign w:val="center"/>
            <w:hideMark/>
          </w:tcPr>
          <w:p w14:paraId="1E0F5355" w14:textId="77777777" w:rsidR="00154AD2" w:rsidRDefault="007F6BF3">
            <w:pPr>
              <w:pStyle w:val="P68B1DB1-Normal23"/>
              <w:spacing w:after="0"/>
              <w:jc w:val="center"/>
              <w:rPr>
                <w:rFonts w:eastAsia="Calibri" w:cs="Calibri"/>
                <w:noProof/>
              </w:rPr>
            </w:pPr>
            <w:r>
              <w:rPr>
                <w:noProof/>
              </w:rPr>
              <w:t>RP-C21-i03</w:t>
            </w:r>
          </w:p>
        </w:tc>
        <w:tc>
          <w:tcPr>
            <w:tcW w:w="1520" w:type="dxa"/>
            <w:tcBorders>
              <w:top w:val="nil"/>
              <w:left w:val="nil"/>
              <w:bottom w:val="single" w:sz="4" w:space="0" w:color="auto"/>
              <w:right w:val="single" w:sz="4" w:space="0" w:color="auto"/>
            </w:tcBorders>
            <w:shd w:val="clear" w:color="auto" w:fill="C4EFCE"/>
            <w:vAlign w:val="center"/>
            <w:hideMark/>
          </w:tcPr>
          <w:p w14:paraId="4CFCB733"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60CF8C5" w14:textId="77777777" w:rsidR="00154AD2" w:rsidRDefault="007F6BF3">
            <w:pPr>
              <w:pStyle w:val="P68B1DB1-Normal23"/>
              <w:spacing w:after="0"/>
              <w:jc w:val="both"/>
              <w:rPr>
                <w:rFonts w:eastAsia="Calibri" w:cs="Calibri"/>
                <w:noProof/>
              </w:rPr>
            </w:pPr>
            <w:r>
              <w:rPr>
                <w:noProof/>
              </w:rPr>
              <w:t>Ενεργειακή απόδοση ανακαινίσεων κτιρίων υπηρεσιών</w:t>
            </w:r>
          </w:p>
        </w:tc>
      </w:tr>
      <w:tr w:rsidR="00154AD2" w14:paraId="7AE3C13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B0D6E8E" w14:textId="77777777" w:rsidR="00154AD2" w:rsidRDefault="007F6BF3">
            <w:pPr>
              <w:pStyle w:val="P68B1DB1-Normal23"/>
              <w:spacing w:after="0"/>
              <w:jc w:val="center"/>
              <w:rPr>
                <w:rFonts w:eastAsia="Calibri" w:cs="Calibri"/>
                <w:noProof/>
              </w:rPr>
            </w:pPr>
            <w:r>
              <w:rPr>
                <w:noProof/>
              </w:rPr>
              <w:t>21.13</w:t>
            </w:r>
          </w:p>
        </w:tc>
        <w:tc>
          <w:tcPr>
            <w:tcW w:w="1760" w:type="dxa"/>
            <w:tcBorders>
              <w:top w:val="nil"/>
              <w:left w:val="nil"/>
              <w:bottom w:val="single" w:sz="4" w:space="0" w:color="auto"/>
              <w:right w:val="single" w:sz="4" w:space="0" w:color="auto"/>
            </w:tcBorders>
            <w:shd w:val="clear" w:color="auto" w:fill="C4EFCE"/>
            <w:vAlign w:val="center"/>
            <w:hideMark/>
          </w:tcPr>
          <w:p w14:paraId="3D5708D0" w14:textId="77777777" w:rsidR="00154AD2" w:rsidRDefault="007F6BF3">
            <w:pPr>
              <w:pStyle w:val="P68B1DB1-Normal23"/>
              <w:spacing w:after="0"/>
              <w:jc w:val="center"/>
              <w:rPr>
                <w:rFonts w:eastAsia="Calibri" w:cs="Calibri"/>
                <w:noProof/>
              </w:rPr>
            </w:pPr>
            <w:r>
              <w:rPr>
                <w:noProof/>
              </w:rPr>
              <w:t>RP-C21-i05</w:t>
            </w:r>
          </w:p>
        </w:tc>
        <w:tc>
          <w:tcPr>
            <w:tcW w:w="1520" w:type="dxa"/>
            <w:tcBorders>
              <w:top w:val="nil"/>
              <w:left w:val="nil"/>
              <w:bottom w:val="single" w:sz="4" w:space="0" w:color="auto"/>
              <w:right w:val="single" w:sz="4" w:space="0" w:color="auto"/>
            </w:tcBorders>
            <w:shd w:val="clear" w:color="auto" w:fill="C4EFCE"/>
            <w:vAlign w:val="center"/>
            <w:hideMark/>
          </w:tcPr>
          <w:p w14:paraId="4EF9FB7D"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731C1C6" w14:textId="77777777" w:rsidR="00154AD2" w:rsidRDefault="007F6BF3">
            <w:pPr>
              <w:pStyle w:val="P68B1DB1-Normal23"/>
              <w:spacing w:after="0"/>
              <w:jc w:val="both"/>
              <w:rPr>
                <w:rFonts w:eastAsia="Calibri" w:cs="Calibri"/>
                <w:noProof/>
              </w:rPr>
            </w:pPr>
            <w:r>
              <w:rPr>
                <w:noProof/>
              </w:rPr>
              <w:t>Ολοκλήρωση 5 βιομηχανικών έργων σε στρατηγικές τεχνολογίες για την κλιματική μετάβαση</w:t>
            </w:r>
          </w:p>
        </w:tc>
      </w:tr>
      <w:tr w:rsidR="00154AD2" w14:paraId="46B66D6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E773CBC" w14:textId="77777777" w:rsidR="00154AD2" w:rsidRDefault="007F6BF3">
            <w:pPr>
              <w:pStyle w:val="P68B1DB1-Normal23"/>
              <w:spacing w:after="0"/>
              <w:jc w:val="center"/>
              <w:rPr>
                <w:rFonts w:eastAsia="Calibri" w:cs="Calibri"/>
                <w:noProof/>
              </w:rPr>
            </w:pPr>
            <w:r>
              <w:rPr>
                <w:noProof/>
              </w:rPr>
              <w:t>21.25</w:t>
            </w:r>
          </w:p>
        </w:tc>
        <w:tc>
          <w:tcPr>
            <w:tcW w:w="1760" w:type="dxa"/>
            <w:tcBorders>
              <w:top w:val="nil"/>
              <w:left w:val="nil"/>
              <w:bottom w:val="single" w:sz="4" w:space="0" w:color="auto"/>
              <w:right w:val="single" w:sz="4" w:space="0" w:color="auto"/>
            </w:tcBorders>
            <w:shd w:val="clear" w:color="auto" w:fill="C4EFCE"/>
            <w:vAlign w:val="center"/>
            <w:hideMark/>
          </w:tcPr>
          <w:p w14:paraId="0F61BA2A" w14:textId="0F7A2382" w:rsidR="00154AD2" w:rsidRDefault="007F6BF3">
            <w:pPr>
              <w:pStyle w:val="P68B1DB1-Normal23"/>
              <w:spacing w:after="0"/>
              <w:jc w:val="center"/>
              <w:rPr>
                <w:rFonts w:eastAsia="Calibri" w:cs="Calibri"/>
                <w:noProof/>
              </w:rPr>
            </w:pPr>
            <w:r>
              <w:rPr>
                <w:noProof/>
              </w:rPr>
              <w:t>RP-C21-i06</w:t>
            </w:r>
          </w:p>
        </w:tc>
        <w:tc>
          <w:tcPr>
            <w:tcW w:w="1520" w:type="dxa"/>
            <w:tcBorders>
              <w:top w:val="nil"/>
              <w:left w:val="nil"/>
              <w:bottom w:val="single" w:sz="4" w:space="0" w:color="auto"/>
              <w:right w:val="single" w:sz="4" w:space="0" w:color="auto"/>
            </w:tcBorders>
            <w:shd w:val="clear" w:color="auto" w:fill="C4EFCE"/>
            <w:vAlign w:val="center"/>
            <w:hideMark/>
          </w:tcPr>
          <w:p w14:paraId="332F83C6"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0DF0458" w14:textId="77777777" w:rsidR="00154AD2" w:rsidRDefault="007F6BF3">
            <w:pPr>
              <w:pStyle w:val="P68B1DB1-Normal23"/>
              <w:spacing w:after="0"/>
              <w:jc w:val="both"/>
              <w:rPr>
                <w:rFonts w:eastAsia="Calibri" w:cs="Calibri"/>
                <w:noProof/>
              </w:rPr>
            </w:pPr>
            <w:r>
              <w:rPr>
                <w:noProof/>
              </w:rPr>
              <w:t>Πρόσθετη δυναμικότητα παραγωγής ανανεώσιμου υδρογόνου και ανανεώσιμου αερίου</w:t>
            </w:r>
          </w:p>
        </w:tc>
      </w:tr>
      <w:tr w:rsidR="00154AD2" w14:paraId="7AE9352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F8FBC31" w14:textId="77777777" w:rsidR="00154AD2" w:rsidRDefault="007F6BF3">
            <w:pPr>
              <w:pStyle w:val="P68B1DB1-Normal23"/>
              <w:spacing w:after="0"/>
              <w:jc w:val="center"/>
              <w:rPr>
                <w:rFonts w:eastAsia="Calibri" w:cs="Calibri"/>
                <w:noProof/>
              </w:rPr>
            </w:pPr>
            <w:r>
              <w:rPr>
                <w:noProof/>
              </w:rPr>
              <w:t>21.27</w:t>
            </w:r>
          </w:p>
        </w:tc>
        <w:tc>
          <w:tcPr>
            <w:tcW w:w="1760" w:type="dxa"/>
            <w:tcBorders>
              <w:top w:val="nil"/>
              <w:left w:val="nil"/>
              <w:bottom w:val="single" w:sz="4" w:space="0" w:color="auto"/>
              <w:right w:val="single" w:sz="4" w:space="0" w:color="auto"/>
            </w:tcBorders>
            <w:shd w:val="clear" w:color="auto" w:fill="C4EFCE"/>
            <w:vAlign w:val="center"/>
            <w:hideMark/>
          </w:tcPr>
          <w:p w14:paraId="28339159" w14:textId="7DD243E3" w:rsidR="00154AD2" w:rsidRDefault="007F6BF3">
            <w:pPr>
              <w:pStyle w:val="P68B1DB1-Normal23"/>
              <w:spacing w:after="0"/>
              <w:jc w:val="center"/>
              <w:rPr>
                <w:rFonts w:eastAsia="Calibri" w:cs="Calibri"/>
                <w:noProof/>
              </w:rPr>
            </w:pPr>
            <w:r>
              <w:rPr>
                <w:noProof/>
              </w:rPr>
              <w:t>RP-C21-i07</w:t>
            </w:r>
          </w:p>
        </w:tc>
        <w:tc>
          <w:tcPr>
            <w:tcW w:w="1520" w:type="dxa"/>
            <w:tcBorders>
              <w:top w:val="nil"/>
              <w:left w:val="nil"/>
              <w:bottom w:val="single" w:sz="4" w:space="0" w:color="auto"/>
              <w:right w:val="single" w:sz="4" w:space="0" w:color="auto"/>
            </w:tcBorders>
            <w:shd w:val="clear" w:color="auto" w:fill="C4EFCE"/>
            <w:vAlign w:val="center"/>
            <w:hideMark/>
          </w:tcPr>
          <w:p w14:paraId="5D5BCC3C"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5B70FE3" w14:textId="2301AE6C" w:rsidR="00154AD2" w:rsidRDefault="007F6BF3">
            <w:pPr>
              <w:pStyle w:val="P68B1DB1-Normal23"/>
              <w:spacing w:after="0"/>
              <w:jc w:val="both"/>
              <w:rPr>
                <w:rFonts w:eastAsia="Calibri" w:cs="Calibri"/>
                <w:noProof/>
              </w:rPr>
            </w:pPr>
            <w:r>
              <w:rPr>
                <w:noProof/>
              </w:rPr>
              <w:t>Ολοκλήρωση τεχνικών μελετών υπεράκτιας αιολικής ενέργειας</w:t>
            </w:r>
          </w:p>
        </w:tc>
      </w:tr>
      <w:tr w:rsidR="00154AD2" w14:paraId="407BDDC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FA81FA2" w14:textId="77777777" w:rsidR="00154AD2" w:rsidRDefault="007F6BF3">
            <w:pPr>
              <w:pStyle w:val="P68B1DB1-Normal23"/>
              <w:spacing w:after="0"/>
              <w:jc w:val="center"/>
              <w:rPr>
                <w:rFonts w:eastAsia="Calibri" w:cs="Calibri"/>
                <w:noProof/>
              </w:rPr>
            </w:pPr>
            <w:r>
              <w:rPr>
                <w:noProof/>
              </w:rPr>
              <w:t>21.33</w:t>
            </w:r>
          </w:p>
        </w:tc>
        <w:tc>
          <w:tcPr>
            <w:tcW w:w="1760" w:type="dxa"/>
            <w:tcBorders>
              <w:top w:val="nil"/>
              <w:left w:val="nil"/>
              <w:bottom w:val="single" w:sz="4" w:space="0" w:color="auto"/>
              <w:right w:val="single" w:sz="4" w:space="0" w:color="auto"/>
            </w:tcBorders>
            <w:shd w:val="clear" w:color="auto" w:fill="C4EFCE"/>
            <w:vAlign w:val="center"/>
            <w:hideMark/>
          </w:tcPr>
          <w:p w14:paraId="4FD27260" w14:textId="4C1DF387" w:rsidR="00154AD2" w:rsidRDefault="007F6BF3">
            <w:pPr>
              <w:pStyle w:val="P68B1DB1-Normal23"/>
              <w:spacing w:after="0"/>
              <w:jc w:val="center"/>
              <w:rPr>
                <w:rFonts w:eastAsia="Calibri" w:cs="Calibri"/>
                <w:noProof/>
              </w:rPr>
            </w:pPr>
            <w:r>
              <w:rPr>
                <w:noProof/>
              </w:rPr>
              <w:t>RP-C21-i11-RAM</w:t>
            </w:r>
          </w:p>
        </w:tc>
        <w:tc>
          <w:tcPr>
            <w:tcW w:w="1520" w:type="dxa"/>
            <w:tcBorders>
              <w:top w:val="nil"/>
              <w:left w:val="nil"/>
              <w:bottom w:val="single" w:sz="4" w:space="0" w:color="auto"/>
              <w:right w:val="single" w:sz="4" w:space="0" w:color="auto"/>
            </w:tcBorders>
            <w:shd w:val="clear" w:color="auto" w:fill="C4EFCE"/>
            <w:vAlign w:val="center"/>
            <w:hideMark/>
          </w:tcPr>
          <w:p w14:paraId="577AB5A0"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996926B" w14:textId="77777777" w:rsidR="00154AD2" w:rsidRDefault="007F6BF3">
            <w:pPr>
              <w:pStyle w:val="P68B1DB1-Normal23"/>
              <w:spacing w:after="0"/>
              <w:jc w:val="both"/>
              <w:rPr>
                <w:rFonts w:eastAsia="Calibri" w:cs="Calibri"/>
                <w:noProof/>
              </w:rPr>
            </w:pPr>
            <w:r>
              <w:rPr>
                <w:noProof/>
              </w:rPr>
              <w:t>Αύξηση εγκατεστημένης ισχύος μονάδων παραγωγής ενέργειας από ανανεώσιμες πηγές για αυτοκατανάλωση και αύξηση της εγκατεστημένης δυναμικότητας αποθήκευσης για αυτοκατανάλωση</w:t>
            </w:r>
          </w:p>
        </w:tc>
      </w:tr>
      <w:tr w:rsidR="00154AD2" w14:paraId="40AE930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AF8CD86" w14:textId="77777777" w:rsidR="00154AD2" w:rsidRDefault="007F6BF3">
            <w:pPr>
              <w:pStyle w:val="P68B1DB1-Normal23"/>
              <w:spacing w:after="0"/>
              <w:jc w:val="center"/>
              <w:rPr>
                <w:rFonts w:eastAsia="Calibri" w:cs="Calibri"/>
                <w:noProof/>
              </w:rPr>
            </w:pPr>
            <w:r>
              <w:rPr>
                <w:noProof/>
              </w:rPr>
              <w:t>21.36</w:t>
            </w:r>
          </w:p>
        </w:tc>
        <w:tc>
          <w:tcPr>
            <w:tcW w:w="1760" w:type="dxa"/>
            <w:tcBorders>
              <w:top w:val="nil"/>
              <w:left w:val="nil"/>
              <w:bottom w:val="single" w:sz="4" w:space="0" w:color="auto"/>
              <w:right w:val="single" w:sz="4" w:space="0" w:color="auto"/>
            </w:tcBorders>
            <w:shd w:val="clear" w:color="auto" w:fill="C4EFCE"/>
            <w:vAlign w:val="center"/>
            <w:hideMark/>
          </w:tcPr>
          <w:p w14:paraId="65F17587" w14:textId="24D99CE2" w:rsidR="00154AD2" w:rsidRDefault="007F6BF3">
            <w:pPr>
              <w:pStyle w:val="P68B1DB1-Normal23"/>
              <w:spacing w:after="0"/>
              <w:jc w:val="center"/>
              <w:rPr>
                <w:rFonts w:eastAsia="Calibri" w:cs="Calibri"/>
                <w:noProof/>
              </w:rPr>
            </w:pPr>
            <w:r>
              <w:rPr>
                <w:noProof/>
              </w:rPr>
              <w:t>RP-C21-i12</w:t>
            </w:r>
          </w:p>
        </w:tc>
        <w:tc>
          <w:tcPr>
            <w:tcW w:w="1520" w:type="dxa"/>
            <w:tcBorders>
              <w:top w:val="nil"/>
              <w:left w:val="nil"/>
              <w:bottom w:val="single" w:sz="4" w:space="0" w:color="auto"/>
              <w:right w:val="single" w:sz="4" w:space="0" w:color="auto"/>
            </w:tcBorders>
            <w:shd w:val="clear" w:color="auto" w:fill="C4EFCE"/>
            <w:vAlign w:val="center"/>
            <w:hideMark/>
          </w:tcPr>
          <w:p w14:paraId="7B36B2F3"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C7C1E97" w14:textId="77777777" w:rsidR="00154AD2" w:rsidRDefault="007F6BF3">
            <w:pPr>
              <w:pStyle w:val="P68B1DB1-Normal23"/>
              <w:spacing w:after="0"/>
              <w:jc w:val="both"/>
              <w:rPr>
                <w:rFonts w:eastAsia="Calibri" w:cs="Calibri"/>
                <w:noProof/>
              </w:rPr>
            </w:pPr>
            <w:r>
              <w:rPr>
                <w:noProof/>
              </w:rPr>
              <w:t>Αγορά νέων λεωφορείων μηδενικών εκπομπών (ηλεκτρικών ή υδρογονοκίνητων) που χρησιμοποιούνται στις δημόσιες συγκοινωνίες</w:t>
            </w:r>
          </w:p>
        </w:tc>
      </w:tr>
      <w:tr w:rsidR="00154AD2" w14:paraId="4BDD8A3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44C0782" w14:textId="77777777" w:rsidR="00154AD2" w:rsidRDefault="007F6BF3">
            <w:pPr>
              <w:pStyle w:val="P68B1DB1-Normal23"/>
              <w:spacing w:after="0"/>
              <w:jc w:val="center"/>
              <w:rPr>
                <w:rFonts w:eastAsia="Calibri" w:cs="Calibri"/>
                <w:noProof/>
              </w:rPr>
            </w:pPr>
            <w:r>
              <w:rPr>
                <w:noProof/>
              </w:rPr>
              <w:t>21.37</w:t>
            </w:r>
          </w:p>
        </w:tc>
        <w:tc>
          <w:tcPr>
            <w:tcW w:w="1760" w:type="dxa"/>
            <w:tcBorders>
              <w:top w:val="nil"/>
              <w:left w:val="nil"/>
              <w:bottom w:val="single" w:sz="4" w:space="0" w:color="auto"/>
              <w:right w:val="single" w:sz="4" w:space="0" w:color="auto"/>
            </w:tcBorders>
            <w:shd w:val="clear" w:color="auto" w:fill="C4EFCE"/>
            <w:vAlign w:val="center"/>
            <w:hideMark/>
          </w:tcPr>
          <w:p w14:paraId="73C8B906" w14:textId="298D8B93" w:rsidR="00154AD2" w:rsidRDefault="007F6BF3">
            <w:pPr>
              <w:pStyle w:val="P68B1DB1-Normal23"/>
              <w:spacing w:after="0"/>
              <w:jc w:val="center"/>
              <w:rPr>
                <w:rFonts w:eastAsia="Calibri" w:cs="Calibri"/>
                <w:noProof/>
              </w:rPr>
            </w:pPr>
            <w:r>
              <w:rPr>
                <w:noProof/>
              </w:rPr>
              <w:t>RP-C21-i13-RAM</w:t>
            </w:r>
          </w:p>
        </w:tc>
        <w:tc>
          <w:tcPr>
            <w:tcW w:w="1520" w:type="dxa"/>
            <w:tcBorders>
              <w:top w:val="nil"/>
              <w:left w:val="nil"/>
              <w:bottom w:val="single" w:sz="4" w:space="0" w:color="auto"/>
              <w:right w:val="single" w:sz="4" w:space="0" w:color="auto"/>
            </w:tcBorders>
            <w:shd w:val="clear" w:color="auto" w:fill="C4EFCE"/>
            <w:vAlign w:val="center"/>
            <w:hideMark/>
          </w:tcPr>
          <w:p w14:paraId="766F2139"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05A8643" w14:textId="77777777" w:rsidR="00154AD2" w:rsidRDefault="007F6BF3">
            <w:pPr>
              <w:pStyle w:val="P68B1DB1-Normal23"/>
              <w:spacing w:after="0"/>
              <w:jc w:val="both"/>
              <w:rPr>
                <w:rFonts w:eastAsia="Calibri" w:cs="Calibri"/>
                <w:noProof/>
              </w:rPr>
            </w:pPr>
            <w:r>
              <w:rPr>
                <w:noProof/>
              </w:rPr>
              <w:t>Αγορά νέων (ηλεκτρικών ή υδρογονοκίνητων) λεωφορείων μηδενικών εκπομπών που χρησιμοποιούνται για δημόσιες συγκοινωνίες και τουριστικές υπηρεσίες και αγορά ηλεκτρικών αυτοκινήτων που αντικαθιστούν οχήματα που έχουν αποσυρθεί</w:t>
            </w:r>
          </w:p>
        </w:tc>
      </w:tr>
      <w:tr w:rsidR="00154AD2" w14:paraId="5FC25D8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D0D0E18" w14:textId="77777777" w:rsidR="00154AD2" w:rsidRDefault="007F6BF3">
            <w:pPr>
              <w:pStyle w:val="P68B1DB1-Normal23"/>
              <w:spacing w:after="0"/>
              <w:jc w:val="center"/>
              <w:rPr>
                <w:rFonts w:eastAsia="Calibri" w:cs="Calibri"/>
                <w:noProof/>
              </w:rPr>
            </w:pPr>
            <w:r>
              <w:rPr>
                <w:noProof/>
              </w:rPr>
              <w:t>21.39</w:t>
            </w:r>
          </w:p>
        </w:tc>
        <w:tc>
          <w:tcPr>
            <w:tcW w:w="1760" w:type="dxa"/>
            <w:tcBorders>
              <w:top w:val="nil"/>
              <w:left w:val="nil"/>
              <w:bottom w:val="single" w:sz="4" w:space="0" w:color="auto"/>
              <w:right w:val="single" w:sz="4" w:space="0" w:color="auto"/>
            </w:tcBorders>
            <w:shd w:val="clear" w:color="auto" w:fill="C4EFCE"/>
            <w:vAlign w:val="center"/>
            <w:hideMark/>
          </w:tcPr>
          <w:p w14:paraId="48E27095" w14:textId="5DA60FB6" w:rsidR="00154AD2" w:rsidRDefault="007F6BF3">
            <w:pPr>
              <w:pStyle w:val="P68B1DB1-Normal23"/>
              <w:spacing w:after="0"/>
              <w:jc w:val="center"/>
              <w:rPr>
                <w:rFonts w:eastAsia="Calibri" w:cs="Calibri"/>
                <w:noProof/>
              </w:rPr>
            </w:pPr>
            <w:r>
              <w:rPr>
                <w:noProof/>
              </w:rPr>
              <w:t>RP-C21-i14</w:t>
            </w:r>
          </w:p>
        </w:tc>
        <w:tc>
          <w:tcPr>
            <w:tcW w:w="1520" w:type="dxa"/>
            <w:tcBorders>
              <w:top w:val="nil"/>
              <w:left w:val="nil"/>
              <w:bottom w:val="single" w:sz="4" w:space="0" w:color="auto"/>
              <w:right w:val="single" w:sz="4" w:space="0" w:color="auto"/>
            </w:tcBorders>
            <w:shd w:val="clear" w:color="auto" w:fill="C4EFCE"/>
            <w:vAlign w:val="center"/>
            <w:hideMark/>
          </w:tcPr>
          <w:p w14:paraId="3205D102"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42FFB24" w14:textId="77777777" w:rsidR="00154AD2" w:rsidRDefault="007F6BF3">
            <w:pPr>
              <w:pStyle w:val="P68B1DB1-Normal23"/>
              <w:spacing w:after="0"/>
              <w:jc w:val="both"/>
              <w:rPr>
                <w:rFonts w:eastAsia="Calibri" w:cs="Calibri"/>
                <w:noProof/>
              </w:rPr>
            </w:pPr>
            <w:r>
              <w:rPr>
                <w:noProof/>
              </w:rPr>
              <w:t>Κατασκευή δύο γραμμών ταχείας διέλευσης λεωφορείων στην Braga</w:t>
            </w:r>
          </w:p>
        </w:tc>
      </w:tr>
      <w:tr w:rsidR="00154AD2" w14:paraId="3E530F0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E8A1E5E" w14:textId="77777777" w:rsidR="00154AD2" w:rsidRDefault="007F6BF3">
            <w:pPr>
              <w:pStyle w:val="P68B1DB1-Normal23"/>
              <w:spacing w:after="0"/>
              <w:jc w:val="center"/>
              <w:rPr>
                <w:rFonts w:eastAsia="Calibri" w:cs="Calibri"/>
                <w:noProof/>
              </w:rPr>
            </w:pPr>
            <w:r>
              <w:rPr>
                <w:noProof/>
              </w:rPr>
              <w:t>21.43</w:t>
            </w:r>
          </w:p>
        </w:tc>
        <w:tc>
          <w:tcPr>
            <w:tcW w:w="1760" w:type="dxa"/>
            <w:tcBorders>
              <w:top w:val="nil"/>
              <w:left w:val="nil"/>
              <w:bottom w:val="single" w:sz="4" w:space="0" w:color="auto"/>
              <w:right w:val="single" w:sz="4" w:space="0" w:color="auto"/>
            </w:tcBorders>
            <w:shd w:val="clear" w:color="auto" w:fill="C4EFCE"/>
            <w:vAlign w:val="center"/>
            <w:hideMark/>
          </w:tcPr>
          <w:p w14:paraId="53BBC354" w14:textId="6D59C203" w:rsidR="00154AD2" w:rsidRDefault="007F6BF3">
            <w:pPr>
              <w:pStyle w:val="P68B1DB1-Normal23"/>
              <w:spacing w:after="0"/>
              <w:jc w:val="center"/>
              <w:rPr>
                <w:rFonts w:eastAsia="Calibri" w:cs="Calibri"/>
                <w:noProof/>
              </w:rPr>
            </w:pPr>
            <w:r>
              <w:rPr>
                <w:noProof/>
              </w:rPr>
              <w:t>RP-C21-i16</w:t>
            </w:r>
          </w:p>
        </w:tc>
        <w:tc>
          <w:tcPr>
            <w:tcW w:w="1520" w:type="dxa"/>
            <w:tcBorders>
              <w:top w:val="nil"/>
              <w:left w:val="nil"/>
              <w:bottom w:val="single" w:sz="4" w:space="0" w:color="auto"/>
              <w:right w:val="single" w:sz="4" w:space="0" w:color="auto"/>
            </w:tcBorders>
            <w:shd w:val="clear" w:color="auto" w:fill="C4EFCE"/>
            <w:vAlign w:val="center"/>
            <w:hideMark/>
          </w:tcPr>
          <w:p w14:paraId="65415CC8"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7915ABF" w14:textId="42D35AB7" w:rsidR="00154AD2" w:rsidRDefault="007F6BF3">
            <w:pPr>
              <w:pStyle w:val="P68B1DB1-Normal23"/>
              <w:spacing w:after="0"/>
              <w:jc w:val="both"/>
              <w:rPr>
                <w:rFonts w:eastAsia="Calibri" w:cs="Calibri"/>
                <w:noProof/>
              </w:rPr>
            </w:pPr>
            <w:r>
              <w:rPr>
                <w:noProof/>
              </w:rPr>
              <w:t>Κατασκευή οδοντωτού σιδηρόδρομου</w:t>
            </w:r>
          </w:p>
        </w:tc>
      </w:tr>
      <w:tr w:rsidR="00154AD2" w14:paraId="69534CE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375525F" w14:textId="77777777" w:rsidR="00154AD2" w:rsidRDefault="00154AD2">
            <w:pPr>
              <w:spacing w:after="0"/>
              <w:jc w:val="center"/>
              <w:rPr>
                <w:rFonts w:ascii="Calibri" w:eastAsia="Calibri" w:hAnsi="Calibri" w:cs="Calibri"/>
                <w:noProof/>
                <w:sz w:val="16"/>
              </w:rPr>
            </w:pPr>
          </w:p>
        </w:tc>
        <w:tc>
          <w:tcPr>
            <w:tcW w:w="1760" w:type="dxa"/>
            <w:tcBorders>
              <w:top w:val="nil"/>
              <w:left w:val="nil"/>
              <w:bottom w:val="single" w:sz="4" w:space="0" w:color="auto"/>
              <w:right w:val="single" w:sz="4" w:space="0" w:color="auto"/>
            </w:tcBorders>
            <w:shd w:val="clear" w:color="auto" w:fill="C4EFCE"/>
            <w:vAlign w:val="center"/>
            <w:hideMark/>
          </w:tcPr>
          <w:p w14:paraId="16E5C887" w14:textId="77777777" w:rsidR="00154AD2" w:rsidRDefault="00154AD2">
            <w:pPr>
              <w:spacing w:after="0"/>
              <w:jc w:val="center"/>
              <w:rPr>
                <w:rFonts w:ascii="Calibri" w:eastAsia="Calibri" w:hAnsi="Calibri" w:cs="Calibri"/>
                <w:noProof/>
                <w:sz w:val="16"/>
              </w:rPr>
            </w:pPr>
          </w:p>
        </w:tc>
        <w:tc>
          <w:tcPr>
            <w:tcW w:w="1520" w:type="dxa"/>
            <w:tcBorders>
              <w:top w:val="nil"/>
              <w:left w:val="nil"/>
              <w:bottom w:val="single" w:sz="4" w:space="0" w:color="auto"/>
              <w:right w:val="single" w:sz="4" w:space="0" w:color="auto"/>
            </w:tcBorders>
            <w:shd w:val="clear" w:color="auto" w:fill="C4EFCE"/>
            <w:vAlign w:val="center"/>
            <w:hideMark/>
          </w:tcPr>
          <w:p w14:paraId="084A977F" w14:textId="77777777" w:rsidR="00154AD2" w:rsidRDefault="007F6BF3">
            <w:pPr>
              <w:pStyle w:val="P68B1DB1-Normal24"/>
              <w:spacing w:after="0" w:line="240" w:lineRule="auto"/>
              <w:jc w:val="center"/>
              <w:rPr>
                <w:rFonts w:eastAsia="Times New Roman" w:cs="Calibri"/>
                <w:noProof/>
              </w:rPr>
            </w:pPr>
            <w:r>
              <w:rPr>
                <w:noProof/>
              </w:rPr>
              <w:t>Ποσό δόσης</w:t>
            </w:r>
          </w:p>
        </w:tc>
        <w:tc>
          <w:tcPr>
            <w:tcW w:w="5060" w:type="dxa"/>
            <w:tcBorders>
              <w:top w:val="nil"/>
              <w:left w:val="nil"/>
              <w:bottom w:val="single" w:sz="4" w:space="0" w:color="auto"/>
              <w:right w:val="single" w:sz="4" w:space="0" w:color="auto"/>
            </w:tcBorders>
            <w:shd w:val="clear" w:color="auto" w:fill="C4EFCE"/>
            <w:vAlign w:val="center"/>
            <w:hideMark/>
          </w:tcPr>
          <w:p w14:paraId="30A29C4F" w14:textId="5D4F15E5" w:rsidR="00154AD2" w:rsidRDefault="007F6BF3">
            <w:pPr>
              <w:pStyle w:val="P68B1DB1-Normal25"/>
              <w:spacing w:after="0" w:line="240" w:lineRule="auto"/>
              <w:jc w:val="center"/>
              <w:rPr>
                <w:rFonts w:cs="Calibri"/>
                <w:noProof/>
              </w:rPr>
            </w:pPr>
            <w:r>
              <w:rPr>
                <w:noProof/>
              </w:rPr>
              <w:t xml:space="preserve"> 2 030 690 350 EUR </w:t>
            </w:r>
          </w:p>
        </w:tc>
      </w:tr>
    </w:tbl>
    <w:p w14:paraId="4422C564" w14:textId="77777777" w:rsidR="00154AD2" w:rsidRDefault="00154AD2">
      <w:pPr>
        <w:keepNext/>
        <w:spacing w:before="40" w:after="0" w:line="259" w:lineRule="auto"/>
        <w:ind w:left="360"/>
        <w:jc w:val="both"/>
        <w:outlineLvl w:val="1"/>
        <w:rPr>
          <w:rFonts w:ascii="Times New Roman" w:eastAsiaTheme="majorEastAsia" w:hAnsi="Times New Roman" w:cs="Times New Roman"/>
          <w:b/>
          <w:noProof/>
          <w:sz w:val="24"/>
          <w:u w:val="single"/>
        </w:rPr>
      </w:pPr>
    </w:p>
    <w:p w14:paraId="118A5FEC" w14:textId="77777777" w:rsidR="00154AD2" w:rsidRDefault="007F6BF3">
      <w:pPr>
        <w:pStyle w:val="P68B1DB1-Normal3"/>
        <w:keepNext/>
        <w:numPr>
          <w:ilvl w:val="0"/>
          <w:numId w:val="19"/>
        </w:numPr>
        <w:spacing w:before="40" w:after="0" w:line="259" w:lineRule="auto"/>
        <w:jc w:val="both"/>
        <w:outlineLvl w:val="1"/>
        <w:rPr>
          <w:rFonts w:eastAsiaTheme="majorEastAsia" w:cs="Times New Roman"/>
          <w:noProof/>
        </w:rPr>
      </w:pPr>
      <w:r>
        <w:rPr>
          <w:noProof/>
        </w:rPr>
        <w:t xml:space="preserve">Δάνειο </w:t>
      </w:r>
    </w:p>
    <w:p w14:paraId="6BCD5950" w14:textId="77777777" w:rsidR="00154AD2" w:rsidRDefault="007F6BF3">
      <w:pPr>
        <w:pStyle w:val="P68B1DB1-Normal4"/>
        <w:keepNext/>
        <w:spacing w:before="40" w:after="0" w:line="259" w:lineRule="auto"/>
        <w:jc w:val="both"/>
        <w:rPr>
          <w:rFonts w:eastAsiaTheme="minorEastAsia" w:cs="Times New Roman"/>
          <w:noProof/>
        </w:rPr>
      </w:pPr>
      <w:r>
        <w:rPr>
          <w:noProof/>
        </w:rPr>
        <w:t>Οι δόσεις που αναφέρονται στο άρθρο 3 παράγραφος 2 διαρθρώνονται ως εξής:</w:t>
      </w:r>
    </w:p>
    <w:p w14:paraId="3FE85171" w14:textId="77777777" w:rsidR="00154AD2" w:rsidRDefault="00154AD2">
      <w:pPr>
        <w:keepNext/>
        <w:spacing w:after="160" w:line="259" w:lineRule="auto"/>
        <w:ind w:left="360"/>
        <w:contextualSpacing/>
        <w:jc w:val="both"/>
        <w:rPr>
          <w:rFonts w:ascii="Times New Roman" w:eastAsiaTheme="minorEastAsia" w:hAnsi="Times New Roman" w:cs="Times New Roman"/>
          <w:noProof/>
          <w:sz w:val="24"/>
        </w:rPr>
      </w:pPr>
    </w:p>
    <w:p w14:paraId="4E892DCC" w14:textId="77777777" w:rsidR="00154AD2" w:rsidRDefault="007F6BF3">
      <w:pPr>
        <w:pStyle w:val="P68B1DB1-Normal4"/>
        <w:keepNext/>
        <w:numPr>
          <w:ilvl w:val="1"/>
          <w:numId w:val="19"/>
        </w:numPr>
        <w:spacing w:before="40" w:after="160" w:line="259" w:lineRule="auto"/>
        <w:contextualSpacing/>
        <w:jc w:val="both"/>
        <w:rPr>
          <w:rFonts w:eastAsiaTheme="minorEastAsia" w:cs="Times New Roman"/>
          <w:noProof/>
        </w:rPr>
      </w:pPr>
      <w:r>
        <w:rPr>
          <w:noProof/>
        </w:rPr>
        <w:t>Πρώτη αίτηση πληρωμής (δανειακή στήριξη):</w:t>
      </w:r>
    </w:p>
    <w:p w14:paraId="7FAECB77" w14:textId="77777777" w:rsidR="00154AD2" w:rsidRDefault="00154AD2">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1750"/>
        <w:gridCol w:w="1670"/>
        <w:gridCol w:w="4931"/>
      </w:tblGrid>
      <w:tr w:rsidR="00154AD2" w14:paraId="074834ED" w14:textId="77777777">
        <w:trPr>
          <w:trHeight w:val="509"/>
          <w:tblHeader/>
        </w:trPr>
        <w:tc>
          <w:tcPr>
            <w:tcW w:w="1200" w:type="dxa"/>
            <w:vMerge w:val="restart"/>
            <w:shd w:val="clear" w:color="auto" w:fill="BDD7EE"/>
            <w:vAlign w:val="center"/>
            <w:hideMark/>
          </w:tcPr>
          <w:p w14:paraId="6FC084B2" w14:textId="77777777" w:rsidR="00154AD2" w:rsidRDefault="007F6BF3">
            <w:pPr>
              <w:pStyle w:val="P68B1DB1-Normal22"/>
              <w:spacing w:after="0" w:line="240" w:lineRule="auto"/>
              <w:jc w:val="center"/>
              <w:rPr>
                <w:rFonts w:eastAsia="Times New Roman" w:cs="Times New Roman"/>
                <w:noProof/>
              </w:rPr>
            </w:pPr>
            <w:r>
              <w:rPr>
                <w:noProof/>
              </w:rPr>
              <w:t>Αύξων αριθμός</w:t>
            </w:r>
          </w:p>
        </w:tc>
        <w:tc>
          <w:tcPr>
            <w:tcW w:w="1760" w:type="dxa"/>
            <w:vMerge w:val="restart"/>
            <w:shd w:val="clear" w:color="auto" w:fill="BDD7EE"/>
            <w:vAlign w:val="center"/>
            <w:hideMark/>
          </w:tcPr>
          <w:p w14:paraId="47AF933B" w14:textId="77777777" w:rsidR="00154AD2" w:rsidRDefault="007F6BF3">
            <w:pPr>
              <w:pStyle w:val="P68B1DB1-Normal22"/>
              <w:spacing w:after="0" w:line="240" w:lineRule="auto"/>
              <w:jc w:val="center"/>
              <w:rPr>
                <w:rFonts w:eastAsia="Times New Roman" w:cs="Times New Roman"/>
                <w:noProof/>
              </w:rPr>
            </w:pPr>
            <w:r>
              <w:rPr>
                <w:noProof/>
              </w:rPr>
              <w:t>Σχετικό μέτρο (μεταρρύθμιση ή επένδυση)</w:t>
            </w:r>
          </w:p>
        </w:tc>
        <w:tc>
          <w:tcPr>
            <w:tcW w:w="1520" w:type="dxa"/>
            <w:vMerge w:val="restart"/>
            <w:shd w:val="clear" w:color="auto" w:fill="BDD7EE"/>
            <w:vAlign w:val="center"/>
            <w:hideMark/>
          </w:tcPr>
          <w:p w14:paraId="35B00DEF" w14:textId="77777777" w:rsidR="00154AD2" w:rsidRDefault="007F6BF3">
            <w:pPr>
              <w:pStyle w:val="P68B1DB1-Normal22"/>
              <w:spacing w:after="0" w:line="240" w:lineRule="auto"/>
              <w:jc w:val="center"/>
              <w:rPr>
                <w:rFonts w:eastAsia="Times New Roman" w:cs="Times New Roman"/>
                <w:noProof/>
              </w:rPr>
            </w:pPr>
            <w:r>
              <w:rPr>
                <w:noProof/>
              </w:rPr>
              <w:t>Ορόσημο/Στόχος</w:t>
            </w:r>
          </w:p>
        </w:tc>
        <w:tc>
          <w:tcPr>
            <w:tcW w:w="5060" w:type="dxa"/>
            <w:vMerge w:val="restart"/>
            <w:shd w:val="clear" w:color="auto" w:fill="BDD7EE"/>
            <w:vAlign w:val="center"/>
            <w:hideMark/>
          </w:tcPr>
          <w:p w14:paraId="3E1358F3" w14:textId="77777777" w:rsidR="00154AD2" w:rsidRDefault="007F6BF3">
            <w:pPr>
              <w:pStyle w:val="P68B1DB1-Normal22"/>
              <w:spacing w:after="0" w:line="240" w:lineRule="auto"/>
              <w:jc w:val="center"/>
              <w:rPr>
                <w:rFonts w:eastAsia="Times New Roman" w:cs="Times New Roman"/>
                <w:noProof/>
              </w:rPr>
            </w:pPr>
            <w:r>
              <w:rPr>
                <w:noProof/>
              </w:rPr>
              <w:t>Όνομα</w:t>
            </w:r>
          </w:p>
        </w:tc>
      </w:tr>
      <w:tr w:rsidR="00154AD2" w14:paraId="69B5D785" w14:textId="77777777">
        <w:trPr>
          <w:trHeight w:val="509"/>
        </w:trPr>
        <w:tc>
          <w:tcPr>
            <w:tcW w:w="1200" w:type="dxa"/>
            <w:vMerge/>
            <w:vAlign w:val="center"/>
            <w:hideMark/>
          </w:tcPr>
          <w:p w14:paraId="782328FC" w14:textId="77777777" w:rsidR="00154AD2" w:rsidRDefault="00154AD2">
            <w:pPr>
              <w:spacing w:after="0" w:line="240" w:lineRule="auto"/>
              <w:rPr>
                <w:rFonts w:ascii="Times New Roman" w:eastAsia="Times New Roman" w:hAnsi="Times New Roman" w:cs="Times New Roman"/>
                <w:noProof/>
                <w:sz w:val="20"/>
              </w:rPr>
            </w:pPr>
          </w:p>
        </w:tc>
        <w:tc>
          <w:tcPr>
            <w:tcW w:w="1760" w:type="dxa"/>
            <w:vMerge/>
            <w:vAlign w:val="center"/>
            <w:hideMark/>
          </w:tcPr>
          <w:p w14:paraId="77E830EC" w14:textId="77777777" w:rsidR="00154AD2" w:rsidRDefault="00154AD2">
            <w:pPr>
              <w:spacing w:after="0" w:line="240" w:lineRule="auto"/>
              <w:rPr>
                <w:rFonts w:ascii="Times New Roman" w:eastAsia="Times New Roman" w:hAnsi="Times New Roman" w:cs="Times New Roman"/>
                <w:noProof/>
                <w:sz w:val="20"/>
              </w:rPr>
            </w:pPr>
          </w:p>
        </w:tc>
        <w:tc>
          <w:tcPr>
            <w:tcW w:w="1520" w:type="dxa"/>
            <w:vMerge/>
            <w:vAlign w:val="center"/>
            <w:hideMark/>
          </w:tcPr>
          <w:p w14:paraId="21A9C4CC" w14:textId="77777777" w:rsidR="00154AD2" w:rsidRDefault="00154AD2">
            <w:pPr>
              <w:spacing w:after="0" w:line="240" w:lineRule="auto"/>
              <w:rPr>
                <w:rFonts w:ascii="Times New Roman" w:eastAsia="Times New Roman" w:hAnsi="Times New Roman" w:cs="Times New Roman"/>
                <w:noProof/>
                <w:sz w:val="20"/>
              </w:rPr>
            </w:pPr>
          </w:p>
        </w:tc>
        <w:tc>
          <w:tcPr>
            <w:tcW w:w="5060" w:type="dxa"/>
            <w:vMerge/>
            <w:vAlign w:val="center"/>
            <w:hideMark/>
          </w:tcPr>
          <w:p w14:paraId="08EF91B7" w14:textId="77777777" w:rsidR="00154AD2" w:rsidRDefault="00154AD2">
            <w:pPr>
              <w:spacing w:after="0" w:line="240" w:lineRule="auto"/>
              <w:rPr>
                <w:rFonts w:ascii="Times New Roman" w:eastAsia="Times New Roman" w:hAnsi="Times New Roman" w:cs="Times New Roman"/>
                <w:noProof/>
                <w:sz w:val="20"/>
              </w:rPr>
            </w:pPr>
          </w:p>
        </w:tc>
      </w:tr>
      <w:tr w:rsidR="00154AD2" w14:paraId="231581F7" w14:textId="77777777">
        <w:trPr>
          <w:trHeight w:val="440"/>
        </w:trPr>
        <w:tc>
          <w:tcPr>
            <w:tcW w:w="1200" w:type="dxa"/>
            <w:shd w:val="clear" w:color="auto" w:fill="C4EFCE"/>
            <w:vAlign w:val="center"/>
            <w:hideMark/>
          </w:tcPr>
          <w:p w14:paraId="0019F272" w14:textId="77777777" w:rsidR="00154AD2" w:rsidRDefault="007F6BF3">
            <w:pPr>
              <w:pStyle w:val="P68B1DB1-Normal23"/>
              <w:spacing w:after="0" w:line="240" w:lineRule="auto"/>
              <w:jc w:val="center"/>
              <w:rPr>
                <w:rFonts w:eastAsia="Times New Roman" w:cs="Calibri"/>
                <w:noProof/>
              </w:rPr>
            </w:pPr>
            <w:r>
              <w:rPr>
                <w:noProof/>
              </w:rPr>
              <w:t>5.23</w:t>
            </w:r>
          </w:p>
        </w:tc>
        <w:tc>
          <w:tcPr>
            <w:tcW w:w="1760" w:type="dxa"/>
            <w:shd w:val="clear" w:color="auto" w:fill="C4EFCE"/>
            <w:vAlign w:val="center"/>
            <w:hideMark/>
          </w:tcPr>
          <w:p w14:paraId="7E76ACD1" w14:textId="77777777" w:rsidR="00154AD2" w:rsidRDefault="007F6BF3">
            <w:pPr>
              <w:pStyle w:val="P68B1DB1-Normal23"/>
              <w:spacing w:after="0" w:line="240" w:lineRule="auto"/>
              <w:jc w:val="center"/>
              <w:rPr>
                <w:rFonts w:eastAsia="Times New Roman" w:cs="Calibri"/>
                <w:noProof/>
              </w:rPr>
            </w:pPr>
            <w:r>
              <w:rPr>
                <w:noProof/>
              </w:rPr>
              <w:t>RE-C05-r10 </w:t>
            </w:r>
          </w:p>
        </w:tc>
        <w:tc>
          <w:tcPr>
            <w:tcW w:w="1520" w:type="dxa"/>
            <w:shd w:val="clear" w:color="auto" w:fill="C4EFCE"/>
            <w:vAlign w:val="center"/>
            <w:hideMark/>
          </w:tcPr>
          <w:p w14:paraId="29D0D0FA" w14:textId="77777777" w:rsidR="00154AD2" w:rsidRDefault="007F6BF3">
            <w:pPr>
              <w:pStyle w:val="P68B1DB1-Normal23"/>
              <w:spacing w:after="0" w:line="240" w:lineRule="auto"/>
              <w:jc w:val="center"/>
              <w:rPr>
                <w:rFonts w:eastAsia="Times New Roman" w:cs="Calibri"/>
                <w:noProof/>
              </w:rPr>
            </w:pPr>
            <w:r>
              <w:rPr>
                <w:noProof/>
              </w:rPr>
              <w:t>M</w:t>
            </w:r>
          </w:p>
        </w:tc>
        <w:tc>
          <w:tcPr>
            <w:tcW w:w="5060" w:type="dxa"/>
            <w:shd w:val="clear" w:color="auto" w:fill="C4EFCE"/>
            <w:vAlign w:val="center"/>
            <w:hideMark/>
          </w:tcPr>
          <w:p w14:paraId="4AEDE275" w14:textId="77777777" w:rsidR="00154AD2" w:rsidRDefault="007F6BF3">
            <w:pPr>
              <w:pStyle w:val="P68B1DB1-Normal23"/>
              <w:spacing w:after="0" w:line="240" w:lineRule="auto"/>
              <w:jc w:val="both"/>
              <w:rPr>
                <w:rFonts w:eastAsia="Times New Roman" w:cs="Calibri"/>
                <w:noProof/>
              </w:rPr>
            </w:pPr>
            <w:r>
              <w:rPr>
                <w:noProof/>
              </w:rPr>
              <w:t>Έναρξη ισχύος του κανονισμού περί των δραστηριοτήτων και του καταστατικού της Banco Português de Fomento (BPF)</w:t>
            </w:r>
          </w:p>
        </w:tc>
      </w:tr>
      <w:tr w:rsidR="00154AD2" w14:paraId="31564C75" w14:textId="77777777">
        <w:trPr>
          <w:trHeight w:val="440"/>
        </w:trPr>
        <w:tc>
          <w:tcPr>
            <w:tcW w:w="1200" w:type="dxa"/>
            <w:shd w:val="clear" w:color="auto" w:fill="C4EFCE"/>
            <w:vAlign w:val="center"/>
            <w:hideMark/>
          </w:tcPr>
          <w:p w14:paraId="0B27A3F2" w14:textId="77777777" w:rsidR="00154AD2" w:rsidRDefault="007F6BF3">
            <w:pPr>
              <w:pStyle w:val="P68B1DB1-Normal23"/>
              <w:spacing w:after="0" w:line="240" w:lineRule="auto"/>
              <w:jc w:val="center"/>
              <w:rPr>
                <w:rFonts w:eastAsia="Times New Roman" w:cs="Calibri"/>
                <w:noProof/>
              </w:rPr>
            </w:pPr>
            <w:r>
              <w:rPr>
                <w:noProof/>
              </w:rPr>
              <w:t>5.27</w:t>
            </w:r>
          </w:p>
        </w:tc>
        <w:tc>
          <w:tcPr>
            <w:tcW w:w="1760" w:type="dxa"/>
            <w:shd w:val="clear" w:color="auto" w:fill="C4EFCE"/>
            <w:vAlign w:val="center"/>
            <w:hideMark/>
          </w:tcPr>
          <w:p w14:paraId="0AC92BC5" w14:textId="77777777" w:rsidR="00154AD2" w:rsidRDefault="007F6BF3">
            <w:pPr>
              <w:pStyle w:val="P68B1DB1-Normal23"/>
              <w:spacing w:after="0" w:line="240" w:lineRule="auto"/>
              <w:jc w:val="center"/>
              <w:rPr>
                <w:rFonts w:eastAsia="Times New Roman" w:cs="Calibri"/>
                <w:noProof/>
              </w:rPr>
            </w:pPr>
            <w:r>
              <w:rPr>
                <w:noProof/>
              </w:rPr>
              <w:t>RE-C05-i06 </w:t>
            </w:r>
          </w:p>
        </w:tc>
        <w:tc>
          <w:tcPr>
            <w:tcW w:w="1520" w:type="dxa"/>
            <w:shd w:val="clear" w:color="auto" w:fill="C4EFCE"/>
            <w:vAlign w:val="center"/>
            <w:hideMark/>
          </w:tcPr>
          <w:p w14:paraId="62A0E886" w14:textId="77777777" w:rsidR="00154AD2" w:rsidRDefault="007F6BF3">
            <w:pPr>
              <w:pStyle w:val="P68B1DB1-Normal23"/>
              <w:spacing w:after="0" w:line="240" w:lineRule="auto"/>
              <w:jc w:val="center"/>
              <w:rPr>
                <w:rFonts w:eastAsia="Times New Roman" w:cs="Calibri"/>
                <w:noProof/>
              </w:rPr>
            </w:pPr>
            <w:r>
              <w:rPr>
                <w:noProof/>
              </w:rPr>
              <w:t>M</w:t>
            </w:r>
          </w:p>
        </w:tc>
        <w:tc>
          <w:tcPr>
            <w:tcW w:w="5060" w:type="dxa"/>
            <w:shd w:val="clear" w:color="auto" w:fill="C4EFCE"/>
            <w:vAlign w:val="center"/>
            <w:hideMark/>
          </w:tcPr>
          <w:p w14:paraId="52055337" w14:textId="77777777" w:rsidR="00154AD2" w:rsidRDefault="007F6BF3">
            <w:pPr>
              <w:pStyle w:val="P68B1DB1-Normal23"/>
              <w:spacing w:after="0" w:line="240" w:lineRule="auto"/>
              <w:jc w:val="both"/>
              <w:rPr>
                <w:rFonts w:eastAsia="Times New Roman" w:cs="Calibri"/>
                <w:noProof/>
              </w:rPr>
            </w:pPr>
            <w:r>
              <w:rPr>
                <w:noProof/>
              </w:rPr>
              <w:t xml:space="preserve">Έναρξη ισχύος νομοθετικού διατάγματος που ρυθμίζει το μέτρο κεφαλαιοποίησης της BPF </w:t>
            </w:r>
          </w:p>
        </w:tc>
      </w:tr>
      <w:tr w:rsidR="00154AD2" w14:paraId="5DC5E664" w14:textId="77777777">
        <w:trPr>
          <w:trHeight w:val="440"/>
        </w:trPr>
        <w:tc>
          <w:tcPr>
            <w:tcW w:w="1200" w:type="dxa"/>
            <w:shd w:val="clear" w:color="auto" w:fill="C4EFCE"/>
            <w:vAlign w:val="center"/>
            <w:hideMark/>
          </w:tcPr>
          <w:p w14:paraId="56BFF86C" w14:textId="77777777" w:rsidR="00154AD2" w:rsidRDefault="007F6BF3">
            <w:pPr>
              <w:pStyle w:val="P68B1DB1-Normal23"/>
              <w:spacing w:after="0" w:line="240" w:lineRule="auto"/>
              <w:jc w:val="center"/>
              <w:rPr>
                <w:rFonts w:eastAsia="Times New Roman" w:cs="Calibri"/>
                <w:noProof/>
              </w:rPr>
            </w:pPr>
            <w:r>
              <w:rPr>
                <w:noProof/>
              </w:rPr>
              <w:t>5.28</w:t>
            </w:r>
          </w:p>
        </w:tc>
        <w:tc>
          <w:tcPr>
            <w:tcW w:w="1760" w:type="dxa"/>
            <w:shd w:val="clear" w:color="auto" w:fill="C4EFCE"/>
            <w:vAlign w:val="center"/>
            <w:hideMark/>
          </w:tcPr>
          <w:p w14:paraId="1DAA31DC" w14:textId="77777777" w:rsidR="00154AD2" w:rsidRDefault="007F6BF3">
            <w:pPr>
              <w:pStyle w:val="P68B1DB1-Normal23"/>
              <w:spacing w:after="0" w:line="240" w:lineRule="auto"/>
              <w:jc w:val="center"/>
              <w:rPr>
                <w:rFonts w:eastAsia="Times New Roman" w:cs="Calibri"/>
                <w:noProof/>
              </w:rPr>
            </w:pPr>
            <w:r>
              <w:rPr>
                <w:noProof/>
              </w:rPr>
              <w:t>RE-C05-i06 </w:t>
            </w:r>
          </w:p>
        </w:tc>
        <w:tc>
          <w:tcPr>
            <w:tcW w:w="1520" w:type="dxa"/>
            <w:shd w:val="clear" w:color="auto" w:fill="C4EFCE"/>
            <w:vAlign w:val="center"/>
            <w:hideMark/>
          </w:tcPr>
          <w:p w14:paraId="25478A9B" w14:textId="77777777" w:rsidR="00154AD2" w:rsidRDefault="007F6BF3">
            <w:pPr>
              <w:pStyle w:val="P68B1DB1-Normal23"/>
              <w:spacing w:after="0" w:line="240" w:lineRule="auto"/>
              <w:jc w:val="center"/>
              <w:rPr>
                <w:rFonts w:eastAsia="Times New Roman" w:cs="Calibri"/>
                <w:noProof/>
              </w:rPr>
            </w:pPr>
            <w:r>
              <w:rPr>
                <w:noProof/>
              </w:rPr>
              <w:t>M</w:t>
            </w:r>
          </w:p>
        </w:tc>
        <w:tc>
          <w:tcPr>
            <w:tcW w:w="5060" w:type="dxa"/>
            <w:shd w:val="clear" w:color="auto" w:fill="C4EFCE"/>
            <w:vAlign w:val="center"/>
            <w:hideMark/>
          </w:tcPr>
          <w:p w14:paraId="449D334D" w14:textId="77777777" w:rsidR="00154AD2" w:rsidRDefault="007F6BF3">
            <w:pPr>
              <w:pStyle w:val="P68B1DB1-Normal23"/>
              <w:spacing w:after="0" w:line="240" w:lineRule="auto"/>
              <w:jc w:val="both"/>
              <w:rPr>
                <w:rFonts w:eastAsia="Times New Roman" w:cs="Calibri"/>
                <w:noProof/>
              </w:rPr>
            </w:pPr>
            <w:r>
              <w:rPr>
                <w:noProof/>
              </w:rPr>
              <w:t>Ανάπτυξη της επενδυτικής πολιτικής (κεφαλαιοποίηση) και υιοθέτηση από τον διαχειριστή του οχήματος</w:t>
            </w:r>
          </w:p>
        </w:tc>
      </w:tr>
      <w:tr w:rsidR="00154AD2" w14:paraId="3FD88BF5" w14:textId="77777777">
        <w:trPr>
          <w:trHeight w:val="440"/>
        </w:trPr>
        <w:tc>
          <w:tcPr>
            <w:tcW w:w="1200" w:type="dxa"/>
            <w:shd w:val="clear" w:color="auto" w:fill="C4EFCE"/>
            <w:vAlign w:val="center"/>
            <w:hideMark/>
          </w:tcPr>
          <w:p w14:paraId="0C2466DE" w14:textId="77777777" w:rsidR="00154AD2" w:rsidRDefault="007F6BF3">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6B8B12A3" w14:textId="77777777" w:rsidR="00154AD2" w:rsidRDefault="007F6BF3">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5156D5B3" w14:textId="77777777" w:rsidR="00154AD2" w:rsidRDefault="007F6BF3">
            <w:pPr>
              <w:pStyle w:val="P68B1DB1-Normal24"/>
              <w:spacing w:after="0" w:line="240" w:lineRule="auto"/>
              <w:jc w:val="center"/>
              <w:rPr>
                <w:rFonts w:eastAsia="Times New Roman" w:cs="Calibri"/>
                <w:noProof/>
              </w:rPr>
            </w:pPr>
            <w:r>
              <w:rPr>
                <w:noProof/>
              </w:rPr>
              <w:t>Ποσό δόσης</w:t>
            </w:r>
          </w:p>
        </w:tc>
        <w:tc>
          <w:tcPr>
            <w:tcW w:w="5060" w:type="dxa"/>
            <w:shd w:val="clear" w:color="auto" w:fill="C4EFCE"/>
            <w:vAlign w:val="center"/>
            <w:hideMark/>
          </w:tcPr>
          <w:p w14:paraId="0B510FD1" w14:textId="63EA3829" w:rsidR="00154AD2" w:rsidRDefault="007F6BF3">
            <w:pPr>
              <w:pStyle w:val="P68B1DB1-Normal25"/>
              <w:spacing w:after="0" w:line="240" w:lineRule="auto"/>
              <w:jc w:val="center"/>
              <w:rPr>
                <w:rFonts w:cs="Calibri"/>
                <w:noProof/>
              </w:rPr>
            </w:pPr>
            <w:r>
              <w:rPr>
                <w:noProof/>
              </w:rPr>
              <w:t xml:space="preserve">700 000 000 EUR </w:t>
            </w:r>
          </w:p>
        </w:tc>
      </w:tr>
    </w:tbl>
    <w:p w14:paraId="717E1755" w14:textId="77777777" w:rsidR="00154AD2" w:rsidRDefault="00154AD2">
      <w:pPr>
        <w:keepNext/>
        <w:spacing w:after="160" w:line="259" w:lineRule="auto"/>
        <w:contextualSpacing/>
        <w:jc w:val="both"/>
        <w:rPr>
          <w:rFonts w:ascii="Times New Roman" w:eastAsiaTheme="minorEastAsia" w:hAnsi="Times New Roman" w:cs="Times New Roman"/>
          <w:noProof/>
          <w:sz w:val="24"/>
        </w:rPr>
      </w:pPr>
    </w:p>
    <w:p w14:paraId="0D521636" w14:textId="77777777" w:rsidR="00154AD2" w:rsidRDefault="00154AD2">
      <w:pPr>
        <w:keepNext/>
        <w:spacing w:after="160" w:line="259" w:lineRule="auto"/>
        <w:contextualSpacing/>
        <w:jc w:val="both"/>
        <w:rPr>
          <w:rFonts w:ascii="Times New Roman" w:eastAsiaTheme="minorEastAsia" w:hAnsi="Times New Roman" w:cs="Times New Roman"/>
          <w:noProof/>
          <w:sz w:val="24"/>
        </w:rPr>
      </w:pPr>
    </w:p>
    <w:p w14:paraId="212AD2B0" w14:textId="77777777" w:rsidR="00154AD2" w:rsidRDefault="007F6BF3">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Δεύτερη αίτηση πληρωμής (δανειακή στήριξη): </w:t>
      </w:r>
    </w:p>
    <w:p w14:paraId="02E15ED7" w14:textId="77777777" w:rsidR="00154AD2" w:rsidRDefault="00154AD2">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1750"/>
        <w:gridCol w:w="1670"/>
        <w:gridCol w:w="4931"/>
      </w:tblGrid>
      <w:tr w:rsidR="00154AD2" w14:paraId="0EB2FB8A" w14:textId="77777777">
        <w:trPr>
          <w:trHeight w:val="509"/>
        </w:trPr>
        <w:tc>
          <w:tcPr>
            <w:tcW w:w="1200" w:type="dxa"/>
            <w:vMerge w:val="restart"/>
            <w:shd w:val="clear" w:color="auto" w:fill="BDD7EE"/>
            <w:vAlign w:val="center"/>
            <w:hideMark/>
          </w:tcPr>
          <w:p w14:paraId="1B001ABA" w14:textId="77777777" w:rsidR="00154AD2" w:rsidRDefault="007F6BF3">
            <w:pPr>
              <w:pStyle w:val="P68B1DB1-Normal22"/>
              <w:spacing w:after="0" w:line="240" w:lineRule="auto"/>
              <w:jc w:val="center"/>
              <w:rPr>
                <w:rFonts w:eastAsia="Times New Roman" w:cs="Times New Roman"/>
                <w:noProof/>
              </w:rPr>
            </w:pPr>
            <w:r>
              <w:rPr>
                <w:noProof/>
              </w:rPr>
              <w:t>Αύξων αριθμός</w:t>
            </w:r>
          </w:p>
        </w:tc>
        <w:tc>
          <w:tcPr>
            <w:tcW w:w="1760" w:type="dxa"/>
            <w:vMerge w:val="restart"/>
            <w:shd w:val="clear" w:color="auto" w:fill="BDD7EE"/>
            <w:vAlign w:val="center"/>
            <w:hideMark/>
          </w:tcPr>
          <w:p w14:paraId="6E0E0306" w14:textId="77777777" w:rsidR="00154AD2" w:rsidRDefault="007F6BF3">
            <w:pPr>
              <w:pStyle w:val="P68B1DB1-Normal22"/>
              <w:spacing w:after="0" w:line="240" w:lineRule="auto"/>
              <w:jc w:val="center"/>
              <w:rPr>
                <w:rFonts w:eastAsia="Times New Roman" w:cs="Times New Roman"/>
                <w:noProof/>
              </w:rPr>
            </w:pPr>
            <w:r>
              <w:rPr>
                <w:noProof/>
              </w:rPr>
              <w:t>Σχετικό μέτρο (μεταρρύθμιση ή επένδυση)</w:t>
            </w:r>
          </w:p>
        </w:tc>
        <w:tc>
          <w:tcPr>
            <w:tcW w:w="1520" w:type="dxa"/>
            <w:vMerge w:val="restart"/>
            <w:shd w:val="clear" w:color="auto" w:fill="BDD7EE"/>
            <w:vAlign w:val="center"/>
            <w:hideMark/>
          </w:tcPr>
          <w:p w14:paraId="2A96E987" w14:textId="77777777" w:rsidR="00154AD2" w:rsidRDefault="007F6BF3">
            <w:pPr>
              <w:pStyle w:val="P68B1DB1-Normal22"/>
              <w:spacing w:after="0" w:line="240" w:lineRule="auto"/>
              <w:jc w:val="center"/>
              <w:rPr>
                <w:rFonts w:eastAsia="Times New Roman" w:cs="Times New Roman"/>
                <w:noProof/>
              </w:rPr>
            </w:pPr>
            <w:r>
              <w:rPr>
                <w:noProof/>
              </w:rPr>
              <w:t>Ορόσημο/Στόχος</w:t>
            </w:r>
          </w:p>
        </w:tc>
        <w:tc>
          <w:tcPr>
            <w:tcW w:w="5060" w:type="dxa"/>
            <w:vMerge w:val="restart"/>
            <w:shd w:val="clear" w:color="auto" w:fill="BDD7EE"/>
            <w:vAlign w:val="center"/>
            <w:hideMark/>
          </w:tcPr>
          <w:p w14:paraId="7A89ACB1" w14:textId="77777777" w:rsidR="00154AD2" w:rsidRDefault="007F6BF3">
            <w:pPr>
              <w:pStyle w:val="P68B1DB1-Normal22"/>
              <w:spacing w:after="0" w:line="240" w:lineRule="auto"/>
              <w:jc w:val="center"/>
              <w:rPr>
                <w:rFonts w:eastAsia="Times New Roman" w:cs="Times New Roman"/>
                <w:noProof/>
              </w:rPr>
            </w:pPr>
            <w:r>
              <w:rPr>
                <w:noProof/>
              </w:rPr>
              <w:t>Όνομα</w:t>
            </w:r>
          </w:p>
        </w:tc>
      </w:tr>
      <w:tr w:rsidR="00154AD2" w14:paraId="23B562DF" w14:textId="77777777">
        <w:trPr>
          <w:trHeight w:val="509"/>
        </w:trPr>
        <w:tc>
          <w:tcPr>
            <w:tcW w:w="1200" w:type="dxa"/>
            <w:vMerge/>
            <w:vAlign w:val="center"/>
            <w:hideMark/>
          </w:tcPr>
          <w:p w14:paraId="03688CB7" w14:textId="77777777" w:rsidR="00154AD2" w:rsidRDefault="00154AD2">
            <w:pPr>
              <w:spacing w:after="0" w:line="240" w:lineRule="auto"/>
              <w:rPr>
                <w:rFonts w:ascii="Times New Roman" w:eastAsia="Times New Roman" w:hAnsi="Times New Roman" w:cs="Times New Roman"/>
                <w:noProof/>
                <w:sz w:val="20"/>
              </w:rPr>
            </w:pPr>
          </w:p>
        </w:tc>
        <w:tc>
          <w:tcPr>
            <w:tcW w:w="1760" w:type="dxa"/>
            <w:vMerge/>
            <w:vAlign w:val="center"/>
            <w:hideMark/>
          </w:tcPr>
          <w:p w14:paraId="5CEB0911" w14:textId="77777777" w:rsidR="00154AD2" w:rsidRDefault="00154AD2">
            <w:pPr>
              <w:spacing w:after="0" w:line="240" w:lineRule="auto"/>
              <w:rPr>
                <w:rFonts w:ascii="Times New Roman" w:eastAsia="Times New Roman" w:hAnsi="Times New Roman" w:cs="Times New Roman"/>
                <w:noProof/>
                <w:sz w:val="20"/>
              </w:rPr>
            </w:pPr>
          </w:p>
        </w:tc>
        <w:tc>
          <w:tcPr>
            <w:tcW w:w="1520" w:type="dxa"/>
            <w:vMerge/>
            <w:vAlign w:val="center"/>
            <w:hideMark/>
          </w:tcPr>
          <w:p w14:paraId="3FC7C10B" w14:textId="77777777" w:rsidR="00154AD2" w:rsidRDefault="00154AD2">
            <w:pPr>
              <w:spacing w:after="0" w:line="240" w:lineRule="auto"/>
              <w:rPr>
                <w:rFonts w:ascii="Times New Roman" w:eastAsia="Times New Roman" w:hAnsi="Times New Roman" w:cs="Times New Roman"/>
                <w:noProof/>
                <w:sz w:val="20"/>
              </w:rPr>
            </w:pPr>
          </w:p>
        </w:tc>
        <w:tc>
          <w:tcPr>
            <w:tcW w:w="5060" w:type="dxa"/>
            <w:vMerge/>
            <w:vAlign w:val="center"/>
            <w:hideMark/>
          </w:tcPr>
          <w:p w14:paraId="6D45A41A" w14:textId="77777777" w:rsidR="00154AD2" w:rsidRDefault="00154AD2">
            <w:pPr>
              <w:spacing w:after="0" w:line="240" w:lineRule="auto"/>
              <w:rPr>
                <w:rFonts w:ascii="Times New Roman" w:eastAsia="Times New Roman" w:hAnsi="Times New Roman" w:cs="Times New Roman"/>
                <w:noProof/>
                <w:sz w:val="20"/>
              </w:rPr>
            </w:pPr>
          </w:p>
        </w:tc>
      </w:tr>
      <w:tr w:rsidR="00154AD2" w14:paraId="1570ABB6" w14:textId="77777777">
        <w:trPr>
          <w:trHeight w:val="440"/>
        </w:trPr>
        <w:tc>
          <w:tcPr>
            <w:tcW w:w="1200" w:type="dxa"/>
            <w:shd w:val="clear" w:color="auto" w:fill="C4EFCE"/>
            <w:vAlign w:val="center"/>
            <w:hideMark/>
          </w:tcPr>
          <w:p w14:paraId="009ECE5F" w14:textId="77777777" w:rsidR="00154AD2" w:rsidRDefault="007F6BF3">
            <w:pPr>
              <w:pStyle w:val="P68B1DB1-Normal23"/>
              <w:spacing w:after="0" w:line="240" w:lineRule="auto"/>
              <w:jc w:val="center"/>
              <w:rPr>
                <w:rFonts w:eastAsia="Times New Roman" w:cs="Calibri"/>
                <w:noProof/>
              </w:rPr>
            </w:pPr>
            <w:r>
              <w:rPr>
                <w:noProof/>
              </w:rPr>
              <w:t>5.30</w:t>
            </w:r>
          </w:p>
        </w:tc>
        <w:tc>
          <w:tcPr>
            <w:tcW w:w="1760" w:type="dxa"/>
            <w:shd w:val="clear" w:color="auto" w:fill="C4EFCE"/>
            <w:vAlign w:val="center"/>
            <w:hideMark/>
          </w:tcPr>
          <w:p w14:paraId="675FBF51" w14:textId="77777777" w:rsidR="00154AD2" w:rsidRDefault="007F6BF3">
            <w:pPr>
              <w:pStyle w:val="P68B1DB1-Normal23"/>
              <w:spacing w:after="0" w:line="240" w:lineRule="auto"/>
              <w:jc w:val="center"/>
              <w:rPr>
                <w:rFonts w:eastAsia="Times New Roman" w:cs="Calibri"/>
                <w:noProof/>
              </w:rPr>
            </w:pPr>
            <w:r>
              <w:rPr>
                <w:noProof/>
              </w:rPr>
              <w:t>RE-C05-i06 </w:t>
            </w:r>
          </w:p>
        </w:tc>
        <w:tc>
          <w:tcPr>
            <w:tcW w:w="1520" w:type="dxa"/>
            <w:shd w:val="clear" w:color="auto" w:fill="C4EFCE"/>
            <w:vAlign w:val="center"/>
            <w:hideMark/>
          </w:tcPr>
          <w:p w14:paraId="5F3B7817" w14:textId="77777777" w:rsidR="00154AD2" w:rsidRDefault="007F6BF3">
            <w:pPr>
              <w:pStyle w:val="P68B1DB1-Normal23"/>
              <w:spacing w:after="0" w:line="240" w:lineRule="auto"/>
              <w:jc w:val="center"/>
              <w:rPr>
                <w:rFonts w:eastAsia="Times New Roman" w:cs="Calibri"/>
                <w:noProof/>
              </w:rPr>
            </w:pPr>
            <w:r>
              <w:rPr>
                <w:noProof/>
              </w:rPr>
              <w:t>M</w:t>
            </w:r>
          </w:p>
        </w:tc>
        <w:tc>
          <w:tcPr>
            <w:tcW w:w="5060" w:type="dxa"/>
            <w:shd w:val="clear" w:color="auto" w:fill="C4EFCE"/>
            <w:vAlign w:val="center"/>
            <w:hideMark/>
          </w:tcPr>
          <w:p w14:paraId="077B04B8" w14:textId="77777777" w:rsidR="00154AD2" w:rsidRDefault="007F6BF3">
            <w:pPr>
              <w:pStyle w:val="P68B1DB1-Normal23"/>
              <w:spacing w:after="0" w:line="240" w:lineRule="auto"/>
              <w:jc w:val="both"/>
              <w:rPr>
                <w:rFonts w:eastAsia="Times New Roman" w:cs="Calibri"/>
                <w:noProof/>
              </w:rPr>
            </w:pPr>
            <w:r>
              <w:rPr>
                <w:noProof/>
              </w:rPr>
              <w:t>Κοινοποίηση στην Ευρωπαϊκή Επιτροπή της επιτυχούς επιτυχίας της αξιολόγησης κατά πυλώνες για την BPF</w:t>
            </w:r>
          </w:p>
        </w:tc>
      </w:tr>
      <w:tr w:rsidR="00154AD2" w14:paraId="4F63CB2A" w14:textId="77777777">
        <w:trPr>
          <w:trHeight w:val="440"/>
        </w:trPr>
        <w:tc>
          <w:tcPr>
            <w:tcW w:w="1200" w:type="dxa"/>
            <w:shd w:val="clear" w:color="auto" w:fill="C4EFCE"/>
            <w:vAlign w:val="center"/>
            <w:hideMark/>
          </w:tcPr>
          <w:p w14:paraId="1E7826AF" w14:textId="77777777" w:rsidR="00154AD2" w:rsidRDefault="007F6BF3">
            <w:pPr>
              <w:pStyle w:val="P68B1DB1-Normal23"/>
              <w:spacing w:after="0" w:line="240" w:lineRule="auto"/>
              <w:jc w:val="center"/>
              <w:rPr>
                <w:rFonts w:eastAsia="Times New Roman" w:cs="Calibri"/>
                <w:noProof/>
              </w:rPr>
            </w:pPr>
            <w:r>
              <w:rPr>
                <w:noProof/>
              </w:rPr>
              <w:t>5.31</w:t>
            </w:r>
          </w:p>
        </w:tc>
        <w:tc>
          <w:tcPr>
            <w:tcW w:w="1760" w:type="dxa"/>
            <w:shd w:val="clear" w:color="auto" w:fill="C4EFCE"/>
            <w:vAlign w:val="center"/>
            <w:hideMark/>
          </w:tcPr>
          <w:p w14:paraId="0270B895" w14:textId="77777777" w:rsidR="00154AD2" w:rsidRDefault="007F6BF3">
            <w:pPr>
              <w:pStyle w:val="P68B1DB1-Normal23"/>
              <w:spacing w:after="0" w:line="240" w:lineRule="auto"/>
              <w:jc w:val="center"/>
              <w:rPr>
                <w:rFonts w:eastAsia="Times New Roman" w:cs="Calibri"/>
                <w:noProof/>
              </w:rPr>
            </w:pPr>
            <w:r>
              <w:rPr>
                <w:noProof/>
              </w:rPr>
              <w:t>RE-C05-i06 </w:t>
            </w:r>
          </w:p>
        </w:tc>
        <w:tc>
          <w:tcPr>
            <w:tcW w:w="1520" w:type="dxa"/>
            <w:shd w:val="clear" w:color="auto" w:fill="C4EFCE"/>
            <w:vAlign w:val="center"/>
            <w:hideMark/>
          </w:tcPr>
          <w:p w14:paraId="3965D7AA" w14:textId="77777777" w:rsidR="00154AD2" w:rsidRDefault="007F6BF3">
            <w:pPr>
              <w:pStyle w:val="P68B1DB1-Normal23"/>
              <w:spacing w:after="0" w:line="240" w:lineRule="auto"/>
              <w:jc w:val="center"/>
              <w:rPr>
                <w:rFonts w:eastAsia="Times New Roman" w:cs="Calibri"/>
                <w:noProof/>
              </w:rPr>
            </w:pPr>
            <w:r>
              <w:rPr>
                <w:noProof/>
              </w:rPr>
              <w:t>M</w:t>
            </w:r>
          </w:p>
        </w:tc>
        <w:tc>
          <w:tcPr>
            <w:tcW w:w="5060" w:type="dxa"/>
            <w:shd w:val="clear" w:color="auto" w:fill="C4EFCE"/>
            <w:vAlign w:val="center"/>
            <w:hideMark/>
          </w:tcPr>
          <w:p w14:paraId="130F5CB2" w14:textId="77777777" w:rsidR="00154AD2" w:rsidRDefault="007F6BF3">
            <w:pPr>
              <w:pStyle w:val="P68B1DB1-Normal23"/>
              <w:spacing w:after="0" w:line="240" w:lineRule="auto"/>
              <w:jc w:val="both"/>
              <w:rPr>
                <w:rFonts w:eastAsia="Times New Roman" w:cs="Calibri"/>
                <w:noProof/>
              </w:rPr>
            </w:pPr>
            <w:r>
              <w:rPr>
                <w:noProof/>
              </w:rPr>
              <w:t>Μεταβίβαση κεφαλαίου ύψους 250 000 000 EUR από την πορτογαλική κυβέρνηση στην BPF και υιοθέτηση της επενδυτικής πολιτικής για την BPF</w:t>
            </w:r>
          </w:p>
        </w:tc>
      </w:tr>
      <w:tr w:rsidR="00154AD2" w14:paraId="5DF0FC8C" w14:textId="77777777">
        <w:trPr>
          <w:trHeight w:val="440"/>
        </w:trPr>
        <w:tc>
          <w:tcPr>
            <w:tcW w:w="1200" w:type="dxa"/>
            <w:shd w:val="clear" w:color="auto" w:fill="C4EFCE"/>
            <w:vAlign w:val="center"/>
            <w:hideMark/>
          </w:tcPr>
          <w:p w14:paraId="4275F46E" w14:textId="77777777" w:rsidR="00154AD2" w:rsidRDefault="007F6BF3">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422F0890" w14:textId="77777777" w:rsidR="00154AD2" w:rsidRDefault="007F6BF3">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216845AB" w14:textId="77777777" w:rsidR="00154AD2" w:rsidRDefault="007F6BF3">
            <w:pPr>
              <w:pStyle w:val="P68B1DB1-Normal24"/>
              <w:spacing w:after="0" w:line="240" w:lineRule="auto"/>
              <w:jc w:val="center"/>
              <w:rPr>
                <w:rFonts w:eastAsia="Times New Roman" w:cs="Calibri"/>
                <w:noProof/>
              </w:rPr>
            </w:pPr>
            <w:r>
              <w:rPr>
                <w:noProof/>
              </w:rPr>
              <w:t>Ποσό δόσης</w:t>
            </w:r>
          </w:p>
        </w:tc>
        <w:tc>
          <w:tcPr>
            <w:tcW w:w="5060" w:type="dxa"/>
            <w:shd w:val="clear" w:color="auto" w:fill="C4EFCE"/>
            <w:vAlign w:val="center"/>
            <w:hideMark/>
          </w:tcPr>
          <w:p w14:paraId="3845844B" w14:textId="3DC80B07" w:rsidR="00154AD2" w:rsidRDefault="007F6BF3">
            <w:pPr>
              <w:pStyle w:val="P68B1DB1-Normal25"/>
              <w:spacing w:after="0" w:line="240" w:lineRule="auto"/>
              <w:jc w:val="center"/>
              <w:rPr>
                <w:rFonts w:cs="Calibri"/>
                <w:noProof/>
              </w:rPr>
            </w:pPr>
            <w:r>
              <w:rPr>
                <w:noProof/>
              </w:rPr>
              <w:t xml:space="preserve">125 000 000 EUR </w:t>
            </w:r>
          </w:p>
        </w:tc>
      </w:tr>
    </w:tbl>
    <w:p w14:paraId="011575C2" w14:textId="77777777" w:rsidR="00154AD2" w:rsidRDefault="00154AD2">
      <w:pPr>
        <w:keepNext/>
        <w:spacing w:before="40" w:after="160" w:line="259" w:lineRule="auto"/>
        <w:contextualSpacing/>
        <w:jc w:val="both"/>
        <w:rPr>
          <w:rFonts w:ascii="Times New Roman" w:eastAsiaTheme="minorEastAsia" w:hAnsi="Times New Roman" w:cs="Times New Roman"/>
          <w:noProof/>
          <w:sz w:val="24"/>
        </w:rPr>
      </w:pPr>
    </w:p>
    <w:p w14:paraId="2F53405C" w14:textId="77777777" w:rsidR="00154AD2" w:rsidRDefault="00154AD2">
      <w:pPr>
        <w:keepNext/>
        <w:spacing w:before="40" w:after="160" w:line="259" w:lineRule="auto"/>
        <w:contextualSpacing/>
        <w:jc w:val="both"/>
        <w:rPr>
          <w:rFonts w:ascii="Times New Roman" w:eastAsiaTheme="minorEastAsia" w:hAnsi="Times New Roman" w:cs="Times New Roman"/>
          <w:noProof/>
          <w:sz w:val="24"/>
        </w:rPr>
      </w:pPr>
    </w:p>
    <w:p w14:paraId="27D8DBB2" w14:textId="77777777" w:rsidR="00154AD2" w:rsidRDefault="007F6BF3">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Τρίτη αίτηση πληρωμής (δανειακή στήριξη): </w:t>
      </w:r>
    </w:p>
    <w:p w14:paraId="45710B93" w14:textId="77777777" w:rsidR="00154AD2" w:rsidRDefault="00154AD2">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1750"/>
        <w:gridCol w:w="1670"/>
        <w:gridCol w:w="4931"/>
      </w:tblGrid>
      <w:tr w:rsidR="00154AD2" w14:paraId="56F1D039" w14:textId="77777777">
        <w:trPr>
          <w:trHeight w:val="509"/>
          <w:tblHeader/>
        </w:trPr>
        <w:tc>
          <w:tcPr>
            <w:tcW w:w="1200" w:type="dxa"/>
            <w:vMerge w:val="restart"/>
            <w:shd w:val="clear" w:color="auto" w:fill="BDD7EE"/>
            <w:vAlign w:val="center"/>
            <w:hideMark/>
          </w:tcPr>
          <w:p w14:paraId="1CD5E8AC" w14:textId="77777777" w:rsidR="00154AD2" w:rsidRDefault="007F6BF3">
            <w:pPr>
              <w:pStyle w:val="P68B1DB1-Normal22"/>
              <w:keepNext/>
              <w:spacing w:after="0" w:line="240" w:lineRule="auto"/>
              <w:jc w:val="center"/>
              <w:rPr>
                <w:rFonts w:eastAsia="Times New Roman" w:cs="Times New Roman"/>
                <w:noProof/>
              </w:rPr>
            </w:pPr>
            <w:r>
              <w:rPr>
                <w:noProof/>
              </w:rPr>
              <w:t>Αύξων αριθμός</w:t>
            </w:r>
          </w:p>
        </w:tc>
        <w:tc>
          <w:tcPr>
            <w:tcW w:w="1760" w:type="dxa"/>
            <w:vMerge w:val="restart"/>
            <w:shd w:val="clear" w:color="auto" w:fill="BDD7EE"/>
            <w:vAlign w:val="center"/>
            <w:hideMark/>
          </w:tcPr>
          <w:p w14:paraId="554BDD9C" w14:textId="77777777" w:rsidR="00154AD2" w:rsidRDefault="007F6BF3">
            <w:pPr>
              <w:pStyle w:val="P68B1DB1-Normal22"/>
              <w:keepNext/>
              <w:spacing w:after="0" w:line="240" w:lineRule="auto"/>
              <w:jc w:val="center"/>
              <w:rPr>
                <w:rFonts w:eastAsia="Times New Roman" w:cs="Times New Roman"/>
                <w:noProof/>
              </w:rPr>
            </w:pPr>
            <w:r>
              <w:rPr>
                <w:noProof/>
              </w:rPr>
              <w:t>Σχετικό μέτρο (μεταρρύθμιση ή επένδυση)</w:t>
            </w:r>
          </w:p>
        </w:tc>
        <w:tc>
          <w:tcPr>
            <w:tcW w:w="1520" w:type="dxa"/>
            <w:vMerge w:val="restart"/>
            <w:shd w:val="clear" w:color="auto" w:fill="BDD7EE"/>
            <w:vAlign w:val="center"/>
            <w:hideMark/>
          </w:tcPr>
          <w:p w14:paraId="5A817C51" w14:textId="77777777" w:rsidR="00154AD2" w:rsidRDefault="007F6BF3">
            <w:pPr>
              <w:pStyle w:val="P68B1DB1-Normal22"/>
              <w:keepNext/>
              <w:spacing w:after="0" w:line="240" w:lineRule="auto"/>
              <w:jc w:val="center"/>
              <w:rPr>
                <w:rFonts w:eastAsia="Times New Roman" w:cs="Times New Roman"/>
                <w:noProof/>
              </w:rPr>
            </w:pPr>
            <w:r>
              <w:rPr>
                <w:noProof/>
              </w:rPr>
              <w:t>Ορόσημο/Στόχος</w:t>
            </w:r>
          </w:p>
        </w:tc>
        <w:tc>
          <w:tcPr>
            <w:tcW w:w="5060" w:type="dxa"/>
            <w:vMerge w:val="restart"/>
            <w:shd w:val="clear" w:color="auto" w:fill="BDD7EE"/>
            <w:vAlign w:val="center"/>
            <w:hideMark/>
          </w:tcPr>
          <w:p w14:paraId="348B16AE" w14:textId="77777777" w:rsidR="00154AD2" w:rsidRDefault="007F6BF3">
            <w:pPr>
              <w:pStyle w:val="P68B1DB1-Normal22"/>
              <w:keepNext/>
              <w:spacing w:after="0" w:line="240" w:lineRule="auto"/>
              <w:jc w:val="center"/>
              <w:rPr>
                <w:rFonts w:eastAsia="Times New Roman" w:cs="Times New Roman"/>
                <w:noProof/>
              </w:rPr>
            </w:pPr>
            <w:r>
              <w:rPr>
                <w:noProof/>
              </w:rPr>
              <w:t>Όνομα</w:t>
            </w:r>
          </w:p>
        </w:tc>
      </w:tr>
      <w:tr w:rsidR="00154AD2" w14:paraId="54C48B88" w14:textId="77777777">
        <w:trPr>
          <w:trHeight w:val="509"/>
          <w:tblHeader/>
        </w:trPr>
        <w:tc>
          <w:tcPr>
            <w:tcW w:w="1200" w:type="dxa"/>
            <w:vMerge/>
            <w:vAlign w:val="center"/>
            <w:hideMark/>
          </w:tcPr>
          <w:p w14:paraId="15CE11B2" w14:textId="77777777" w:rsidR="00154AD2" w:rsidRDefault="00154AD2">
            <w:pPr>
              <w:spacing w:after="0" w:line="240" w:lineRule="auto"/>
              <w:rPr>
                <w:rFonts w:ascii="Times New Roman" w:eastAsia="Times New Roman" w:hAnsi="Times New Roman" w:cs="Times New Roman"/>
                <w:noProof/>
                <w:sz w:val="20"/>
              </w:rPr>
            </w:pPr>
          </w:p>
        </w:tc>
        <w:tc>
          <w:tcPr>
            <w:tcW w:w="1760" w:type="dxa"/>
            <w:vMerge/>
            <w:vAlign w:val="center"/>
            <w:hideMark/>
          </w:tcPr>
          <w:p w14:paraId="1D899E3A" w14:textId="77777777" w:rsidR="00154AD2" w:rsidRDefault="00154AD2">
            <w:pPr>
              <w:spacing w:after="0" w:line="240" w:lineRule="auto"/>
              <w:rPr>
                <w:rFonts w:ascii="Times New Roman" w:eastAsia="Times New Roman" w:hAnsi="Times New Roman" w:cs="Times New Roman"/>
                <w:noProof/>
                <w:sz w:val="20"/>
              </w:rPr>
            </w:pPr>
          </w:p>
        </w:tc>
        <w:tc>
          <w:tcPr>
            <w:tcW w:w="1520" w:type="dxa"/>
            <w:vMerge/>
            <w:vAlign w:val="center"/>
            <w:hideMark/>
          </w:tcPr>
          <w:p w14:paraId="4387D244" w14:textId="77777777" w:rsidR="00154AD2" w:rsidRDefault="00154AD2">
            <w:pPr>
              <w:spacing w:after="0" w:line="240" w:lineRule="auto"/>
              <w:rPr>
                <w:rFonts w:ascii="Times New Roman" w:eastAsia="Times New Roman" w:hAnsi="Times New Roman" w:cs="Times New Roman"/>
                <w:noProof/>
                <w:sz w:val="20"/>
              </w:rPr>
            </w:pPr>
          </w:p>
        </w:tc>
        <w:tc>
          <w:tcPr>
            <w:tcW w:w="5060" w:type="dxa"/>
            <w:vMerge/>
            <w:vAlign w:val="center"/>
            <w:hideMark/>
          </w:tcPr>
          <w:p w14:paraId="4C9A4136" w14:textId="77777777" w:rsidR="00154AD2" w:rsidRDefault="00154AD2">
            <w:pPr>
              <w:spacing w:after="0" w:line="240" w:lineRule="auto"/>
              <w:rPr>
                <w:rFonts w:ascii="Times New Roman" w:eastAsia="Times New Roman" w:hAnsi="Times New Roman" w:cs="Times New Roman"/>
                <w:noProof/>
                <w:sz w:val="20"/>
              </w:rPr>
            </w:pPr>
          </w:p>
        </w:tc>
      </w:tr>
      <w:tr w:rsidR="00154AD2" w14:paraId="30E391F9" w14:textId="77777777">
        <w:trPr>
          <w:trHeight w:val="440"/>
        </w:trPr>
        <w:tc>
          <w:tcPr>
            <w:tcW w:w="1200" w:type="dxa"/>
            <w:shd w:val="clear" w:color="auto" w:fill="C4EFCE"/>
            <w:vAlign w:val="center"/>
          </w:tcPr>
          <w:p w14:paraId="1329D539" w14:textId="77777777" w:rsidR="00154AD2" w:rsidRDefault="007F6BF3">
            <w:pPr>
              <w:pStyle w:val="P68B1DB1-Normal23"/>
              <w:spacing w:after="0"/>
              <w:jc w:val="center"/>
              <w:rPr>
                <w:noProof/>
              </w:rPr>
            </w:pPr>
            <w:r>
              <w:rPr>
                <w:noProof/>
              </w:rPr>
              <w:t>2.20</w:t>
            </w:r>
          </w:p>
        </w:tc>
        <w:tc>
          <w:tcPr>
            <w:tcW w:w="1760" w:type="dxa"/>
            <w:shd w:val="clear" w:color="auto" w:fill="C4EFCE"/>
            <w:vAlign w:val="center"/>
          </w:tcPr>
          <w:p w14:paraId="46E5A600" w14:textId="77777777" w:rsidR="00154AD2" w:rsidRDefault="007F6BF3">
            <w:pPr>
              <w:pStyle w:val="P68B1DB1-Normal23"/>
              <w:spacing w:after="0"/>
              <w:jc w:val="center"/>
              <w:rPr>
                <w:noProof/>
              </w:rPr>
            </w:pPr>
            <w:r>
              <w:rPr>
                <w:noProof/>
              </w:rPr>
              <w:t>RE-C02-i05</w:t>
            </w:r>
          </w:p>
        </w:tc>
        <w:tc>
          <w:tcPr>
            <w:tcW w:w="1520" w:type="dxa"/>
            <w:shd w:val="clear" w:color="auto" w:fill="C4EFCE"/>
            <w:vAlign w:val="center"/>
          </w:tcPr>
          <w:p w14:paraId="731E33FA" w14:textId="77777777" w:rsidR="00154AD2" w:rsidRDefault="007F6BF3">
            <w:pPr>
              <w:pStyle w:val="P68B1DB1-Normal23"/>
              <w:spacing w:after="0"/>
              <w:jc w:val="center"/>
              <w:rPr>
                <w:noProof/>
              </w:rPr>
            </w:pPr>
            <w:r>
              <w:rPr>
                <w:noProof/>
              </w:rPr>
              <w:t>T</w:t>
            </w:r>
          </w:p>
        </w:tc>
        <w:tc>
          <w:tcPr>
            <w:tcW w:w="5060" w:type="dxa"/>
            <w:shd w:val="clear" w:color="auto" w:fill="C4EFCE"/>
            <w:vAlign w:val="center"/>
          </w:tcPr>
          <w:p w14:paraId="68BCDFD3" w14:textId="77777777" w:rsidR="00154AD2" w:rsidRDefault="007F6BF3">
            <w:pPr>
              <w:pStyle w:val="P68B1DB1-Normal23"/>
              <w:spacing w:after="0"/>
              <w:jc w:val="both"/>
              <w:rPr>
                <w:noProof/>
              </w:rPr>
            </w:pPr>
            <w:r>
              <w:rPr>
                <w:noProof/>
              </w:rPr>
              <w:t>Οικονομικά προσιτό απόθεμα δημόσιων κατοικιών — Κατοικίες με έναρξη εργασιών (κατασκευασμένες με υψηλή ενεργειακή απόδοση ή αποκατεστημένες με βελτιωμένη ενεργειακή απόδοση)</w:t>
            </w:r>
          </w:p>
        </w:tc>
      </w:tr>
      <w:tr w:rsidR="00154AD2" w14:paraId="74203895" w14:textId="77777777">
        <w:trPr>
          <w:trHeight w:val="440"/>
        </w:trPr>
        <w:tc>
          <w:tcPr>
            <w:tcW w:w="1200" w:type="dxa"/>
            <w:shd w:val="clear" w:color="auto" w:fill="C4EFCE"/>
            <w:vAlign w:val="center"/>
            <w:hideMark/>
          </w:tcPr>
          <w:p w14:paraId="2563BBA6" w14:textId="77777777" w:rsidR="00154AD2" w:rsidRDefault="007F6BF3">
            <w:pPr>
              <w:pStyle w:val="P68B1DB1-Normal23"/>
              <w:spacing w:after="0"/>
              <w:jc w:val="center"/>
              <w:rPr>
                <w:noProof/>
              </w:rPr>
            </w:pPr>
            <w:r>
              <w:rPr>
                <w:noProof/>
              </w:rPr>
              <w:t>2.25</w:t>
            </w:r>
          </w:p>
        </w:tc>
        <w:tc>
          <w:tcPr>
            <w:tcW w:w="1760" w:type="dxa"/>
            <w:shd w:val="clear" w:color="auto" w:fill="C4EFCE"/>
            <w:vAlign w:val="center"/>
            <w:hideMark/>
          </w:tcPr>
          <w:p w14:paraId="7E22A000" w14:textId="77777777" w:rsidR="00154AD2" w:rsidRDefault="007F6BF3">
            <w:pPr>
              <w:pStyle w:val="P68B1DB1-Normal23"/>
              <w:spacing w:after="0"/>
              <w:jc w:val="center"/>
              <w:rPr>
                <w:noProof/>
              </w:rPr>
            </w:pPr>
            <w:r>
              <w:rPr>
                <w:noProof/>
              </w:rPr>
              <w:t>RE-C02-i06</w:t>
            </w:r>
          </w:p>
        </w:tc>
        <w:tc>
          <w:tcPr>
            <w:tcW w:w="1520" w:type="dxa"/>
            <w:shd w:val="clear" w:color="auto" w:fill="C4EFCE"/>
            <w:vAlign w:val="center"/>
            <w:hideMark/>
          </w:tcPr>
          <w:p w14:paraId="116111E5" w14:textId="77777777" w:rsidR="00154AD2" w:rsidRDefault="007F6BF3">
            <w:pPr>
              <w:pStyle w:val="P68B1DB1-Normal23"/>
              <w:spacing w:after="0"/>
              <w:jc w:val="center"/>
              <w:rPr>
                <w:noProof/>
              </w:rPr>
            </w:pPr>
            <w:r>
              <w:rPr>
                <w:noProof/>
              </w:rPr>
              <w:t>T</w:t>
            </w:r>
          </w:p>
        </w:tc>
        <w:tc>
          <w:tcPr>
            <w:tcW w:w="5060" w:type="dxa"/>
            <w:shd w:val="clear" w:color="auto" w:fill="C4EFCE"/>
            <w:vAlign w:val="center"/>
            <w:hideMark/>
          </w:tcPr>
          <w:p w14:paraId="53F83543" w14:textId="77777777" w:rsidR="00154AD2" w:rsidRDefault="007F6BF3">
            <w:pPr>
              <w:pStyle w:val="P68B1DB1-Normal23"/>
              <w:spacing w:after="0"/>
              <w:jc w:val="both"/>
              <w:rPr>
                <w:noProof/>
              </w:rPr>
            </w:pPr>
            <w:r>
              <w:rPr>
                <w:noProof/>
              </w:rPr>
              <w:t>Φοιτητική στέγαση με προσιτό κόστος — αριθμός θέσεων φοιτητικών καταλυμάτων με προκηρυχθείσες προσφορές</w:t>
            </w:r>
          </w:p>
        </w:tc>
      </w:tr>
      <w:tr w:rsidR="00154AD2" w14:paraId="30722990" w14:textId="77777777">
        <w:trPr>
          <w:trHeight w:val="440"/>
        </w:trPr>
        <w:tc>
          <w:tcPr>
            <w:tcW w:w="1200" w:type="dxa"/>
            <w:shd w:val="clear" w:color="auto" w:fill="C4EFCE"/>
            <w:vAlign w:val="center"/>
            <w:hideMark/>
          </w:tcPr>
          <w:p w14:paraId="1327A5E4" w14:textId="77777777" w:rsidR="00154AD2" w:rsidRDefault="007F6BF3">
            <w:pPr>
              <w:pStyle w:val="P68B1DB1-Normal23"/>
              <w:spacing w:after="0"/>
              <w:jc w:val="center"/>
              <w:rPr>
                <w:noProof/>
              </w:rPr>
            </w:pPr>
            <w:r>
              <w:rPr>
                <w:noProof/>
              </w:rPr>
              <w:t>5.24</w:t>
            </w:r>
          </w:p>
        </w:tc>
        <w:tc>
          <w:tcPr>
            <w:tcW w:w="1760" w:type="dxa"/>
            <w:shd w:val="clear" w:color="auto" w:fill="C4EFCE"/>
            <w:vAlign w:val="center"/>
            <w:hideMark/>
          </w:tcPr>
          <w:p w14:paraId="7313D5BF" w14:textId="77777777" w:rsidR="00154AD2" w:rsidRDefault="007F6BF3">
            <w:pPr>
              <w:pStyle w:val="P68B1DB1-Normal23"/>
              <w:spacing w:after="0"/>
              <w:jc w:val="center"/>
              <w:rPr>
                <w:noProof/>
              </w:rPr>
            </w:pPr>
            <w:r>
              <w:rPr>
                <w:noProof/>
              </w:rPr>
              <w:t xml:space="preserve"> RE-C05-r13</w:t>
            </w:r>
          </w:p>
        </w:tc>
        <w:tc>
          <w:tcPr>
            <w:tcW w:w="1520" w:type="dxa"/>
            <w:shd w:val="clear" w:color="auto" w:fill="C4EFCE"/>
            <w:vAlign w:val="center"/>
            <w:hideMark/>
          </w:tcPr>
          <w:p w14:paraId="5AFBE9E2" w14:textId="77777777" w:rsidR="00154AD2" w:rsidRDefault="007F6BF3">
            <w:pPr>
              <w:pStyle w:val="P68B1DB1-Normal23"/>
              <w:spacing w:after="0"/>
              <w:jc w:val="center"/>
              <w:rPr>
                <w:noProof/>
              </w:rPr>
            </w:pPr>
            <w:r>
              <w:rPr>
                <w:noProof/>
              </w:rPr>
              <w:t>M</w:t>
            </w:r>
          </w:p>
        </w:tc>
        <w:tc>
          <w:tcPr>
            <w:tcW w:w="5060" w:type="dxa"/>
            <w:shd w:val="clear" w:color="auto" w:fill="C4EFCE"/>
            <w:vAlign w:val="center"/>
            <w:hideMark/>
          </w:tcPr>
          <w:p w14:paraId="0D4879B7" w14:textId="77777777" w:rsidR="00154AD2" w:rsidRDefault="007F6BF3">
            <w:pPr>
              <w:pStyle w:val="P68B1DB1-Normal23"/>
              <w:spacing w:after="0"/>
              <w:jc w:val="both"/>
              <w:rPr>
                <w:noProof/>
              </w:rPr>
            </w:pPr>
            <w:r>
              <w:rPr>
                <w:noProof/>
              </w:rPr>
              <w:t>Έναρξη ισχύος της αναθεώρησης του νομικού πλαισίου για τους οργανισμούς συλλογικών επενδύσεων</w:t>
            </w:r>
          </w:p>
        </w:tc>
      </w:tr>
      <w:tr w:rsidR="00154AD2" w14:paraId="37C006F7" w14:textId="77777777">
        <w:trPr>
          <w:trHeight w:val="440"/>
        </w:trPr>
        <w:tc>
          <w:tcPr>
            <w:tcW w:w="1200" w:type="dxa"/>
            <w:shd w:val="clear" w:color="auto" w:fill="C4EFCE"/>
            <w:vAlign w:val="center"/>
            <w:hideMark/>
          </w:tcPr>
          <w:p w14:paraId="26B1491D" w14:textId="77777777" w:rsidR="00154AD2" w:rsidRDefault="007F6BF3">
            <w:pPr>
              <w:pStyle w:val="P68B1DB1-Normal23"/>
              <w:spacing w:after="0"/>
              <w:jc w:val="center"/>
              <w:rPr>
                <w:noProof/>
              </w:rPr>
            </w:pPr>
            <w:r>
              <w:rPr>
                <w:noProof/>
              </w:rPr>
              <w:t>5.25</w:t>
            </w:r>
          </w:p>
        </w:tc>
        <w:tc>
          <w:tcPr>
            <w:tcW w:w="1760" w:type="dxa"/>
            <w:shd w:val="clear" w:color="auto" w:fill="C4EFCE"/>
            <w:vAlign w:val="center"/>
            <w:hideMark/>
          </w:tcPr>
          <w:p w14:paraId="7A4EA22B" w14:textId="77777777" w:rsidR="00154AD2" w:rsidRDefault="007F6BF3">
            <w:pPr>
              <w:pStyle w:val="P68B1DB1-Normal23"/>
              <w:spacing w:after="0"/>
              <w:jc w:val="center"/>
              <w:rPr>
                <w:noProof/>
              </w:rPr>
            </w:pPr>
            <w:r>
              <w:rPr>
                <w:noProof/>
              </w:rPr>
              <w:t xml:space="preserve"> RE-C05-r13</w:t>
            </w:r>
          </w:p>
        </w:tc>
        <w:tc>
          <w:tcPr>
            <w:tcW w:w="1520" w:type="dxa"/>
            <w:shd w:val="clear" w:color="auto" w:fill="C4EFCE"/>
            <w:vAlign w:val="center"/>
            <w:hideMark/>
          </w:tcPr>
          <w:p w14:paraId="35B03426" w14:textId="77777777" w:rsidR="00154AD2" w:rsidRDefault="007F6BF3">
            <w:pPr>
              <w:pStyle w:val="P68B1DB1-Normal23"/>
              <w:spacing w:after="0"/>
              <w:jc w:val="center"/>
              <w:rPr>
                <w:noProof/>
              </w:rPr>
            </w:pPr>
            <w:r>
              <w:rPr>
                <w:noProof/>
              </w:rPr>
              <w:t>M</w:t>
            </w:r>
          </w:p>
        </w:tc>
        <w:tc>
          <w:tcPr>
            <w:tcW w:w="5060" w:type="dxa"/>
            <w:shd w:val="clear" w:color="auto" w:fill="C4EFCE"/>
            <w:vAlign w:val="center"/>
            <w:hideMark/>
          </w:tcPr>
          <w:p w14:paraId="43CD5844" w14:textId="77777777" w:rsidR="00154AD2" w:rsidRDefault="007F6BF3">
            <w:pPr>
              <w:pStyle w:val="P68B1DB1-Normal23"/>
              <w:spacing w:after="0"/>
              <w:jc w:val="both"/>
              <w:rPr>
                <w:noProof/>
              </w:rPr>
            </w:pPr>
            <w:r>
              <w:rPr>
                <w:noProof/>
              </w:rPr>
              <w:t>Έναρξη ισχύος του περί του Κώδικα Κινητών Αξιών Νόμου</w:t>
            </w:r>
          </w:p>
        </w:tc>
      </w:tr>
      <w:tr w:rsidR="00154AD2" w14:paraId="3107CF2B" w14:textId="77777777">
        <w:trPr>
          <w:trHeight w:val="440"/>
        </w:trPr>
        <w:tc>
          <w:tcPr>
            <w:tcW w:w="1200" w:type="dxa"/>
            <w:shd w:val="clear" w:color="auto" w:fill="C4EFCE"/>
            <w:vAlign w:val="center"/>
            <w:hideMark/>
          </w:tcPr>
          <w:p w14:paraId="5CD7F889" w14:textId="77777777" w:rsidR="00154AD2" w:rsidRDefault="007F6BF3">
            <w:pPr>
              <w:pStyle w:val="P68B1DB1-Normal23"/>
              <w:spacing w:after="0"/>
              <w:jc w:val="center"/>
              <w:rPr>
                <w:noProof/>
              </w:rPr>
            </w:pPr>
            <w:r>
              <w:rPr>
                <w:noProof/>
              </w:rPr>
              <w:t>7.9</w:t>
            </w:r>
          </w:p>
        </w:tc>
        <w:tc>
          <w:tcPr>
            <w:tcW w:w="1760" w:type="dxa"/>
            <w:shd w:val="clear" w:color="auto" w:fill="C4EFCE"/>
            <w:vAlign w:val="center"/>
            <w:hideMark/>
          </w:tcPr>
          <w:p w14:paraId="6466928F" w14:textId="77777777" w:rsidR="00154AD2" w:rsidRDefault="007F6BF3">
            <w:pPr>
              <w:pStyle w:val="P68B1DB1-Normal23"/>
              <w:spacing w:after="0"/>
              <w:jc w:val="center"/>
              <w:rPr>
                <w:noProof/>
              </w:rPr>
            </w:pPr>
            <w:r>
              <w:rPr>
                <w:noProof/>
              </w:rPr>
              <w:t xml:space="preserve">RE-C07-i03 </w:t>
            </w:r>
          </w:p>
        </w:tc>
        <w:tc>
          <w:tcPr>
            <w:tcW w:w="1520" w:type="dxa"/>
            <w:shd w:val="clear" w:color="auto" w:fill="C4EFCE"/>
            <w:vAlign w:val="center"/>
            <w:hideMark/>
          </w:tcPr>
          <w:p w14:paraId="4E115C47" w14:textId="77777777" w:rsidR="00154AD2" w:rsidRDefault="007F6BF3">
            <w:pPr>
              <w:pStyle w:val="P68B1DB1-Normal23"/>
              <w:spacing w:after="0"/>
              <w:jc w:val="center"/>
              <w:rPr>
                <w:noProof/>
              </w:rPr>
            </w:pPr>
            <w:r>
              <w:rPr>
                <w:noProof/>
              </w:rPr>
              <w:t>M</w:t>
            </w:r>
          </w:p>
        </w:tc>
        <w:tc>
          <w:tcPr>
            <w:tcW w:w="5060" w:type="dxa"/>
            <w:shd w:val="clear" w:color="auto" w:fill="C4EFCE"/>
            <w:vAlign w:val="center"/>
            <w:hideMark/>
          </w:tcPr>
          <w:p w14:paraId="0B0DF1F4" w14:textId="77777777" w:rsidR="00154AD2" w:rsidRDefault="007F6BF3">
            <w:pPr>
              <w:pStyle w:val="P68B1DB1-Normal23"/>
              <w:spacing w:after="0"/>
              <w:jc w:val="both"/>
              <w:rPr>
                <w:noProof/>
              </w:rPr>
            </w:pPr>
            <w:r>
              <w:rPr>
                <w:noProof/>
              </w:rPr>
              <w:t>Ολοκλήρωση της πρώτης εκτίμησης περιβαλλοντικών επιπτώσεων</w:t>
            </w:r>
          </w:p>
        </w:tc>
      </w:tr>
      <w:tr w:rsidR="00154AD2" w14:paraId="652BE136" w14:textId="77777777">
        <w:trPr>
          <w:trHeight w:val="440"/>
        </w:trPr>
        <w:tc>
          <w:tcPr>
            <w:tcW w:w="1200" w:type="dxa"/>
            <w:shd w:val="clear" w:color="auto" w:fill="C4EFCE"/>
            <w:vAlign w:val="center"/>
            <w:hideMark/>
          </w:tcPr>
          <w:p w14:paraId="13A380F0" w14:textId="77777777" w:rsidR="00154AD2" w:rsidRDefault="007F6BF3">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02962246" w14:textId="77777777" w:rsidR="00154AD2" w:rsidRDefault="007F6BF3">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54AD9BEA" w14:textId="77777777" w:rsidR="00154AD2" w:rsidRDefault="007F6BF3">
            <w:pPr>
              <w:pStyle w:val="P68B1DB1-Normal24"/>
              <w:spacing w:after="0" w:line="240" w:lineRule="auto"/>
              <w:jc w:val="center"/>
              <w:rPr>
                <w:rFonts w:eastAsia="Times New Roman" w:cs="Calibri"/>
                <w:noProof/>
              </w:rPr>
            </w:pPr>
            <w:r>
              <w:rPr>
                <w:noProof/>
              </w:rPr>
              <w:t>Ποσό δόσης</w:t>
            </w:r>
          </w:p>
        </w:tc>
        <w:tc>
          <w:tcPr>
            <w:tcW w:w="5060" w:type="dxa"/>
            <w:shd w:val="clear" w:color="auto" w:fill="C4EFCE"/>
            <w:vAlign w:val="center"/>
            <w:hideMark/>
          </w:tcPr>
          <w:p w14:paraId="23433A9A" w14:textId="7B7D6100" w:rsidR="00154AD2" w:rsidRDefault="007F6BF3">
            <w:pPr>
              <w:pStyle w:val="P68B1DB1-Normal25"/>
              <w:spacing w:after="0" w:line="240" w:lineRule="auto"/>
              <w:jc w:val="center"/>
              <w:rPr>
                <w:rFonts w:cs="Calibri"/>
                <w:noProof/>
              </w:rPr>
            </w:pPr>
            <w:r>
              <w:rPr>
                <w:noProof/>
              </w:rPr>
              <w:t xml:space="preserve"> 379 431 726 EUR</w:t>
            </w:r>
          </w:p>
        </w:tc>
      </w:tr>
    </w:tbl>
    <w:p w14:paraId="5F6BC874"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44F6034D"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2CE96FCC" w14:textId="77777777" w:rsidR="00154AD2" w:rsidRDefault="007F6BF3">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Τέταρτη αίτηση πληρωμής (δανειακή στήριξη): </w:t>
      </w:r>
    </w:p>
    <w:p w14:paraId="1272C240" w14:textId="77777777" w:rsidR="00154AD2" w:rsidRDefault="00154AD2">
      <w:pPr>
        <w:keepNext/>
        <w:spacing w:before="40" w:after="0" w:line="259" w:lineRule="auto"/>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1750"/>
        <w:gridCol w:w="1670"/>
        <w:gridCol w:w="4931"/>
      </w:tblGrid>
      <w:tr w:rsidR="00154AD2" w14:paraId="238EAFDB" w14:textId="77777777">
        <w:trPr>
          <w:trHeight w:val="1018"/>
        </w:trPr>
        <w:tc>
          <w:tcPr>
            <w:tcW w:w="1200" w:type="dxa"/>
            <w:shd w:val="clear" w:color="auto" w:fill="BDD7EE"/>
            <w:vAlign w:val="center"/>
            <w:hideMark/>
          </w:tcPr>
          <w:p w14:paraId="5792BC42" w14:textId="77777777" w:rsidR="00154AD2" w:rsidRDefault="007F6BF3">
            <w:pPr>
              <w:pStyle w:val="P68B1DB1-Normal22"/>
              <w:spacing w:after="0" w:line="240" w:lineRule="auto"/>
              <w:jc w:val="center"/>
              <w:rPr>
                <w:rFonts w:eastAsia="Times New Roman" w:cs="Times New Roman"/>
                <w:noProof/>
              </w:rPr>
            </w:pPr>
            <w:r>
              <w:rPr>
                <w:noProof/>
              </w:rPr>
              <w:t>Αύξων αριθμός</w:t>
            </w:r>
          </w:p>
        </w:tc>
        <w:tc>
          <w:tcPr>
            <w:tcW w:w="1760" w:type="dxa"/>
            <w:shd w:val="clear" w:color="auto" w:fill="BDD7EE"/>
            <w:vAlign w:val="center"/>
            <w:hideMark/>
          </w:tcPr>
          <w:p w14:paraId="334D13DB" w14:textId="77777777" w:rsidR="00154AD2" w:rsidRDefault="007F6BF3">
            <w:pPr>
              <w:pStyle w:val="P68B1DB1-Normal22"/>
              <w:spacing w:after="0" w:line="240" w:lineRule="auto"/>
              <w:jc w:val="center"/>
              <w:rPr>
                <w:rFonts w:eastAsia="Times New Roman" w:cs="Times New Roman"/>
                <w:noProof/>
              </w:rPr>
            </w:pPr>
            <w:r>
              <w:rPr>
                <w:noProof/>
              </w:rPr>
              <w:t>Σχετικό μέτρο (μεταρρύθμιση ή επένδυση)</w:t>
            </w:r>
          </w:p>
        </w:tc>
        <w:tc>
          <w:tcPr>
            <w:tcW w:w="1520" w:type="dxa"/>
            <w:shd w:val="clear" w:color="auto" w:fill="BDD7EE"/>
            <w:vAlign w:val="center"/>
            <w:hideMark/>
          </w:tcPr>
          <w:p w14:paraId="2EFF9745" w14:textId="77777777" w:rsidR="00154AD2" w:rsidRDefault="007F6BF3">
            <w:pPr>
              <w:pStyle w:val="P68B1DB1-Normal22"/>
              <w:spacing w:after="0" w:line="240" w:lineRule="auto"/>
              <w:jc w:val="center"/>
              <w:rPr>
                <w:rFonts w:eastAsia="Times New Roman" w:cs="Times New Roman"/>
                <w:noProof/>
              </w:rPr>
            </w:pPr>
            <w:r>
              <w:rPr>
                <w:noProof/>
              </w:rPr>
              <w:t>Ορόσημο/Στόχος</w:t>
            </w:r>
          </w:p>
        </w:tc>
        <w:tc>
          <w:tcPr>
            <w:tcW w:w="5060" w:type="dxa"/>
            <w:shd w:val="clear" w:color="auto" w:fill="BDD7EE"/>
            <w:vAlign w:val="center"/>
            <w:hideMark/>
          </w:tcPr>
          <w:p w14:paraId="1E5AFC53" w14:textId="77777777" w:rsidR="00154AD2" w:rsidRDefault="007F6BF3">
            <w:pPr>
              <w:pStyle w:val="P68B1DB1-Normal22"/>
              <w:spacing w:after="0" w:line="240" w:lineRule="auto"/>
              <w:jc w:val="center"/>
              <w:rPr>
                <w:rFonts w:eastAsia="Times New Roman" w:cs="Times New Roman"/>
                <w:noProof/>
              </w:rPr>
            </w:pPr>
            <w:r>
              <w:rPr>
                <w:noProof/>
              </w:rPr>
              <w:t>Όνομα</w:t>
            </w:r>
          </w:p>
        </w:tc>
      </w:tr>
      <w:tr w:rsidR="00154AD2" w14:paraId="2B0F91C7" w14:textId="77777777">
        <w:trPr>
          <w:trHeight w:val="440"/>
        </w:trPr>
        <w:tc>
          <w:tcPr>
            <w:tcW w:w="1200" w:type="dxa"/>
            <w:shd w:val="clear" w:color="auto" w:fill="C4EFCE"/>
            <w:vAlign w:val="center"/>
            <w:hideMark/>
          </w:tcPr>
          <w:p w14:paraId="33FD24C6" w14:textId="77777777" w:rsidR="00154AD2" w:rsidRDefault="007F6BF3">
            <w:pPr>
              <w:pStyle w:val="P68B1DB1-Normal23"/>
              <w:spacing w:after="0"/>
              <w:jc w:val="center"/>
              <w:rPr>
                <w:rFonts w:eastAsia="Calibri" w:cs="Calibri"/>
                <w:noProof/>
              </w:rPr>
            </w:pPr>
            <w:r>
              <w:rPr>
                <w:noProof/>
              </w:rPr>
              <w:t>5.44</w:t>
            </w:r>
          </w:p>
        </w:tc>
        <w:tc>
          <w:tcPr>
            <w:tcW w:w="1760" w:type="dxa"/>
            <w:shd w:val="clear" w:color="auto" w:fill="C4EFCE"/>
            <w:vAlign w:val="center"/>
            <w:hideMark/>
          </w:tcPr>
          <w:p w14:paraId="11788CF6" w14:textId="77777777" w:rsidR="00154AD2" w:rsidRDefault="007F6BF3">
            <w:pPr>
              <w:pStyle w:val="P68B1DB1-Normal23"/>
              <w:spacing w:after="0"/>
              <w:jc w:val="center"/>
              <w:rPr>
                <w:rFonts w:eastAsia="Calibri" w:cs="Calibri"/>
                <w:noProof/>
              </w:rPr>
            </w:pPr>
            <w:r>
              <w:rPr>
                <w:noProof/>
              </w:rPr>
              <w:t xml:space="preserve">RE-C05-i11 </w:t>
            </w:r>
          </w:p>
        </w:tc>
        <w:tc>
          <w:tcPr>
            <w:tcW w:w="1520" w:type="dxa"/>
            <w:shd w:val="clear" w:color="auto" w:fill="C4EFCE"/>
            <w:vAlign w:val="center"/>
            <w:hideMark/>
          </w:tcPr>
          <w:p w14:paraId="58C4625A"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00FDFE40" w14:textId="77777777" w:rsidR="00154AD2" w:rsidRDefault="007F6BF3">
            <w:pPr>
              <w:pStyle w:val="P68B1DB1-Normal23"/>
              <w:spacing w:after="0"/>
              <w:jc w:val="both"/>
              <w:rPr>
                <w:rFonts w:eastAsia="Calibri" w:cs="Calibri"/>
                <w:noProof/>
              </w:rPr>
            </w:pPr>
            <w:r>
              <w:rPr>
                <w:noProof/>
              </w:rPr>
              <w:t>Σύναψη συμβάσεων για την ανάπτυξη νέων προϊόντων, διαδικασιών ή υπηρεσιών σε σχετικούς στρατηγικούς τομείς (θεματολόγια καινοτομίας).</w:t>
            </w:r>
          </w:p>
        </w:tc>
      </w:tr>
      <w:tr w:rsidR="00154AD2" w14:paraId="7151D914" w14:textId="77777777">
        <w:trPr>
          <w:trHeight w:val="440"/>
        </w:trPr>
        <w:tc>
          <w:tcPr>
            <w:tcW w:w="1200" w:type="dxa"/>
            <w:shd w:val="clear" w:color="auto" w:fill="C4EFCE"/>
            <w:vAlign w:val="center"/>
            <w:hideMark/>
          </w:tcPr>
          <w:p w14:paraId="0F583F70" w14:textId="77777777" w:rsidR="00154AD2" w:rsidRDefault="007F6BF3">
            <w:pPr>
              <w:pStyle w:val="P68B1DB1-Normal23"/>
              <w:spacing w:after="0"/>
              <w:jc w:val="center"/>
              <w:rPr>
                <w:rFonts w:eastAsia="Calibri" w:cs="Calibri"/>
                <w:noProof/>
              </w:rPr>
            </w:pPr>
            <w:r>
              <w:rPr>
                <w:noProof/>
              </w:rPr>
              <w:t>7.11</w:t>
            </w:r>
          </w:p>
        </w:tc>
        <w:tc>
          <w:tcPr>
            <w:tcW w:w="1760" w:type="dxa"/>
            <w:shd w:val="clear" w:color="auto" w:fill="C4EFCE"/>
            <w:vAlign w:val="center"/>
            <w:hideMark/>
          </w:tcPr>
          <w:p w14:paraId="478656E2" w14:textId="77777777" w:rsidR="00154AD2" w:rsidRDefault="007F6BF3">
            <w:pPr>
              <w:pStyle w:val="P68B1DB1-Normal23"/>
              <w:spacing w:after="0"/>
              <w:jc w:val="center"/>
              <w:rPr>
                <w:rFonts w:eastAsia="Calibri" w:cs="Calibri"/>
                <w:noProof/>
              </w:rPr>
            </w:pPr>
            <w:r>
              <w:rPr>
                <w:noProof/>
              </w:rPr>
              <w:t xml:space="preserve">RE-C07-i04  </w:t>
            </w:r>
          </w:p>
        </w:tc>
        <w:tc>
          <w:tcPr>
            <w:tcW w:w="1520" w:type="dxa"/>
            <w:shd w:val="clear" w:color="auto" w:fill="C4EFCE"/>
            <w:vAlign w:val="center"/>
            <w:hideMark/>
          </w:tcPr>
          <w:p w14:paraId="07BFFE39"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6B8891E4" w14:textId="77777777" w:rsidR="00154AD2" w:rsidRDefault="007F6BF3">
            <w:pPr>
              <w:pStyle w:val="P68B1DB1-Normal23"/>
              <w:spacing w:after="0"/>
              <w:jc w:val="both"/>
              <w:rPr>
                <w:rFonts w:eastAsia="Calibri" w:cs="Calibri"/>
                <w:noProof/>
              </w:rPr>
            </w:pPr>
            <w:r>
              <w:rPr>
                <w:noProof/>
              </w:rPr>
              <w:t>Υπογραφή σύμβασης για 10 έργα οδοποιίας</w:t>
            </w:r>
          </w:p>
        </w:tc>
      </w:tr>
      <w:tr w:rsidR="00154AD2" w14:paraId="2C020E91" w14:textId="77777777">
        <w:trPr>
          <w:trHeight w:val="440"/>
        </w:trPr>
        <w:tc>
          <w:tcPr>
            <w:tcW w:w="1200" w:type="dxa"/>
            <w:shd w:val="clear" w:color="auto" w:fill="C4EFCE"/>
            <w:vAlign w:val="center"/>
            <w:hideMark/>
          </w:tcPr>
          <w:p w14:paraId="6C01BAD7" w14:textId="77777777" w:rsidR="00154AD2" w:rsidRDefault="007F6BF3">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1969BD93" w14:textId="77777777" w:rsidR="00154AD2" w:rsidRDefault="007F6BF3">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089A606F" w14:textId="77777777" w:rsidR="00154AD2" w:rsidRDefault="007F6BF3">
            <w:pPr>
              <w:pStyle w:val="P68B1DB1-Normal24"/>
              <w:spacing w:after="0" w:line="240" w:lineRule="auto"/>
              <w:jc w:val="center"/>
              <w:rPr>
                <w:rFonts w:eastAsia="Times New Roman" w:cs="Calibri"/>
                <w:noProof/>
              </w:rPr>
            </w:pPr>
            <w:r>
              <w:rPr>
                <w:noProof/>
              </w:rPr>
              <w:t>Ποσό δόσης</w:t>
            </w:r>
          </w:p>
        </w:tc>
        <w:tc>
          <w:tcPr>
            <w:tcW w:w="5060" w:type="dxa"/>
            <w:shd w:val="clear" w:color="auto" w:fill="C4EFCE"/>
            <w:vAlign w:val="center"/>
            <w:hideMark/>
          </w:tcPr>
          <w:p w14:paraId="2572465C" w14:textId="22F74E77" w:rsidR="00154AD2" w:rsidRDefault="007F6BF3">
            <w:pPr>
              <w:pStyle w:val="P68B1DB1-Normal25"/>
              <w:spacing w:after="0" w:line="240" w:lineRule="auto"/>
              <w:jc w:val="center"/>
              <w:rPr>
                <w:rFonts w:cs="Calibri"/>
                <w:noProof/>
              </w:rPr>
            </w:pPr>
            <w:r>
              <w:rPr>
                <w:noProof/>
              </w:rPr>
              <w:t xml:space="preserve">235 337 423 EUR </w:t>
            </w:r>
          </w:p>
        </w:tc>
      </w:tr>
    </w:tbl>
    <w:p w14:paraId="1848AD6B" w14:textId="77777777" w:rsidR="00154AD2" w:rsidRDefault="007F6BF3">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Πέμπτη αίτηση πληρωμής (δανειακή στήριξη): </w:t>
      </w:r>
    </w:p>
    <w:p w14:paraId="3731A29C" w14:textId="77777777" w:rsidR="00154AD2" w:rsidRDefault="00154AD2">
      <w:pPr>
        <w:keepNext/>
        <w:spacing w:before="40" w:after="0" w:line="259" w:lineRule="auto"/>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750"/>
        <w:gridCol w:w="1670"/>
        <w:gridCol w:w="4932"/>
      </w:tblGrid>
      <w:tr w:rsidR="00154AD2" w14:paraId="0A22D6D8" w14:textId="77777777">
        <w:trPr>
          <w:trHeight w:val="509"/>
        </w:trPr>
        <w:tc>
          <w:tcPr>
            <w:tcW w:w="1200" w:type="dxa"/>
            <w:vMerge w:val="restart"/>
            <w:shd w:val="clear" w:color="auto" w:fill="BDD7EE"/>
            <w:vAlign w:val="center"/>
            <w:hideMark/>
          </w:tcPr>
          <w:p w14:paraId="0638121E" w14:textId="77777777" w:rsidR="00154AD2" w:rsidRDefault="007F6BF3">
            <w:pPr>
              <w:pStyle w:val="P68B1DB1-Normal22"/>
              <w:spacing w:after="0" w:line="240" w:lineRule="auto"/>
              <w:jc w:val="center"/>
              <w:rPr>
                <w:rFonts w:eastAsia="Times New Roman" w:cs="Times New Roman"/>
                <w:noProof/>
              </w:rPr>
            </w:pPr>
            <w:r>
              <w:rPr>
                <w:noProof/>
              </w:rPr>
              <w:t>Αύξων αριθμός</w:t>
            </w:r>
          </w:p>
        </w:tc>
        <w:tc>
          <w:tcPr>
            <w:tcW w:w="1760" w:type="dxa"/>
            <w:vMerge w:val="restart"/>
            <w:shd w:val="clear" w:color="auto" w:fill="BDD7EE"/>
            <w:vAlign w:val="center"/>
            <w:hideMark/>
          </w:tcPr>
          <w:p w14:paraId="301BBB67" w14:textId="77777777" w:rsidR="00154AD2" w:rsidRDefault="007F6BF3">
            <w:pPr>
              <w:pStyle w:val="P68B1DB1-Normal22"/>
              <w:spacing w:after="0" w:line="240" w:lineRule="auto"/>
              <w:jc w:val="center"/>
              <w:rPr>
                <w:rFonts w:eastAsia="Times New Roman" w:cs="Times New Roman"/>
                <w:noProof/>
              </w:rPr>
            </w:pPr>
            <w:r>
              <w:rPr>
                <w:noProof/>
              </w:rPr>
              <w:t>Σχετικό μέτρο (μεταρρύθμιση ή επένδυση)</w:t>
            </w:r>
          </w:p>
        </w:tc>
        <w:tc>
          <w:tcPr>
            <w:tcW w:w="1520" w:type="dxa"/>
            <w:vMerge w:val="restart"/>
            <w:shd w:val="clear" w:color="auto" w:fill="BDD7EE"/>
            <w:vAlign w:val="center"/>
            <w:hideMark/>
          </w:tcPr>
          <w:p w14:paraId="32F1223B" w14:textId="77777777" w:rsidR="00154AD2" w:rsidRDefault="007F6BF3">
            <w:pPr>
              <w:pStyle w:val="P68B1DB1-Normal22"/>
              <w:spacing w:after="0" w:line="240" w:lineRule="auto"/>
              <w:jc w:val="center"/>
              <w:rPr>
                <w:rFonts w:eastAsia="Times New Roman" w:cs="Times New Roman"/>
                <w:noProof/>
              </w:rPr>
            </w:pPr>
            <w:r>
              <w:rPr>
                <w:noProof/>
              </w:rPr>
              <w:t>Ορόσημο/Στόχος</w:t>
            </w:r>
          </w:p>
        </w:tc>
        <w:tc>
          <w:tcPr>
            <w:tcW w:w="5060" w:type="dxa"/>
            <w:vMerge w:val="restart"/>
            <w:shd w:val="clear" w:color="auto" w:fill="BDD7EE"/>
            <w:vAlign w:val="center"/>
            <w:hideMark/>
          </w:tcPr>
          <w:p w14:paraId="67BAF3AB" w14:textId="77777777" w:rsidR="00154AD2" w:rsidRDefault="007F6BF3">
            <w:pPr>
              <w:pStyle w:val="P68B1DB1-Normal22"/>
              <w:spacing w:after="0" w:line="240" w:lineRule="auto"/>
              <w:jc w:val="center"/>
              <w:rPr>
                <w:rFonts w:eastAsia="Times New Roman" w:cs="Times New Roman"/>
                <w:noProof/>
              </w:rPr>
            </w:pPr>
            <w:r>
              <w:rPr>
                <w:noProof/>
              </w:rPr>
              <w:t>Όνομα</w:t>
            </w:r>
          </w:p>
        </w:tc>
      </w:tr>
      <w:tr w:rsidR="00154AD2" w14:paraId="655C06D0" w14:textId="77777777">
        <w:trPr>
          <w:trHeight w:val="509"/>
        </w:trPr>
        <w:tc>
          <w:tcPr>
            <w:tcW w:w="1200" w:type="dxa"/>
            <w:vMerge/>
            <w:vAlign w:val="center"/>
            <w:hideMark/>
          </w:tcPr>
          <w:p w14:paraId="7598C946" w14:textId="77777777" w:rsidR="00154AD2" w:rsidRDefault="00154AD2">
            <w:pPr>
              <w:spacing w:after="0" w:line="240" w:lineRule="auto"/>
              <w:rPr>
                <w:rFonts w:ascii="Times New Roman" w:eastAsia="Times New Roman" w:hAnsi="Times New Roman" w:cs="Times New Roman"/>
                <w:noProof/>
                <w:sz w:val="20"/>
              </w:rPr>
            </w:pPr>
          </w:p>
        </w:tc>
        <w:tc>
          <w:tcPr>
            <w:tcW w:w="1760" w:type="dxa"/>
            <w:vMerge/>
            <w:vAlign w:val="center"/>
            <w:hideMark/>
          </w:tcPr>
          <w:p w14:paraId="016E741A" w14:textId="77777777" w:rsidR="00154AD2" w:rsidRDefault="00154AD2">
            <w:pPr>
              <w:spacing w:after="0" w:line="240" w:lineRule="auto"/>
              <w:rPr>
                <w:rFonts w:ascii="Times New Roman" w:eastAsia="Times New Roman" w:hAnsi="Times New Roman" w:cs="Times New Roman"/>
                <w:noProof/>
                <w:sz w:val="20"/>
              </w:rPr>
            </w:pPr>
          </w:p>
        </w:tc>
        <w:tc>
          <w:tcPr>
            <w:tcW w:w="1520" w:type="dxa"/>
            <w:vMerge/>
            <w:vAlign w:val="center"/>
            <w:hideMark/>
          </w:tcPr>
          <w:p w14:paraId="0568ABB1" w14:textId="77777777" w:rsidR="00154AD2" w:rsidRDefault="00154AD2">
            <w:pPr>
              <w:spacing w:after="0" w:line="240" w:lineRule="auto"/>
              <w:rPr>
                <w:rFonts w:ascii="Times New Roman" w:eastAsia="Times New Roman" w:hAnsi="Times New Roman" w:cs="Times New Roman"/>
                <w:noProof/>
                <w:sz w:val="20"/>
              </w:rPr>
            </w:pPr>
          </w:p>
        </w:tc>
        <w:tc>
          <w:tcPr>
            <w:tcW w:w="5060" w:type="dxa"/>
            <w:vMerge/>
            <w:vAlign w:val="center"/>
            <w:hideMark/>
          </w:tcPr>
          <w:p w14:paraId="1B8F5928" w14:textId="77777777" w:rsidR="00154AD2" w:rsidRDefault="00154AD2">
            <w:pPr>
              <w:spacing w:after="0" w:line="240" w:lineRule="auto"/>
              <w:rPr>
                <w:rFonts w:ascii="Times New Roman" w:eastAsia="Times New Roman" w:hAnsi="Times New Roman" w:cs="Times New Roman"/>
                <w:noProof/>
                <w:sz w:val="20"/>
              </w:rPr>
            </w:pPr>
          </w:p>
        </w:tc>
      </w:tr>
      <w:tr w:rsidR="00154AD2" w14:paraId="31A58DED" w14:textId="77777777">
        <w:trPr>
          <w:trHeight w:val="440"/>
        </w:trPr>
        <w:tc>
          <w:tcPr>
            <w:tcW w:w="1200" w:type="dxa"/>
            <w:shd w:val="clear" w:color="auto" w:fill="C4EFCE"/>
            <w:vAlign w:val="center"/>
            <w:hideMark/>
          </w:tcPr>
          <w:p w14:paraId="167E4BB8" w14:textId="77777777" w:rsidR="00154AD2" w:rsidRDefault="007F6BF3">
            <w:pPr>
              <w:pStyle w:val="P68B1DB1-Normal23"/>
              <w:spacing w:after="0"/>
              <w:jc w:val="center"/>
              <w:rPr>
                <w:rFonts w:eastAsia="Calibri" w:cs="Calibri"/>
                <w:noProof/>
              </w:rPr>
            </w:pPr>
            <w:r>
              <w:rPr>
                <w:noProof/>
              </w:rPr>
              <w:t>5.26</w:t>
            </w:r>
          </w:p>
        </w:tc>
        <w:tc>
          <w:tcPr>
            <w:tcW w:w="1760" w:type="dxa"/>
            <w:shd w:val="clear" w:color="auto" w:fill="C4EFCE"/>
            <w:vAlign w:val="center"/>
            <w:hideMark/>
          </w:tcPr>
          <w:p w14:paraId="062B8E17" w14:textId="77777777" w:rsidR="00154AD2" w:rsidRDefault="007F6BF3">
            <w:pPr>
              <w:pStyle w:val="P68B1DB1-Normal23"/>
              <w:spacing w:after="0"/>
              <w:jc w:val="center"/>
              <w:rPr>
                <w:rFonts w:eastAsia="Calibri" w:cs="Calibri"/>
                <w:noProof/>
              </w:rPr>
            </w:pPr>
            <w:r>
              <w:rPr>
                <w:noProof/>
              </w:rPr>
              <w:t>RE-C05-r13</w:t>
            </w:r>
          </w:p>
        </w:tc>
        <w:tc>
          <w:tcPr>
            <w:tcW w:w="1520" w:type="dxa"/>
            <w:shd w:val="clear" w:color="auto" w:fill="C4EFCE"/>
            <w:vAlign w:val="center"/>
            <w:hideMark/>
          </w:tcPr>
          <w:p w14:paraId="4FF6BD54"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7CA2977" w14:textId="77777777" w:rsidR="00154AD2" w:rsidRDefault="007F6BF3">
            <w:pPr>
              <w:pStyle w:val="P68B1DB1-Normal23"/>
              <w:spacing w:after="0"/>
              <w:jc w:val="both"/>
              <w:rPr>
                <w:rFonts w:eastAsia="Calibri" w:cs="Calibri"/>
                <w:noProof/>
              </w:rPr>
            </w:pPr>
            <w:r>
              <w:rPr>
                <w:noProof/>
              </w:rPr>
              <w:t>Ανάπτυξη κεφαλαιαγορών — έναρξη ισχύος της νομοθεσίας</w:t>
            </w:r>
          </w:p>
        </w:tc>
      </w:tr>
      <w:tr w:rsidR="00154AD2" w14:paraId="71DDD36A" w14:textId="77777777">
        <w:trPr>
          <w:trHeight w:val="440"/>
        </w:trPr>
        <w:tc>
          <w:tcPr>
            <w:tcW w:w="1200" w:type="dxa"/>
            <w:shd w:val="clear" w:color="auto" w:fill="C4EFCE"/>
            <w:vAlign w:val="center"/>
            <w:hideMark/>
          </w:tcPr>
          <w:p w14:paraId="374292D1" w14:textId="77777777" w:rsidR="00154AD2" w:rsidRDefault="007F6BF3">
            <w:pPr>
              <w:pStyle w:val="P68B1DB1-Normal23"/>
              <w:spacing w:after="0"/>
              <w:jc w:val="center"/>
              <w:rPr>
                <w:rFonts w:eastAsia="Calibri" w:cs="Calibri"/>
                <w:noProof/>
              </w:rPr>
            </w:pPr>
            <w:r>
              <w:rPr>
                <w:noProof/>
              </w:rPr>
              <w:t>5.43</w:t>
            </w:r>
          </w:p>
        </w:tc>
        <w:tc>
          <w:tcPr>
            <w:tcW w:w="1760" w:type="dxa"/>
            <w:shd w:val="clear" w:color="auto" w:fill="C4EFCE"/>
            <w:vAlign w:val="center"/>
            <w:hideMark/>
          </w:tcPr>
          <w:p w14:paraId="10072DFA" w14:textId="77777777" w:rsidR="00154AD2" w:rsidRDefault="007F6BF3">
            <w:pPr>
              <w:pStyle w:val="P68B1DB1-Normal23"/>
              <w:spacing w:after="0"/>
              <w:jc w:val="center"/>
              <w:rPr>
                <w:rFonts w:eastAsia="Calibri" w:cs="Calibri"/>
                <w:noProof/>
              </w:rPr>
            </w:pPr>
            <w:r>
              <w:rPr>
                <w:noProof/>
              </w:rPr>
              <w:t>RE-C05-i06</w:t>
            </w:r>
          </w:p>
        </w:tc>
        <w:tc>
          <w:tcPr>
            <w:tcW w:w="1520" w:type="dxa"/>
            <w:shd w:val="clear" w:color="auto" w:fill="C4EFCE"/>
            <w:vAlign w:val="center"/>
            <w:hideMark/>
          </w:tcPr>
          <w:p w14:paraId="7E7B7F52"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62D07322" w14:textId="77777777" w:rsidR="00154AD2" w:rsidRDefault="007F6BF3">
            <w:pPr>
              <w:pStyle w:val="P68B1DB1-Normal23"/>
              <w:spacing w:after="0"/>
              <w:jc w:val="both"/>
              <w:rPr>
                <w:rFonts w:eastAsia="Calibri" w:cs="Calibri"/>
                <w:noProof/>
              </w:rPr>
            </w:pPr>
            <w:r>
              <w:rPr>
                <w:noProof/>
              </w:rPr>
              <w:t>Παράδοση από το μέσο κεφαλαιοποίησης συνολικού ποσού 650 000 000 EUR σε πορτογαλικές μη χρηματοπιστωτικές εταιρείες υπό μορφή ιδίων κεφαλαίων και οιονεί ιδίων κεφαλαίων, σύμφωνα με την επενδυτική πολιτική της</w:t>
            </w:r>
          </w:p>
        </w:tc>
      </w:tr>
      <w:tr w:rsidR="00154AD2" w14:paraId="67BDDC9F" w14:textId="77777777">
        <w:trPr>
          <w:trHeight w:val="440"/>
        </w:trPr>
        <w:tc>
          <w:tcPr>
            <w:tcW w:w="1200" w:type="dxa"/>
            <w:shd w:val="clear" w:color="auto" w:fill="C4EFCE"/>
            <w:vAlign w:val="center"/>
            <w:hideMark/>
          </w:tcPr>
          <w:p w14:paraId="66047135" w14:textId="77777777" w:rsidR="00154AD2" w:rsidRDefault="007F6BF3">
            <w:pPr>
              <w:pStyle w:val="P68B1DB1-Normal23"/>
              <w:spacing w:after="0"/>
              <w:jc w:val="center"/>
              <w:rPr>
                <w:rFonts w:eastAsia="Calibri" w:cs="Calibri"/>
                <w:noProof/>
              </w:rPr>
            </w:pPr>
            <w:r>
              <w:rPr>
                <w:noProof/>
              </w:rPr>
              <w:t>5.46</w:t>
            </w:r>
          </w:p>
        </w:tc>
        <w:tc>
          <w:tcPr>
            <w:tcW w:w="1760" w:type="dxa"/>
            <w:shd w:val="clear" w:color="auto" w:fill="C4EFCE"/>
            <w:vAlign w:val="center"/>
            <w:hideMark/>
          </w:tcPr>
          <w:p w14:paraId="5377E714" w14:textId="0B051042" w:rsidR="00154AD2" w:rsidRDefault="007F6BF3">
            <w:pPr>
              <w:pStyle w:val="P68B1DB1-Normal23"/>
              <w:spacing w:after="0"/>
              <w:jc w:val="center"/>
              <w:rPr>
                <w:rFonts w:eastAsia="Calibri" w:cs="Calibri"/>
                <w:noProof/>
              </w:rPr>
            </w:pPr>
            <w:r>
              <w:rPr>
                <w:noProof/>
              </w:rPr>
              <w:t>RE-C05-i12</w:t>
            </w:r>
          </w:p>
        </w:tc>
        <w:tc>
          <w:tcPr>
            <w:tcW w:w="1520" w:type="dxa"/>
            <w:shd w:val="clear" w:color="auto" w:fill="C4EFCE"/>
            <w:vAlign w:val="center"/>
            <w:hideMark/>
          </w:tcPr>
          <w:p w14:paraId="39E8C887"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261A9DA" w14:textId="77777777" w:rsidR="00154AD2" w:rsidRDefault="007F6BF3">
            <w:pPr>
              <w:pStyle w:val="P68B1DB1-Normal23"/>
              <w:spacing w:after="0"/>
              <w:jc w:val="both"/>
              <w:rPr>
                <w:rFonts w:eastAsia="Calibri" w:cs="Calibri"/>
                <w:noProof/>
              </w:rPr>
            </w:pPr>
            <w:r>
              <w:rPr>
                <w:noProof/>
              </w:rPr>
              <w:t>Σύναψη συμβάσεων για την ανάπτυξη νέων προϊόντων, διαδικασιών ή υπηρεσιών σε στρατηγικούς τομείς που σχετίζονται με την οικονομία χαμηλών ανθρακούχων εκπομπών, την ανθεκτικότητα και την προσαρμογή στην κλιματική αλλαγή.</w:t>
            </w:r>
          </w:p>
        </w:tc>
      </w:tr>
      <w:tr w:rsidR="00154AD2" w14:paraId="783646DD" w14:textId="77777777">
        <w:trPr>
          <w:trHeight w:val="440"/>
        </w:trPr>
        <w:tc>
          <w:tcPr>
            <w:tcW w:w="1200" w:type="dxa"/>
            <w:shd w:val="clear" w:color="auto" w:fill="C4EFCE"/>
            <w:vAlign w:val="center"/>
            <w:hideMark/>
          </w:tcPr>
          <w:p w14:paraId="79C5A416" w14:textId="77777777" w:rsidR="00154AD2" w:rsidRDefault="007F6BF3">
            <w:pPr>
              <w:pStyle w:val="P68B1DB1-Normal23"/>
              <w:spacing w:after="0"/>
              <w:jc w:val="center"/>
              <w:rPr>
                <w:rFonts w:eastAsia="Calibri" w:cs="Calibri"/>
                <w:noProof/>
              </w:rPr>
            </w:pPr>
            <w:r>
              <w:rPr>
                <w:noProof/>
              </w:rPr>
              <w:t>9.10</w:t>
            </w:r>
          </w:p>
        </w:tc>
        <w:tc>
          <w:tcPr>
            <w:tcW w:w="1760" w:type="dxa"/>
            <w:shd w:val="clear" w:color="auto" w:fill="C4EFCE"/>
            <w:vAlign w:val="center"/>
            <w:hideMark/>
          </w:tcPr>
          <w:p w14:paraId="2E34E883" w14:textId="77777777" w:rsidR="00154AD2" w:rsidRDefault="007F6BF3">
            <w:pPr>
              <w:pStyle w:val="P68B1DB1-Normal23"/>
              <w:spacing w:after="0"/>
              <w:jc w:val="center"/>
              <w:rPr>
                <w:rFonts w:eastAsia="Calibri" w:cs="Calibri"/>
                <w:noProof/>
              </w:rPr>
            </w:pPr>
            <w:r>
              <w:rPr>
                <w:noProof/>
              </w:rPr>
              <w:t>RE-C09-i02</w:t>
            </w:r>
          </w:p>
        </w:tc>
        <w:tc>
          <w:tcPr>
            <w:tcW w:w="1520" w:type="dxa"/>
            <w:shd w:val="clear" w:color="auto" w:fill="C4EFCE"/>
            <w:vAlign w:val="center"/>
            <w:hideMark/>
          </w:tcPr>
          <w:p w14:paraId="3EC8C1A2"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36B927BD" w14:textId="77777777" w:rsidR="00154AD2" w:rsidRDefault="007F6BF3">
            <w:pPr>
              <w:pStyle w:val="P68B1DB1-Normal23"/>
              <w:spacing w:after="0"/>
              <w:jc w:val="both"/>
              <w:rPr>
                <w:rFonts w:eastAsia="Calibri" w:cs="Calibri"/>
                <w:noProof/>
              </w:rPr>
            </w:pPr>
            <w:r>
              <w:rPr>
                <w:noProof/>
              </w:rPr>
              <w:t>Υπό την προϋπόθεση θετικής εκτίμησης περιβαλλοντικών επιπτώσεων που να έχει συμμορφωθεί πλήρως και ουσιαστικά με τα νομικά κριτήρια, έγκριση επικαιροποιημένου σχεδιασμού του φράγματος, υδροηλεκτρικής και ηλιακής παραγωγής και άρδευσης, με πλήρη ενσωμάτωση όλων των αποτελεσμάτων και όρων της ΕΠΕ</w:t>
            </w:r>
          </w:p>
        </w:tc>
      </w:tr>
      <w:tr w:rsidR="00154AD2" w14:paraId="4044B104" w14:textId="77777777">
        <w:trPr>
          <w:trHeight w:val="440"/>
        </w:trPr>
        <w:tc>
          <w:tcPr>
            <w:tcW w:w="1200" w:type="dxa"/>
            <w:shd w:val="clear" w:color="auto" w:fill="C4EFCE"/>
            <w:vAlign w:val="center"/>
            <w:hideMark/>
          </w:tcPr>
          <w:p w14:paraId="554977E2" w14:textId="77777777" w:rsidR="00154AD2" w:rsidRDefault="007F6BF3">
            <w:pPr>
              <w:pStyle w:val="P68B1DB1-Normal23"/>
              <w:spacing w:after="0"/>
              <w:jc w:val="center"/>
              <w:rPr>
                <w:rFonts w:eastAsia="Calibri" w:cs="Calibri"/>
                <w:noProof/>
              </w:rPr>
            </w:pPr>
            <w:r>
              <w:rPr>
                <w:noProof/>
              </w:rPr>
              <w:t>10.5</w:t>
            </w:r>
          </w:p>
        </w:tc>
        <w:tc>
          <w:tcPr>
            <w:tcW w:w="1760" w:type="dxa"/>
            <w:shd w:val="clear" w:color="auto" w:fill="C4EFCE"/>
            <w:vAlign w:val="center"/>
            <w:hideMark/>
          </w:tcPr>
          <w:p w14:paraId="7E88ECA5" w14:textId="77777777" w:rsidR="00154AD2" w:rsidRDefault="007F6BF3">
            <w:pPr>
              <w:pStyle w:val="P68B1DB1-Normal23"/>
              <w:spacing w:after="0"/>
              <w:jc w:val="center"/>
              <w:rPr>
                <w:rFonts w:eastAsia="Calibri" w:cs="Calibri"/>
                <w:noProof/>
              </w:rPr>
            </w:pPr>
            <w:r>
              <w:rPr>
                <w:noProof/>
              </w:rPr>
              <w:t>TC-C10-I03</w:t>
            </w:r>
          </w:p>
        </w:tc>
        <w:tc>
          <w:tcPr>
            <w:tcW w:w="1520" w:type="dxa"/>
            <w:shd w:val="clear" w:color="auto" w:fill="C4EFCE"/>
            <w:vAlign w:val="center"/>
            <w:hideMark/>
          </w:tcPr>
          <w:p w14:paraId="65EB6416"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126B7A6F" w14:textId="77777777" w:rsidR="00154AD2" w:rsidRDefault="007F6BF3">
            <w:pPr>
              <w:pStyle w:val="P68B1DB1-Normal23"/>
              <w:spacing w:after="0"/>
              <w:jc w:val="both"/>
              <w:rPr>
                <w:rFonts w:eastAsia="Calibri" w:cs="Calibri"/>
                <w:noProof/>
              </w:rPr>
            </w:pPr>
            <w:r>
              <w:rPr>
                <w:noProof/>
              </w:rPr>
              <w:t>Υπογραφή της σύμβασης για την «Πολυλειτουργική Ναυτική Πλατφόρμα» και το «Κέντρο Επιχειρήσεων»</w:t>
            </w:r>
          </w:p>
        </w:tc>
      </w:tr>
      <w:tr w:rsidR="00154AD2" w14:paraId="2B9DFF49" w14:textId="77777777">
        <w:trPr>
          <w:trHeight w:val="440"/>
        </w:trPr>
        <w:tc>
          <w:tcPr>
            <w:tcW w:w="1200" w:type="dxa"/>
            <w:shd w:val="clear" w:color="auto" w:fill="C4EFCE"/>
            <w:vAlign w:val="center"/>
            <w:hideMark/>
          </w:tcPr>
          <w:p w14:paraId="2647C53D" w14:textId="77777777" w:rsidR="00154AD2" w:rsidRDefault="007F6BF3">
            <w:pPr>
              <w:pStyle w:val="P68B1DB1-Normal23"/>
              <w:spacing w:after="0"/>
              <w:jc w:val="center"/>
              <w:rPr>
                <w:rFonts w:eastAsia="Calibri" w:cs="Calibri"/>
                <w:noProof/>
              </w:rPr>
            </w:pPr>
            <w:r>
              <w:rPr>
                <w:noProof/>
              </w:rPr>
              <w:t>10.6</w:t>
            </w:r>
          </w:p>
        </w:tc>
        <w:tc>
          <w:tcPr>
            <w:tcW w:w="1760" w:type="dxa"/>
            <w:shd w:val="clear" w:color="auto" w:fill="C4EFCE"/>
            <w:vAlign w:val="center"/>
            <w:hideMark/>
          </w:tcPr>
          <w:p w14:paraId="2A668662" w14:textId="77777777" w:rsidR="00154AD2" w:rsidRDefault="007F6BF3">
            <w:pPr>
              <w:pStyle w:val="P68B1DB1-Normal23"/>
              <w:spacing w:after="0"/>
              <w:jc w:val="center"/>
              <w:rPr>
                <w:rFonts w:eastAsia="Calibri" w:cs="Calibri"/>
                <w:noProof/>
              </w:rPr>
            </w:pPr>
            <w:r>
              <w:rPr>
                <w:noProof/>
              </w:rPr>
              <w:t>TC-C10-I03</w:t>
            </w:r>
          </w:p>
        </w:tc>
        <w:tc>
          <w:tcPr>
            <w:tcW w:w="1520" w:type="dxa"/>
            <w:shd w:val="clear" w:color="auto" w:fill="C4EFCE"/>
            <w:vAlign w:val="center"/>
            <w:hideMark/>
          </w:tcPr>
          <w:p w14:paraId="3A3E338C"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F4C4272" w14:textId="77777777" w:rsidR="00154AD2" w:rsidRDefault="007F6BF3">
            <w:pPr>
              <w:pStyle w:val="P68B1DB1-Normal23"/>
              <w:spacing w:after="0"/>
              <w:jc w:val="both"/>
              <w:rPr>
                <w:rFonts w:eastAsia="Calibri" w:cs="Calibri"/>
                <w:noProof/>
              </w:rPr>
            </w:pPr>
            <w:r>
              <w:rPr>
                <w:noProof/>
              </w:rPr>
              <w:t>Ολοκλήρωση της Ακαδημίας Αρσενικού Αλφέιτ</w:t>
            </w:r>
          </w:p>
        </w:tc>
      </w:tr>
      <w:tr w:rsidR="00154AD2" w14:paraId="6D18500A" w14:textId="77777777">
        <w:trPr>
          <w:trHeight w:val="440"/>
        </w:trPr>
        <w:tc>
          <w:tcPr>
            <w:tcW w:w="1200" w:type="dxa"/>
            <w:shd w:val="clear" w:color="auto" w:fill="C4EFCE"/>
            <w:vAlign w:val="center"/>
            <w:hideMark/>
          </w:tcPr>
          <w:p w14:paraId="67574E56" w14:textId="77777777" w:rsidR="00154AD2" w:rsidRDefault="007F6BF3">
            <w:pPr>
              <w:pStyle w:val="P68B1DB1-Normal23"/>
              <w:spacing w:after="0"/>
              <w:jc w:val="center"/>
              <w:rPr>
                <w:rFonts w:eastAsia="Calibri" w:cs="Calibri"/>
                <w:noProof/>
              </w:rPr>
            </w:pPr>
            <w:r>
              <w:rPr>
                <w:noProof/>
              </w:rPr>
              <w:t>10.17</w:t>
            </w:r>
          </w:p>
        </w:tc>
        <w:tc>
          <w:tcPr>
            <w:tcW w:w="1760" w:type="dxa"/>
            <w:shd w:val="clear" w:color="auto" w:fill="C4EFCE"/>
            <w:vAlign w:val="center"/>
            <w:hideMark/>
          </w:tcPr>
          <w:p w14:paraId="1B6529A3" w14:textId="77777777" w:rsidR="00154AD2" w:rsidRDefault="007F6BF3">
            <w:pPr>
              <w:pStyle w:val="P68B1DB1-Normal23"/>
              <w:spacing w:after="0"/>
              <w:jc w:val="center"/>
              <w:rPr>
                <w:rFonts w:eastAsia="Calibri" w:cs="Calibri"/>
                <w:noProof/>
              </w:rPr>
            </w:pPr>
            <w:r>
              <w:rPr>
                <w:noProof/>
              </w:rPr>
              <w:t>TC-C10-I07</w:t>
            </w:r>
          </w:p>
        </w:tc>
        <w:tc>
          <w:tcPr>
            <w:tcW w:w="1520" w:type="dxa"/>
            <w:shd w:val="clear" w:color="auto" w:fill="C4EFCE"/>
            <w:vAlign w:val="center"/>
            <w:hideMark/>
          </w:tcPr>
          <w:p w14:paraId="12FB1760"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5BC8A74" w14:textId="77777777" w:rsidR="00154AD2" w:rsidRDefault="007F6BF3">
            <w:pPr>
              <w:pStyle w:val="P68B1DB1-Normal23"/>
              <w:spacing w:after="0"/>
              <w:jc w:val="both"/>
              <w:rPr>
                <w:rFonts w:eastAsia="Calibri" w:cs="Calibri"/>
                <w:noProof/>
              </w:rPr>
            </w:pPr>
            <w:r>
              <w:rPr>
                <w:noProof/>
              </w:rPr>
              <w:t>Προκήρυξη διαγωνισμού για την απαλλαγή των πλοίων από τις ανθρακούχες εκπομπές</w:t>
            </w:r>
          </w:p>
        </w:tc>
      </w:tr>
      <w:tr w:rsidR="00154AD2" w14:paraId="433CADC7" w14:textId="77777777">
        <w:trPr>
          <w:trHeight w:val="440"/>
        </w:trPr>
        <w:tc>
          <w:tcPr>
            <w:tcW w:w="1200" w:type="dxa"/>
            <w:shd w:val="clear" w:color="auto" w:fill="C4EFCE"/>
            <w:vAlign w:val="center"/>
            <w:hideMark/>
          </w:tcPr>
          <w:p w14:paraId="58C38FE9" w14:textId="77777777" w:rsidR="00154AD2" w:rsidRDefault="007F6BF3">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6174B648" w14:textId="77777777" w:rsidR="00154AD2" w:rsidRDefault="007F6BF3">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5581E3C9" w14:textId="77777777" w:rsidR="00154AD2" w:rsidRDefault="007F6BF3">
            <w:pPr>
              <w:pStyle w:val="P68B1DB1-Normal24"/>
              <w:spacing w:after="0" w:line="240" w:lineRule="auto"/>
              <w:jc w:val="center"/>
              <w:rPr>
                <w:rFonts w:eastAsia="Times New Roman" w:cs="Calibri"/>
                <w:noProof/>
              </w:rPr>
            </w:pPr>
            <w:r>
              <w:rPr>
                <w:noProof/>
              </w:rPr>
              <w:t>Ποσό δόσης</w:t>
            </w:r>
          </w:p>
        </w:tc>
        <w:tc>
          <w:tcPr>
            <w:tcW w:w="5060" w:type="dxa"/>
            <w:shd w:val="clear" w:color="auto" w:fill="C4EFCE"/>
            <w:vAlign w:val="center"/>
            <w:hideMark/>
          </w:tcPr>
          <w:p w14:paraId="730C8AFB" w14:textId="36EB2DD1" w:rsidR="00154AD2" w:rsidRDefault="007F6BF3">
            <w:pPr>
              <w:pStyle w:val="P68B1DB1-Normal25"/>
              <w:spacing w:after="0" w:line="240" w:lineRule="auto"/>
              <w:jc w:val="center"/>
              <w:rPr>
                <w:rFonts w:cs="Calibri"/>
                <w:noProof/>
              </w:rPr>
            </w:pPr>
            <w:r>
              <w:rPr>
                <w:noProof/>
              </w:rPr>
              <w:t xml:space="preserve"> 1 313 054 513 EUR </w:t>
            </w:r>
          </w:p>
        </w:tc>
      </w:tr>
    </w:tbl>
    <w:p w14:paraId="776DB0E1" w14:textId="77777777" w:rsidR="00154AD2" w:rsidRDefault="007F6BF3">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Έκτο αίτημα πληρωμής (δανειακή στήριξη): </w:t>
      </w:r>
    </w:p>
    <w:p w14:paraId="4627AFE2" w14:textId="77777777" w:rsidR="00154AD2" w:rsidRDefault="00154AD2">
      <w:pPr>
        <w:keepNext/>
        <w:spacing w:before="40" w:after="0" w:line="259" w:lineRule="auto"/>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1750"/>
        <w:gridCol w:w="1670"/>
        <w:gridCol w:w="4931"/>
      </w:tblGrid>
      <w:tr w:rsidR="00154AD2" w14:paraId="472DF692" w14:textId="77777777">
        <w:trPr>
          <w:trHeight w:val="1018"/>
        </w:trPr>
        <w:tc>
          <w:tcPr>
            <w:tcW w:w="1200" w:type="dxa"/>
            <w:shd w:val="clear" w:color="auto" w:fill="BDD7EE"/>
            <w:vAlign w:val="center"/>
            <w:hideMark/>
          </w:tcPr>
          <w:p w14:paraId="7B934C96" w14:textId="77777777" w:rsidR="00154AD2" w:rsidRDefault="007F6BF3">
            <w:pPr>
              <w:pStyle w:val="P68B1DB1-Normal22"/>
              <w:spacing w:after="0" w:line="240" w:lineRule="auto"/>
              <w:jc w:val="center"/>
              <w:rPr>
                <w:rFonts w:eastAsia="Times New Roman" w:cs="Times New Roman"/>
                <w:noProof/>
              </w:rPr>
            </w:pPr>
            <w:r>
              <w:rPr>
                <w:noProof/>
              </w:rPr>
              <w:t>Αύξων αριθμός</w:t>
            </w:r>
          </w:p>
        </w:tc>
        <w:tc>
          <w:tcPr>
            <w:tcW w:w="1760" w:type="dxa"/>
            <w:shd w:val="clear" w:color="auto" w:fill="BDD7EE"/>
            <w:vAlign w:val="center"/>
            <w:hideMark/>
          </w:tcPr>
          <w:p w14:paraId="5CEE0E60" w14:textId="77777777" w:rsidR="00154AD2" w:rsidRDefault="007F6BF3">
            <w:pPr>
              <w:pStyle w:val="P68B1DB1-Normal22"/>
              <w:spacing w:after="0" w:line="240" w:lineRule="auto"/>
              <w:jc w:val="center"/>
              <w:rPr>
                <w:rFonts w:eastAsia="Times New Roman" w:cs="Times New Roman"/>
                <w:noProof/>
              </w:rPr>
            </w:pPr>
            <w:r>
              <w:rPr>
                <w:noProof/>
              </w:rPr>
              <w:t>Σχετικό μέτρο (μεταρρύθμιση ή επένδυση)</w:t>
            </w:r>
          </w:p>
        </w:tc>
        <w:tc>
          <w:tcPr>
            <w:tcW w:w="1520" w:type="dxa"/>
            <w:shd w:val="clear" w:color="auto" w:fill="BDD7EE"/>
            <w:vAlign w:val="center"/>
            <w:hideMark/>
          </w:tcPr>
          <w:p w14:paraId="33AA6AB1" w14:textId="77777777" w:rsidR="00154AD2" w:rsidRDefault="007F6BF3">
            <w:pPr>
              <w:pStyle w:val="P68B1DB1-Normal22"/>
              <w:spacing w:after="0" w:line="240" w:lineRule="auto"/>
              <w:jc w:val="center"/>
              <w:rPr>
                <w:rFonts w:eastAsia="Times New Roman" w:cs="Times New Roman"/>
                <w:noProof/>
              </w:rPr>
            </w:pPr>
            <w:r>
              <w:rPr>
                <w:noProof/>
              </w:rPr>
              <w:t>Ορόσημο/Στόχος</w:t>
            </w:r>
          </w:p>
        </w:tc>
        <w:tc>
          <w:tcPr>
            <w:tcW w:w="5060" w:type="dxa"/>
            <w:shd w:val="clear" w:color="auto" w:fill="BDD7EE"/>
            <w:vAlign w:val="center"/>
            <w:hideMark/>
          </w:tcPr>
          <w:p w14:paraId="2BCBDEC5" w14:textId="77777777" w:rsidR="00154AD2" w:rsidRDefault="007F6BF3">
            <w:pPr>
              <w:pStyle w:val="P68B1DB1-Normal22"/>
              <w:spacing w:after="0" w:line="240" w:lineRule="auto"/>
              <w:jc w:val="center"/>
              <w:rPr>
                <w:rFonts w:eastAsia="Times New Roman" w:cs="Times New Roman"/>
                <w:noProof/>
              </w:rPr>
            </w:pPr>
            <w:r>
              <w:rPr>
                <w:noProof/>
              </w:rPr>
              <w:t>Όνομα</w:t>
            </w:r>
          </w:p>
        </w:tc>
      </w:tr>
      <w:tr w:rsidR="00154AD2" w14:paraId="248D56A1" w14:textId="77777777">
        <w:trPr>
          <w:trHeight w:val="440"/>
        </w:trPr>
        <w:tc>
          <w:tcPr>
            <w:tcW w:w="1200" w:type="dxa"/>
            <w:shd w:val="clear" w:color="auto" w:fill="C4EFCE"/>
            <w:vAlign w:val="center"/>
            <w:hideMark/>
          </w:tcPr>
          <w:p w14:paraId="4959120F" w14:textId="77777777" w:rsidR="00154AD2" w:rsidRDefault="007F6BF3">
            <w:pPr>
              <w:pStyle w:val="P68B1DB1-Normal23"/>
              <w:spacing w:after="0"/>
              <w:jc w:val="center"/>
              <w:rPr>
                <w:rFonts w:eastAsia="Calibri" w:cs="Calibri"/>
                <w:noProof/>
              </w:rPr>
            </w:pPr>
            <w:r>
              <w:rPr>
                <w:noProof/>
              </w:rPr>
              <w:t>15.7</w:t>
            </w:r>
          </w:p>
        </w:tc>
        <w:tc>
          <w:tcPr>
            <w:tcW w:w="1760" w:type="dxa"/>
            <w:shd w:val="clear" w:color="auto" w:fill="C4EFCE"/>
            <w:vAlign w:val="center"/>
            <w:hideMark/>
          </w:tcPr>
          <w:p w14:paraId="7916AD2D" w14:textId="27F376C2" w:rsidR="00154AD2" w:rsidRDefault="007F6BF3">
            <w:pPr>
              <w:pStyle w:val="P68B1DB1-Normal23"/>
              <w:spacing w:after="0"/>
              <w:jc w:val="center"/>
              <w:rPr>
                <w:rFonts w:eastAsia="Calibri" w:cs="Calibri"/>
                <w:noProof/>
              </w:rPr>
            </w:pPr>
            <w:r>
              <w:rPr>
                <w:noProof/>
              </w:rPr>
              <w:t>TC-C15-I03</w:t>
            </w:r>
          </w:p>
        </w:tc>
        <w:tc>
          <w:tcPr>
            <w:tcW w:w="1520" w:type="dxa"/>
            <w:shd w:val="clear" w:color="auto" w:fill="C4EFCE"/>
            <w:vAlign w:val="center"/>
            <w:hideMark/>
          </w:tcPr>
          <w:p w14:paraId="75FE8E7B"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1ACFDB1" w14:textId="77777777" w:rsidR="00154AD2" w:rsidRDefault="007F6BF3">
            <w:pPr>
              <w:pStyle w:val="P68B1DB1-Normal23"/>
              <w:spacing w:after="0"/>
              <w:jc w:val="both"/>
              <w:rPr>
                <w:rFonts w:eastAsia="Calibri" w:cs="Calibri"/>
                <w:noProof/>
              </w:rPr>
            </w:pPr>
            <w:r>
              <w:rPr>
                <w:noProof/>
              </w:rPr>
              <w:t>Υπογραφή της σύμβασης για την κατασκευή γραμμής διέλευσης ελαφρών σιδηροδρόμων μεταξύ Odivelas και Loures</w:t>
            </w:r>
          </w:p>
        </w:tc>
      </w:tr>
      <w:tr w:rsidR="00154AD2" w14:paraId="258C3A70" w14:textId="77777777">
        <w:trPr>
          <w:trHeight w:val="440"/>
        </w:trPr>
        <w:tc>
          <w:tcPr>
            <w:tcW w:w="1200" w:type="dxa"/>
            <w:shd w:val="clear" w:color="auto" w:fill="C4EFCE"/>
            <w:vAlign w:val="center"/>
          </w:tcPr>
          <w:p w14:paraId="0AE9FA9B" w14:textId="260E9AD6" w:rsidR="00154AD2" w:rsidRDefault="007F6BF3">
            <w:pPr>
              <w:pStyle w:val="P68B1DB1-Normal23"/>
              <w:spacing w:after="0"/>
              <w:jc w:val="center"/>
              <w:rPr>
                <w:rFonts w:eastAsia="Calibri" w:cs="Calibri"/>
                <w:noProof/>
              </w:rPr>
            </w:pPr>
            <w:r>
              <w:rPr>
                <w:noProof/>
              </w:rPr>
              <w:t>19.31</w:t>
            </w:r>
          </w:p>
        </w:tc>
        <w:tc>
          <w:tcPr>
            <w:tcW w:w="1760" w:type="dxa"/>
            <w:shd w:val="clear" w:color="auto" w:fill="C4EFCE"/>
            <w:vAlign w:val="center"/>
          </w:tcPr>
          <w:p w14:paraId="4D3FC2B5" w14:textId="1956D4BE" w:rsidR="00154AD2" w:rsidRDefault="007F6BF3">
            <w:pPr>
              <w:pStyle w:val="P68B1DB1-Normal23"/>
              <w:spacing w:after="0"/>
              <w:jc w:val="center"/>
              <w:rPr>
                <w:rFonts w:eastAsia="Calibri" w:cs="Calibri"/>
                <w:noProof/>
              </w:rPr>
            </w:pPr>
            <w:r>
              <w:rPr>
                <w:noProof/>
              </w:rPr>
              <w:t xml:space="preserve">TD-C19-r42  </w:t>
            </w:r>
          </w:p>
        </w:tc>
        <w:tc>
          <w:tcPr>
            <w:tcW w:w="1520" w:type="dxa"/>
            <w:shd w:val="clear" w:color="auto" w:fill="C4EFCE"/>
            <w:vAlign w:val="center"/>
          </w:tcPr>
          <w:p w14:paraId="221D6EA6" w14:textId="332C3E10"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tcPr>
          <w:p w14:paraId="5E2AA86D" w14:textId="4355B8C4" w:rsidR="00154AD2" w:rsidRDefault="007F6BF3">
            <w:pPr>
              <w:pStyle w:val="P68B1DB1-Normal23"/>
              <w:spacing w:after="0"/>
              <w:jc w:val="both"/>
              <w:rPr>
                <w:rFonts w:eastAsia="Calibri" w:cs="Calibri"/>
                <w:noProof/>
              </w:rPr>
            </w:pPr>
            <w:r>
              <w:rPr>
                <w:noProof/>
              </w:rPr>
              <w:t>Έναρξη ισχύος της νομοθετικής πράξης με την οποία αναθεωρείται η SIADAP</w:t>
            </w:r>
          </w:p>
        </w:tc>
      </w:tr>
      <w:tr w:rsidR="00154AD2" w14:paraId="32B276DA" w14:textId="77777777">
        <w:trPr>
          <w:trHeight w:val="440"/>
        </w:trPr>
        <w:tc>
          <w:tcPr>
            <w:tcW w:w="1200" w:type="dxa"/>
            <w:shd w:val="clear" w:color="auto" w:fill="C4EFCE"/>
            <w:vAlign w:val="center"/>
          </w:tcPr>
          <w:p w14:paraId="762889A1" w14:textId="4A9DFF95" w:rsidR="00154AD2" w:rsidRDefault="007F6BF3">
            <w:pPr>
              <w:pStyle w:val="P68B1DB1-Normal23"/>
              <w:spacing w:after="0"/>
              <w:jc w:val="center"/>
              <w:rPr>
                <w:rFonts w:eastAsia="Calibri" w:cs="Calibri"/>
                <w:noProof/>
              </w:rPr>
            </w:pPr>
            <w:r>
              <w:rPr>
                <w:noProof/>
              </w:rPr>
              <w:t>19.32</w:t>
            </w:r>
          </w:p>
        </w:tc>
        <w:tc>
          <w:tcPr>
            <w:tcW w:w="1760" w:type="dxa"/>
            <w:shd w:val="clear" w:color="auto" w:fill="C4EFCE"/>
            <w:vAlign w:val="center"/>
          </w:tcPr>
          <w:p w14:paraId="0C34D2D0" w14:textId="2A62E2CD" w:rsidR="00154AD2" w:rsidRDefault="007F6BF3">
            <w:pPr>
              <w:pStyle w:val="P68B1DB1-Normal23"/>
              <w:spacing w:after="0"/>
              <w:jc w:val="center"/>
              <w:rPr>
                <w:rFonts w:eastAsia="Calibri" w:cs="Calibri"/>
                <w:noProof/>
              </w:rPr>
            </w:pPr>
            <w:r>
              <w:rPr>
                <w:noProof/>
              </w:rPr>
              <w:t xml:space="preserve">TD-C19-r42  </w:t>
            </w:r>
          </w:p>
        </w:tc>
        <w:tc>
          <w:tcPr>
            <w:tcW w:w="1520" w:type="dxa"/>
            <w:shd w:val="clear" w:color="auto" w:fill="C4EFCE"/>
            <w:vAlign w:val="center"/>
          </w:tcPr>
          <w:p w14:paraId="618829A3" w14:textId="2EA3ACFD"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tcPr>
          <w:p w14:paraId="3FB23545" w14:textId="58302992" w:rsidR="00154AD2" w:rsidRDefault="007F6BF3">
            <w:pPr>
              <w:pStyle w:val="P68B1DB1-Normal23"/>
              <w:spacing w:after="0"/>
              <w:jc w:val="both"/>
              <w:rPr>
                <w:rFonts w:eastAsia="Calibri" w:cs="Calibri"/>
                <w:noProof/>
              </w:rPr>
            </w:pPr>
            <w:r>
              <w:rPr>
                <w:noProof/>
              </w:rPr>
              <w:t>Έναρξη ισχύος της νομοθετικής πράξης που αναθεωρεί το προφίλ ικανοτήτων της δημόσιας διοίκησης</w:t>
            </w:r>
          </w:p>
        </w:tc>
      </w:tr>
      <w:tr w:rsidR="00154AD2" w14:paraId="383E267E" w14:textId="77777777">
        <w:trPr>
          <w:trHeight w:val="440"/>
        </w:trPr>
        <w:tc>
          <w:tcPr>
            <w:tcW w:w="1200" w:type="dxa"/>
            <w:shd w:val="clear" w:color="auto" w:fill="C4EFCE"/>
            <w:vAlign w:val="center"/>
            <w:hideMark/>
          </w:tcPr>
          <w:p w14:paraId="5D412478" w14:textId="77777777" w:rsidR="00154AD2" w:rsidRDefault="007F6BF3">
            <w:pPr>
              <w:pStyle w:val="P68B1DB1-Normal23"/>
              <w:spacing w:after="0" w:line="240" w:lineRule="auto"/>
              <w:jc w:val="center"/>
              <w:rPr>
                <w:rFonts w:eastAsia="Times New Roman" w:cs="Calibri"/>
                <w:noProof/>
              </w:rPr>
            </w:pPr>
            <w:r>
              <w:rPr>
                <w:noProof/>
              </w:rPr>
              <w:t> </w:t>
            </w:r>
          </w:p>
        </w:tc>
        <w:tc>
          <w:tcPr>
            <w:tcW w:w="1760" w:type="dxa"/>
            <w:shd w:val="clear" w:color="auto" w:fill="C4EFCE"/>
            <w:vAlign w:val="center"/>
            <w:hideMark/>
          </w:tcPr>
          <w:p w14:paraId="27210276" w14:textId="77777777" w:rsidR="00154AD2" w:rsidRDefault="007F6BF3">
            <w:pPr>
              <w:pStyle w:val="P68B1DB1-Normal23"/>
              <w:spacing w:after="0" w:line="240" w:lineRule="auto"/>
              <w:rPr>
                <w:rFonts w:eastAsia="Times New Roman" w:cs="Calibri"/>
                <w:noProof/>
              </w:rPr>
            </w:pPr>
            <w:r>
              <w:rPr>
                <w:noProof/>
              </w:rPr>
              <w:t> </w:t>
            </w:r>
          </w:p>
        </w:tc>
        <w:tc>
          <w:tcPr>
            <w:tcW w:w="1520" w:type="dxa"/>
            <w:shd w:val="clear" w:color="auto" w:fill="C4EFCE"/>
            <w:vAlign w:val="center"/>
            <w:hideMark/>
          </w:tcPr>
          <w:p w14:paraId="38682DCD" w14:textId="77777777" w:rsidR="00154AD2" w:rsidRDefault="007F6BF3">
            <w:pPr>
              <w:pStyle w:val="P68B1DB1-Normal23"/>
              <w:spacing w:after="0" w:line="240" w:lineRule="auto"/>
              <w:jc w:val="center"/>
              <w:rPr>
                <w:rFonts w:eastAsia="Times New Roman" w:cs="Calibri"/>
                <w:noProof/>
              </w:rPr>
            </w:pPr>
            <w:r>
              <w:rPr>
                <w:noProof/>
              </w:rPr>
              <w:t>Ποσό δόσης</w:t>
            </w:r>
          </w:p>
        </w:tc>
        <w:tc>
          <w:tcPr>
            <w:tcW w:w="5060" w:type="dxa"/>
            <w:shd w:val="clear" w:color="auto" w:fill="C4EFCE"/>
            <w:vAlign w:val="center"/>
            <w:hideMark/>
          </w:tcPr>
          <w:p w14:paraId="0FB1EF83" w14:textId="29D26B48" w:rsidR="00154AD2" w:rsidRDefault="007F6BF3">
            <w:pPr>
              <w:pStyle w:val="P68B1DB1-Normal25"/>
              <w:spacing w:after="0" w:line="240" w:lineRule="auto"/>
              <w:jc w:val="center"/>
              <w:rPr>
                <w:rFonts w:cs="Calibri"/>
                <w:noProof/>
              </w:rPr>
            </w:pPr>
            <w:r>
              <w:rPr>
                <w:noProof/>
              </w:rPr>
              <w:t xml:space="preserve"> 366 243 120 EUR </w:t>
            </w:r>
          </w:p>
        </w:tc>
      </w:tr>
    </w:tbl>
    <w:p w14:paraId="43578890"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0B71B7AD" w14:textId="77777777" w:rsidR="00154AD2" w:rsidRDefault="007F6BF3">
      <w:pPr>
        <w:pStyle w:val="P68B1DB1-Normal4"/>
        <w:keepNext/>
        <w:numPr>
          <w:ilvl w:val="1"/>
          <w:numId w:val="19"/>
        </w:numPr>
        <w:spacing w:before="40" w:after="160" w:line="259" w:lineRule="auto"/>
        <w:contextualSpacing/>
        <w:jc w:val="both"/>
        <w:rPr>
          <w:rFonts w:eastAsiaTheme="minorEastAsia" w:cs="Times New Roman"/>
          <w:noProof/>
        </w:rPr>
      </w:pPr>
      <w:r>
        <w:rPr>
          <w:noProof/>
        </w:rPr>
        <w:t>Έβδομη αίτηση πληρωμής (δανειακή στήριξη):</w:t>
      </w:r>
    </w:p>
    <w:p w14:paraId="24A030D4" w14:textId="77777777" w:rsidR="00154AD2" w:rsidRDefault="00154AD2">
      <w:pPr>
        <w:keepNext/>
        <w:spacing w:before="40" w:after="160" w:line="259" w:lineRule="auto"/>
        <w:contextualSpacing/>
        <w:jc w:val="both"/>
        <w:rPr>
          <w:rFonts w:ascii="Times New Roman" w:eastAsiaTheme="minorEastAsia" w:hAnsi="Times New Roman" w:cs="Times New Roman"/>
          <w:noProof/>
          <w:sz w:val="24"/>
        </w:rPr>
      </w:pPr>
    </w:p>
    <w:tbl>
      <w:tblPr>
        <w:tblW w:w="0" w:type="auto"/>
        <w:tblInd w:w="108" w:type="dxa"/>
        <w:tblLook w:val="04A0" w:firstRow="1" w:lastRow="0" w:firstColumn="1" w:lastColumn="0" w:noHBand="0" w:noVBand="1"/>
      </w:tblPr>
      <w:tblGrid>
        <w:gridCol w:w="1200"/>
        <w:gridCol w:w="1760"/>
        <w:gridCol w:w="1670"/>
        <w:gridCol w:w="5060"/>
      </w:tblGrid>
      <w:tr w:rsidR="00154AD2" w14:paraId="29B816DE" w14:textId="77777777">
        <w:trPr>
          <w:trHeight w:val="1018"/>
          <w:tblHeader/>
        </w:trPr>
        <w:tc>
          <w:tcPr>
            <w:tcW w:w="1200" w:type="dxa"/>
            <w:tcBorders>
              <w:top w:val="single" w:sz="4" w:space="0" w:color="auto"/>
              <w:left w:val="single" w:sz="4" w:space="0" w:color="auto"/>
              <w:bottom w:val="single" w:sz="4" w:space="0" w:color="auto"/>
              <w:right w:val="single" w:sz="4" w:space="0" w:color="auto"/>
            </w:tcBorders>
            <w:shd w:val="clear" w:color="auto" w:fill="BDD7EE"/>
            <w:vAlign w:val="center"/>
          </w:tcPr>
          <w:p w14:paraId="307E0BB5" w14:textId="77777777" w:rsidR="00154AD2" w:rsidRDefault="007F6BF3">
            <w:pPr>
              <w:pStyle w:val="P68B1DB1-Normal22"/>
              <w:spacing w:after="0" w:line="240" w:lineRule="auto"/>
              <w:jc w:val="center"/>
              <w:rPr>
                <w:rFonts w:eastAsia="Times New Roman" w:cs="Times New Roman"/>
                <w:noProof/>
              </w:rPr>
            </w:pPr>
            <w:r>
              <w:rPr>
                <w:noProof/>
              </w:rPr>
              <w:t>Αύξων αριθμός</w:t>
            </w:r>
          </w:p>
        </w:tc>
        <w:tc>
          <w:tcPr>
            <w:tcW w:w="1760" w:type="dxa"/>
            <w:tcBorders>
              <w:top w:val="single" w:sz="4" w:space="0" w:color="auto"/>
              <w:left w:val="single" w:sz="4" w:space="0" w:color="auto"/>
              <w:bottom w:val="single" w:sz="4" w:space="0" w:color="auto"/>
              <w:right w:val="single" w:sz="4" w:space="0" w:color="auto"/>
            </w:tcBorders>
            <w:shd w:val="clear" w:color="auto" w:fill="BDD7EE"/>
            <w:vAlign w:val="center"/>
          </w:tcPr>
          <w:p w14:paraId="6E93FEA9" w14:textId="77777777" w:rsidR="00154AD2" w:rsidRDefault="007F6BF3">
            <w:pPr>
              <w:pStyle w:val="P68B1DB1-Normal22"/>
              <w:spacing w:after="0" w:line="240" w:lineRule="auto"/>
              <w:jc w:val="center"/>
              <w:rPr>
                <w:rFonts w:eastAsia="Times New Roman" w:cs="Times New Roman"/>
                <w:noProof/>
              </w:rPr>
            </w:pPr>
            <w:r>
              <w:rPr>
                <w:noProof/>
              </w:rPr>
              <w:t>Σχετικό μέτρο (μεταρρύθμιση ή επένδυση)</w:t>
            </w:r>
          </w:p>
        </w:tc>
        <w:tc>
          <w:tcPr>
            <w:tcW w:w="1520" w:type="dxa"/>
            <w:tcBorders>
              <w:top w:val="single" w:sz="4" w:space="0" w:color="auto"/>
              <w:left w:val="single" w:sz="4" w:space="0" w:color="auto"/>
              <w:bottom w:val="single" w:sz="4" w:space="0" w:color="auto"/>
              <w:right w:val="single" w:sz="4" w:space="0" w:color="auto"/>
            </w:tcBorders>
            <w:shd w:val="clear" w:color="auto" w:fill="BDD7EE"/>
            <w:vAlign w:val="center"/>
          </w:tcPr>
          <w:p w14:paraId="3E9D866A" w14:textId="77777777" w:rsidR="00154AD2" w:rsidRDefault="007F6BF3">
            <w:pPr>
              <w:pStyle w:val="P68B1DB1-Normal22"/>
              <w:spacing w:after="0" w:line="240" w:lineRule="auto"/>
              <w:jc w:val="center"/>
              <w:rPr>
                <w:rFonts w:eastAsia="Times New Roman" w:cs="Times New Roman"/>
                <w:noProof/>
              </w:rPr>
            </w:pPr>
            <w:r>
              <w:rPr>
                <w:noProof/>
              </w:rPr>
              <w:t>Ορόσημο/Στόχος</w:t>
            </w:r>
          </w:p>
        </w:tc>
        <w:tc>
          <w:tcPr>
            <w:tcW w:w="5060" w:type="dxa"/>
            <w:tcBorders>
              <w:top w:val="single" w:sz="4" w:space="0" w:color="auto"/>
              <w:left w:val="single" w:sz="4" w:space="0" w:color="auto"/>
              <w:bottom w:val="single" w:sz="4" w:space="0" w:color="auto"/>
              <w:right w:val="single" w:sz="4" w:space="0" w:color="auto"/>
            </w:tcBorders>
            <w:shd w:val="clear" w:color="auto" w:fill="BDD7EE"/>
            <w:vAlign w:val="center"/>
          </w:tcPr>
          <w:p w14:paraId="3C3A7570" w14:textId="77777777" w:rsidR="00154AD2" w:rsidRDefault="007F6BF3">
            <w:pPr>
              <w:pStyle w:val="P68B1DB1-Normal22"/>
              <w:spacing w:after="0" w:line="240" w:lineRule="auto"/>
              <w:jc w:val="center"/>
              <w:rPr>
                <w:rFonts w:eastAsia="Times New Roman" w:cs="Times New Roman"/>
                <w:noProof/>
              </w:rPr>
            </w:pPr>
            <w:r>
              <w:rPr>
                <w:noProof/>
              </w:rPr>
              <w:t>Όνομα</w:t>
            </w:r>
          </w:p>
        </w:tc>
      </w:tr>
      <w:tr w:rsidR="00154AD2" w14:paraId="582BD1F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1651F993" w14:textId="77777777" w:rsidR="00154AD2" w:rsidRDefault="007F6BF3">
            <w:pPr>
              <w:pStyle w:val="P68B1DB1-Normal23"/>
              <w:spacing w:after="0"/>
              <w:jc w:val="center"/>
              <w:rPr>
                <w:rFonts w:eastAsia="Calibri" w:cs="Calibri"/>
                <w:noProof/>
              </w:rPr>
            </w:pPr>
            <w:r>
              <w:rPr>
                <w:noProof/>
              </w:rPr>
              <w:t>2.21</w:t>
            </w:r>
          </w:p>
        </w:tc>
        <w:tc>
          <w:tcPr>
            <w:tcW w:w="1760" w:type="dxa"/>
            <w:tcBorders>
              <w:top w:val="nil"/>
              <w:left w:val="nil"/>
              <w:bottom w:val="single" w:sz="4" w:space="0" w:color="auto"/>
              <w:right w:val="single" w:sz="4" w:space="0" w:color="auto"/>
            </w:tcBorders>
            <w:shd w:val="clear" w:color="auto" w:fill="C4EFCE"/>
            <w:vAlign w:val="center"/>
          </w:tcPr>
          <w:p w14:paraId="61E03559" w14:textId="77777777" w:rsidR="00154AD2" w:rsidRDefault="007F6BF3">
            <w:pPr>
              <w:pStyle w:val="P68B1DB1-Normal23"/>
              <w:spacing w:after="0"/>
              <w:jc w:val="center"/>
              <w:rPr>
                <w:rFonts w:eastAsia="Calibri" w:cs="Calibri"/>
                <w:noProof/>
              </w:rPr>
            </w:pPr>
            <w:r>
              <w:rPr>
                <w:noProof/>
              </w:rPr>
              <w:t>RE-C02-i05</w:t>
            </w:r>
          </w:p>
        </w:tc>
        <w:tc>
          <w:tcPr>
            <w:tcW w:w="1520" w:type="dxa"/>
            <w:tcBorders>
              <w:top w:val="nil"/>
              <w:left w:val="nil"/>
              <w:bottom w:val="single" w:sz="4" w:space="0" w:color="auto"/>
              <w:right w:val="single" w:sz="4" w:space="0" w:color="auto"/>
            </w:tcBorders>
            <w:shd w:val="clear" w:color="auto" w:fill="C4EFCE"/>
            <w:vAlign w:val="center"/>
          </w:tcPr>
          <w:p w14:paraId="716B72F7"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4226738D" w14:textId="77777777" w:rsidR="00154AD2" w:rsidRDefault="007F6BF3">
            <w:pPr>
              <w:pStyle w:val="P68B1DB1-Normal23"/>
              <w:spacing w:after="0"/>
              <w:jc w:val="both"/>
              <w:rPr>
                <w:rFonts w:eastAsia="Calibri" w:cs="Calibri"/>
                <w:noProof/>
              </w:rPr>
            </w:pPr>
            <w:r>
              <w:rPr>
                <w:noProof/>
              </w:rPr>
              <w:t>Οικονομικά προσιτό απόθεμα δημόσιων κατοικιών — Κατοικίες με έναρξη εργασιών (κατασκευασμένες με υψηλή ενεργειακή απόδοση ή αποκατεστημένες με βελτιωμένη ενεργειακή απόδοση)</w:t>
            </w:r>
          </w:p>
        </w:tc>
      </w:tr>
      <w:tr w:rsidR="00154AD2" w14:paraId="0BF1C5F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24221612" w14:textId="77777777" w:rsidR="00154AD2" w:rsidRDefault="007F6BF3">
            <w:pPr>
              <w:pStyle w:val="P68B1DB1-Normal23"/>
              <w:spacing w:after="0"/>
              <w:jc w:val="center"/>
              <w:rPr>
                <w:rFonts w:eastAsia="Calibri" w:cs="Calibri"/>
                <w:noProof/>
              </w:rPr>
            </w:pPr>
            <w:r>
              <w:rPr>
                <w:noProof/>
              </w:rPr>
              <w:t>2.22</w:t>
            </w:r>
          </w:p>
        </w:tc>
        <w:tc>
          <w:tcPr>
            <w:tcW w:w="1760" w:type="dxa"/>
            <w:tcBorders>
              <w:top w:val="nil"/>
              <w:left w:val="nil"/>
              <w:bottom w:val="single" w:sz="4" w:space="0" w:color="auto"/>
              <w:right w:val="single" w:sz="4" w:space="0" w:color="auto"/>
            </w:tcBorders>
            <w:shd w:val="clear" w:color="auto" w:fill="C4EFCE"/>
            <w:vAlign w:val="center"/>
          </w:tcPr>
          <w:p w14:paraId="4AB56C42" w14:textId="77777777" w:rsidR="00154AD2" w:rsidRDefault="007F6BF3">
            <w:pPr>
              <w:pStyle w:val="P68B1DB1-Normal23"/>
              <w:spacing w:after="0"/>
              <w:jc w:val="center"/>
              <w:rPr>
                <w:rFonts w:eastAsia="Calibri" w:cs="Calibri"/>
                <w:noProof/>
              </w:rPr>
            </w:pPr>
            <w:r>
              <w:rPr>
                <w:noProof/>
              </w:rPr>
              <w:t>RE-C02-i05</w:t>
            </w:r>
          </w:p>
        </w:tc>
        <w:tc>
          <w:tcPr>
            <w:tcW w:w="1520" w:type="dxa"/>
            <w:tcBorders>
              <w:top w:val="nil"/>
              <w:left w:val="nil"/>
              <w:bottom w:val="single" w:sz="4" w:space="0" w:color="auto"/>
              <w:right w:val="single" w:sz="4" w:space="0" w:color="auto"/>
            </w:tcBorders>
            <w:shd w:val="clear" w:color="auto" w:fill="C4EFCE"/>
            <w:vAlign w:val="center"/>
          </w:tcPr>
          <w:p w14:paraId="2D06F0E7"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7E5487FC" w14:textId="77777777" w:rsidR="00154AD2" w:rsidRDefault="007F6BF3">
            <w:pPr>
              <w:pStyle w:val="P68B1DB1-Normal23"/>
              <w:spacing w:after="0"/>
              <w:jc w:val="both"/>
              <w:rPr>
                <w:rFonts w:eastAsia="Calibri" w:cs="Calibri"/>
                <w:noProof/>
              </w:rPr>
            </w:pPr>
            <w:r>
              <w:rPr>
                <w:noProof/>
              </w:rPr>
              <w:t>Απόθεμα οικονομικά προσιτών δημόσιων κατοικιών — Αξιοποιημένες κατοικίες (κατασκευασμένες με υψηλή ενεργειακή απόδοση ή αποκατεστημένες με βελτιωμένη ενεργειακή απόδοση)</w:t>
            </w:r>
          </w:p>
        </w:tc>
      </w:tr>
      <w:tr w:rsidR="00154AD2" w14:paraId="3D12777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55451CB4" w14:textId="77777777" w:rsidR="00154AD2" w:rsidRDefault="007F6BF3">
            <w:pPr>
              <w:pStyle w:val="P68B1DB1-Normal23"/>
              <w:spacing w:after="0"/>
              <w:jc w:val="center"/>
              <w:rPr>
                <w:rFonts w:eastAsia="Calibri" w:cs="Calibri"/>
                <w:noProof/>
              </w:rPr>
            </w:pPr>
            <w:r>
              <w:rPr>
                <w:noProof/>
              </w:rPr>
              <w:t>2.26</w:t>
            </w:r>
          </w:p>
        </w:tc>
        <w:tc>
          <w:tcPr>
            <w:tcW w:w="1760" w:type="dxa"/>
            <w:tcBorders>
              <w:top w:val="nil"/>
              <w:left w:val="nil"/>
              <w:bottom w:val="single" w:sz="4" w:space="0" w:color="auto"/>
              <w:right w:val="single" w:sz="4" w:space="0" w:color="auto"/>
            </w:tcBorders>
            <w:shd w:val="clear" w:color="auto" w:fill="C4EFCE"/>
            <w:vAlign w:val="center"/>
          </w:tcPr>
          <w:p w14:paraId="576AFC28" w14:textId="77777777" w:rsidR="00154AD2" w:rsidRDefault="007F6BF3">
            <w:pPr>
              <w:pStyle w:val="P68B1DB1-Normal23"/>
              <w:spacing w:after="0"/>
              <w:jc w:val="center"/>
              <w:rPr>
                <w:rFonts w:eastAsia="Calibri" w:cs="Calibri"/>
                <w:noProof/>
              </w:rPr>
            </w:pPr>
            <w:r>
              <w:rPr>
                <w:noProof/>
              </w:rPr>
              <w:t>RE-C02-i06</w:t>
            </w:r>
          </w:p>
        </w:tc>
        <w:tc>
          <w:tcPr>
            <w:tcW w:w="1520" w:type="dxa"/>
            <w:tcBorders>
              <w:top w:val="nil"/>
              <w:left w:val="nil"/>
              <w:bottom w:val="single" w:sz="4" w:space="0" w:color="auto"/>
              <w:right w:val="single" w:sz="4" w:space="0" w:color="auto"/>
            </w:tcBorders>
            <w:shd w:val="clear" w:color="auto" w:fill="C4EFCE"/>
            <w:vAlign w:val="center"/>
          </w:tcPr>
          <w:p w14:paraId="3E587169"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62038BAE" w14:textId="77777777" w:rsidR="00154AD2" w:rsidRDefault="007F6BF3">
            <w:pPr>
              <w:pStyle w:val="P68B1DB1-Normal23"/>
              <w:spacing w:after="0"/>
              <w:jc w:val="both"/>
              <w:rPr>
                <w:rFonts w:eastAsia="Calibri" w:cs="Calibri"/>
                <w:noProof/>
              </w:rPr>
            </w:pPr>
            <w:r>
              <w:rPr>
                <w:noProof/>
              </w:rPr>
              <w:t>Φοιτητική στέγαση με προσιτό κόστος</w:t>
            </w:r>
          </w:p>
        </w:tc>
      </w:tr>
      <w:tr w:rsidR="00154AD2" w14:paraId="295142D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087CECBE" w14:textId="77777777" w:rsidR="00154AD2" w:rsidRDefault="007F6BF3">
            <w:pPr>
              <w:pStyle w:val="P68B1DB1-Normal23"/>
              <w:spacing w:after="0"/>
              <w:jc w:val="center"/>
              <w:rPr>
                <w:rFonts w:eastAsia="Calibri" w:cs="Calibri"/>
                <w:noProof/>
              </w:rPr>
            </w:pPr>
            <w:r>
              <w:rPr>
                <w:noProof/>
              </w:rPr>
              <w:t>6.28</w:t>
            </w:r>
          </w:p>
        </w:tc>
        <w:tc>
          <w:tcPr>
            <w:tcW w:w="1760" w:type="dxa"/>
            <w:tcBorders>
              <w:top w:val="nil"/>
              <w:left w:val="nil"/>
              <w:bottom w:val="single" w:sz="4" w:space="0" w:color="auto"/>
              <w:right w:val="single" w:sz="4" w:space="0" w:color="auto"/>
            </w:tcBorders>
            <w:shd w:val="clear" w:color="auto" w:fill="C4EFCE"/>
            <w:vAlign w:val="center"/>
          </w:tcPr>
          <w:p w14:paraId="3B92DB76" w14:textId="3F6FD07E" w:rsidR="00154AD2" w:rsidRDefault="007F6BF3">
            <w:pPr>
              <w:pStyle w:val="P68B1DB1-Normal23"/>
              <w:spacing w:after="0"/>
              <w:jc w:val="center"/>
              <w:rPr>
                <w:rFonts w:eastAsia="Calibri" w:cs="Calibri"/>
                <w:noProof/>
              </w:rPr>
            </w:pPr>
            <w:r>
              <w:rPr>
                <w:noProof/>
              </w:rPr>
              <w:t>RE-C06-i09</w:t>
            </w:r>
          </w:p>
        </w:tc>
        <w:tc>
          <w:tcPr>
            <w:tcW w:w="1520" w:type="dxa"/>
            <w:tcBorders>
              <w:top w:val="nil"/>
              <w:left w:val="nil"/>
              <w:bottom w:val="nil"/>
              <w:right w:val="single" w:sz="4" w:space="0" w:color="auto"/>
            </w:tcBorders>
            <w:shd w:val="clear" w:color="auto" w:fill="C4EFCE"/>
            <w:vAlign w:val="center"/>
          </w:tcPr>
          <w:p w14:paraId="0BFA1EAE"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nil"/>
              <w:right w:val="single" w:sz="4" w:space="0" w:color="auto"/>
            </w:tcBorders>
            <w:shd w:val="clear" w:color="auto" w:fill="C4EFCE"/>
            <w:vAlign w:val="center"/>
          </w:tcPr>
          <w:p w14:paraId="1577A067" w14:textId="77777777" w:rsidR="00154AD2" w:rsidRDefault="007F6BF3">
            <w:pPr>
              <w:pStyle w:val="P68B1DB1-Normal23"/>
              <w:spacing w:after="0"/>
              <w:jc w:val="both"/>
              <w:rPr>
                <w:rFonts w:eastAsia="Calibri" w:cs="Calibri"/>
                <w:noProof/>
              </w:rPr>
            </w:pPr>
            <w:r>
              <w:rPr>
                <w:noProof/>
              </w:rPr>
              <w:t>Υπογραφή συμβάσεων για την ανέγερση και ανακαίνιση δημόσιων σχολείων</w:t>
            </w:r>
          </w:p>
        </w:tc>
      </w:tr>
      <w:tr w:rsidR="00154AD2" w14:paraId="1EF6CC4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2D7D3CFE" w14:textId="77777777" w:rsidR="00154AD2" w:rsidRDefault="007F6BF3">
            <w:pPr>
              <w:pStyle w:val="P68B1DB1-Normal8"/>
              <w:spacing w:after="0" w:line="240" w:lineRule="auto"/>
              <w:jc w:val="center"/>
              <w:rPr>
                <w:rFonts w:eastAsia="Times New Roman" w:cs="Calibri"/>
                <w:noProof/>
              </w:rPr>
            </w:pPr>
            <w:r>
              <w:rPr>
                <w:noProof/>
              </w:rPr>
              <w:t> </w:t>
            </w:r>
          </w:p>
        </w:tc>
        <w:tc>
          <w:tcPr>
            <w:tcW w:w="1760" w:type="dxa"/>
            <w:tcBorders>
              <w:top w:val="nil"/>
              <w:left w:val="nil"/>
              <w:bottom w:val="single" w:sz="4" w:space="0" w:color="auto"/>
              <w:right w:val="single" w:sz="4" w:space="0" w:color="auto"/>
            </w:tcBorders>
            <w:shd w:val="clear" w:color="auto" w:fill="C4EFCE"/>
            <w:vAlign w:val="center"/>
          </w:tcPr>
          <w:p w14:paraId="3899B9C9" w14:textId="77777777" w:rsidR="00154AD2" w:rsidRDefault="007F6BF3">
            <w:pPr>
              <w:pStyle w:val="P68B1DB1-Normal8"/>
              <w:spacing w:after="0" w:line="240" w:lineRule="auto"/>
              <w:rPr>
                <w:rFonts w:eastAsia="Times New Roman" w:cs="Calibri"/>
                <w:noProof/>
              </w:rPr>
            </w:pPr>
            <w:r>
              <w:rPr>
                <w:noProof/>
              </w:rPr>
              <w:t> </w:t>
            </w:r>
          </w:p>
        </w:tc>
        <w:tc>
          <w:tcPr>
            <w:tcW w:w="1520" w:type="dxa"/>
            <w:tcBorders>
              <w:top w:val="single" w:sz="4" w:space="0" w:color="auto"/>
              <w:left w:val="nil"/>
              <w:bottom w:val="single" w:sz="4" w:space="0" w:color="auto"/>
              <w:right w:val="single" w:sz="4" w:space="0" w:color="auto"/>
            </w:tcBorders>
            <w:shd w:val="clear" w:color="auto" w:fill="C4EFCE"/>
            <w:vAlign w:val="center"/>
          </w:tcPr>
          <w:p w14:paraId="7C7921DE" w14:textId="77777777" w:rsidR="00154AD2" w:rsidRDefault="007F6BF3">
            <w:pPr>
              <w:pStyle w:val="P68B1DB1-Normal24"/>
              <w:spacing w:after="0" w:line="240" w:lineRule="auto"/>
              <w:jc w:val="center"/>
              <w:rPr>
                <w:rFonts w:eastAsia="Times New Roman" w:cs="Calibri"/>
                <w:noProof/>
              </w:rPr>
            </w:pPr>
            <w:r>
              <w:rPr>
                <w:noProof/>
              </w:rPr>
              <w:t>Ποσό δόσης</w:t>
            </w:r>
          </w:p>
        </w:tc>
        <w:tc>
          <w:tcPr>
            <w:tcW w:w="5060" w:type="dxa"/>
            <w:tcBorders>
              <w:top w:val="single" w:sz="4" w:space="0" w:color="auto"/>
              <w:left w:val="nil"/>
              <w:bottom w:val="single" w:sz="4" w:space="0" w:color="auto"/>
              <w:right w:val="single" w:sz="4" w:space="0" w:color="auto"/>
            </w:tcBorders>
            <w:shd w:val="clear" w:color="auto" w:fill="C4EFCE"/>
            <w:vAlign w:val="center"/>
          </w:tcPr>
          <w:p w14:paraId="4E153749" w14:textId="0F77FEA4" w:rsidR="00154AD2" w:rsidRDefault="007F6BF3">
            <w:pPr>
              <w:pStyle w:val="P68B1DB1-Normal25"/>
              <w:spacing w:after="0" w:line="240" w:lineRule="auto"/>
              <w:jc w:val="center"/>
              <w:rPr>
                <w:rFonts w:cs="Calibri"/>
                <w:noProof/>
              </w:rPr>
            </w:pPr>
            <w:r>
              <w:rPr>
                <w:noProof/>
              </w:rPr>
              <w:t xml:space="preserve">689 431 726 EUR </w:t>
            </w:r>
          </w:p>
        </w:tc>
      </w:tr>
    </w:tbl>
    <w:p w14:paraId="7D06A031" w14:textId="77777777" w:rsidR="00154AD2" w:rsidRDefault="00154AD2">
      <w:pPr>
        <w:keepNext/>
        <w:spacing w:before="40" w:after="160" w:line="259" w:lineRule="auto"/>
        <w:contextualSpacing/>
        <w:jc w:val="both"/>
        <w:rPr>
          <w:rFonts w:ascii="Times New Roman" w:eastAsiaTheme="minorEastAsia" w:hAnsi="Times New Roman" w:cs="Times New Roman"/>
          <w:noProof/>
          <w:sz w:val="24"/>
        </w:rPr>
      </w:pPr>
    </w:p>
    <w:p w14:paraId="656FC920" w14:textId="77777777" w:rsidR="00154AD2" w:rsidRDefault="007F6BF3">
      <w:pPr>
        <w:pStyle w:val="P68B1DB1-Normal4"/>
        <w:keepNext/>
        <w:numPr>
          <w:ilvl w:val="1"/>
          <w:numId w:val="19"/>
        </w:numPr>
        <w:spacing w:before="40" w:after="160" w:line="259" w:lineRule="auto"/>
        <w:contextualSpacing/>
        <w:jc w:val="both"/>
        <w:rPr>
          <w:rFonts w:eastAsiaTheme="minorEastAsia" w:cs="Times New Roman"/>
          <w:noProof/>
        </w:rPr>
      </w:pPr>
      <w:r>
        <w:rPr>
          <w:noProof/>
        </w:rPr>
        <w:t>Όγδοη αίτηση πληρωμής (δανειακή στήριξη):</w:t>
      </w:r>
    </w:p>
    <w:p w14:paraId="0C83B8A2" w14:textId="77777777" w:rsidR="00154AD2" w:rsidRDefault="00154AD2">
      <w:pPr>
        <w:keepNext/>
        <w:spacing w:before="40" w:after="160" w:line="259" w:lineRule="auto"/>
        <w:ind w:left="360"/>
        <w:contextualSpacing/>
        <w:jc w:val="both"/>
        <w:rPr>
          <w:rFonts w:ascii="Times New Roman" w:eastAsiaTheme="minorEastAsia" w:hAnsi="Times New Roman" w:cs="Times New Roman"/>
          <w:noProof/>
          <w:sz w:val="24"/>
        </w:rPr>
      </w:pPr>
    </w:p>
    <w:tbl>
      <w:tblPr>
        <w:tblW w:w="0" w:type="auto"/>
        <w:tblInd w:w="108" w:type="dxa"/>
        <w:tblLook w:val="04A0" w:firstRow="1" w:lastRow="0" w:firstColumn="1" w:lastColumn="0" w:noHBand="0" w:noVBand="1"/>
      </w:tblPr>
      <w:tblGrid>
        <w:gridCol w:w="1200"/>
        <w:gridCol w:w="1760"/>
        <w:gridCol w:w="1670"/>
        <w:gridCol w:w="5060"/>
      </w:tblGrid>
      <w:tr w:rsidR="00154AD2" w14:paraId="1EB3D4C6" w14:textId="77777777">
        <w:trPr>
          <w:trHeight w:val="1018"/>
        </w:trPr>
        <w:tc>
          <w:tcPr>
            <w:tcW w:w="1200" w:type="dxa"/>
            <w:tcBorders>
              <w:top w:val="single" w:sz="4" w:space="0" w:color="auto"/>
              <w:left w:val="single" w:sz="4" w:space="0" w:color="auto"/>
              <w:bottom w:val="single" w:sz="4" w:space="0" w:color="auto"/>
              <w:right w:val="single" w:sz="4" w:space="0" w:color="auto"/>
            </w:tcBorders>
            <w:shd w:val="clear" w:color="auto" w:fill="BDD7EE"/>
            <w:vAlign w:val="center"/>
          </w:tcPr>
          <w:p w14:paraId="344EC777" w14:textId="77777777" w:rsidR="00154AD2" w:rsidRDefault="007F6BF3">
            <w:pPr>
              <w:pStyle w:val="P68B1DB1-Normal22"/>
              <w:spacing w:after="0" w:line="240" w:lineRule="auto"/>
              <w:jc w:val="center"/>
              <w:rPr>
                <w:rFonts w:eastAsia="Times New Roman" w:cs="Times New Roman"/>
                <w:noProof/>
              </w:rPr>
            </w:pPr>
            <w:r>
              <w:rPr>
                <w:noProof/>
              </w:rPr>
              <w:t>Αύξων αριθμός</w:t>
            </w:r>
          </w:p>
        </w:tc>
        <w:tc>
          <w:tcPr>
            <w:tcW w:w="1760" w:type="dxa"/>
            <w:tcBorders>
              <w:top w:val="single" w:sz="4" w:space="0" w:color="auto"/>
              <w:left w:val="single" w:sz="4" w:space="0" w:color="auto"/>
              <w:bottom w:val="single" w:sz="4" w:space="0" w:color="auto"/>
              <w:right w:val="single" w:sz="4" w:space="0" w:color="auto"/>
            </w:tcBorders>
            <w:shd w:val="clear" w:color="auto" w:fill="BDD7EE"/>
            <w:vAlign w:val="center"/>
          </w:tcPr>
          <w:p w14:paraId="4D46E4F0" w14:textId="77777777" w:rsidR="00154AD2" w:rsidRDefault="007F6BF3">
            <w:pPr>
              <w:pStyle w:val="P68B1DB1-Normal22"/>
              <w:spacing w:after="0" w:line="240" w:lineRule="auto"/>
              <w:jc w:val="center"/>
              <w:rPr>
                <w:rFonts w:eastAsia="Times New Roman" w:cs="Times New Roman"/>
                <w:noProof/>
              </w:rPr>
            </w:pPr>
            <w:r>
              <w:rPr>
                <w:noProof/>
              </w:rPr>
              <w:t>Σχετικό μέτρο (μεταρρύθμιση ή επένδυση)</w:t>
            </w:r>
          </w:p>
        </w:tc>
        <w:tc>
          <w:tcPr>
            <w:tcW w:w="1520" w:type="dxa"/>
            <w:tcBorders>
              <w:top w:val="single" w:sz="4" w:space="0" w:color="auto"/>
              <w:left w:val="single" w:sz="4" w:space="0" w:color="auto"/>
              <w:bottom w:val="single" w:sz="4" w:space="0" w:color="auto"/>
              <w:right w:val="single" w:sz="4" w:space="0" w:color="auto"/>
            </w:tcBorders>
            <w:shd w:val="clear" w:color="auto" w:fill="BDD7EE"/>
            <w:vAlign w:val="center"/>
          </w:tcPr>
          <w:p w14:paraId="33C9BAAF" w14:textId="77777777" w:rsidR="00154AD2" w:rsidRDefault="007F6BF3">
            <w:pPr>
              <w:pStyle w:val="P68B1DB1-Normal22"/>
              <w:spacing w:after="0" w:line="240" w:lineRule="auto"/>
              <w:jc w:val="center"/>
              <w:rPr>
                <w:rFonts w:eastAsia="Times New Roman" w:cs="Times New Roman"/>
                <w:noProof/>
              </w:rPr>
            </w:pPr>
            <w:r>
              <w:rPr>
                <w:noProof/>
              </w:rPr>
              <w:t>Ορόσημο/Στόχος</w:t>
            </w:r>
          </w:p>
        </w:tc>
        <w:tc>
          <w:tcPr>
            <w:tcW w:w="5060" w:type="dxa"/>
            <w:tcBorders>
              <w:top w:val="single" w:sz="4" w:space="0" w:color="auto"/>
              <w:left w:val="single" w:sz="4" w:space="0" w:color="auto"/>
              <w:bottom w:val="single" w:sz="4" w:space="0" w:color="auto"/>
              <w:right w:val="single" w:sz="4" w:space="0" w:color="auto"/>
            </w:tcBorders>
            <w:shd w:val="clear" w:color="auto" w:fill="BDD7EE"/>
            <w:vAlign w:val="center"/>
          </w:tcPr>
          <w:p w14:paraId="5D0B89D7" w14:textId="77777777" w:rsidR="00154AD2" w:rsidRDefault="007F6BF3">
            <w:pPr>
              <w:pStyle w:val="P68B1DB1-Normal22"/>
              <w:spacing w:after="0" w:line="240" w:lineRule="auto"/>
              <w:jc w:val="center"/>
              <w:rPr>
                <w:rFonts w:eastAsia="Times New Roman" w:cs="Times New Roman"/>
                <w:noProof/>
              </w:rPr>
            </w:pPr>
            <w:r>
              <w:rPr>
                <w:noProof/>
              </w:rPr>
              <w:t>Όνομα</w:t>
            </w:r>
          </w:p>
        </w:tc>
      </w:tr>
      <w:tr w:rsidR="00154AD2" w14:paraId="329A16C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73F67755" w14:textId="77777777" w:rsidR="00154AD2" w:rsidRDefault="007F6BF3">
            <w:pPr>
              <w:pStyle w:val="P68B1DB1-Normal23"/>
              <w:spacing w:after="0"/>
              <w:jc w:val="center"/>
              <w:rPr>
                <w:rFonts w:eastAsia="Calibri" w:cs="Calibri"/>
                <w:noProof/>
              </w:rPr>
            </w:pPr>
            <w:r>
              <w:rPr>
                <w:noProof/>
              </w:rPr>
              <w:t>15.8</w:t>
            </w:r>
          </w:p>
        </w:tc>
        <w:tc>
          <w:tcPr>
            <w:tcW w:w="1760" w:type="dxa"/>
            <w:tcBorders>
              <w:top w:val="nil"/>
              <w:left w:val="nil"/>
              <w:bottom w:val="single" w:sz="4" w:space="0" w:color="auto"/>
              <w:right w:val="single" w:sz="4" w:space="0" w:color="auto"/>
            </w:tcBorders>
            <w:shd w:val="clear" w:color="auto" w:fill="C4EFCE"/>
            <w:vAlign w:val="center"/>
          </w:tcPr>
          <w:p w14:paraId="514CFC0D" w14:textId="77777777" w:rsidR="00154AD2" w:rsidRDefault="007F6BF3">
            <w:pPr>
              <w:pStyle w:val="P68B1DB1-Normal23"/>
              <w:spacing w:after="0"/>
              <w:jc w:val="center"/>
              <w:rPr>
                <w:rFonts w:eastAsia="Calibri" w:cs="Calibri"/>
                <w:noProof/>
              </w:rPr>
            </w:pPr>
            <w:r>
              <w:rPr>
                <w:noProof/>
              </w:rPr>
              <w:t>TC-C15-I03</w:t>
            </w:r>
          </w:p>
        </w:tc>
        <w:tc>
          <w:tcPr>
            <w:tcW w:w="1520" w:type="dxa"/>
            <w:tcBorders>
              <w:top w:val="nil"/>
              <w:left w:val="nil"/>
              <w:bottom w:val="single" w:sz="4" w:space="0" w:color="auto"/>
              <w:right w:val="single" w:sz="4" w:space="0" w:color="auto"/>
            </w:tcBorders>
            <w:shd w:val="clear" w:color="auto" w:fill="C4EFCE"/>
            <w:vAlign w:val="center"/>
          </w:tcPr>
          <w:p w14:paraId="116E6873" w14:textId="77777777" w:rsidR="00154AD2" w:rsidRDefault="007F6BF3">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tcPr>
          <w:p w14:paraId="53A9C291" w14:textId="77777777" w:rsidR="00154AD2" w:rsidRDefault="007F6BF3">
            <w:pPr>
              <w:pStyle w:val="P68B1DB1-Normal23"/>
              <w:spacing w:after="0"/>
              <w:jc w:val="both"/>
              <w:rPr>
                <w:rFonts w:eastAsia="Calibri" w:cs="Calibri"/>
                <w:noProof/>
              </w:rPr>
            </w:pPr>
            <w:r>
              <w:rPr>
                <w:noProof/>
              </w:rPr>
              <w:t>Έκθεση προόδου σχετικά με την κατασκευή της γραμμής ελαφρού σιδηροδρόμου μεταξύ Odivelas και Loures</w:t>
            </w:r>
          </w:p>
        </w:tc>
      </w:tr>
      <w:tr w:rsidR="00154AD2" w14:paraId="06662A9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618904BF" w14:textId="74BC30D7" w:rsidR="00154AD2" w:rsidRDefault="007F6BF3">
            <w:pPr>
              <w:pStyle w:val="P68B1DB1-Normal23"/>
              <w:spacing w:after="0"/>
              <w:jc w:val="center"/>
              <w:rPr>
                <w:rFonts w:eastAsia="Calibri" w:cs="Calibri"/>
                <w:noProof/>
              </w:rPr>
            </w:pPr>
            <w:r>
              <w:rPr>
                <w:noProof/>
              </w:rPr>
              <w:t>19.33</w:t>
            </w:r>
          </w:p>
        </w:tc>
        <w:tc>
          <w:tcPr>
            <w:tcW w:w="1760" w:type="dxa"/>
            <w:tcBorders>
              <w:top w:val="nil"/>
              <w:left w:val="nil"/>
              <w:bottom w:val="single" w:sz="4" w:space="0" w:color="auto"/>
              <w:right w:val="single" w:sz="4" w:space="0" w:color="auto"/>
            </w:tcBorders>
            <w:shd w:val="clear" w:color="auto" w:fill="C4EFCE"/>
            <w:vAlign w:val="center"/>
          </w:tcPr>
          <w:p w14:paraId="608803B4" w14:textId="72AAAB61" w:rsidR="00154AD2" w:rsidRDefault="007F6BF3">
            <w:pPr>
              <w:pStyle w:val="P68B1DB1-Normal23"/>
              <w:spacing w:after="0"/>
              <w:jc w:val="center"/>
              <w:rPr>
                <w:rFonts w:eastAsia="Calibri" w:cs="Calibri"/>
                <w:noProof/>
              </w:rPr>
            </w:pPr>
            <w:r>
              <w:rPr>
                <w:noProof/>
              </w:rPr>
              <w:t>TD-C19-r42</w:t>
            </w:r>
          </w:p>
        </w:tc>
        <w:tc>
          <w:tcPr>
            <w:tcW w:w="1520" w:type="dxa"/>
            <w:tcBorders>
              <w:top w:val="nil"/>
              <w:left w:val="nil"/>
              <w:bottom w:val="single" w:sz="4" w:space="0" w:color="auto"/>
              <w:right w:val="single" w:sz="4" w:space="0" w:color="auto"/>
            </w:tcBorders>
            <w:shd w:val="clear" w:color="auto" w:fill="C4EFCE"/>
            <w:vAlign w:val="center"/>
          </w:tcPr>
          <w:p w14:paraId="5D02F4F1" w14:textId="187D8B12"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557BB89C" w14:textId="234CFB7F" w:rsidR="00154AD2" w:rsidRDefault="007F6BF3">
            <w:pPr>
              <w:pStyle w:val="P68B1DB1-Normal23"/>
              <w:spacing w:after="0"/>
              <w:jc w:val="both"/>
              <w:rPr>
                <w:rFonts w:eastAsia="Calibri" w:cs="Calibri"/>
                <w:noProof/>
              </w:rPr>
            </w:pPr>
            <w:r>
              <w:rPr>
                <w:noProof/>
              </w:rPr>
              <w:t>Έναρξη λειτουργίας του νέου συστήματος SIADAP</w:t>
            </w:r>
          </w:p>
        </w:tc>
      </w:tr>
      <w:tr w:rsidR="00154AD2" w14:paraId="564D14E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5C67E166" w14:textId="77777777" w:rsidR="00154AD2" w:rsidRDefault="00154AD2">
            <w:pPr>
              <w:spacing w:after="0" w:line="240" w:lineRule="auto"/>
              <w:jc w:val="center"/>
              <w:rPr>
                <w:rFonts w:ascii="Calibri" w:eastAsia="Times New Roman" w:hAnsi="Calibri" w:cs="Calibri"/>
                <w:noProof/>
                <w:sz w:val="16"/>
              </w:rPr>
            </w:pPr>
          </w:p>
        </w:tc>
        <w:tc>
          <w:tcPr>
            <w:tcW w:w="1760" w:type="dxa"/>
            <w:tcBorders>
              <w:top w:val="nil"/>
              <w:left w:val="nil"/>
              <w:bottom w:val="single" w:sz="4" w:space="0" w:color="auto"/>
              <w:right w:val="single" w:sz="4" w:space="0" w:color="auto"/>
            </w:tcBorders>
            <w:shd w:val="clear" w:color="auto" w:fill="C4EFCE"/>
            <w:vAlign w:val="center"/>
          </w:tcPr>
          <w:p w14:paraId="183EE67D" w14:textId="77777777" w:rsidR="00154AD2" w:rsidRDefault="00154AD2">
            <w:pPr>
              <w:spacing w:after="0" w:line="240" w:lineRule="auto"/>
              <w:rPr>
                <w:rFonts w:ascii="Calibri" w:eastAsia="Times New Roman" w:hAnsi="Calibri" w:cs="Calibri"/>
                <w:noProof/>
                <w:sz w:val="16"/>
              </w:rPr>
            </w:pPr>
          </w:p>
        </w:tc>
        <w:tc>
          <w:tcPr>
            <w:tcW w:w="1520" w:type="dxa"/>
            <w:tcBorders>
              <w:top w:val="single" w:sz="4" w:space="0" w:color="auto"/>
              <w:left w:val="nil"/>
              <w:bottom w:val="single" w:sz="4" w:space="0" w:color="auto"/>
              <w:right w:val="single" w:sz="4" w:space="0" w:color="auto"/>
            </w:tcBorders>
            <w:shd w:val="clear" w:color="auto" w:fill="C4EFCE"/>
            <w:vAlign w:val="center"/>
          </w:tcPr>
          <w:p w14:paraId="401D1A7C" w14:textId="77777777" w:rsidR="00154AD2" w:rsidRDefault="007F6BF3">
            <w:pPr>
              <w:pStyle w:val="P68B1DB1-Normal24"/>
              <w:spacing w:after="0" w:line="240" w:lineRule="auto"/>
              <w:jc w:val="center"/>
              <w:rPr>
                <w:rFonts w:eastAsia="Times New Roman" w:cs="Calibri"/>
                <w:noProof/>
              </w:rPr>
            </w:pPr>
            <w:r>
              <w:rPr>
                <w:noProof/>
              </w:rPr>
              <w:t>Ποσό δόσης</w:t>
            </w:r>
          </w:p>
        </w:tc>
        <w:tc>
          <w:tcPr>
            <w:tcW w:w="5060" w:type="dxa"/>
            <w:tcBorders>
              <w:top w:val="single" w:sz="4" w:space="0" w:color="auto"/>
              <w:left w:val="nil"/>
              <w:bottom w:val="single" w:sz="4" w:space="0" w:color="auto"/>
              <w:right w:val="single" w:sz="4" w:space="0" w:color="auto"/>
            </w:tcBorders>
            <w:shd w:val="clear" w:color="auto" w:fill="C4EFCE"/>
            <w:vAlign w:val="center"/>
          </w:tcPr>
          <w:p w14:paraId="378DCF0E" w14:textId="269A2A38" w:rsidR="00154AD2" w:rsidRDefault="007F6BF3">
            <w:pPr>
              <w:pStyle w:val="P68B1DB1-Normal25"/>
              <w:spacing w:after="0" w:line="240" w:lineRule="auto"/>
              <w:jc w:val="center"/>
              <w:rPr>
                <w:rFonts w:cs="Calibri"/>
                <w:noProof/>
              </w:rPr>
            </w:pPr>
            <w:r>
              <w:rPr>
                <w:noProof/>
              </w:rPr>
              <w:t xml:space="preserve">  235 337 423 EUR </w:t>
            </w:r>
          </w:p>
        </w:tc>
      </w:tr>
    </w:tbl>
    <w:p w14:paraId="66284420" w14:textId="567F52B7" w:rsidR="00154AD2" w:rsidRDefault="00154AD2">
      <w:pPr>
        <w:keepNext/>
        <w:spacing w:before="40" w:after="160" w:line="259" w:lineRule="auto"/>
        <w:contextualSpacing/>
        <w:jc w:val="both"/>
        <w:rPr>
          <w:rFonts w:ascii="Times New Roman" w:eastAsiaTheme="minorEastAsia" w:hAnsi="Times New Roman" w:cs="Times New Roman"/>
          <w:noProof/>
          <w:sz w:val="24"/>
        </w:rPr>
      </w:pPr>
    </w:p>
    <w:p w14:paraId="6D952C31" w14:textId="0ECD3B5B" w:rsidR="00154AD2" w:rsidRDefault="00154AD2">
      <w:pPr>
        <w:keepNext/>
        <w:spacing w:before="40" w:after="160" w:line="259" w:lineRule="auto"/>
        <w:contextualSpacing/>
        <w:jc w:val="both"/>
        <w:rPr>
          <w:rFonts w:ascii="Times New Roman" w:eastAsiaTheme="minorEastAsia" w:hAnsi="Times New Roman" w:cs="Times New Roman"/>
          <w:noProof/>
          <w:sz w:val="24"/>
        </w:rPr>
      </w:pPr>
    </w:p>
    <w:p w14:paraId="726AC6BB" w14:textId="77777777" w:rsidR="00154AD2" w:rsidRDefault="00154AD2">
      <w:pPr>
        <w:keepNext/>
        <w:spacing w:before="40" w:after="160" w:line="259" w:lineRule="auto"/>
        <w:contextualSpacing/>
        <w:jc w:val="both"/>
        <w:rPr>
          <w:rFonts w:ascii="Times New Roman" w:eastAsiaTheme="minorEastAsia" w:hAnsi="Times New Roman" w:cs="Times New Roman"/>
          <w:noProof/>
          <w:sz w:val="24"/>
        </w:rPr>
      </w:pPr>
    </w:p>
    <w:p w14:paraId="3CFC0334" w14:textId="77777777" w:rsidR="00154AD2" w:rsidRDefault="007F6BF3">
      <w:pPr>
        <w:pStyle w:val="ListParagraph"/>
        <w:numPr>
          <w:ilvl w:val="1"/>
          <w:numId w:val="19"/>
        </w:numPr>
        <w:spacing w:before="40" w:line="259" w:lineRule="auto"/>
        <w:rPr>
          <w:noProof/>
        </w:rPr>
      </w:pPr>
      <w:r>
        <w:rPr>
          <w:noProof/>
        </w:rPr>
        <w:t xml:space="preserve"> Ένατη αίτηση πληρωμής (δανειακή στήριξη):</w:t>
      </w:r>
    </w:p>
    <w:tbl>
      <w:tblPr>
        <w:tblW w:w="0" w:type="auto"/>
        <w:tblInd w:w="108" w:type="dxa"/>
        <w:tblLook w:val="04A0" w:firstRow="1" w:lastRow="0" w:firstColumn="1" w:lastColumn="0" w:noHBand="0" w:noVBand="1"/>
      </w:tblPr>
      <w:tblGrid>
        <w:gridCol w:w="1200"/>
        <w:gridCol w:w="1760"/>
        <w:gridCol w:w="1670"/>
        <w:gridCol w:w="5060"/>
      </w:tblGrid>
      <w:tr w:rsidR="00154AD2" w14:paraId="1494D25F" w14:textId="77777777">
        <w:trPr>
          <w:trHeight w:val="1018"/>
        </w:trPr>
        <w:tc>
          <w:tcPr>
            <w:tcW w:w="1200" w:type="dxa"/>
            <w:tcBorders>
              <w:top w:val="single" w:sz="4" w:space="0" w:color="auto"/>
              <w:left w:val="single" w:sz="4" w:space="0" w:color="auto"/>
              <w:bottom w:val="single" w:sz="4" w:space="0" w:color="auto"/>
              <w:right w:val="single" w:sz="4" w:space="0" w:color="auto"/>
            </w:tcBorders>
            <w:shd w:val="clear" w:color="auto" w:fill="BDD7EE"/>
            <w:vAlign w:val="center"/>
          </w:tcPr>
          <w:p w14:paraId="2B13A76D" w14:textId="77777777" w:rsidR="00154AD2" w:rsidRDefault="007F6BF3">
            <w:pPr>
              <w:pStyle w:val="P68B1DB1-Normal22"/>
              <w:spacing w:after="0" w:line="240" w:lineRule="auto"/>
              <w:jc w:val="center"/>
              <w:rPr>
                <w:rFonts w:eastAsia="Times New Roman" w:cs="Times New Roman"/>
                <w:noProof/>
              </w:rPr>
            </w:pPr>
            <w:r>
              <w:rPr>
                <w:noProof/>
              </w:rPr>
              <w:t>Αύξων αριθμός</w:t>
            </w:r>
          </w:p>
        </w:tc>
        <w:tc>
          <w:tcPr>
            <w:tcW w:w="1760" w:type="dxa"/>
            <w:tcBorders>
              <w:top w:val="single" w:sz="4" w:space="0" w:color="auto"/>
              <w:left w:val="single" w:sz="4" w:space="0" w:color="auto"/>
              <w:bottom w:val="single" w:sz="4" w:space="0" w:color="auto"/>
              <w:right w:val="single" w:sz="4" w:space="0" w:color="auto"/>
            </w:tcBorders>
            <w:shd w:val="clear" w:color="auto" w:fill="BDD7EE"/>
            <w:vAlign w:val="center"/>
          </w:tcPr>
          <w:p w14:paraId="2C0AC9A7" w14:textId="77777777" w:rsidR="00154AD2" w:rsidRDefault="007F6BF3">
            <w:pPr>
              <w:pStyle w:val="P68B1DB1-Normal22"/>
              <w:spacing w:after="0" w:line="240" w:lineRule="auto"/>
              <w:jc w:val="center"/>
              <w:rPr>
                <w:rFonts w:eastAsia="Times New Roman" w:cs="Times New Roman"/>
                <w:noProof/>
              </w:rPr>
            </w:pPr>
            <w:r>
              <w:rPr>
                <w:noProof/>
              </w:rPr>
              <w:t>Σχετικό μέτρο (μεταρρύθμιση ή επένδυση)</w:t>
            </w:r>
          </w:p>
        </w:tc>
        <w:tc>
          <w:tcPr>
            <w:tcW w:w="1520" w:type="dxa"/>
            <w:tcBorders>
              <w:top w:val="single" w:sz="4" w:space="0" w:color="auto"/>
              <w:left w:val="single" w:sz="4" w:space="0" w:color="auto"/>
              <w:bottom w:val="single" w:sz="4" w:space="0" w:color="auto"/>
              <w:right w:val="single" w:sz="4" w:space="0" w:color="auto"/>
            </w:tcBorders>
            <w:shd w:val="clear" w:color="auto" w:fill="BDD7EE"/>
            <w:vAlign w:val="center"/>
          </w:tcPr>
          <w:p w14:paraId="34E6E954" w14:textId="77777777" w:rsidR="00154AD2" w:rsidRDefault="007F6BF3">
            <w:pPr>
              <w:pStyle w:val="P68B1DB1-Normal22"/>
              <w:spacing w:after="0" w:line="240" w:lineRule="auto"/>
              <w:jc w:val="center"/>
              <w:rPr>
                <w:rFonts w:eastAsia="Times New Roman" w:cs="Times New Roman"/>
                <w:noProof/>
              </w:rPr>
            </w:pPr>
            <w:r>
              <w:rPr>
                <w:noProof/>
              </w:rPr>
              <w:t>Ορόσημο/Στόχος</w:t>
            </w:r>
          </w:p>
        </w:tc>
        <w:tc>
          <w:tcPr>
            <w:tcW w:w="5060" w:type="dxa"/>
            <w:tcBorders>
              <w:top w:val="single" w:sz="4" w:space="0" w:color="auto"/>
              <w:left w:val="single" w:sz="4" w:space="0" w:color="auto"/>
              <w:bottom w:val="single" w:sz="4" w:space="0" w:color="auto"/>
              <w:right w:val="single" w:sz="4" w:space="0" w:color="auto"/>
            </w:tcBorders>
            <w:shd w:val="clear" w:color="auto" w:fill="BDD7EE"/>
            <w:vAlign w:val="center"/>
          </w:tcPr>
          <w:p w14:paraId="1992174E" w14:textId="77777777" w:rsidR="00154AD2" w:rsidRDefault="007F6BF3">
            <w:pPr>
              <w:pStyle w:val="P68B1DB1-Normal22"/>
              <w:spacing w:after="0" w:line="240" w:lineRule="auto"/>
              <w:jc w:val="center"/>
              <w:rPr>
                <w:rFonts w:eastAsia="Times New Roman" w:cs="Times New Roman"/>
                <w:noProof/>
              </w:rPr>
            </w:pPr>
            <w:r>
              <w:rPr>
                <w:noProof/>
              </w:rPr>
              <w:t>Όνομα</w:t>
            </w:r>
          </w:p>
        </w:tc>
      </w:tr>
      <w:tr w:rsidR="00154AD2" w14:paraId="78D3922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2C57417B" w14:textId="77777777" w:rsidR="00154AD2" w:rsidRDefault="007F6BF3">
            <w:pPr>
              <w:pStyle w:val="P68B1DB1-Normal23"/>
              <w:spacing w:after="0"/>
              <w:jc w:val="center"/>
              <w:rPr>
                <w:rFonts w:eastAsia="Calibri" w:cs="Calibri"/>
                <w:noProof/>
              </w:rPr>
            </w:pPr>
            <w:r>
              <w:rPr>
                <w:noProof/>
              </w:rPr>
              <w:t>2.23</w:t>
            </w:r>
          </w:p>
        </w:tc>
        <w:tc>
          <w:tcPr>
            <w:tcW w:w="1760" w:type="dxa"/>
            <w:tcBorders>
              <w:top w:val="nil"/>
              <w:left w:val="nil"/>
              <w:bottom w:val="single" w:sz="4" w:space="0" w:color="auto"/>
              <w:right w:val="single" w:sz="4" w:space="0" w:color="auto"/>
            </w:tcBorders>
            <w:shd w:val="clear" w:color="auto" w:fill="C4EFCE"/>
            <w:vAlign w:val="center"/>
          </w:tcPr>
          <w:p w14:paraId="2A77E3A7" w14:textId="77777777" w:rsidR="00154AD2" w:rsidRDefault="007F6BF3">
            <w:pPr>
              <w:pStyle w:val="P68B1DB1-Normal23"/>
              <w:spacing w:after="0"/>
              <w:jc w:val="center"/>
              <w:rPr>
                <w:rFonts w:eastAsia="Calibri" w:cs="Calibri"/>
                <w:noProof/>
              </w:rPr>
            </w:pPr>
            <w:r>
              <w:rPr>
                <w:noProof/>
              </w:rPr>
              <w:t>RE-C02-i05</w:t>
            </w:r>
          </w:p>
        </w:tc>
        <w:tc>
          <w:tcPr>
            <w:tcW w:w="1520" w:type="dxa"/>
            <w:tcBorders>
              <w:top w:val="nil"/>
              <w:left w:val="nil"/>
              <w:bottom w:val="single" w:sz="4" w:space="0" w:color="auto"/>
              <w:right w:val="single" w:sz="4" w:space="0" w:color="auto"/>
            </w:tcBorders>
            <w:shd w:val="clear" w:color="auto" w:fill="C4EFCE"/>
            <w:vAlign w:val="center"/>
          </w:tcPr>
          <w:p w14:paraId="54653A95"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4A8559D1" w14:textId="77777777" w:rsidR="00154AD2" w:rsidRDefault="007F6BF3">
            <w:pPr>
              <w:pStyle w:val="P68B1DB1-Normal23"/>
              <w:spacing w:after="0"/>
              <w:jc w:val="both"/>
              <w:rPr>
                <w:rFonts w:eastAsia="Calibri" w:cs="Calibri"/>
                <w:noProof/>
              </w:rPr>
            </w:pPr>
            <w:r>
              <w:rPr>
                <w:noProof/>
              </w:rPr>
              <w:t>Απόθεμα οικονομικά προσιτών δημόσιων κατοικιών — Αξιοποιημένες κατοικίες (κατασκευασμένες με υψηλή ενεργειακή απόδοση ή αποκατεστημένες με βελτιωμένη ενεργειακή απόδοση)</w:t>
            </w:r>
          </w:p>
        </w:tc>
      </w:tr>
      <w:tr w:rsidR="00154AD2" w14:paraId="78375D2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679A92DF" w14:textId="77777777" w:rsidR="00154AD2" w:rsidRDefault="007F6BF3">
            <w:pPr>
              <w:pStyle w:val="P68B1DB1-Normal23"/>
              <w:spacing w:after="0"/>
              <w:jc w:val="center"/>
              <w:rPr>
                <w:rFonts w:eastAsia="Calibri" w:cs="Calibri"/>
                <w:noProof/>
              </w:rPr>
            </w:pPr>
            <w:r>
              <w:rPr>
                <w:noProof/>
              </w:rPr>
              <w:t>2.27</w:t>
            </w:r>
          </w:p>
        </w:tc>
        <w:tc>
          <w:tcPr>
            <w:tcW w:w="1760" w:type="dxa"/>
            <w:tcBorders>
              <w:top w:val="nil"/>
              <w:left w:val="nil"/>
              <w:bottom w:val="single" w:sz="4" w:space="0" w:color="auto"/>
              <w:right w:val="single" w:sz="4" w:space="0" w:color="auto"/>
            </w:tcBorders>
            <w:shd w:val="clear" w:color="auto" w:fill="C4EFCE"/>
            <w:vAlign w:val="center"/>
          </w:tcPr>
          <w:p w14:paraId="3001518D" w14:textId="77777777" w:rsidR="00154AD2" w:rsidRDefault="007F6BF3">
            <w:pPr>
              <w:pStyle w:val="P68B1DB1-Normal23"/>
              <w:spacing w:after="0"/>
              <w:jc w:val="center"/>
              <w:rPr>
                <w:rFonts w:eastAsia="Calibri" w:cs="Calibri"/>
                <w:noProof/>
              </w:rPr>
            </w:pPr>
            <w:r>
              <w:rPr>
                <w:noProof/>
              </w:rPr>
              <w:t>RE-C02-i06</w:t>
            </w:r>
          </w:p>
        </w:tc>
        <w:tc>
          <w:tcPr>
            <w:tcW w:w="1520" w:type="dxa"/>
            <w:tcBorders>
              <w:top w:val="nil"/>
              <w:left w:val="nil"/>
              <w:bottom w:val="single" w:sz="4" w:space="0" w:color="auto"/>
              <w:right w:val="single" w:sz="4" w:space="0" w:color="auto"/>
            </w:tcBorders>
            <w:shd w:val="clear" w:color="auto" w:fill="C4EFCE"/>
            <w:vAlign w:val="center"/>
          </w:tcPr>
          <w:p w14:paraId="3DA24E36"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169F4C1B" w14:textId="77777777" w:rsidR="00154AD2" w:rsidRDefault="007F6BF3">
            <w:pPr>
              <w:pStyle w:val="P68B1DB1-Normal23"/>
              <w:spacing w:after="0"/>
              <w:jc w:val="both"/>
              <w:rPr>
                <w:rFonts w:eastAsia="Calibri" w:cs="Calibri"/>
                <w:noProof/>
              </w:rPr>
            </w:pPr>
            <w:r>
              <w:rPr>
                <w:noProof/>
              </w:rPr>
              <w:t>Φοιτητική στέγαση με προσιτό κόστος</w:t>
            </w:r>
          </w:p>
        </w:tc>
      </w:tr>
      <w:tr w:rsidR="00154AD2" w14:paraId="67D2565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7EFDADF4" w14:textId="77777777" w:rsidR="00154AD2" w:rsidRDefault="007F6BF3">
            <w:pPr>
              <w:pStyle w:val="P68B1DB1-Normal23"/>
              <w:spacing w:after="0"/>
              <w:jc w:val="center"/>
              <w:rPr>
                <w:rFonts w:eastAsia="Calibri" w:cs="Calibri"/>
                <w:noProof/>
              </w:rPr>
            </w:pPr>
            <w:r>
              <w:rPr>
                <w:noProof/>
              </w:rPr>
              <w:t>5.29</w:t>
            </w:r>
          </w:p>
        </w:tc>
        <w:tc>
          <w:tcPr>
            <w:tcW w:w="1760" w:type="dxa"/>
            <w:tcBorders>
              <w:top w:val="nil"/>
              <w:left w:val="nil"/>
              <w:bottom w:val="single" w:sz="4" w:space="0" w:color="auto"/>
              <w:right w:val="single" w:sz="4" w:space="0" w:color="auto"/>
            </w:tcBorders>
            <w:shd w:val="clear" w:color="auto" w:fill="C4EFCE"/>
            <w:vAlign w:val="center"/>
          </w:tcPr>
          <w:p w14:paraId="65077588" w14:textId="77777777" w:rsidR="00154AD2" w:rsidRDefault="007F6BF3">
            <w:pPr>
              <w:pStyle w:val="P68B1DB1-Normal23"/>
              <w:spacing w:after="0"/>
              <w:jc w:val="center"/>
              <w:rPr>
                <w:rFonts w:eastAsia="Calibri" w:cs="Calibri"/>
                <w:noProof/>
              </w:rPr>
            </w:pPr>
            <w:r>
              <w:rPr>
                <w:noProof/>
              </w:rPr>
              <w:t>RE-C05-i06</w:t>
            </w:r>
          </w:p>
        </w:tc>
        <w:tc>
          <w:tcPr>
            <w:tcW w:w="1520" w:type="dxa"/>
            <w:tcBorders>
              <w:top w:val="nil"/>
              <w:left w:val="nil"/>
              <w:bottom w:val="single" w:sz="4" w:space="0" w:color="auto"/>
              <w:right w:val="single" w:sz="4" w:space="0" w:color="auto"/>
            </w:tcBorders>
            <w:shd w:val="clear" w:color="auto" w:fill="C4EFCE"/>
            <w:vAlign w:val="center"/>
          </w:tcPr>
          <w:p w14:paraId="6A34C10A"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04DE8649" w14:textId="73C0101C" w:rsidR="00154AD2" w:rsidRDefault="007F6BF3">
            <w:pPr>
              <w:pStyle w:val="P68B1DB1-Normal23"/>
              <w:spacing w:after="0"/>
              <w:jc w:val="both"/>
              <w:rPr>
                <w:rFonts w:eastAsia="Calibri" w:cs="Calibri"/>
                <w:noProof/>
              </w:rPr>
            </w:pPr>
            <w:r>
              <w:rPr>
                <w:noProof/>
              </w:rPr>
              <w:t>Παράδοση από το μέσο κεφαλαιοποίησης συνολικού ποσού 1 300 000 000 EUR σε πορτογαλικές μη χρηματοπιστωτικές εταιρείες ως στήριξη ιδίων κεφαλαίων και οιονεί ιδίων κεφαλαίων, σύμφωνα με την επενδυτική πολιτική της</w:t>
            </w:r>
          </w:p>
        </w:tc>
      </w:tr>
      <w:tr w:rsidR="00154AD2" w14:paraId="50C64AB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0B472DD0" w14:textId="77777777" w:rsidR="00154AD2" w:rsidRDefault="007F6BF3">
            <w:pPr>
              <w:pStyle w:val="P68B1DB1-Normal23"/>
              <w:spacing w:after="0"/>
              <w:jc w:val="center"/>
              <w:rPr>
                <w:rFonts w:eastAsia="Calibri" w:cs="Calibri"/>
                <w:noProof/>
              </w:rPr>
            </w:pPr>
            <w:r>
              <w:rPr>
                <w:noProof/>
              </w:rPr>
              <w:t>5.32</w:t>
            </w:r>
          </w:p>
        </w:tc>
        <w:tc>
          <w:tcPr>
            <w:tcW w:w="1760" w:type="dxa"/>
            <w:tcBorders>
              <w:top w:val="nil"/>
              <w:left w:val="nil"/>
              <w:bottom w:val="single" w:sz="4" w:space="0" w:color="auto"/>
              <w:right w:val="single" w:sz="4" w:space="0" w:color="auto"/>
            </w:tcBorders>
            <w:shd w:val="clear" w:color="auto" w:fill="C4EFCE"/>
            <w:vAlign w:val="center"/>
          </w:tcPr>
          <w:p w14:paraId="44B52EBF" w14:textId="77777777" w:rsidR="00154AD2" w:rsidRDefault="007F6BF3">
            <w:pPr>
              <w:pStyle w:val="P68B1DB1-Normal23"/>
              <w:spacing w:after="0"/>
              <w:jc w:val="center"/>
              <w:rPr>
                <w:rFonts w:eastAsia="Calibri" w:cs="Calibri"/>
                <w:noProof/>
              </w:rPr>
            </w:pPr>
            <w:r>
              <w:rPr>
                <w:noProof/>
              </w:rPr>
              <w:t>RE-C05-i06</w:t>
            </w:r>
          </w:p>
        </w:tc>
        <w:tc>
          <w:tcPr>
            <w:tcW w:w="1520" w:type="dxa"/>
            <w:tcBorders>
              <w:top w:val="nil"/>
              <w:left w:val="nil"/>
              <w:bottom w:val="single" w:sz="4" w:space="0" w:color="auto"/>
              <w:right w:val="single" w:sz="4" w:space="0" w:color="auto"/>
            </w:tcBorders>
            <w:shd w:val="clear" w:color="auto" w:fill="C4EFCE"/>
            <w:vAlign w:val="center"/>
          </w:tcPr>
          <w:p w14:paraId="75CF3957"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29D7A449" w14:textId="77777777" w:rsidR="00154AD2" w:rsidRDefault="007F6BF3">
            <w:pPr>
              <w:pStyle w:val="P68B1DB1-Normal23"/>
              <w:spacing w:after="0"/>
              <w:jc w:val="both"/>
              <w:rPr>
                <w:rFonts w:eastAsia="Calibri" w:cs="Calibri"/>
                <w:noProof/>
              </w:rPr>
            </w:pPr>
            <w:r>
              <w:rPr>
                <w:noProof/>
              </w:rPr>
              <w:t>Το 100 % των εγγυήσεων που διατέθηκαν με την αύξηση κεφαλαίου έχουν υπογραφεί.</w:t>
            </w:r>
          </w:p>
        </w:tc>
      </w:tr>
      <w:tr w:rsidR="00154AD2" w14:paraId="382C66B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622DA2FA" w14:textId="77777777" w:rsidR="00154AD2" w:rsidRDefault="007F6BF3">
            <w:pPr>
              <w:pStyle w:val="P68B1DB1-Normal23"/>
              <w:spacing w:after="0"/>
              <w:jc w:val="center"/>
              <w:rPr>
                <w:rFonts w:eastAsia="Calibri" w:cs="Calibri"/>
                <w:noProof/>
              </w:rPr>
            </w:pPr>
            <w:r>
              <w:rPr>
                <w:noProof/>
              </w:rPr>
              <w:t>5.45</w:t>
            </w:r>
          </w:p>
        </w:tc>
        <w:tc>
          <w:tcPr>
            <w:tcW w:w="1760" w:type="dxa"/>
            <w:tcBorders>
              <w:top w:val="nil"/>
              <w:left w:val="nil"/>
              <w:bottom w:val="single" w:sz="4" w:space="0" w:color="auto"/>
              <w:right w:val="single" w:sz="4" w:space="0" w:color="auto"/>
            </w:tcBorders>
            <w:shd w:val="clear" w:color="auto" w:fill="C4EFCE"/>
            <w:vAlign w:val="center"/>
          </w:tcPr>
          <w:p w14:paraId="0BD22FC2" w14:textId="77777777" w:rsidR="00154AD2" w:rsidRDefault="007F6BF3">
            <w:pPr>
              <w:pStyle w:val="P68B1DB1-Normal23"/>
              <w:spacing w:after="0"/>
              <w:jc w:val="center"/>
              <w:rPr>
                <w:rFonts w:eastAsia="Calibri" w:cs="Calibri"/>
                <w:noProof/>
              </w:rPr>
            </w:pPr>
            <w:r>
              <w:rPr>
                <w:noProof/>
              </w:rPr>
              <w:t>RE-C05-i11</w:t>
            </w:r>
          </w:p>
        </w:tc>
        <w:tc>
          <w:tcPr>
            <w:tcW w:w="1520" w:type="dxa"/>
            <w:tcBorders>
              <w:top w:val="nil"/>
              <w:left w:val="nil"/>
              <w:bottom w:val="single" w:sz="4" w:space="0" w:color="auto"/>
              <w:right w:val="single" w:sz="4" w:space="0" w:color="auto"/>
            </w:tcBorders>
            <w:shd w:val="clear" w:color="auto" w:fill="C4EFCE"/>
            <w:vAlign w:val="center"/>
          </w:tcPr>
          <w:p w14:paraId="197EDE46"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3321F122" w14:textId="77777777" w:rsidR="00154AD2" w:rsidRDefault="007F6BF3">
            <w:pPr>
              <w:pStyle w:val="P68B1DB1-Normal23"/>
              <w:spacing w:after="0"/>
              <w:jc w:val="both"/>
              <w:rPr>
                <w:rFonts w:eastAsia="Calibri" w:cs="Calibri"/>
                <w:noProof/>
              </w:rPr>
            </w:pPr>
            <w:r>
              <w:rPr>
                <w:noProof/>
              </w:rPr>
              <w:t>Ολοκλήρωση 446 προϊόντων, διεργασιών ή υπηρεσιών.</w:t>
            </w:r>
          </w:p>
        </w:tc>
      </w:tr>
      <w:tr w:rsidR="00154AD2" w14:paraId="75A43AF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1A6C56C4" w14:textId="77777777" w:rsidR="00154AD2" w:rsidRDefault="007F6BF3">
            <w:pPr>
              <w:pStyle w:val="P68B1DB1-Normal23"/>
              <w:spacing w:after="0"/>
              <w:jc w:val="center"/>
              <w:rPr>
                <w:rFonts w:eastAsia="Calibri" w:cs="Calibri"/>
                <w:noProof/>
              </w:rPr>
            </w:pPr>
            <w:r>
              <w:rPr>
                <w:noProof/>
              </w:rPr>
              <w:t>5.47</w:t>
            </w:r>
          </w:p>
        </w:tc>
        <w:tc>
          <w:tcPr>
            <w:tcW w:w="1760" w:type="dxa"/>
            <w:tcBorders>
              <w:top w:val="nil"/>
              <w:left w:val="nil"/>
              <w:bottom w:val="single" w:sz="4" w:space="0" w:color="auto"/>
              <w:right w:val="single" w:sz="4" w:space="0" w:color="auto"/>
            </w:tcBorders>
            <w:shd w:val="clear" w:color="auto" w:fill="C4EFCE"/>
            <w:vAlign w:val="center"/>
          </w:tcPr>
          <w:p w14:paraId="49495519" w14:textId="3E544D5D" w:rsidR="00154AD2" w:rsidRDefault="007F6BF3">
            <w:pPr>
              <w:pStyle w:val="P68B1DB1-Normal23"/>
              <w:spacing w:after="0"/>
              <w:jc w:val="center"/>
              <w:rPr>
                <w:rFonts w:eastAsia="Calibri" w:cs="Calibri"/>
                <w:noProof/>
              </w:rPr>
            </w:pPr>
            <w:r>
              <w:rPr>
                <w:noProof/>
              </w:rPr>
              <w:t>RE-C05-i12</w:t>
            </w:r>
          </w:p>
        </w:tc>
        <w:tc>
          <w:tcPr>
            <w:tcW w:w="1520" w:type="dxa"/>
            <w:tcBorders>
              <w:top w:val="nil"/>
              <w:left w:val="nil"/>
              <w:bottom w:val="single" w:sz="4" w:space="0" w:color="auto"/>
              <w:right w:val="single" w:sz="4" w:space="0" w:color="auto"/>
            </w:tcBorders>
            <w:shd w:val="clear" w:color="auto" w:fill="C4EFCE"/>
            <w:vAlign w:val="center"/>
          </w:tcPr>
          <w:p w14:paraId="1D528D41"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0301C30B" w14:textId="77777777" w:rsidR="00154AD2" w:rsidRDefault="007F6BF3">
            <w:pPr>
              <w:pStyle w:val="P68B1DB1-Normal23"/>
              <w:spacing w:after="0"/>
              <w:jc w:val="both"/>
              <w:rPr>
                <w:rFonts w:eastAsia="Calibri" w:cs="Calibri"/>
                <w:noProof/>
              </w:rPr>
            </w:pPr>
            <w:r>
              <w:rPr>
                <w:noProof/>
              </w:rPr>
              <w:t>Σύναψη συμβάσεων για την ανάπτυξη νέων προϊόντων, διαδικασιών ή υπηρεσιών σε στρατηγικούς τομείς που σχετίζονται με την οικονομία χαμηλών ανθρακούχων εκπομπών, την ανθεκτικότητα και την προσαρμογή στην κλιματική αλλαγή.</w:t>
            </w:r>
          </w:p>
        </w:tc>
      </w:tr>
      <w:tr w:rsidR="00154AD2" w14:paraId="14F0C66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3876D187" w14:textId="77777777" w:rsidR="00154AD2" w:rsidRDefault="007F6BF3">
            <w:pPr>
              <w:pStyle w:val="P68B1DB1-Normal23"/>
              <w:spacing w:after="0"/>
              <w:jc w:val="center"/>
              <w:rPr>
                <w:rFonts w:eastAsia="Calibri" w:cs="Calibri"/>
                <w:noProof/>
              </w:rPr>
            </w:pPr>
            <w:r>
              <w:rPr>
                <w:noProof/>
              </w:rPr>
              <w:t>7.10</w:t>
            </w:r>
          </w:p>
        </w:tc>
        <w:tc>
          <w:tcPr>
            <w:tcW w:w="1760" w:type="dxa"/>
            <w:tcBorders>
              <w:top w:val="nil"/>
              <w:left w:val="nil"/>
              <w:bottom w:val="single" w:sz="4" w:space="0" w:color="auto"/>
              <w:right w:val="single" w:sz="4" w:space="0" w:color="auto"/>
            </w:tcBorders>
            <w:shd w:val="clear" w:color="auto" w:fill="C4EFCE"/>
            <w:vAlign w:val="center"/>
          </w:tcPr>
          <w:p w14:paraId="4150F0A6" w14:textId="77777777" w:rsidR="00154AD2" w:rsidRDefault="007F6BF3">
            <w:pPr>
              <w:pStyle w:val="P68B1DB1-Normal23"/>
              <w:spacing w:after="0"/>
              <w:jc w:val="center"/>
              <w:rPr>
                <w:rFonts w:eastAsia="Calibri" w:cs="Calibri"/>
                <w:noProof/>
              </w:rPr>
            </w:pPr>
            <w:r>
              <w:rPr>
                <w:noProof/>
              </w:rPr>
              <w:t>RE-C07-i03</w:t>
            </w:r>
          </w:p>
        </w:tc>
        <w:tc>
          <w:tcPr>
            <w:tcW w:w="1520" w:type="dxa"/>
            <w:tcBorders>
              <w:top w:val="nil"/>
              <w:left w:val="nil"/>
              <w:bottom w:val="single" w:sz="4" w:space="0" w:color="auto"/>
              <w:right w:val="single" w:sz="4" w:space="0" w:color="auto"/>
            </w:tcBorders>
            <w:shd w:val="clear" w:color="auto" w:fill="C4EFCE"/>
            <w:vAlign w:val="center"/>
          </w:tcPr>
          <w:p w14:paraId="592CEA84" w14:textId="77777777" w:rsidR="00154AD2" w:rsidRDefault="007F6BF3">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2B2DBE78" w14:textId="77777777" w:rsidR="00154AD2" w:rsidRDefault="007F6BF3">
            <w:pPr>
              <w:pStyle w:val="P68B1DB1-Normal23"/>
              <w:spacing w:after="0"/>
              <w:jc w:val="both"/>
              <w:rPr>
                <w:rFonts w:eastAsia="Calibri" w:cs="Calibri"/>
                <w:noProof/>
              </w:rPr>
            </w:pPr>
            <w:r>
              <w:rPr>
                <w:noProof/>
              </w:rPr>
              <w:t>Οδοί που κατασκευάστηκαν ή αποκαταστάθηκαν</w:t>
            </w:r>
          </w:p>
        </w:tc>
      </w:tr>
      <w:tr w:rsidR="00154AD2" w14:paraId="7DB20DE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73F74755" w14:textId="77777777" w:rsidR="00154AD2" w:rsidRDefault="007F6BF3">
            <w:pPr>
              <w:pStyle w:val="P68B1DB1-Normal23"/>
              <w:spacing w:after="0"/>
              <w:jc w:val="center"/>
              <w:rPr>
                <w:rFonts w:eastAsia="Calibri" w:cs="Calibri"/>
                <w:noProof/>
              </w:rPr>
            </w:pPr>
            <w:r>
              <w:rPr>
                <w:noProof/>
              </w:rPr>
              <w:t>7.12</w:t>
            </w:r>
          </w:p>
        </w:tc>
        <w:tc>
          <w:tcPr>
            <w:tcW w:w="1760" w:type="dxa"/>
            <w:tcBorders>
              <w:top w:val="single" w:sz="4" w:space="0" w:color="auto"/>
              <w:left w:val="nil"/>
              <w:bottom w:val="single" w:sz="4" w:space="0" w:color="auto"/>
              <w:right w:val="single" w:sz="4" w:space="0" w:color="auto"/>
            </w:tcBorders>
            <w:shd w:val="clear" w:color="auto" w:fill="C4EFCE"/>
            <w:vAlign w:val="center"/>
          </w:tcPr>
          <w:p w14:paraId="70788EBF" w14:textId="77777777" w:rsidR="00154AD2" w:rsidRDefault="007F6BF3">
            <w:pPr>
              <w:pStyle w:val="P68B1DB1-Normal23"/>
              <w:spacing w:after="0"/>
              <w:jc w:val="center"/>
              <w:rPr>
                <w:rFonts w:eastAsia="Calibri" w:cs="Calibri"/>
                <w:noProof/>
              </w:rPr>
            </w:pPr>
            <w:r>
              <w:rPr>
                <w:noProof/>
              </w:rPr>
              <w:t>RE-C07-i04</w:t>
            </w:r>
          </w:p>
        </w:tc>
        <w:tc>
          <w:tcPr>
            <w:tcW w:w="1520" w:type="dxa"/>
            <w:tcBorders>
              <w:top w:val="single" w:sz="4" w:space="0" w:color="auto"/>
              <w:left w:val="nil"/>
              <w:bottom w:val="single" w:sz="4" w:space="0" w:color="auto"/>
              <w:right w:val="single" w:sz="4" w:space="0" w:color="auto"/>
            </w:tcBorders>
            <w:shd w:val="clear" w:color="auto" w:fill="C4EFCE"/>
            <w:vAlign w:val="center"/>
          </w:tcPr>
          <w:p w14:paraId="5C0933CA" w14:textId="77777777" w:rsidR="00154AD2" w:rsidRDefault="007F6BF3">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tcPr>
          <w:p w14:paraId="6814B6B4" w14:textId="77777777" w:rsidR="00154AD2" w:rsidRDefault="007F6BF3">
            <w:pPr>
              <w:pStyle w:val="P68B1DB1-Normal23"/>
              <w:spacing w:after="0"/>
              <w:jc w:val="both"/>
              <w:rPr>
                <w:rFonts w:eastAsia="Calibri" w:cs="Calibri"/>
                <w:noProof/>
              </w:rPr>
            </w:pPr>
            <w:r>
              <w:rPr>
                <w:noProof/>
              </w:rPr>
              <w:t>Οδοί που κατασκευάστηκαν ή αποκαταστάθηκαν</w:t>
            </w:r>
          </w:p>
        </w:tc>
      </w:tr>
      <w:tr w:rsidR="00154AD2" w14:paraId="2FF9C22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2DAA1A82" w14:textId="66BEC41C" w:rsidR="00154AD2" w:rsidRDefault="007F6BF3">
            <w:pPr>
              <w:pStyle w:val="P68B1DB1-Normal23"/>
              <w:spacing w:after="0"/>
              <w:jc w:val="center"/>
              <w:rPr>
                <w:rFonts w:eastAsia="Calibri" w:cs="Calibri"/>
                <w:noProof/>
              </w:rPr>
            </w:pPr>
            <w:r>
              <w:rPr>
                <w:noProof/>
              </w:rPr>
              <w:t>19.30</w:t>
            </w:r>
          </w:p>
        </w:tc>
        <w:tc>
          <w:tcPr>
            <w:tcW w:w="1760" w:type="dxa"/>
            <w:tcBorders>
              <w:top w:val="single" w:sz="4" w:space="0" w:color="auto"/>
              <w:left w:val="nil"/>
              <w:bottom w:val="single" w:sz="4" w:space="0" w:color="auto"/>
              <w:right w:val="single" w:sz="4" w:space="0" w:color="auto"/>
            </w:tcBorders>
            <w:shd w:val="clear" w:color="auto" w:fill="C4EFCE"/>
            <w:vAlign w:val="center"/>
          </w:tcPr>
          <w:p w14:paraId="71C7B993" w14:textId="3F7646E8" w:rsidR="00154AD2" w:rsidRDefault="007F6BF3">
            <w:pPr>
              <w:pStyle w:val="P68B1DB1-Normal23"/>
              <w:spacing w:after="0"/>
              <w:jc w:val="center"/>
              <w:rPr>
                <w:rFonts w:eastAsia="Calibri" w:cs="Calibri"/>
                <w:noProof/>
              </w:rPr>
            </w:pPr>
            <w:r>
              <w:rPr>
                <w:noProof/>
              </w:rPr>
              <w:t>TD-C19-r41</w:t>
            </w:r>
          </w:p>
        </w:tc>
        <w:tc>
          <w:tcPr>
            <w:tcW w:w="1520" w:type="dxa"/>
            <w:tcBorders>
              <w:top w:val="single" w:sz="4" w:space="0" w:color="auto"/>
              <w:left w:val="nil"/>
              <w:bottom w:val="nil"/>
              <w:right w:val="single" w:sz="4" w:space="0" w:color="auto"/>
            </w:tcBorders>
            <w:shd w:val="clear" w:color="auto" w:fill="C4EFCE"/>
            <w:vAlign w:val="center"/>
          </w:tcPr>
          <w:p w14:paraId="16274021" w14:textId="378AF8DD" w:rsidR="00154AD2" w:rsidRDefault="007F6BF3">
            <w:pPr>
              <w:pStyle w:val="P68B1DB1-Normal23"/>
              <w:spacing w:after="0"/>
              <w:jc w:val="center"/>
              <w:rPr>
                <w:rFonts w:eastAsia="Calibri" w:cs="Calibri"/>
                <w:noProof/>
              </w:rPr>
            </w:pPr>
            <w:r>
              <w:rPr>
                <w:noProof/>
              </w:rPr>
              <w:t>M</w:t>
            </w:r>
          </w:p>
        </w:tc>
        <w:tc>
          <w:tcPr>
            <w:tcW w:w="5060" w:type="dxa"/>
            <w:tcBorders>
              <w:top w:val="single" w:sz="4" w:space="0" w:color="auto"/>
              <w:left w:val="nil"/>
              <w:bottom w:val="nil"/>
              <w:right w:val="single" w:sz="4" w:space="0" w:color="auto"/>
            </w:tcBorders>
            <w:shd w:val="clear" w:color="auto" w:fill="C4EFCE"/>
            <w:vAlign w:val="center"/>
          </w:tcPr>
          <w:p w14:paraId="7AD3F20C" w14:textId="697A142B" w:rsidR="00154AD2" w:rsidRDefault="007F6BF3">
            <w:pPr>
              <w:pStyle w:val="P68B1DB1-Normal23"/>
              <w:spacing w:after="0"/>
              <w:jc w:val="both"/>
              <w:rPr>
                <w:rFonts w:eastAsia="Calibri" w:cs="Calibri"/>
                <w:noProof/>
              </w:rPr>
            </w:pPr>
            <w:r>
              <w:rPr>
                <w:noProof/>
              </w:rPr>
              <w:t>Έναρξη ισχύος της νομοθετικής πράξης για την πρόσβαση στις δημόσιες υπηρεσίες</w:t>
            </w:r>
          </w:p>
        </w:tc>
      </w:tr>
      <w:tr w:rsidR="00154AD2" w14:paraId="2DA41D0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32CD2493" w14:textId="77777777" w:rsidR="00154AD2" w:rsidRDefault="007F6BF3">
            <w:pPr>
              <w:pStyle w:val="P68B1DB1-Normal8"/>
              <w:spacing w:after="0" w:line="240" w:lineRule="auto"/>
              <w:jc w:val="center"/>
              <w:rPr>
                <w:rFonts w:eastAsia="Times New Roman" w:cs="Calibri"/>
                <w:noProof/>
              </w:rPr>
            </w:pPr>
            <w:r>
              <w:rPr>
                <w:noProof/>
              </w:rPr>
              <w:t> </w:t>
            </w:r>
          </w:p>
        </w:tc>
        <w:tc>
          <w:tcPr>
            <w:tcW w:w="1760" w:type="dxa"/>
            <w:tcBorders>
              <w:top w:val="nil"/>
              <w:left w:val="nil"/>
              <w:bottom w:val="single" w:sz="4" w:space="0" w:color="auto"/>
              <w:right w:val="single" w:sz="4" w:space="0" w:color="auto"/>
            </w:tcBorders>
            <w:shd w:val="clear" w:color="auto" w:fill="C4EFCE"/>
            <w:vAlign w:val="center"/>
          </w:tcPr>
          <w:p w14:paraId="0300EF67" w14:textId="77777777" w:rsidR="00154AD2" w:rsidRDefault="007F6BF3">
            <w:pPr>
              <w:pStyle w:val="P68B1DB1-Normal8"/>
              <w:spacing w:after="0" w:line="240" w:lineRule="auto"/>
              <w:rPr>
                <w:rFonts w:eastAsia="Times New Roman" w:cs="Calibri"/>
                <w:noProof/>
              </w:rPr>
            </w:pPr>
            <w:r>
              <w:rPr>
                <w:noProof/>
              </w:rPr>
              <w:t> </w:t>
            </w:r>
          </w:p>
        </w:tc>
        <w:tc>
          <w:tcPr>
            <w:tcW w:w="1520" w:type="dxa"/>
            <w:tcBorders>
              <w:top w:val="single" w:sz="4" w:space="0" w:color="auto"/>
              <w:left w:val="nil"/>
              <w:bottom w:val="single" w:sz="4" w:space="0" w:color="auto"/>
              <w:right w:val="single" w:sz="4" w:space="0" w:color="auto"/>
            </w:tcBorders>
            <w:shd w:val="clear" w:color="auto" w:fill="C4EFCE"/>
            <w:vAlign w:val="center"/>
          </w:tcPr>
          <w:p w14:paraId="55ECE748" w14:textId="77777777" w:rsidR="00154AD2" w:rsidRDefault="007F6BF3">
            <w:pPr>
              <w:pStyle w:val="P68B1DB1-Normal24"/>
              <w:spacing w:after="0" w:line="240" w:lineRule="auto"/>
              <w:jc w:val="center"/>
              <w:rPr>
                <w:rFonts w:eastAsia="Times New Roman" w:cs="Calibri"/>
                <w:noProof/>
              </w:rPr>
            </w:pPr>
            <w:r>
              <w:rPr>
                <w:noProof/>
              </w:rPr>
              <w:t>Ποσό δόσης</w:t>
            </w:r>
          </w:p>
        </w:tc>
        <w:tc>
          <w:tcPr>
            <w:tcW w:w="5060" w:type="dxa"/>
            <w:tcBorders>
              <w:top w:val="single" w:sz="4" w:space="0" w:color="auto"/>
              <w:left w:val="nil"/>
              <w:bottom w:val="single" w:sz="4" w:space="0" w:color="auto"/>
              <w:right w:val="single" w:sz="4" w:space="0" w:color="auto"/>
            </w:tcBorders>
            <w:shd w:val="clear" w:color="auto" w:fill="C4EFCE"/>
            <w:vAlign w:val="center"/>
          </w:tcPr>
          <w:p w14:paraId="7C719D15" w14:textId="6A1C6747" w:rsidR="00154AD2" w:rsidRDefault="007F6BF3">
            <w:pPr>
              <w:pStyle w:val="P68B1DB1-Normal25"/>
              <w:spacing w:after="0" w:line="240" w:lineRule="auto"/>
              <w:jc w:val="center"/>
              <w:rPr>
                <w:rFonts w:cs="Calibri"/>
                <w:noProof/>
              </w:rPr>
            </w:pPr>
            <w:r>
              <w:rPr>
                <w:noProof/>
              </w:rPr>
              <w:t xml:space="preserve"> 938 960 210 EUR </w:t>
            </w:r>
          </w:p>
        </w:tc>
      </w:tr>
    </w:tbl>
    <w:p w14:paraId="2594BF65" w14:textId="77777777" w:rsidR="00154AD2" w:rsidRDefault="00154AD2">
      <w:pPr>
        <w:keepNext/>
        <w:spacing w:before="40" w:after="160" w:line="259" w:lineRule="auto"/>
        <w:contextualSpacing/>
        <w:jc w:val="both"/>
        <w:rPr>
          <w:rFonts w:ascii="Times New Roman" w:eastAsiaTheme="minorEastAsia" w:hAnsi="Times New Roman" w:cs="Times New Roman"/>
          <w:noProof/>
          <w:sz w:val="24"/>
        </w:rPr>
      </w:pPr>
    </w:p>
    <w:p w14:paraId="76C80100" w14:textId="2CDFED06" w:rsidR="00154AD2" w:rsidRDefault="007F6BF3">
      <w:pPr>
        <w:pStyle w:val="P68B1DB1-Normal4"/>
        <w:keepNext/>
        <w:spacing w:before="40" w:after="160" w:line="259" w:lineRule="auto"/>
        <w:contextualSpacing/>
        <w:jc w:val="both"/>
        <w:rPr>
          <w:rFonts w:eastAsia="Yu Mincho" w:cs="Times New Roman"/>
          <w:noProof/>
        </w:rPr>
      </w:pPr>
      <w:r>
        <w:rPr>
          <w:noProof/>
        </w:rPr>
        <w:t>2.10. Δέκατο αίτημα πληρωμής (δανειακή στήριξη):</w:t>
      </w:r>
    </w:p>
    <w:p w14:paraId="71DB6764" w14:textId="77777777" w:rsidR="00154AD2" w:rsidRDefault="00154AD2">
      <w:pPr>
        <w:keepNext/>
        <w:spacing w:before="40" w:after="0" w:line="259" w:lineRule="auto"/>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1750"/>
        <w:gridCol w:w="1670"/>
        <w:gridCol w:w="4931"/>
      </w:tblGrid>
      <w:tr w:rsidR="00154AD2" w14:paraId="6B7C20FE" w14:textId="77777777">
        <w:trPr>
          <w:trHeight w:val="509"/>
          <w:tblHeader/>
        </w:trPr>
        <w:tc>
          <w:tcPr>
            <w:tcW w:w="1200" w:type="dxa"/>
            <w:vMerge w:val="restart"/>
            <w:shd w:val="clear" w:color="auto" w:fill="BDD7EE"/>
            <w:vAlign w:val="center"/>
            <w:hideMark/>
          </w:tcPr>
          <w:p w14:paraId="091A540E" w14:textId="77777777" w:rsidR="00154AD2" w:rsidRDefault="007F6BF3">
            <w:pPr>
              <w:pStyle w:val="P68B1DB1-Normal22"/>
              <w:spacing w:after="0" w:line="240" w:lineRule="auto"/>
              <w:jc w:val="center"/>
              <w:rPr>
                <w:rFonts w:eastAsia="Times New Roman" w:cs="Times New Roman"/>
                <w:noProof/>
              </w:rPr>
            </w:pPr>
            <w:r>
              <w:rPr>
                <w:noProof/>
              </w:rPr>
              <w:t>Αύξων αριθμός</w:t>
            </w:r>
          </w:p>
        </w:tc>
        <w:tc>
          <w:tcPr>
            <w:tcW w:w="1760" w:type="dxa"/>
            <w:vMerge w:val="restart"/>
            <w:shd w:val="clear" w:color="auto" w:fill="BDD7EE"/>
            <w:vAlign w:val="center"/>
            <w:hideMark/>
          </w:tcPr>
          <w:p w14:paraId="52173FC7" w14:textId="77777777" w:rsidR="00154AD2" w:rsidRDefault="007F6BF3">
            <w:pPr>
              <w:pStyle w:val="P68B1DB1-Normal22"/>
              <w:spacing w:after="0" w:line="240" w:lineRule="auto"/>
              <w:jc w:val="center"/>
              <w:rPr>
                <w:rFonts w:eastAsia="Times New Roman" w:cs="Times New Roman"/>
                <w:noProof/>
              </w:rPr>
            </w:pPr>
            <w:r>
              <w:rPr>
                <w:noProof/>
              </w:rPr>
              <w:t>Σχετικό μέτρο (μεταρρύθμιση ή επένδυση)</w:t>
            </w:r>
          </w:p>
        </w:tc>
        <w:tc>
          <w:tcPr>
            <w:tcW w:w="1520" w:type="dxa"/>
            <w:vMerge w:val="restart"/>
            <w:shd w:val="clear" w:color="auto" w:fill="BDD7EE"/>
            <w:vAlign w:val="center"/>
            <w:hideMark/>
          </w:tcPr>
          <w:p w14:paraId="60F692F4" w14:textId="77777777" w:rsidR="00154AD2" w:rsidRDefault="007F6BF3">
            <w:pPr>
              <w:pStyle w:val="P68B1DB1-Normal22"/>
              <w:spacing w:after="0" w:line="240" w:lineRule="auto"/>
              <w:jc w:val="center"/>
              <w:rPr>
                <w:rFonts w:eastAsia="Times New Roman" w:cs="Times New Roman"/>
                <w:noProof/>
              </w:rPr>
            </w:pPr>
            <w:r>
              <w:rPr>
                <w:noProof/>
              </w:rPr>
              <w:t>Ορόσημο/Στόχος</w:t>
            </w:r>
          </w:p>
        </w:tc>
        <w:tc>
          <w:tcPr>
            <w:tcW w:w="5060" w:type="dxa"/>
            <w:vMerge w:val="restart"/>
            <w:shd w:val="clear" w:color="auto" w:fill="BDD7EE"/>
            <w:vAlign w:val="center"/>
            <w:hideMark/>
          </w:tcPr>
          <w:p w14:paraId="6E70766D" w14:textId="77777777" w:rsidR="00154AD2" w:rsidRDefault="007F6BF3">
            <w:pPr>
              <w:pStyle w:val="P68B1DB1-Normal22"/>
              <w:spacing w:after="0" w:line="240" w:lineRule="auto"/>
              <w:jc w:val="center"/>
              <w:rPr>
                <w:rFonts w:eastAsia="Times New Roman" w:cs="Times New Roman"/>
                <w:noProof/>
              </w:rPr>
            </w:pPr>
            <w:r>
              <w:rPr>
                <w:noProof/>
              </w:rPr>
              <w:t>Όνομα</w:t>
            </w:r>
          </w:p>
        </w:tc>
      </w:tr>
      <w:tr w:rsidR="00154AD2" w14:paraId="5EC6EC37" w14:textId="77777777">
        <w:trPr>
          <w:trHeight w:val="509"/>
          <w:tblHeader/>
        </w:trPr>
        <w:tc>
          <w:tcPr>
            <w:tcW w:w="1200" w:type="dxa"/>
            <w:vMerge/>
            <w:vAlign w:val="center"/>
            <w:hideMark/>
          </w:tcPr>
          <w:p w14:paraId="140A919C" w14:textId="77777777" w:rsidR="00154AD2" w:rsidRDefault="00154AD2">
            <w:pPr>
              <w:spacing w:after="0" w:line="240" w:lineRule="auto"/>
              <w:rPr>
                <w:rFonts w:ascii="Times New Roman" w:eastAsia="Times New Roman" w:hAnsi="Times New Roman" w:cs="Times New Roman"/>
                <w:noProof/>
                <w:sz w:val="20"/>
              </w:rPr>
            </w:pPr>
          </w:p>
        </w:tc>
        <w:tc>
          <w:tcPr>
            <w:tcW w:w="1760" w:type="dxa"/>
            <w:vMerge/>
            <w:vAlign w:val="center"/>
            <w:hideMark/>
          </w:tcPr>
          <w:p w14:paraId="7480BF59" w14:textId="77777777" w:rsidR="00154AD2" w:rsidRDefault="00154AD2">
            <w:pPr>
              <w:spacing w:after="0" w:line="240" w:lineRule="auto"/>
              <w:rPr>
                <w:rFonts w:ascii="Times New Roman" w:eastAsia="Times New Roman" w:hAnsi="Times New Roman" w:cs="Times New Roman"/>
                <w:noProof/>
                <w:sz w:val="20"/>
              </w:rPr>
            </w:pPr>
          </w:p>
        </w:tc>
        <w:tc>
          <w:tcPr>
            <w:tcW w:w="1520" w:type="dxa"/>
            <w:vMerge/>
            <w:vAlign w:val="center"/>
            <w:hideMark/>
          </w:tcPr>
          <w:p w14:paraId="0A39A395" w14:textId="77777777" w:rsidR="00154AD2" w:rsidRDefault="00154AD2">
            <w:pPr>
              <w:spacing w:after="0" w:line="240" w:lineRule="auto"/>
              <w:rPr>
                <w:rFonts w:ascii="Times New Roman" w:eastAsia="Times New Roman" w:hAnsi="Times New Roman" w:cs="Times New Roman"/>
                <w:noProof/>
                <w:sz w:val="20"/>
              </w:rPr>
            </w:pPr>
          </w:p>
        </w:tc>
        <w:tc>
          <w:tcPr>
            <w:tcW w:w="5060" w:type="dxa"/>
            <w:vMerge/>
            <w:vAlign w:val="center"/>
            <w:hideMark/>
          </w:tcPr>
          <w:p w14:paraId="6045547B" w14:textId="77777777" w:rsidR="00154AD2" w:rsidRDefault="00154AD2">
            <w:pPr>
              <w:spacing w:after="0" w:line="240" w:lineRule="auto"/>
              <w:rPr>
                <w:rFonts w:ascii="Times New Roman" w:eastAsia="Times New Roman" w:hAnsi="Times New Roman" w:cs="Times New Roman"/>
                <w:noProof/>
                <w:sz w:val="20"/>
              </w:rPr>
            </w:pPr>
          </w:p>
        </w:tc>
      </w:tr>
      <w:tr w:rsidR="00154AD2" w14:paraId="43A9225B" w14:textId="77777777">
        <w:trPr>
          <w:trHeight w:val="440"/>
        </w:trPr>
        <w:tc>
          <w:tcPr>
            <w:tcW w:w="1200" w:type="dxa"/>
            <w:shd w:val="clear" w:color="auto" w:fill="C4EFCE"/>
            <w:vAlign w:val="center"/>
            <w:hideMark/>
          </w:tcPr>
          <w:p w14:paraId="1060EBA6" w14:textId="77777777" w:rsidR="00154AD2" w:rsidRDefault="007F6BF3">
            <w:pPr>
              <w:pStyle w:val="P68B1DB1-Normal23"/>
              <w:spacing w:after="0"/>
              <w:jc w:val="center"/>
              <w:rPr>
                <w:rFonts w:eastAsia="Calibri" w:cs="Calibri"/>
                <w:noProof/>
              </w:rPr>
            </w:pPr>
            <w:r>
              <w:rPr>
                <w:noProof/>
              </w:rPr>
              <w:t>2.24</w:t>
            </w:r>
          </w:p>
        </w:tc>
        <w:tc>
          <w:tcPr>
            <w:tcW w:w="1760" w:type="dxa"/>
            <w:shd w:val="clear" w:color="auto" w:fill="C4EFCE"/>
            <w:vAlign w:val="center"/>
            <w:hideMark/>
          </w:tcPr>
          <w:p w14:paraId="713D07D5" w14:textId="77777777" w:rsidR="00154AD2" w:rsidRDefault="007F6BF3">
            <w:pPr>
              <w:pStyle w:val="P68B1DB1-Normal23"/>
              <w:spacing w:after="0"/>
              <w:jc w:val="center"/>
              <w:rPr>
                <w:rFonts w:eastAsia="Calibri" w:cs="Calibri"/>
                <w:noProof/>
              </w:rPr>
            </w:pPr>
            <w:r>
              <w:rPr>
                <w:noProof/>
              </w:rPr>
              <w:t>RE-C02-i05</w:t>
            </w:r>
          </w:p>
        </w:tc>
        <w:tc>
          <w:tcPr>
            <w:tcW w:w="1520" w:type="dxa"/>
            <w:shd w:val="clear" w:color="auto" w:fill="C4EFCE"/>
            <w:vAlign w:val="center"/>
            <w:hideMark/>
          </w:tcPr>
          <w:p w14:paraId="4D626FFD"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46F0F41" w14:textId="77777777" w:rsidR="00154AD2" w:rsidRDefault="007F6BF3">
            <w:pPr>
              <w:pStyle w:val="P68B1DB1-Normal23"/>
              <w:spacing w:after="0"/>
              <w:jc w:val="both"/>
              <w:rPr>
                <w:rFonts w:eastAsia="Calibri" w:cs="Calibri"/>
                <w:noProof/>
              </w:rPr>
            </w:pPr>
            <w:r>
              <w:rPr>
                <w:noProof/>
              </w:rPr>
              <w:t>Απόθεμα οικονομικά προσιτών δημόσιων κατοικιών — Αξιοποιημένες κατοικίες (κατασκευασμένες με υψηλή ενεργειακή απόδοση ή αποκατεστημένες με βελτιωμένη ενεργειακή απόδοση)</w:t>
            </w:r>
          </w:p>
        </w:tc>
      </w:tr>
      <w:tr w:rsidR="00154AD2" w14:paraId="6ACD318C" w14:textId="77777777">
        <w:trPr>
          <w:trHeight w:val="440"/>
        </w:trPr>
        <w:tc>
          <w:tcPr>
            <w:tcW w:w="1200" w:type="dxa"/>
            <w:shd w:val="clear" w:color="auto" w:fill="C4EFCE"/>
            <w:vAlign w:val="center"/>
            <w:hideMark/>
          </w:tcPr>
          <w:p w14:paraId="4A97CC8F" w14:textId="77777777" w:rsidR="00154AD2" w:rsidRDefault="007F6BF3">
            <w:pPr>
              <w:pStyle w:val="P68B1DB1-Normal23"/>
              <w:spacing w:after="0"/>
              <w:jc w:val="center"/>
              <w:rPr>
                <w:rFonts w:eastAsia="Calibri" w:cs="Calibri"/>
                <w:noProof/>
              </w:rPr>
            </w:pPr>
            <w:r>
              <w:rPr>
                <w:noProof/>
              </w:rPr>
              <w:t>2.28</w:t>
            </w:r>
          </w:p>
        </w:tc>
        <w:tc>
          <w:tcPr>
            <w:tcW w:w="1760" w:type="dxa"/>
            <w:shd w:val="clear" w:color="auto" w:fill="C4EFCE"/>
            <w:vAlign w:val="center"/>
            <w:hideMark/>
          </w:tcPr>
          <w:p w14:paraId="3C8F5913" w14:textId="77777777" w:rsidR="00154AD2" w:rsidRDefault="007F6BF3">
            <w:pPr>
              <w:pStyle w:val="P68B1DB1-Normal23"/>
              <w:spacing w:after="0"/>
              <w:jc w:val="center"/>
              <w:rPr>
                <w:rFonts w:eastAsia="Calibri" w:cs="Calibri"/>
                <w:noProof/>
              </w:rPr>
            </w:pPr>
            <w:r>
              <w:rPr>
                <w:noProof/>
              </w:rPr>
              <w:t>RE-C02-i06</w:t>
            </w:r>
          </w:p>
        </w:tc>
        <w:tc>
          <w:tcPr>
            <w:tcW w:w="1520" w:type="dxa"/>
            <w:shd w:val="clear" w:color="auto" w:fill="C4EFCE"/>
            <w:vAlign w:val="center"/>
            <w:hideMark/>
          </w:tcPr>
          <w:p w14:paraId="6259008C"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0B76E21D" w14:textId="77777777" w:rsidR="00154AD2" w:rsidRDefault="007F6BF3">
            <w:pPr>
              <w:pStyle w:val="P68B1DB1-Normal23"/>
              <w:spacing w:after="0"/>
              <w:jc w:val="both"/>
              <w:rPr>
                <w:rFonts w:eastAsia="Calibri" w:cs="Calibri"/>
                <w:noProof/>
              </w:rPr>
            </w:pPr>
            <w:r>
              <w:rPr>
                <w:noProof/>
              </w:rPr>
              <w:t>Φοιτητική στέγαση με προσιτό κόστος</w:t>
            </w:r>
          </w:p>
        </w:tc>
      </w:tr>
      <w:tr w:rsidR="00154AD2" w14:paraId="0BC09961" w14:textId="77777777">
        <w:trPr>
          <w:trHeight w:val="440"/>
        </w:trPr>
        <w:tc>
          <w:tcPr>
            <w:tcW w:w="1200" w:type="dxa"/>
            <w:shd w:val="clear" w:color="auto" w:fill="C4EFCE"/>
            <w:vAlign w:val="center"/>
            <w:hideMark/>
          </w:tcPr>
          <w:p w14:paraId="5CF2BED8" w14:textId="77777777" w:rsidR="00154AD2" w:rsidRDefault="007F6BF3">
            <w:pPr>
              <w:pStyle w:val="P68B1DB1-Normal23"/>
              <w:spacing w:after="0"/>
              <w:jc w:val="center"/>
              <w:rPr>
                <w:rFonts w:eastAsia="Calibri" w:cs="Calibri"/>
                <w:noProof/>
              </w:rPr>
            </w:pPr>
            <w:r>
              <w:rPr>
                <w:noProof/>
              </w:rPr>
              <w:t>2.32</w:t>
            </w:r>
          </w:p>
        </w:tc>
        <w:tc>
          <w:tcPr>
            <w:tcW w:w="1760" w:type="dxa"/>
            <w:shd w:val="clear" w:color="auto" w:fill="C4EFCE"/>
            <w:vAlign w:val="center"/>
            <w:hideMark/>
          </w:tcPr>
          <w:p w14:paraId="67904F64" w14:textId="77777777" w:rsidR="00154AD2" w:rsidRDefault="007F6BF3">
            <w:pPr>
              <w:pStyle w:val="P68B1DB1-Normal23"/>
              <w:spacing w:after="0"/>
              <w:jc w:val="center"/>
              <w:rPr>
                <w:rFonts w:eastAsia="Calibri" w:cs="Calibri"/>
                <w:noProof/>
              </w:rPr>
            </w:pPr>
            <w:r>
              <w:rPr>
                <w:noProof/>
              </w:rPr>
              <w:t>RE-C02-i01</w:t>
            </w:r>
          </w:p>
        </w:tc>
        <w:tc>
          <w:tcPr>
            <w:tcW w:w="1520" w:type="dxa"/>
            <w:shd w:val="clear" w:color="auto" w:fill="C4EFCE"/>
            <w:vAlign w:val="center"/>
            <w:hideMark/>
          </w:tcPr>
          <w:p w14:paraId="264290E3"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62BD1AF8" w14:textId="77777777" w:rsidR="00154AD2" w:rsidRDefault="007F6BF3">
            <w:pPr>
              <w:pStyle w:val="P68B1DB1-Normal23"/>
              <w:spacing w:after="0"/>
              <w:jc w:val="both"/>
              <w:rPr>
                <w:rFonts w:eastAsia="Calibri" w:cs="Calibri"/>
                <w:noProof/>
              </w:rPr>
            </w:pPr>
            <w:r>
              <w:rPr>
                <w:noProof/>
              </w:rPr>
              <w:t>Πρόγραμμα στήριξης για την πρόσβαση σε στέγαση (δάνειο) — Αγορασθείσες, κατασκευασμένες (υψηλής ενεργειακής απόδοσης) ή αποκατεστημένες (με βελτιωμένη ενεργειακή απόδοση) κατοικίες που παρέχονται σε νοικοκυριά</w:t>
            </w:r>
          </w:p>
        </w:tc>
      </w:tr>
      <w:tr w:rsidR="00154AD2" w14:paraId="0E1519F3" w14:textId="77777777">
        <w:trPr>
          <w:trHeight w:val="440"/>
        </w:trPr>
        <w:tc>
          <w:tcPr>
            <w:tcW w:w="1200" w:type="dxa"/>
            <w:shd w:val="clear" w:color="auto" w:fill="C4EFCE"/>
            <w:vAlign w:val="center"/>
            <w:hideMark/>
          </w:tcPr>
          <w:p w14:paraId="76C8C652" w14:textId="77777777" w:rsidR="00154AD2" w:rsidRDefault="007F6BF3">
            <w:pPr>
              <w:pStyle w:val="P68B1DB1-Normal23"/>
              <w:spacing w:after="0"/>
              <w:jc w:val="center"/>
              <w:rPr>
                <w:rFonts w:eastAsia="Calibri" w:cs="Calibri"/>
                <w:noProof/>
              </w:rPr>
            </w:pPr>
            <w:r>
              <w:rPr>
                <w:noProof/>
              </w:rPr>
              <w:t>6.29</w:t>
            </w:r>
          </w:p>
        </w:tc>
        <w:tc>
          <w:tcPr>
            <w:tcW w:w="1760" w:type="dxa"/>
            <w:shd w:val="clear" w:color="auto" w:fill="C4EFCE"/>
            <w:vAlign w:val="center"/>
            <w:hideMark/>
          </w:tcPr>
          <w:p w14:paraId="0F6D3ED0" w14:textId="77777777" w:rsidR="00154AD2" w:rsidRDefault="007F6BF3">
            <w:pPr>
              <w:pStyle w:val="P68B1DB1-Normal23"/>
              <w:spacing w:after="0"/>
              <w:jc w:val="center"/>
              <w:rPr>
                <w:rFonts w:eastAsia="Calibri" w:cs="Calibri"/>
                <w:noProof/>
              </w:rPr>
            </w:pPr>
            <w:r>
              <w:rPr>
                <w:noProof/>
              </w:rPr>
              <w:t>RE-C06-i09</w:t>
            </w:r>
          </w:p>
        </w:tc>
        <w:tc>
          <w:tcPr>
            <w:tcW w:w="1520" w:type="dxa"/>
            <w:shd w:val="clear" w:color="auto" w:fill="C4EFCE"/>
            <w:vAlign w:val="center"/>
            <w:hideMark/>
          </w:tcPr>
          <w:p w14:paraId="6D0F7153"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047B6D19" w14:textId="77777777" w:rsidR="00154AD2" w:rsidRDefault="007F6BF3">
            <w:pPr>
              <w:pStyle w:val="P68B1DB1-Normal23"/>
              <w:spacing w:after="0"/>
              <w:jc w:val="both"/>
              <w:rPr>
                <w:rFonts w:eastAsia="Calibri" w:cs="Calibri"/>
                <w:noProof/>
              </w:rPr>
            </w:pPr>
            <w:r>
              <w:rPr>
                <w:noProof/>
              </w:rPr>
              <w:t>Σχολεία που έχουν κατασκευαστεί ή ανακαινιστεί</w:t>
            </w:r>
          </w:p>
        </w:tc>
      </w:tr>
      <w:tr w:rsidR="00154AD2" w14:paraId="5238DA6D" w14:textId="77777777">
        <w:trPr>
          <w:trHeight w:val="440"/>
        </w:trPr>
        <w:tc>
          <w:tcPr>
            <w:tcW w:w="1200" w:type="dxa"/>
            <w:shd w:val="clear" w:color="auto" w:fill="C4EFCE"/>
            <w:vAlign w:val="center"/>
            <w:hideMark/>
          </w:tcPr>
          <w:p w14:paraId="5A9125CA" w14:textId="77777777" w:rsidR="00154AD2" w:rsidRDefault="007F6BF3">
            <w:pPr>
              <w:pStyle w:val="P68B1DB1-Normal23"/>
              <w:spacing w:after="0"/>
              <w:jc w:val="center"/>
              <w:rPr>
                <w:rFonts w:eastAsia="Calibri" w:cs="Calibri"/>
                <w:noProof/>
              </w:rPr>
            </w:pPr>
            <w:r>
              <w:rPr>
                <w:noProof/>
              </w:rPr>
              <w:t>9.11</w:t>
            </w:r>
          </w:p>
        </w:tc>
        <w:tc>
          <w:tcPr>
            <w:tcW w:w="1760" w:type="dxa"/>
            <w:shd w:val="clear" w:color="auto" w:fill="C4EFCE"/>
            <w:vAlign w:val="center"/>
            <w:hideMark/>
          </w:tcPr>
          <w:p w14:paraId="0D639E29" w14:textId="77777777" w:rsidR="00154AD2" w:rsidRDefault="007F6BF3">
            <w:pPr>
              <w:pStyle w:val="P68B1DB1-Normal23"/>
              <w:spacing w:after="0"/>
              <w:jc w:val="center"/>
              <w:rPr>
                <w:rFonts w:eastAsia="Calibri" w:cs="Calibri"/>
                <w:noProof/>
              </w:rPr>
            </w:pPr>
            <w:r>
              <w:rPr>
                <w:noProof/>
              </w:rPr>
              <w:t>RE-C09-i02</w:t>
            </w:r>
          </w:p>
        </w:tc>
        <w:tc>
          <w:tcPr>
            <w:tcW w:w="1520" w:type="dxa"/>
            <w:shd w:val="clear" w:color="auto" w:fill="C4EFCE"/>
            <w:vAlign w:val="center"/>
            <w:hideMark/>
          </w:tcPr>
          <w:p w14:paraId="41B75453"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312ACE4B" w14:textId="77777777" w:rsidR="00154AD2" w:rsidRDefault="007F6BF3">
            <w:pPr>
              <w:pStyle w:val="P68B1DB1-Normal23"/>
              <w:spacing w:after="0"/>
              <w:jc w:val="both"/>
              <w:rPr>
                <w:rFonts w:eastAsia="Calibri" w:cs="Calibri"/>
                <w:noProof/>
              </w:rPr>
            </w:pPr>
            <w:r>
              <w:rPr>
                <w:noProof/>
              </w:rPr>
              <w:t>Έναρξη λειτουργίας του φράγματος, υδροηλεκτρικής και ηλιακής παραγωγής και άρδευσης, με πλήρη σεβασμό των αποτελεσμάτων και των όρων που θέτει η ΜΠΕ και επίτευξη καλής κατάστασης των σχετικών υδατικών συστημάτων</w:t>
            </w:r>
          </w:p>
        </w:tc>
      </w:tr>
      <w:tr w:rsidR="00154AD2" w14:paraId="19AB668B" w14:textId="77777777">
        <w:trPr>
          <w:trHeight w:val="440"/>
        </w:trPr>
        <w:tc>
          <w:tcPr>
            <w:tcW w:w="1200" w:type="dxa"/>
            <w:shd w:val="clear" w:color="auto" w:fill="C4EFCE"/>
            <w:vAlign w:val="center"/>
            <w:hideMark/>
          </w:tcPr>
          <w:p w14:paraId="6A2076DD" w14:textId="77777777" w:rsidR="00154AD2" w:rsidRDefault="007F6BF3">
            <w:pPr>
              <w:pStyle w:val="P68B1DB1-Normal23"/>
              <w:spacing w:after="0"/>
              <w:jc w:val="center"/>
              <w:rPr>
                <w:rFonts w:eastAsia="Calibri" w:cs="Calibri"/>
                <w:noProof/>
              </w:rPr>
            </w:pPr>
            <w:r>
              <w:rPr>
                <w:noProof/>
              </w:rPr>
              <w:t>10.7</w:t>
            </w:r>
          </w:p>
        </w:tc>
        <w:tc>
          <w:tcPr>
            <w:tcW w:w="1760" w:type="dxa"/>
            <w:shd w:val="clear" w:color="auto" w:fill="C4EFCE"/>
            <w:vAlign w:val="center"/>
            <w:hideMark/>
          </w:tcPr>
          <w:p w14:paraId="7A7CF25E" w14:textId="77777777" w:rsidR="00154AD2" w:rsidRDefault="007F6BF3">
            <w:pPr>
              <w:pStyle w:val="P68B1DB1-Normal23"/>
              <w:spacing w:after="0"/>
              <w:jc w:val="center"/>
              <w:rPr>
                <w:rFonts w:eastAsia="Calibri" w:cs="Calibri"/>
                <w:noProof/>
              </w:rPr>
            </w:pPr>
            <w:r>
              <w:rPr>
                <w:noProof/>
              </w:rPr>
              <w:t>TC-C10-I03</w:t>
            </w:r>
          </w:p>
        </w:tc>
        <w:tc>
          <w:tcPr>
            <w:tcW w:w="1520" w:type="dxa"/>
            <w:shd w:val="clear" w:color="auto" w:fill="C4EFCE"/>
            <w:vAlign w:val="center"/>
            <w:hideMark/>
          </w:tcPr>
          <w:p w14:paraId="266B0A8B" w14:textId="77777777" w:rsidR="00154AD2" w:rsidRDefault="007F6BF3">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3803CDA" w14:textId="77777777" w:rsidR="00154AD2" w:rsidRDefault="007F6BF3">
            <w:pPr>
              <w:pStyle w:val="P68B1DB1-Normal23"/>
              <w:spacing w:after="0"/>
              <w:jc w:val="both"/>
              <w:rPr>
                <w:rFonts w:eastAsia="Calibri" w:cs="Calibri"/>
                <w:noProof/>
              </w:rPr>
            </w:pPr>
            <w:r>
              <w:rPr>
                <w:noProof/>
              </w:rPr>
              <w:t>Υποδοχή και αποδοχή της «Πολυλειτουργικής Ναυτικής Πλατφόρμας» και του «Κέντρου Επιχειρήσεων»</w:t>
            </w:r>
          </w:p>
        </w:tc>
      </w:tr>
      <w:tr w:rsidR="00154AD2" w14:paraId="057D473A" w14:textId="77777777">
        <w:trPr>
          <w:trHeight w:val="440"/>
        </w:trPr>
        <w:tc>
          <w:tcPr>
            <w:tcW w:w="1200" w:type="dxa"/>
            <w:shd w:val="clear" w:color="auto" w:fill="C4EFCE"/>
            <w:vAlign w:val="center"/>
            <w:hideMark/>
          </w:tcPr>
          <w:p w14:paraId="5F8992F9" w14:textId="77777777" w:rsidR="00154AD2" w:rsidRDefault="007F6BF3">
            <w:pPr>
              <w:pStyle w:val="P68B1DB1-Normal23"/>
              <w:spacing w:after="0"/>
              <w:jc w:val="center"/>
              <w:rPr>
                <w:rFonts w:eastAsia="Calibri" w:cs="Calibri"/>
                <w:noProof/>
              </w:rPr>
            </w:pPr>
            <w:r>
              <w:rPr>
                <w:noProof/>
              </w:rPr>
              <w:t>10.18</w:t>
            </w:r>
          </w:p>
        </w:tc>
        <w:tc>
          <w:tcPr>
            <w:tcW w:w="1760" w:type="dxa"/>
            <w:shd w:val="clear" w:color="auto" w:fill="C4EFCE"/>
            <w:vAlign w:val="center"/>
            <w:hideMark/>
          </w:tcPr>
          <w:p w14:paraId="3BD8484D" w14:textId="77777777" w:rsidR="00154AD2" w:rsidRDefault="007F6BF3">
            <w:pPr>
              <w:pStyle w:val="P68B1DB1-Normal23"/>
              <w:spacing w:after="0"/>
              <w:jc w:val="center"/>
              <w:rPr>
                <w:rFonts w:eastAsia="Calibri" w:cs="Calibri"/>
                <w:noProof/>
              </w:rPr>
            </w:pPr>
            <w:r>
              <w:rPr>
                <w:noProof/>
              </w:rPr>
              <w:t>TC-10-i07</w:t>
            </w:r>
          </w:p>
        </w:tc>
        <w:tc>
          <w:tcPr>
            <w:tcW w:w="1520" w:type="dxa"/>
            <w:shd w:val="clear" w:color="auto" w:fill="C4EFCE"/>
            <w:vAlign w:val="center"/>
            <w:hideMark/>
          </w:tcPr>
          <w:p w14:paraId="735A96C0"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556295A" w14:textId="77777777" w:rsidR="00154AD2" w:rsidRDefault="007F6BF3">
            <w:pPr>
              <w:pStyle w:val="P68B1DB1-Normal23"/>
              <w:spacing w:after="0"/>
              <w:jc w:val="both"/>
              <w:rPr>
                <w:rFonts w:eastAsia="Calibri" w:cs="Calibri"/>
                <w:noProof/>
              </w:rPr>
            </w:pPr>
            <w:r>
              <w:rPr>
                <w:noProof/>
              </w:rPr>
              <w:t>Ολοκλήρωση παρεμβάσεων ενεργειακής απόδοσης για σκάφη</w:t>
            </w:r>
          </w:p>
        </w:tc>
      </w:tr>
      <w:tr w:rsidR="00154AD2" w14:paraId="4F144B9C" w14:textId="77777777">
        <w:trPr>
          <w:trHeight w:val="440"/>
        </w:trPr>
        <w:tc>
          <w:tcPr>
            <w:tcW w:w="1200" w:type="dxa"/>
            <w:shd w:val="clear" w:color="auto" w:fill="C4EFCE"/>
            <w:vAlign w:val="center"/>
            <w:hideMark/>
          </w:tcPr>
          <w:p w14:paraId="32223458" w14:textId="77777777" w:rsidR="00154AD2" w:rsidRDefault="007F6BF3">
            <w:pPr>
              <w:pStyle w:val="P68B1DB1-Normal23"/>
              <w:spacing w:after="0"/>
              <w:jc w:val="center"/>
              <w:rPr>
                <w:rFonts w:eastAsia="Calibri" w:cs="Calibri"/>
                <w:noProof/>
              </w:rPr>
            </w:pPr>
            <w:r>
              <w:rPr>
                <w:noProof/>
              </w:rPr>
              <w:t>15.9</w:t>
            </w:r>
          </w:p>
        </w:tc>
        <w:tc>
          <w:tcPr>
            <w:tcW w:w="1760" w:type="dxa"/>
            <w:shd w:val="clear" w:color="auto" w:fill="C4EFCE"/>
            <w:vAlign w:val="center"/>
            <w:hideMark/>
          </w:tcPr>
          <w:p w14:paraId="653ED741" w14:textId="77777777" w:rsidR="00154AD2" w:rsidRDefault="007F6BF3">
            <w:pPr>
              <w:pStyle w:val="P68B1DB1-Normal23"/>
              <w:spacing w:after="0"/>
              <w:jc w:val="center"/>
              <w:rPr>
                <w:rFonts w:eastAsia="Calibri" w:cs="Calibri"/>
                <w:noProof/>
              </w:rPr>
            </w:pPr>
            <w:r>
              <w:rPr>
                <w:noProof/>
              </w:rPr>
              <w:t>TC-C15-I03</w:t>
            </w:r>
          </w:p>
        </w:tc>
        <w:tc>
          <w:tcPr>
            <w:tcW w:w="1520" w:type="dxa"/>
            <w:shd w:val="clear" w:color="auto" w:fill="C4EFCE"/>
            <w:vAlign w:val="center"/>
            <w:hideMark/>
          </w:tcPr>
          <w:p w14:paraId="36D4B6CD" w14:textId="77777777" w:rsidR="00154AD2" w:rsidRDefault="007F6BF3">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19759650" w14:textId="77777777" w:rsidR="00154AD2" w:rsidRDefault="007F6BF3">
            <w:pPr>
              <w:pStyle w:val="P68B1DB1-Normal23"/>
              <w:spacing w:after="0"/>
              <w:jc w:val="both"/>
              <w:rPr>
                <w:rFonts w:eastAsia="Calibri" w:cs="Calibri"/>
                <w:noProof/>
              </w:rPr>
            </w:pPr>
            <w:r>
              <w:rPr>
                <w:noProof/>
              </w:rPr>
              <w:t>Ολοκλήρωση της κατασκευής γραμμής διέλευσης ελαφρών σιδηροδρόμων μεταξύ Odivelas και Loures</w:t>
            </w:r>
          </w:p>
        </w:tc>
      </w:tr>
      <w:tr w:rsidR="00154AD2" w14:paraId="4C01CA89" w14:textId="77777777">
        <w:trPr>
          <w:trHeight w:val="440"/>
        </w:trPr>
        <w:tc>
          <w:tcPr>
            <w:tcW w:w="1200" w:type="dxa"/>
            <w:shd w:val="clear" w:color="auto" w:fill="C4EFCE"/>
            <w:vAlign w:val="center"/>
            <w:hideMark/>
          </w:tcPr>
          <w:p w14:paraId="58A583A0" w14:textId="77777777" w:rsidR="00154AD2" w:rsidRDefault="007F6BF3">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60B776CD" w14:textId="77777777" w:rsidR="00154AD2" w:rsidRDefault="007F6BF3">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795582F7" w14:textId="77777777" w:rsidR="00154AD2" w:rsidRDefault="007F6BF3">
            <w:pPr>
              <w:pStyle w:val="P68B1DB1-Normal24"/>
              <w:spacing w:after="0" w:line="240" w:lineRule="auto"/>
              <w:jc w:val="center"/>
              <w:rPr>
                <w:rFonts w:eastAsia="Times New Roman" w:cs="Calibri"/>
                <w:noProof/>
              </w:rPr>
            </w:pPr>
            <w:r>
              <w:rPr>
                <w:noProof/>
              </w:rPr>
              <w:t>Ποσό δόσης</w:t>
            </w:r>
          </w:p>
        </w:tc>
        <w:tc>
          <w:tcPr>
            <w:tcW w:w="5060" w:type="dxa"/>
            <w:shd w:val="clear" w:color="auto" w:fill="C4EFCE"/>
            <w:vAlign w:val="center"/>
            <w:hideMark/>
          </w:tcPr>
          <w:p w14:paraId="608E3E88" w14:textId="42969D28" w:rsidR="00154AD2" w:rsidRDefault="007F6BF3">
            <w:pPr>
              <w:pStyle w:val="P68B1DB1-Normal25"/>
              <w:spacing w:after="0" w:line="240" w:lineRule="auto"/>
              <w:jc w:val="center"/>
              <w:rPr>
                <w:rFonts w:cs="Calibri"/>
                <w:noProof/>
              </w:rPr>
            </w:pPr>
            <w:r>
              <w:rPr>
                <w:noProof/>
              </w:rPr>
              <w:t xml:space="preserve"> 907 960 212 EUR </w:t>
            </w:r>
          </w:p>
        </w:tc>
      </w:tr>
    </w:tbl>
    <w:p w14:paraId="1317C313" w14:textId="77777777" w:rsidR="00154AD2" w:rsidRDefault="00154AD2">
      <w:pPr>
        <w:keepNext/>
        <w:tabs>
          <w:tab w:val="num" w:pos="850"/>
        </w:tabs>
        <w:spacing w:before="360" w:after="0" w:line="259" w:lineRule="auto"/>
        <w:ind w:left="850" w:hanging="850"/>
        <w:jc w:val="both"/>
        <w:outlineLvl w:val="0"/>
        <w:rPr>
          <w:rFonts w:ascii="Times New Roman" w:eastAsiaTheme="majorEastAsia" w:hAnsi="Times New Roman" w:cs="Times New Roman"/>
          <w:b/>
          <w:smallCaps/>
          <w:noProof/>
          <w:sz w:val="24"/>
        </w:rPr>
      </w:pPr>
    </w:p>
    <w:p w14:paraId="7BC3CF85" w14:textId="11A36794" w:rsidR="00154AD2" w:rsidRDefault="007F6BF3">
      <w:pPr>
        <w:keepNext/>
        <w:tabs>
          <w:tab w:val="num" w:pos="850"/>
        </w:tabs>
        <w:spacing w:before="360" w:after="0" w:line="259" w:lineRule="auto"/>
        <w:ind w:left="850" w:hanging="850"/>
        <w:jc w:val="both"/>
        <w:outlineLvl w:val="0"/>
        <w:rPr>
          <w:rFonts w:ascii="Times New Roman" w:eastAsiaTheme="majorEastAsia" w:hAnsi="Times New Roman" w:cs="Times New Roman"/>
          <w:b/>
          <w:smallCaps/>
          <w:noProof/>
          <w:sz w:val="24"/>
        </w:rPr>
      </w:pPr>
      <w:r>
        <w:rPr>
          <w:noProof/>
        </w:rPr>
        <w:br w:type="page"/>
      </w:r>
      <w:r>
        <w:rPr>
          <w:rFonts w:ascii="Times New Roman" w:hAnsi="Times New Roman"/>
          <w:b/>
          <w:smallCaps/>
          <w:noProof/>
          <w:sz w:val="24"/>
        </w:rPr>
        <w:t xml:space="preserve">ΤΜΉΜΑ 3: ΠΡΌΣΘΕΤΕΣ ΡΥΘΜΊΣΕΙΣ </w:t>
      </w:r>
    </w:p>
    <w:p w14:paraId="21FD14C8" w14:textId="77777777" w:rsidR="00154AD2" w:rsidRDefault="007F6BF3">
      <w:pPr>
        <w:pStyle w:val="P68B1DB1-Normal3"/>
        <w:keepNext/>
        <w:numPr>
          <w:ilvl w:val="1"/>
          <w:numId w:val="49"/>
        </w:numPr>
        <w:spacing w:before="40" w:after="0" w:line="259" w:lineRule="auto"/>
        <w:ind w:left="357" w:hanging="357"/>
        <w:jc w:val="both"/>
        <w:outlineLvl w:val="1"/>
        <w:rPr>
          <w:rFonts w:eastAsiaTheme="majorEastAsia" w:cs="Times New Roman"/>
          <w:noProof/>
        </w:rPr>
      </w:pPr>
      <w:r>
        <w:rPr>
          <w:noProof/>
        </w:rPr>
        <w:t>Ρυθμίσεις παρακολούθησης και υλοποίησης του σχεδίου ανάκαμψης και ανθεκτικότητας</w:t>
      </w:r>
    </w:p>
    <w:p w14:paraId="0513130D"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παρακολούθηση και η εφαρμογή του σχεδίου ανάκαμψης και ανθεκτικότητας της Πορτογαλίας πραγματοποιούνται σύμφωνα με τις ακόλουθες ρυθμίσεις: </w:t>
      </w:r>
    </w:p>
    <w:p w14:paraId="47CE9DC2" w14:textId="3215C937" w:rsidR="00154AD2" w:rsidRDefault="007F6BF3">
      <w:pPr>
        <w:pStyle w:val="P68B1DB1-Normal4"/>
        <w:keepNext/>
        <w:spacing w:before="40" w:after="0" w:line="259" w:lineRule="auto"/>
        <w:jc w:val="both"/>
        <w:rPr>
          <w:rFonts w:eastAsiaTheme="minorEastAsia" w:cs="Times New Roman"/>
          <w:noProof/>
        </w:rPr>
      </w:pPr>
      <w:r>
        <w:rPr>
          <w:noProof/>
        </w:rPr>
        <w:t xml:space="preserve">Το νομοθετικό διάταγμα αριθ. 29-B/2021, όπως τροποποιήθηκε με το νομοθετικό διάταγμα 61/2023 του Ιουλίου 24, θεσπίζει ένα μοντέλο διακυβέρνησης τεσσάρων επιπέδων: </w:t>
      </w:r>
    </w:p>
    <w:p w14:paraId="5C86F29E" w14:textId="77777777" w:rsidR="00154AD2" w:rsidRDefault="007F6BF3">
      <w:pPr>
        <w:pStyle w:val="P68B1DB1-Normal4"/>
        <w:keepNext/>
        <w:numPr>
          <w:ilvl w:val="0"/>
          <w:numId w:val="54"/>
        </w:numPr>
        <w:spacing w:before="40" w:after="160" w:line="259" w:lineRule="auto"/>
        <w:contextualSpacing/>
        <w:jc w:val="both"/>
        <w:rPr>
          <w:rFonts w:eastAsiaTheme="minorEastAsia" w:cs="Times New Roman"/>
          <w:noProof/>
        </w:rPr>
      </w:pPr>
      <w:r>
        <w:rPr>
          <w:noProof/>
        </w:rPr>
        <w:t xml:space="preserve">Διυπουργική επιτροπή, υπό την προεδρία του πρωθυπουργού, αρμόδια για τον στρατηγικό και πολιτικό συντονισμό και τη συνολική πολιτική καθοδήγηση· </w:t>
      </w:r>
    </w:p>
    <w:p w14:paraId="40167AC1" w14:textId="77777777" w:rsidR="00154AD2" w:rsidRDefault="007F6BF3">
      <w:pPr>
        <w:pStyle w:val="P68B1DB1-Normal4"/>
        <w:keepNext/>
        <w:numPr>
          <w:ilvl w:val="0"/>
          <w:numId w:val="54"/>
        </w:numPr>
        <w:spacing w:before="40" w:after="160" w:line="259" w:lineRule="auto"/>
        <w:contextualSpacing/>
        <w:jc w:val="both"/>
        <w:rPr>
          <w:rFonts w:eastAsiaTheme="minorEastAsia" w:cs="Times New Roman"/>
          <w:noProof/>
        </w:rPr>
      </w:pPr>
      <w:r>
        <w:rPr>
          <w:noProof/>
        </w:rPr>
        <w:t xml:space="preserve">Εθνική επιτροπή παρακολούθησης, η οποία απαρτίζεται από εκπροσώπους των διαφόρων κοινωνικών και οικονομικών εταίρων και βασικών προσωπικοτήτων της κοινωνίας των πολιτών και προεδρεύεται από ανεξάρτητο πρόσωπο, για την παρακολούθηση της εφαρμογής του σχεδίου ανάκαμψης και ανθεκτικότητας και των αποτελεσμάτων του, την προώθηση της κατάλληλης διάδοσής του στους πολίτες, τις επιχειρήσεις και άλλους οργανισμούς, και την εξέταση τυχόν ζητημάτων που επηρεάζουν τις επιδόσεις της και τη διατύπωση συστάσεων· </w:t>
      </w:r>
    </w:p>
    <w:p w14:paraId="39701269" w14:textId="78BB1033" w:rsidR="00154AD2" w:rsidRDefault="007F6BF3">
      <w:pPr>
        <w:pStyle w:val="P68B1DB1-Normal4"/>
        <w:keepNext/>
        <w:numPr>
          <w:ilvl w:val="0"/>
          <w:numId w:val="54"/>
        </w:numPr>
        <w:spacing w:before="40" w:after="160" w:line="259" w:lineRule="auto"/>
        <w:contextualSpacing/>
        <w:jc w:val="both"/>
        <w:rPr>
          <w:rFonts w:eastAsiaTheme="minorEastAsia" w:cs="Times New Roman"/>
          <w:noProof/>
        </w:rPr>
      </w:pPr>
      <w:r>
        <w:rPr>
          <w:noProof/>
        </w:rPr>
        <w:t xml:space="preserve">Μια διοικητική δομή </w:t>
      </w:r>
      <w:r>
        <w:rPr>
          <w:i/>
          <w:noProof/>
        </w:rPr>
        <w:t>Estrutura de missao Recuperar Portugal</w:t>
      </w:r>
      <w:r>
        <w:rPr>
          <w:noProof/>
        </w:rPr>
        <w:t xml:space="preserve"> (στο εξής: ειδική ομάδα) που συστάθηκε με το ψήφισμα αριθ. 46-B/2021 του υπουργικού συμβουλίου είναι υπεύθυνη για την εφαρμογή του σχεδίου ανάκαμψης και ανθεκτικότητας, από κοινού με τον Οργανισμό Ανάπτυξης και Συνοχής (εποπτεύει τη χρήση του μείγματος των κονδυλίων της ΕΕ, ελέγχει τον κίνδυνο διπλής χρηματοδότησης και τη συνοχή με άλλες πρωτοβουλίες), και το Υπουργείο Οικονομικών·</w:t>
      </w:r>
    </w:p>
    <w:p w14:paraId="1B7F06E3" w14:textId="77777777" w:rsidR="00154AD2" w:rsidRDefault="007F6BF3">
      <w:pPr>
        <w:pStyle w:val="P68B1DB1-Normal4"/>
        <w:keepNext/>
        <w:numPr>
          <w:ilvl w:val="0"/>
          <w:numId w:val="54"/>
        </w:numPr>
        <w:spacing w:before="40" w:after="160" w:line="259" w:lineRule="auto"/>
        <w:contextualSpacing/>
        <w:jc w:val="both"/>
        <w:rPr>
          <w:rFonts w:eastAsiaTheme="minorEastAsia" w:cs="Times New Roman"/>
          <w:noProof/>
        </w:rPr>
      </w:pPr>
      <w:r>
        <w:rPr>
          <w:noProof/>
        </w:rPr>
        <w:t>Η Επιτροπή Ελέγχου και Ελέγχου (CAC), υπό την προεδρία της Γενικής Επιθεώρησης Οικονομικών (IGF), η οποία είναι αρμόδια για τις δραστηριότητες λογιστικού και άλλου ελέγχου.</w:t>
      </w:r>
    </w:p>
    <w:p w14:paraId="7337E38A" w14:textId="77777777" w:rsidR="00154AD2" w:rsidRDefault="007F6BF3">
      <w:pPr>
        <w:pStyle w:val="P68B1DB1-Normal4"/>
        <w:keepNext/>
        <w:spacing w:before="40" w:after="0" w:line="259" w:lineRule="auto"/>
        <w:jc w:val="both"/>
        <w:rPr>
          <w:rFonts w:eastAsiaTheme="minorEastAsia" w:cs="Times New Roman"/>
          <w:noProof/>
        </w:rPr>
      </w:pPr>
      <w:r>
        <w:rPr>
          <w:noProof/>
        </w:rPr>
        <w:t xml:space="preserve">Η Πορτογαλία έχει θεσπίσει τους θεσμικούς φορείς που είναι υπεύθυνοι για την υλοποίηση των επιμέρους μεταρρυθμίσεων και επενδύσεων σε επίπεδο συνιστωσών. Τα αρμόδια υπουργεία ή οι φορείς που συμμετέχουν στην εκτέλεση κάθε μεταρρύθμισης και επένδυσης συνεργάζονται σε τακτική βάση με την ειδική ομάδα, η οποία είναι η δομή που είναι υπεύθυνη για τον συντονισμό των εργασιών σχετικά με το σχέδιο ανάκαμψης και ανθεκτικότητας, την υπογραφή συμβάσεων με άμεσους και ενδιάμεσους δικαιούχους, την επαλήθευση της επίτευξης των οροσήμων και των στόχων και την αποστολή των αιτημάτων πληρωμής στην Ευρωπαϊκή Επιτροπή. </w:t>
      </w:r>
    </w:p>
    <w:p w14:paraId="4221245C" w14:textId="77777777" w:rsidR="00154AD2" w:rsidRDefault="00154AD2">
      <w:pPr>
        <w:keepNext/>
        <w:spacing w:before="40" w:after="0" w:line="259" w:lineRule="auto"/>
        <w:jc w:val="both"/>
        <w:rPr>
          <w:rFonts w:ascii="Times New Roman" w:eastAsiaTheme="minorEastAsia" w:hAnsi="Times New Roman" w:cs="Times New Roman"/>
          <w:noProof/>
          <w:sz w:val="24"/>
        </w:rPr>
      </w:pPr>
    </w:p>
    <w:p w14:paraId="0C7CC7C0" w14:textId="77777777" w:rsidR="00154AD2" w:rsidRDefault="007F6BF3">
      <w:pPr>
        <w:pStyle w:val="P68B1DB1-Normal3"/>
        <w:keepNext/>
        <w:numPr>
          <w:ilvl w:val="1"/>
          <w:numId w:val="49"/>
        </w:numPr>
        <w:spacing w:before="40" w:after="0" w:line="259" w:lineRule="auto"/>
        <w:ind w:left="357" w:hanging="357"/>
        <w:jc w:val="both"/>
        <w:outlineLvl w:val="1"/>
        <w:rPr>
          <w:rFonts w:eastAsiaTheme="minorEastAsia" w:cs="Times New Roman"/>
          <w:noProof/>
        </w:rPr>
      </w:pPr>
      <w:r>
        <w:rPr>
          <w:noProof/>
        </w:rPr>
        <w:t>Ρυθμίσεις για την παροχή στην Επιτροπή πλήρους πρόσβασης στα δεδομένα τεκμηρίωσης</w:t>
      </w:r>
    </w:p>
    <w:p w14:paraId="2A07BA90" w14:textId="77777777" w:rsidR="00154AD2" w:rsidRDefault="00154AD2">
      <w:pPr>
        <w:keepNext/>
        <w:spacing w:before="40" w:after="0" w:line="259" w:lineRule="auto"/>
        <w:ind w:left="357"/>
        <w:jc w:val="both"/>
        <w:outlineLvl w:val="1"/>
        <w:rPr>
          <w:rFonts w:ascii="Times New Roman" w:eastAsiaTheme="minorEastAsia" w:hAnsi="Times New Roman" w:cs="Times New Roman"/>
          <w:b/>
          <w:noProof/>
          <w:sz w:val="24"/>
          <w:u w:val="single"/>
        </w:rPr>
      </w:pPr>
    </w:p>
    <w:p w14:paraId="058CE76E" w14:textId="524D29FB" w:rsidR="00154AD2" w:rsidRDefault="007F6BF3">
      <w:pPr>
        <w:pStyle w:val="P68B1DB1-Normal4"/>
        <w:keepNext/>
        <w:numPr>
          <w:ilvl w:val="0"/>
          <w:numId w:val="69"/>
        </w:numPr>
        <w:spacing w:before="120" w:after="0" w:line="240" w:lineRule="auto"/>
        <w:ind w:left="714" w:hanging="357"/>
        <w:contextualSpacing/>
        <w:jc w:val="both"/>
        <w:rPr>
          <w:rFonts w:cs="Times New Roman"/>
          <w:noProof/>
        </w:rPr>
      </w:pPr>
      <w:r>
        <w:rPr>
          <w:noProof/>
        </w:rPr>
        <w:t>Η ειδική ομάδα «Estrutura de missao Recuperar Portugal», ως ο κεντρικός συντονιστικός φορέας για το σχέδιο ανάκαμψης και ανθεκτικότητας της Πορτογαλίας και την εφαρμογή του, είναι υπεύθυνη για τον συνολικό συντονισμό και την παρακολούθηση του σχεδίου, από κοινού με τον Οργανισμό Ανάπτυξης και Συνοχής και το Υπουργείο Οικονομικών. Ειδικότερα, ενεργεί ως συντονιστικός φορέας για την παρακολούθηση της προόδου όσον αφορά τα ορόσημα και τους στόχους, για την παρακολούθηση και, κατά περίπτωση, την υλοποίηση δραστηριοτήτων ελέγχου και λογιστικού ελέγχου, καθώς και για την υποβολή εκθέσεων και αιτήσεων πληρωμών. Συντονίζει την υποβολή εκθέσεων σχετικά με τα ορόσημα και τους στόχους, τους σχετικούς δείκτες, αλλά και τις ποιοτικές χρηματοοικονομικές πληροφορίες και άλλα δεδομένα, όπως σχετικά με τους τελικούς αποδέκτες. Η κωδικοποίηση δεδομένων πραγματοποιείται σε κεντρικό σύστημα ΤΠ.</w:t>
      </w:r>
    </w:p>
    <w:p w14:paraId="09971485" w14:textId="77777777" w:rsidR="00154AD2" w:rsidRDefault="007F6BF3">
      <w:pPr>
        <w:pStyle w:val="P68B1DB1-Normal4"/>
        <w:keepNext/>
        <w:numPr>
          <w:ilvl w:val="0"/>
          <w:numId w:val="69"/>
        </w:numPr>
        <w:spacing w:before="120" w:after="120" w:line="240" w:lineRule="auto"/>
        <w:contextualSpacing/>
        <w:jc w:val="both"/>
        <w:rPr>
          <w:rFonts w:eastAsiaTheme="minorEastAsia" w:cs="Times New Roman"/>
          <w:noProof/>
        </w:rPr>
      </w:pPr>
      <w:r>
        <w:rPr>
          <w:noProof/>
        </w:rPr>
        <w:t xml:space="preserve">Σύμφωνα με το άρθρο 24 παράγραφος 2 του κανονισμού (ΕΕ) 2021/241, μετά την ολοκλήρωση των σχετικών συμφωνηθέντων οροσήμων και στόχων στο τμήμα 2.1 του παρόντος παραρτήματος, η Πορτογαλία υποβάλλει στην Επιτροπή δεόντως αιτιολογημένη αίτηση για την καταβολή της χρηματοδοτικής συνεισφοράς και, κατά περίπτωση, του δανείου. Η Πορτογαλία διασφαλίζει ότι, κατόπιν αιτήματος, η Επιτροπή έχει πλήρη πρόσβαση στα σχετικά δεδομένα στα οποία βασίζεται η δέουσα αιτιολόγηση της αίτησης πληρωμής, τόσο για την αξιολόγηση της αίτησης πληρωμής σύμφωνα με το άρθρο 24 παράγραφος 3 του κανονισμού (ΕΕ) 2021/241 όσο και για σκοπούς λογιστικών και λοιπών ελέγχων. </w:t>
      </w:r>
    </w:p>
    <w:p w14:paraId="03FAF694" w14:textId="77777777" w:rsidR="00154AD2" w:rsidRDefault="00154AD2">
      <w:pPr>
        <w:rPr>
          <w:noProof/>
        </w:rPr>
      </w:pPr>
    </w:p>
    <w:sectPr w:rsidR="00154AD2">
      <w:headerReference w:type="even" r:id="rId392"/>
      <w:headerReference w:type="default" r:id="rId393"/>
      <w:footerReference w:type="even" r:id="rId394"/>
      <w:footerReference w:type="default" r:id="rId395"/>
      <w:headerReference w:type="first" r:id="rId396"/>
      <w:footerReference w:type="first" r:id="rId397"/>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44D01" w14:textId="77777777" w:rsidR="001A615F" w:rsidRDefault="001A615F">
      <w:pPr>
        <w:spacing w:after="0" w:line="240" w:lineRule="auto"/>
      </w:pPr>
      <w:r>
        <w:separator/>
      </w:r>
    </w:p>
  </w:endnote>
  <w:endnote w:type="continuationSeparator" w:id="0">
    <w:p w14:paraId="5BA789B0" w14:textId="77777777" w:rsidR="001A615F" w:rsidRDefault="001A615F">
      <w:pPr>
        <w:spacing w:after="0" w:line="240" w:lineRule="auto"/>
      </w:pPr>
      <w:r>
        <w:continuationSeparator/>
      </w:r>
    </w:p>
  </w:endnote>
  <w:endnote w:type="continuationNotice" w:id="1">
    <w:p w14:paraId="2C10C19E" w14:textId="77777777" w:rsidR="001A615F" w:rsidRDefault="001A61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Yu Mincho Light">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Mincho">
    <w:panose1 w:val="02020609040205080304"/>
    <w:charset w:val="80"/>
    <w:family w:val="modern"/>
    <w:pitch w:val="fixed"/>
    <w:sig w:usb0="E00002FF" w:usb1="6AC7FDFB" w:usb2="08000012" w:usb3="00000000" w:csb0="0002009F" w:csb1="00000000"/>
  </w:font>
  <w:font w:name="Times New Roman félkövé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F7871" w14:textId="77777777" w:rsidR="00C7701C" w:rsidRPr="00C7701C" w:rsidRDefault="00C7701C" w:rsidP="00C7701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077A9" w14:textId="77777777" w:rsidR="00F0067B" w:rsidRDefault="00F0067B">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A1D25" w14:textId="77777777" w:rsidR="00154AD2" w:rsidRDefault="00154AD2">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812415"/>
      <w:docPartObj>
        <w:docPartGallery w:val="Page Numbers (Bottom of Page)"/>
        <w:docPartUnique/>
      </w:docPartObj>
    </w:sdtPr>
    <w:sdtEndPr>
      <w:rPr>
        <w:noProof/>
      </w:rPr>
    </w:sdtEndPr>
    <w:sdtContent>
      <w:p w14:paraId="5C35590C" w14:textId="38FA2857"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3AB594E4" w14:textId="77777777" w:rsidR="00154AD2" w:rsidRDefault="00154AD2">
    <w:pPr>
      <w:pStyle w:val="FooterCouncil"/>
    </w:pP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8387E" w14:textId="77777777" w:rsidR="00154AD2" w:rsidRDefault="00154AD2">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33C40" w14:textId="77777777" w:rsidR="00154AD2" w:rsidRDefault="00154AD2">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005438"/>
      <w:docPartObj>
        <w:docPartGallery w:val="Page Numbers (Bottom of Page)"/>
        <w:docPartUnique/>
      </w:docPartObj>
    </w:sdtPr>
    <w:sdtEndPr>
      <w:rPr>
        <w:noProof/>
      </w:rPr>
    </w:sdtEndPr>
    <w:sdtContent>
      <w:p w14:paraId="6CE76736" w14:textId="62189A6B"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0E47A84D" w14:textId="77777777" w:rsidR="00154AD2" w:rsidRDefault="00154AD2">
    <w:pPr>
      <w:pStyle w:val="FooterCouncil"/>
    </w:pP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EA711" w14:textId="77777777" w:rsidR="00154AD2" w:rsidRDefault="00154AD2">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A7546" w14:textId="77777777" w:rsidR="00154AD2" w:rsidRDefault="00154AD2">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537083"/>
      <w:docPartObj>
        <w:docPartGallery w:val="Page Numbers (Bottom of Page)"/>
        <w:docPartUnique/>
      </w:docPartObj>
    </w:sdtPr>
    <w:sdtEndPr>
      <w:rPr>
        <w:noProof/>
      </w:rPr>
    </w:sdtEndPr>
    <w:sdtContent>
      <w:p w14:paraId="400B67AA" w14:textId="0E52DA81"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09B88E92" w14:textId="77777777" w:rsidR="00154AD2" w:rsidRDefault="00154AD2">
    <w:pPr>
      <w:pStyle w:val="FooterCouncil"/>
    </w:pP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266A6" w14:textId="77777777" w:rsidR="00154AD2" w:rsidRDefault="00154AD2">
    <w:pPr>
      <w:pStyle w:val="Footer"/>
    </w:pP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2032C" w14:textId="77777777" w:rsidR="00154AD2" w:rsidRDefault="00154AD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397335"/>
      <w:docPartObj>
        <w:docPartGallery w:val="Page Numbers (Bottom of Page)"/>
        <w:docPartUnique/>
      </w:docPartObj>
    </w:sdtPr>
    <w:sdtEndPr>
      <w:rPr>
        <w:noProof/>
      </w:rPr>
    </w:sdtEndPr>
    <w:sdtContent>
      <w:p w14:paraId="3930C912" w14:textId="6007E9C5" w:rsidR="00F0067B" w:rsidRDefault="00F0067B">
        <w:pPr>
          <w:pStyle w:val="Footer"/>
          <w:jc w:val="center"/>
        </w:pPr>
        <w:r>
          <w:fldChar w:fldCharType="begin"/>
        </w:r>
        <w:r>
          <w:instrText xml:space="preserve"> PAGE   \* MERGEFORMAT </w:instrText>
        </w:r>
        <w:r>
          <w:fldChar w:fldCharType="separate"/>
        </w:r>
        <w:r w:rsidR="00C7701C">
          <w:rPr>
            <w:noProof/>
          </w:rPr>
          <w:t>9</w:t>
        </w:r>
        <w:r>
          <w:fldChar w:fldCharType="end"/>
        </w:r>
      </w:p>
    </w:sdtContent>
  </w:sdt>
  <w:p w14:paraId="1F9E9055" w14:textId="77777777" w:rsidR="00F0067B" w:rsidRDefault="00F0067B">
    <w:pPr>
      <w:pStyle w:val="Footer"/>
    </w:pP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41652"/>
      <w:docPartObj>
        <w:docPartGallery w:val="Page Numbers (Bottom of Page)"/>
        <w:docPartUnique/>
      </w:docPartObj>
    </w:sdtPr>
    <w:sdtEndPr>
      <w:rPr>
        <w:noProof/>
      </w:rPr>
    </w:sdtEndPr>
    <w:sdtContent>
      <w:p w14:paraId="64BE41A1" w14:textId="4418F725"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0CCA67FB" w14:textId="77777777" w:rsidR="00154AD2" w:rsidRDefault="00154AD2">
    <w:pPr>
      <w:pStyle w:val="FooterCouncil"/>
    </w:pP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F1F5" w14:textId="77777777" w:rsidR="00154AD2" w:rsidRDefault="00154AD2">
    <w:pPr>
      <w:pStyle w:val="Footer"/>
    </w:pP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4C986" w14:textId="77777777" w:rsidR="00154AD2" w:rsidRDefault="00154AD2">
    <w:pPr>
      <w:pStyle w:val="Footer"/>
    </w:pP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802795"/>
      <w:docPartObj>
        <w:docPartGallery w:val="Page Numbers (Bottom of Page)"/>
        <w:docPartUnique/>
      </w:docPartObj>
    </w:sdtPr>
    <w:sdtEndPr>
      <w:rPr>
        <w:noProof/>
      </w:rPr>
    </w:sdtEndPr>
    <w:sdtContent>
      <w:p w14:paraId="3F6CD9B0" w14:textId="2B432A40"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685FDF4B" w14:textId="77777777" w:rsidR="00154AD2" w:rsidRDefault="00154AD2">
    <w:pPr>
      <w:pStyle w:val="FooterCouncil"/>
    </w:pP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F3878" w14:textId="77777777" w:rsidR="00154AD2" w:rsidRDefault="00154AD2">
    <w:pPr>
      <w:pStyle w:val="Footer"/>
    </w:pPr>
  </w:p>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0DCE7" w14:textId="77777777" w:rsidR="00154AD2" w:rsidRDefault="00154AD2">
    <w:pPr>
      <w:pStyle w:val="Footer"/>
    </w:pP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881091"/>
      <w:docPartObj>
        <w:docPartGallery w:val="Page Numbers (Bottom of Page)"/>
        <w:docPartUnique/>
      </w:docPartObj>
    </w:sdtPr>
    <w:sdtEndPr>
      <w:rPr>
        <w:noProof/>
      </w:rPr>
    </w:sdtEndPr>
    <w:sdtContent>
      <w:p w14:paraId="75178E5C" w14:textId="7FB31806"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08422C38" w14:textId="77777777" w:rsidR="00154AD2" w:rsidRDefault="00154AD2">
    <w:pPr>
      <w:pStyle w:val="FooterCouncil"/>
    </w:pP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5B6C7" w14:textId="77777777" w:rsidR="00154AD2" w:rsidRDefault="00154AD2">
    <w:pPr>
      <w:pStyle w:val="Footer"/>
    </w:pPr>
  </w:p>
</w:ftr>
</file>

<file path=word/footer1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2ECB7" w14:textId="77777777" w:rsidR="00154AD2" w:rsidRDefault="00154AD2">
    <w:pPr>
      <w:pStyle w:val="Footer"/>
    </w:pPr>
  </w:p>
</w:ftr>
</file>

<file path=word/footer1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032258"/>
      <w:docPartObj>
        <w:docPartGallery w:val="Page Numbers (Bottom of Page)"/>
        <w:docPartUnique/>
      </w:docPartObj>
    </w:sdtPr>
    <w:sdtEndPr>
      <w:rPr>
        <w:noProof/>
      </w:rPr>
    </w:sdtEndPr>
    <w:sdtContent>
      <w:p w14:paraId="2727D672" w14:textId="46A37415"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01BA5E86" w14:textId="77777777" w:rsidR="00154AD2" w:rsidRDefault="00154AD2">
    <w:pPr>
      <w:pStyle w:val="FooterCouncil"/>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1F766" w14:textId="77777777" w:rsidR="00F0067B" w:rsidRDefault="00F0067B">
    <w:pPr>
      <w:pStyle w:val="Footer"/>
    </w:pPr>
  </w:p>
</w:ftr>
</file>

<file path=word/footer1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35423" w14:textId="77777777" w:rsidR="00154AD2" w:rsidRDefault="00154AD2">
    <w:pPr>
      <w:pStyle w:val="Footer"/>
    </w:pPr>
  </w:p>
</w:ftr>
</file>

<file path=word/footer1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82A79" w14:textId="77777777" w:rsidR="00154AD2" w:rsidRDefault="00154AD2">
    <w:pPr>
      <w:pStyle w:val="Footer"/>
    </w:pPr>
  </w:p>
</w:ftr>
</file>

<file path=word/footer1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292644"/>
      <w:docPartObj>
        <w:docPartGallery w:val="Page Numbers (Bottom of Page)"/>
        <w:docPartUnique/>
      </w:docPartObj>
    </w:sdtPr>
    <w:sdtEndPr>
      <w:rPr>
        <w:noProof/>
      </w:rPr>
    </w:sdtEndPr>
    <w:sdtContent>
      <w:p w14:paraId="1A732953" w14:textId="0EAA12DF"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0F3FCFDE" w14:textId="77777777" w:rsidR="00154AD2" w:rsidRDefault="00154AD2">
    <w:pPr>
      <w:pStyle w:val="FooterCouncil"/>
    </w:pPr>
  </w:p>
</w:ftr>
</file>

<file path=word/footer1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FEE08" w14:textId="77777777" w:rsidR="00154AD2" w:rsidRDefault="00154AD2">
    <w:pPr>
      <w:pStyle w:val="Footer"/>
    </w:pPr>
  </w:p>
</w:ftr>
</file>

<file path=word/footer1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6D009" w14:textId="77777777" w:rsidR="00154AD2" w:rsidRDefault="00154AD2">
    <w:pPr>
      <w:pStyle w:val="Footer"/>
    </w:pPr>
  </w:p>
</w:ftr>
</file>

<file path=word/footer1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412636"/>
      <w:docPartObj>
        <w:docPartGallery w:val="Page Numbers (Bottom of Page)"/>
        <w:docPartUnique/>
      </w:docPartObj>
    </w:sdtPr>
    <w:sdtEndPr>
      <w:rPr>
        <w:noProof/>
      </w:rPr>
    </w:sdtEndPr>
    <w:sdtContent>
      <w:p w14:paraId="5F31BC2C" w14:textId="25CE31BF"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098CD17C" w14:textId="77777777" w:rsidR="00154AD2" w:rsidRDefault="00154AD2">
    <w:pPr>
      <w:pStyle w:val="FooterCouncil"/>
    </w:pPr>
  </w:p>
</w:ftr>
</file>

<file path=word/footer1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D655" w14:textId="77777777" w:rsidR="00154AD2" w:rsidRDefault="00154AD2">
    <w:pPr>
      <w:pStyle w:val="Footer"/>
    </w:pPr>
  </w:p>
</w:ftr>
</file>

<file path=word/footer1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FCCA" w14:textId="77777777" w:rsidR="00154AD2" w:rsidRDefault="00154AD2">
    <w:pPr>
      <w:pStyle w:val="Footer"/>
    </w:pPr>
  </w:p>
</w:ftr>
</file>

<file path=word/footer1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565869"/>
      <w:docPartObj>
        <w:docPartGallery w:val="Page Numbers (Bottom of Page)"/>
        <w:docPartUnique/>
      </w:docPartObj>
    </w:sdtPr>
    <w:sdtEndPr>
      <w:rPr>
        <w:noProof/>
      </w:rPr>
    </w:sdtEndPr>
    <w:sdtContent>
      <w:p w14:paraId="2A025F3F" w14:textId="7ED8BDBE"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44331C35" w14:textId="77777777" w:rsidR="00154AD2" w:rsidRDefault="00154AD2">
    <w:pPr>
      <w:pStyle w:val="FooterCouncil"/>
    </w:pPr>
  </w:p>
</w:ftr>
</file>

<file path=word/footer1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58598" w14:textId="77777777" w:rsidR="00154AD2" w:rsidRDefault="00154AD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757A0" w14:textId="77777777" w:rsidR="00154AD2" w:rsidRDefault="00154AD2">
    <w:pPr>
      <w:pStyle w:val="Footer"/>
    </w:pPr>
  </w:p>
</w:ftr>
</file>

<file path=word/footer1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4A3A" w14:textId="77777777" w:rsidR="00154AD2" w:rsidRDefault="00154AD2">
    <w:pPr>
      <w:pStyle w:val="Footer"/>
    </w:pPr>
  </w:p>
</w:ftr>
</file>

<file path=word/footer1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366933"/>
      <w:docPartObj>
        <w:docPartGallery w:val="Page Numbers (Bottom of Page)"/>
        <w:docPartUnique/>
      </w:docPartObj>
    </w:sdtPr>
    <w:sdtEndPr>
      <w:rPr>
        <w:noProof/>
      </w:rPr>
    </w:sdtEndPr>
    <w:sdtContent>
      <w:p w14:paraId="6946F91E" w14:textId="65DB2926"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3317CAD5" w14:textId="77777777" w:rsidR="00154AD2" w:rsidRDefault="00154AD2">
    <w:pPr>
      <w:pStyle w:val="FooterCouncil"/>
    </w:pPr>
  </w:p>
</w:ftr>
</file>

<file path=word/footer1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C9999" w14:textId="77777777" w:rsidR="00154AD2" w:rsidRDefault="00154AD2">
    <w:pPr>
      <w:pStyle w:val="Footer"/>
    </w:pPr>
  </w:p>
</w:ftr>
</file>

<file path=word/footer1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4FC7C" w14:textId="77777777" w:rsidR="00154AD2" w:rsidRDefault="00154AD2">
    <w:pPr>
      <w:pStyle w:val="Footer"/>
    </w:pPr>
  </w:p>
</w:ftr>
</file>

<file path=word/footer1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154876"/>
      <w:docPartObj>
        <w:docPartGallery w:val="Page Numbers (Bottom of Page)"/>
        <w:docPartUnique/>
      </w:docPartObj>
    </w:sdtPr>
    <w:sdtEndPr>
      <w:rPr>
        <w:noProof/>
      </w:rPr>
    </w:sdtEndPr>
    <w:sdtContent>
      <w:p w14:paraId="5182A1D9" w14:textId="3F40DCD6"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79915F40" w14:textId="77777777" w:rsidR="00154AD2" w:rsidRDefault="00154AD2">
    <w:pPr>
      <w:pStyle w:val="FooterCouncil"/>
    </w:pPr>
  </w:p>
</w:ftr>
</file>

<file path=word/footer1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0047F" w14:textId="77777777" w:rsidR="00154AD2" w:rsidRDefault="00154AD2">
    <w:pPr>
      <w:pStyle w:val="Footer"/>
    </w:pPr>
  </w:p>
</w:ftr>
</file>

<file path=word/footer1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DA06D" w14:textId="77777777" w:rsidR="00154AD2" w:rsidRDefault="00154AD2">
    <w:pPr>
      <w:pStyle w:val="Footer"/>
    </w:pPr>
  </w:p>
</w:ftr>
</file>

<file path=word/footer1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989003"/>
      <w:docPartObj>
        <w:docPartGallery w:val="Page Numbers (Bottom of Page)"/>
        <w:docPartUnique/>
      </w:docPartObj>
    </w:sdtPr>
    <w:sdtEndPr>
      <w:rPr>
        <w:noProof/>
      </w:rPr>
    </w:sdtEndPr>
    <w:sdtContent>
      <w:p w14:paraId="70C4F1F4" w14:textId="71FC3837"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5A4C2D26" w14:textId="77777777" w:rsidR="00154AD2" w:rsidRDefault="00154AD2">
    <w:pPr>
      <w:pStyle w:val="FooterCouncil"/>
    </w:pPr>
  </w:p>
</w:ftr>
</file>

<file path=word/footer1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01873" w14:textId="77777777" w:rsidR="00154AD2" w:rsidRDefault="00154AD2">
    <w:pPr>
      <w:pStyle w:val="Footer"/>
    </w:pPr>
  </w:p>
</w:ftr>
</file>

<file path=word/footer1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2903F" w14:textId="77777777" w:rsidR="00154AD2" w:rsidRDefault="00154AD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949075"/>
      <w:docPartObj>
        <w:docPartGallery w:val="Page Numbers (Bottom of Page)"/>
        <w:docPartUnique/>
      </w:docPartObj>
    </w:sdtPr>
    <w:sdtEndPr>
      <w:rPr>
        <w:noProof/>
      </w:rPr>
    </w:sdtEndPr>
    <w:sdtContent>
      <w:p w14:paraId="697ADC4C" w14:textId="352DF2CA" w:rsidR="00154AD2" w:rsidRDefault="007F6BF3">
        <w:pPr>
          <w:pStyle w:val="Footer"/>
          <w:jc w:val="center"/>
        </w:pPr>
        <w:r>
          <w:fldChar w:fldCharType="begin"/>
        </w:r>
        <w:r>
          <w:instrText xml:space="preserve"> PAGE   \* MERGEFORMAT </w:instrText>
        </w:r>
        <w:r>
          <w:fldChar w:fldCharType="separate"/>
        </w:r>
        <w:r w:rsidR="001955AE">
          <w:rPr>
            <w:noProof/>
          </w:rPr>
          <w:t>20</w:t>
        </w:r>
        <w:r>
          <w:fldChar w:fldCharType="end"/>
        </w:r>
      </w:p>
    </w:sdtContent>
  </w:sdt>
  <w:p w14:paraId="2F25493B" w14:textId="77777777" w:rsidR="00154AD2" w:rsidRDefault="00154AD2">
    <w:pPr>
      <w:pStyle w:val="FooterCouncil"/>
    </w:pPr>
  </w:p>
</w:ftr>
</file>

<file path=word/footer1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059084"/>
      <w:docPartObj>
        <w:docPartGallery w:val="Page Numbers (Bottom of Page)"/>
        <w:docPartUnique/>
      </w:docPartObj>
    </w:sdtPr>
    <w:sdtEndPr>
      <w:rPr>
        <w:noProof/>
      </w:rPr>
    </w:sdtEndPr>
    <w:sdtContent>
      <w:p w14:paraId="09FF84C0" w14:textId="371DBF66"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7689A89B" w14:textId="77777777" w:rsidR="00154AD2" w:rsidRDefault="00154AD2">
    <w:pPr>
      <w:pStyle w:val="FooterCouncil"/>
    </w:pPr>
  </w:p>
</w:ftr>
</file>

<file path=word/footer1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7F905" w14:textId="77777777" w:rsidR="00154AD2" w:rsidRDefault="00154AD2">
    <w:pPr>
      <w:pStyle w:val="Footer"/>
    </w:pPr>
  </w:p>
</w:ftr>
</file>

<file path=word/footer1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66487" w14:textId="77777777" w:rsidR="00154AD2" w:rsidRDefault="00154AD2">
    <w:pPr>
      <w:pStyle w:val="Footer"/>
    </w:pPr>
  </w:p>
</w:ftr>
</file>

<file path=word/footer1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668119"/>
      <w:docPartObj>
        <w:docPartGallery w:val="Page Numbers (Bottom of Page)"/>
        <w:docPartUnique/>
      </w:docPartObj>
    </w:sdtPr>
    <w:sdtEndPr>
      <w:rPr>
        <w:noProof/>
      </w:rPr>
    </w:sdtEndPr>
    <w:sdtContent>
      <w:p w14:paraId="197EF205" w14:textId="4FAF66C8"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51BFF986" w14:textId="77777777" w:rsidR="00154AD2" w:rsidRDefault="00154AD2">
    <w:pPr>
      <w:pStyle w:val="FooterCouncil"/>
    </w:pPr>
  </w:p>
</w:ftr>
</file>

<file path=word/footer1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CC769" w14:textId="77777777" w:rsidR="00154AD2" w:rsidRDefault="00154AD2">
    <w:pPr>
      <w:pStyle w:val="Footer"/>
    </w:pPr>
  </w:p>
</w:ftr>
</file>

<file path=word/footer1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E304A" w14:textId="77777777" w:rsidR="00154AD2" w:rsidRDefault="00154AD2">
    <w:pPr>
      <w:pStyle w:val="Footer"/>
    </w:pPr>
  </w:p>
</w:ftr>
</file>

<file path=word/footer1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942259"/>
      <w:docPartObj>
        <w:docPartGallery w:val="Page Numbers (Bottom of Page)"/>
        <w:docPartUnique/>
      </w:docPartObj>
    </w:sdtPr>
    <w:sdtEndPr>
      <w:rPr>
        <w:noProof/>
      </w:rPr>
    </w:sdtEndPr>
    <w:sdtContent>
      <w:p w14:paraId="6B70ED90" w14:textId="4C8D18B1"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005AB191" w14:textId="77777777" w:rsidR="00154AD2" w:rsidRDefault="00154AD2">
    <w:pPr>
      <w:pStyle w:val="FooterCouncil"/>
    </w:pPr>
  </w:p>
</w:ftr>
</file>

<file path=word/footer1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79200" w14:textId="77777777" w:rsidR="00154AD2" w:rsidRDefault="00154AD2">
    <w:pPr>
      <w:pStyle w:val="Footer"/>
    </w:pPr>
  </w:p>
</w:ftr>
</file>

<file path=word/footer1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8C958" w14:textId="77777777" w:rsidR="00154AD2" w:rsidRDefault="00154AD2">
    <w:pPr>
      <w:pStyle w:val="Footer"/>
    </w:pPr>
  </w:p>
</w:ftr>
</file>

<file path=word/footer1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377877"/>
      <w:docPartObj>
        <w:docPartGallery w:val="Page Numbers (Bottom of Page)"/>
        <w:docPartUnique/>
      </w:docPartObj>
    </w:sdtPr>
    <w:sdtEndPr>
      <w:rPr>
        <w:noProof/>
      </w:rPr>
    </w:sdtEndPr>
    <w:sdtContent>
      <w:p w14:paraId="3EFC1F34" w14:textId="60F5F0D7"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4170B67A" w14:textId="77777777" w:rsidR="00154AD2" w:rsidRDefault="00154AD2">
    <w:pPr>
      <w:pStyle w:val="FooterCouncil"/>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BB398" w14:textId="77777777" w:rsidR="00154AD2" w:rsidRDefault="00154AD2">
    <w:pPr>
      <w:pStyle w:val="Footer"/>
    </w:pPr>
  </w:p>
</w:ftr>
</file>

<file path=word/footer1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382C2" w14:textId="77777777" w:rsidR="00154AD2" w:rsidRDefault="00154AD2">
    <w:pPr>
      <w:pStyle w:val="Footer"/>
    </w:pPr>
  </w:p>
</w:ftr>
</file>

<file path=word/footer1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4BE4B" w14:textId="77777777" w:rsidR="00154AD2" w:rsidRDefault="00154AD2">
    <w:pPr>
      <w:pStyle w:val="Footer"/>
    </w:pPr>
  </w:p>
</w:ftr>
</file>

<file path=word/footer1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968927"/>
      <w:docPartObj>
        <w:docPartGallery w:val="Page Numbers (Bottom of Page)"/>
        <w:docPartUnique/>
      </w:docPartObj>
    </w:sdtPr>
    <w:sdtEndPr>
      <w:rPr>
        <w:noProof/>
      </w:rPr>
    </w:sdtEndPr>
    <w:sdtContent>
      <w:p w14:paraId="1B2ED277" w14:textId="35738820"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76B25FDC" w14:textId="77777777" w:rsidR="00154AD2" w:rsidRDefault="00154AD2">
    <w:pPr>
      <w:pStyle w:val="FooterCouncil"/>
    </w:pPr>
  </w:p>
</w:ftr>
</file>

<file path=word/footer1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17671" w14:textId="77777777" w:rsidR="00154AD2" w:rsidRDefault="00154AD2">
    <w:pPr>
      <w:pStyle w:val="Footer"/>
    </w:pPr>
  </w:p>
</w:ftr>
</file>

<file path=word/footer1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D973B" w14:textId="77777777" w:rsidR="00154AD2" w:rsidRDefault="00154AD2">
    <w:pPr>
      <w:pStyle w:val="Footer"/>
    </w:pPr>
  </w:p>
</w:ftr>
</file>

<file path=word/footer1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835111"/>
      <w:docPartObj>
        <w:docPartGallery w:val="Page Numbers (Bottom of Page)"/>
        <w:docPartUnique/>
      </w:docPartObj>
    </w:sdtPr>
    <w:sdtEndPr>
      <w:rPr>
        <w:noProof/>
      </w:rPr>
    </w:sdtEndPr>
    <w:sdtContent>
      <w:p w14:paraId="4CF811EF" w14:textId="78EE14FB"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21E2B198" w14:textId="77777777" w:rsidR="00154AD2" w:rsidRDefault="00154AD2">
    <w:pPr>
      <w:pStyle w:val="FooterCouncil"/>
    </w:pPr>
  </w:p>
</w:ftr>
</file>

<file path=word/footer1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47961" w14:textId="77777777" w:rsidR="00154AD2" w:rsidRDefault="00154AD2">
    <w:pPr>
      <w:pStyle w:val="Footer"/>
    </w:pPr>
  </w:p>
</w:ftr>
</file>

<file path=word/footer1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B7371" w14:textId="77777777" w:rsidR="00154AD2" w:rsidRDefault="00154AD2">
    <w:pPr>
      <w:pStyle w:val="Footer"/>
    </w:pPr>
  </w:p>
</w:ftr>
</file>

<file path=word/footer1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091529"/>
      <w:docPartObj>
        <w:docPartGallery w:val="Page Numbers (Bottom of Page)"/>
        <w:docPartUnique/>
      </w:docPartObj>
    </w:sdtPr>
    <w:sdtEndPr>
      <w:rPr>
        <w:noProof/>
      </w:rPr>
    </w:sdtEndPr>
    <w:sdtContent>
      <w:p w14:paraId="126DF290" w14:textId="395CA58A"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2D623DEB" w14:textId="77777777" w:rsidR="00154AD2" w:rsidRDefault="00154AD2">
    <w:pPr>
      <w:pStyle w:val="FooterCouncil"/>
    </w:pPr>
  </w:p>
</w:ftr>
</file>

<file path=word/footer1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F51D7" w14:textId="77777777" w:rsidR="00154AD2" w:rsidRDefault="00154AD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D0C83" w14:textId="77777777" w:rsidR="00154AD2" w:rsidRDefault="00154AD2">
    <w:pPr>
      <w:pStyle w:val="Footer"/>
    </w:pPr>
  </w:p>
</w:ftr>
</file>

<file path=word/footer1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99E64" w14:textId="77777777" w:rsidR="00154AD2" w:rsidRDefault="00154AD2">
    <w:pPr>
      <w:pStyle w:val="Footer"/>
    </w:pPr>
  </w:p>
</w:ftr>
</file>

<file path=word/footer1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550509"/>
      <w:docPartObj>
        <w:docPartGallery w:val="Page Numbers (Bottom of Page)"/>
        <w:docPartUnique/>
      </w:docPartObj>
    </w:sdtPr>
    <w:sdtEndPr>
      <w:rPr>
        <w:noProof/>
      </w:rPr>
    </w:sdtEndPr>
    <w:sdtContent>
      <w:p w14:paraId="398E9E99" w14:textId="20945DC3"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1EBDB67F" w14:textId="77777777" w:rsidR="00154AD2" w:rsidRDefault="00154AD2">
    <w:pPr>
      <w:pStyle w:val="FooterCouncil"/>
    </w:pPr>
  </w:p>
</w:ftr>
</file>

<file path=word/footer1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22AB5" w14:textId="77777777" w:rsidR="00154AD2" w:rsidRDefault="00154AD2">
    <w:pPr>
      <w:pStyle w:val="Footer"/>
    </w:pPr>
  </w:p>
</w:ftr>
</file>

<file path=word/footer1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9CDF8" w14:textId="77777777" w:rsidR="00154AD2" w:rsidRDefault="00154AD2">
    <w:pPr>
      <w:pStyle w:val="Footer"/>
    </w:pPr>
  </w:p>
</w:ftr>
</file>

<file path=word/footer1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571365"/>
      <w:docPartObj>
        <w:docPartGallery w:val="Page Numbers (Bottom of Page)"/>
        <w:docPartUnique/>
      </w:docPartObj>
    </w:sdtPr>
    <w:sdtEndPr>
      <w:rPr>
        <w:noProof/>
      </w:rPr>
    </w:sdtEndPr>
    <w:sdtContent>
      <w:p w14:paraId="62055C4B" w14:textId="19453D9B"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3DFBE96B" w14:textId="77777777" w:rsidR="00154AD2" w:rsidRDefault="00154AD2">
    <w:pPr>
      <w:pStyle w:val="FooterCouncil"/>
    </w:pPr>
  </w:p>
</w:ftr>
</file>

<file path=word/footer1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3A32A" w14:textId="77777777" w:rsidR="00154AD2" w:rsidRDefault="00154AD2">
    <w:pPr>
      <w:pStyle w:val="Footer"/>
    </w:pPr>
  </w:p>
</w:ftr>
</file>

<file path=word/footer1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47CC1" w14:textId="77777777" w:rsidR="00154AD2" w:rsidRDefault="00154AD2">
    <w:pPr>
      <w:pStyle w:val="Footer"/>
    </w:pPr>
  </w:p>
</w:ftr>
</file>

<file path=word/footer1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36313"/>
      <w:docPartObj>
        <w:docPartGallery w:val="Page Numbers (Bottom of Page)"/>
        <w:docPartUnique/>
      </w:docPartObj>
    </w:sdtPr>
    <w:sdtEndPr>
      <w:rPr>
        <w:noProof/>
      </w:rPr>
    </w:sdtEndPr>
    <w:sdtContent>
      <w:p w14:paraId="4B6FA002" w14:textId="6A34B5C3"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6B1E739A" w14:textId="77777777" w:rsidR="00154AD2" w:rsidRDefault="00154AD2">
    <w:pPr>
      <w:pStyle w:val="FooterCouncil"/>
    </w:pPr>
  </w:p>
</w:ftr>
</file>

<file path=word/footer1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DDC62" w14:textId="77777777" w:rsidR="00154AD2" w:rsidRDefault="00154AD2">
    <w:pPr>
      <w:pStyle w:val="Footer"/>
    </w:pPr>
  </w:p>
</w:ftr>
</file>

<file path=word/footer1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671EE" w14:textId="77777777" w:rsidR="00154AD2" w:rsidRDefault="00154AD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44112"/>
      <w:docPartObj>
        <w:docPartGallery w:val="Page Numbers (Bottom of Page)"/>
        <w:docPartUnique/>
      </w:docPartObj>
    </w:sdtPr>
    <w:sdtEndPr>
      <w:rPr>
        <w:noProof/>
      </w:rPr>
    </w:sdtEndPr>
    <w:sdtContent>
      <w:p w14:paraId="12CB0D27" w14:textId="5D9043D3"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0B5F64D9" w14:textId="77777777" w:rsidR="00154AD2" w:rsidRDefault="00154AD2">
    <w:pPr>
      <w:pStyle w:val="FooterCouncil"/>
    </w:pPr>
  </w:p>
</w:ftr>
</file>

<file path=word/footer1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006568"/>
      <w:docPartObj>
        <w:docPartGallery w:val="Page Numbers (Bottom of Page)"/>
        <w:docPartUnique/>
      </w:docPartObj>
    </w:sdtPr>
    <w:sdtEndPr>
      <w:rPr>
        <w:noProof/>
      </w:rPr>
    </w:sdtEndPr>
    <w:sdtContent>
      <w:p w14:paraId="28D3693D" w14:textId="75FD25FC"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12266354" w14:textId="77777777" w:rsidR="00154AD2" w:rsidRDefault="00154AD2">
    <w:pPr>
      <w:pStyle w:val="FooterCouncil"/>
    </w:pPr>
  </w:p>
</w:ftr>
</file>

<file path=word/footer1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86BB2" w14:textId="77777777" w:rsidR="00154AD2" w:rsidRDefault="00154AD2">
    <w:pPr>
      <w:pStyle w:val="Footer"/>
    </w:pPr>
  </w:p>
</w:ftr>
</file>

<file path=word/footer1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AFECF" w14:textId="77777777" w:rsidR="00154AD2" w:rsidRDefault="00154AD2">
    <w:pPr>
      <w:pStyle w:val="Footer"/>
    </w:pPr>
  </w:p>
</w:ftr>
</file>

<file path=word/footer1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0002"/>
      <w:docPartObj>
        <w:docPartGallery w:val="Page Numbers (Bottom of Page)"/>
        <w:docPartUnique/>
      </w:docPartObj>
    </w:sdtPr>
    <w:sdtEndPr>
      <w:rPr>
        <w:noProof/>
      </w:rPr>
    </w:sdtEndPr>
    <w:sdtContent>
      <w:p w14:paraId="53C379DD" w14:textId="6EC11630"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435C4841" w14:textId="77777777" w:rsidR="00154AD2" w:rsidRDefault="00154AD2">
    <w:pPr>
      <w:pStyle w:val="FooterCouncil"/>
    </w:pPr>
  </w:p>
</w:ftr>
</file>

<file path=word/footer1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1D8EB" w14:textId="77777777" w:rsidR="00154AD2" w:rsidRDefault="00154AD2">
    <w:pPr>
      <w:pStyle w:val="Footer"/>
    </w:pPr>
  </w:p>
</w:ftr>
</file>

<file path=word/footer1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10043" w14:textId="77777777" w:rsidR="00154AD2" w:rsidRDefault="00154AD2">
    <w:pPr>
      <w:pStyle w:val="Footer"/>
    </w:pPr>
  </w:p>
</w:ftr>
</file>

<file path=word/footer1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754586"/>
      <w:docPartObj>
        <w:docPartGallery w:val="Page Numbers (Bottom of Page)"/>
        <w:docPartUnique/>
      </w:docPartObj>
    </w:sdtPr>
    <w:sdtEndPr>
      <w:rPr>
        <w:noProof/>
      </w:rPr>
    </w:sdtEndPr>
    <w:sdtContent>
      <w:p w14:paraId="7AEAA58B" w14:textId="18D29009"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74B82BCE" w14:textId="77777777" w:rsidR="00154AD2" w:rsidRDefault="00154AD2">
    <w:pPr>
      <w:pStyle w:val="FooterCouncil"/>
    </w:pPr>
  </w:p>
</w:ftr>
</file>

<file path=word/footer1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0499E" w14:textId="77777777" w:rsidR="00154AD2" w:rsidRDefault="00154AD2">
    <w:pPr>
      <w:pStyle w:val="Footer"/>
    </w:pPr>
  </w:p>
</w:ftr>
</file>

<file path=word/footer1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AD40B" w14:textId="77777777" w:rsidR="00154AD2" w:rsidRDefault="00154AD2">
    <w:pPr>
      <w:pStyle w:val="Footer"/>
    </w:pPr>
  </w:p>
</w:ftr>
</file>

<file path=word/footer1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624723"/>
      <w:docPartObj>
        <w:docPartGallery w:val="Page Numbers (Bottom of Page)"/>
        <w:docPartUnique/>
      </w:docPartObj>
    </w:sdtPr>
    <w:sdtEndPr>
      <w:rPr>
        <w:noProof/>
      </w:rPr>
    </w:sdtEndPr>
    <w:sdtContent>
      <w:p w14:paraId="01B45A81" w14:textId="7B94C4ED"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6DD189E6" w14:textId="77777777" w:rsidR="00154AD2" w:rsidRDefault="00154AD2">
    <w:pPr>
      <w:pStyle w:val="FooterCouncil"/>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F6430" w14:textId="77777777" w:rsidR="00154AD2" w:rsidRDefault="00154AD2">
    <w:pPr>
      <w:pStyle w:val="Footer"/>
    </w:pPr>
  </w:p>
</w:ftr>
</file>

<file path=word/footer1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373D8" w14:textId="77777777" w:rsidR="00154AD2" w:rsidRDefault="00154AD2">
    <w:pPr>
      <w:pStyle w:val="Footer"/>
    </w:pPr>
  </w:p>
</w:ftr>
</file>

<file path=word/footer1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368AC" w14:textId="77777777" w:rsidR="00154AD2" w:rsidRDefault="00154AD2">
    <w:pPr>
      <w:pStyle w:val="Footer"/>
    </w:pPr>
  </w:p>
</w:ftr>
</file>

<file path=word/footer1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508648"/>
      <w:docPartObj>
        <w:docPartGallery w:val="Page Numbers (Bottom of Page)"/>
        <w:docPartUnique/>
      </w:docPartObj>
    </w:sdtPr>
    <w:sdtEndPr>
      <w:rPr>
        <w:noProof/>
      </w:rPr>
    </w:sdtEndPr>
    <w:sdtContent>
      <w:p w14:paraId="13ED70D2" w14:textId="57D86C32"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32C7D1A9" w14:textId="77777777" w:rsidR="00154AD2" w:rsidRDefault="00154AD2">
    <w:pPr>
      <w:pStyle w:val="FooterCouncil"/>
    </w:pPr>
  </w:p>
</w:ftr>
</file>

<file path=word/footer1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83600" w14:textId="77777777" w:rsidR="00154AD2" w:rsidRDefault="00154AD2">
    <w:pPr>
      <w:pStyle w:val="Footer"/>
    </w:pPr>
  </w:p>
</w:ftr>
</file>

<file path=word/footer1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8FED2" w14:textId="77777777" w:rsidR="00154AD2" w:rsidRDefault="00154AD2">
    <w:pPr>
      <w:pStyle w:val="Footer"/>
    </w:pPr>
  </w:p>
</w:ftr>
</file>

<file path=word/footer1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587532"/>
      <w:docPartObj>
        <w:docPartGallery w:val="Page Numbers (Bottom of Page)"/>
        <w:docPartUnique/>
      </w:docPartObj>
    </w:sdtPr>
    <w:sdtEndPr>
      <w:rPr>
        <w:noProof/>
      </w:rPr>
    </w:sdtEndPr>
    <w:sdtContent>
      <w:p w14:paraId="53677020" w14:textId="1DCBDA7B"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0A3B62C6" w14:textId="77777777" w:rsidR="00154AD2" w:rsidRDefault="00154AD2">
    <w:pPr>
      <w:pStyle w:val="FooterCouncil"/>
    </w:pPr>
  </w:p>
</w:ftr>
</file>

<file path=word/footer1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C8487" w14:textId="77777777" w:rsidR="00154AD2" w:rsidRDefault="00154AD2">
    <w:pPr>
      <w:pStyle w:val="Footer"/>
    </w:pPr>
  </w:p>
</w:ftr>
</file>

<file path=word/footer1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25AF4" w14:textId="77777777" w:rsidR="00154AD2" w:rsidRDefault="00154AD2">
    <w:pPr>
      <w:pStyle w:val="Footer"/>
    </w:pPr>
  </w:p>
</w:ftr>
</file>

<file path=word/footer1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395917"/>
      <w:docPartObj>
        <w:docPartGallery w:val="Page Numbers (Bottom of Page)"/>
        <w:docPartUnique/>
      </w:docPartObj>
    </w:sdtPr>
    <w:sdtEndPr>
      <w:rPr>
        <w:noProof/>
      </w:rPr>
    </w:sdtEndPr>
    <w:sdtContent>
      <w:p w14:paraId="508043F1" w14:textId="6ABC6F45"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2BD69011" w14:textId="77777777" w:rsidR="00154AD2" w:rsidRDefault="00154AD2">
    <w:pPr>
      <w:pStyle w:val="FooterCouncil"/>
    </w:pPr>
  </w:p>
</w:ftr>
</file>

<file path=word/footer1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C8B47" w14:textId="77777777" w:rsidR="00154AD2" w:rsidRDefault="00154AD2">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33B10" w14:textId="77777777" w:rsidR="00F0067B" w:rsidRDefault="00F0067B">
    <w:pPr>
      <w:pStyle w:val="Footer"/>
    </w:pPr>
  </w:p>
</w:ftr>
</file>

<file path=word/footer1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CBBC0" w14:textId="77777777" w:rsidR="00154AD2" w:rsidRDefault="00154AD2">
    <w:pPr>
      <w:pStyle w:val="Footer"/>
    </w:pPr>
  </w:p>
</w:ftr>
</file>

<file path=word/footer1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824516"/>
      <w:docPartObj>
        <w:docPartGallery w:val="Page Numbers (Bottom of Page)"/>
        <w:docPartUnique/>
      </w:docPartObj>
    </w:sdtPr>
    <w:sdtEndPr>
      <w:rPr>
        <w:noProof/>
      </w:rPr>
    </w:sdtEndPr>
    <w:sdtContent>
      <w:p w14:paraId="4A7028B2" w14:textId="2C22FBB5"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33B5F61B" w14:textId="77777777" w:rsidR="00154AD2" w:rsidRDefault="00154AD2">
    <w:pPr>
      <w:pStyle w:val="FooterCouncil"/>
    </w:pPr>
  </w:p>
</w:ftr>
</file>

<file path=word/footer1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2DA6B" w14:textId="77777777" w:rsidR="00154AD2" w:rsidRDefault="00154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C9208" w14:textId="2A8A42FC" w:rsidR="007F6BF3" w:rsidRPr="00C7701C" w:rsidRDefault="00C7701C" w:rsidP="00C7701C">
    <w:pPr>
      <w:pStyle w:val="FooterCoverPage"/>
      <w:rPr>
        <w:rFonts w:ascii="Arial" w:hAnsi="Arial" w:cs="Arial"/>
        <w:b/>
        <w:sz w:val="48"/>
      </w:rPr>
    </w:pPr>
    <w:r w:rsidRPr="00C7701C">
      <w:rPr>
        <w:rFonts w:ascii="Arial" w:hAnsi="Arial" w:cs="Arial"/>
        <w:b/>
        <w:sz w:val="48"/>
      </w:rPr>
      <w:t>EL</w:t>
    </w:r>
    <w:r w:rsidRPr="00C7701C">
      <w:rPr>
        <w:rFonts w:ascii="Arial" w:hAnsi="Arial" w:cs="Arial"/>
        <w:b/>
        <w:sz w:val="48"/>
      </w:rPr>
      <w:tab/>
    </w:r>
    <w:r w:rsidRPr="00C7701C">
      <w:rPr>
        <w:rFonts w:ascii="Arial" w:hAnsi="Arial" w:cs="Arial"/>
        <w:b/>
        <w:sz w:val="48"/>
      </w:rPr>
      <w:tab/>
    </w:r>
    <w:r w:rsidRPr="00C7701C">
      <w:tab/>
    </w:r>
    <w:r w:rsidRPr="00C7701C">
      <w:rPr>
        <w:rFonts w:ascii="Arial" w:hAnsi="Arial" w:cs="Arial"/>
        <w:b/>
        <w:sz w:val="48"/>
      </w:rPr>
      <w:t>EL</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256973"/>
      <w:docPartObj>
        <w:docPartGallery w:val="Page Numbers (Bottom of Page)"/>
        <w:docPartUnique/>
      </w:docPartObj>
    </w:sdtPr>
    <w:sdtEndPr>
      <w:rPr>
        <w:noProof/>
      </w:rPr>
    </w:sdtEndPr>
    <w:sdtContent>
      <w:p w14:paraId="2017AFB3" w14:textId="77777777" w:rsidR="00F0067B" w:rsidRDefault="00F0067B">
        <w:pPr>
          <w:pStyle w:val="Footer"/>
          <w:jc w:val="center"/>
        </w:pPr>
        <w:r>
          <w:fldChar w:fldCharType="begin"/>
        </w:r>
        <w:r>
          <w:instrText xml:space="preserve"> PAGE   \* MERGEFORMAT </w:instrText>
        </w:r>
        <w:r>
          <w:fldChar w:fldCharType="separate"/>
        </w:r>
        <w:r>
          <w:t>2</w:t>
        </w:r>
        <w:r>
          <w:fldChar w:fldCharType="end"/>
        </w:r>
      </w:p>
    </w:sdtContent>
  </w:sdt>
  <w:p w14:paraId="47BC2844" w14:textId="77777777" w:rsidR="00F0067B" w:rsidRDefault="00F0067B">
    <w:pPr>
      <w:pStyle w:val="FooterCouncil"/>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C56C9" w14:textId="77777777" w:rsidR="00F0067B" w:rsidRDefault="00F0067B">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01BA" w14:textId="77777777" w:rsidR="00154AD2" w:rsidRDefault="00154AD2">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830203"/>
      <w:docPartObj>
        <w:docPartGallery w:val="Page Numbers (Bottom of Page)"/>
        <w:docPartUnique/>
      </w:docPartObj>
    </w:sdtPr>
    <w:sdtEndPr>
      <w:rPr>
        <w:noProof/>
      </w:rPr>
    </w:sdtEndPr>
    <w:sdtContent>
      <w:p w14:paraId="2CED8AC6" w14:textId="20A90797"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75C9F863" w14:textId="77777777" w:rsidR="00154AD2" w:rsidRDefault="00154AD2">
    <w:pPr>
      <w:pStyle w:val="FooterCouncil"/>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32863" w14:textId="77777777" w:rsidR="00154AD2" w:rsidRDefault="00154AD2">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20E3D" w14:textId="77777777" w:rsidR="00154AD2" w:rsidRDefault="00154AD2">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298613"/>
      <w:docPartObj>
        <w:docPartGallery w:val="Page Numbers (Bottom of Page)"/>
        <w:docPartUnique/>
      </w:docPartObj>
    </w:sdtPr>
    <w:sdtEndPr>
      <w:rPr>
        <w:noProof/>
      </w:rPr>
    </w:sdtEndPr>
    <w:sdtContent>
      <w:p w14:paraId="05F0F492" w14:textId="1FFE498F"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0741FD69" w14:textId="77777777" w:rsidR="00154AD2" w:rsidRDefault="00154AD2">
    <w:pPr>
      <w:pStyle w:val="FooterCouncil"/>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80E57" w14:textId="77777777" w:rsidR="00154AD2" w:rsidRDefault="00154AD2">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F600E" w14:textId="77777777" w:rsidR="00154AD2" w:rsidRDefault="00154AD2">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87096"/>
      <w:docPartObj>
        <w:docPartGallery w:val="Page Numbers (Bottom of Page)"/>
        <w:docPartUnique/>
      </w:docPartObj>
    </w:sdtPr>
    <w:sdtEndPr>
      <w:rPr>
        <w:noProof/>
      </w:rPr>
    </w:sdtEndPr>
    <w:sdtContent>
      <w:p w14:paraId="2DEBA96A" w14:textId="4C15FA84"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7EB36D5D" w14:textId="77777777" w:rsidR="00154AD2" w:rsidRDefault="00154AD2">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72B1E" w14:textId="77777777" w:rsidR="00C7701C" w:rsidRPr="00C7701C" w:rsidRDefault="00C7701C" w:rsidP="00C7701C">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2295D" w14:textId="77777777" w:rsidR="00154AD2" w:rsidRDefault="00154AD2">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FC1FE" w14:textId="77777777" w:rsidR="00154AD2" w:rsidRDefault="00154AD2">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698929"/>
      <w:docPartObj>
        <w:docPartGallery w:val="Page Numbers (Bottom of Page)"/>
        <w:docPartUnique/>
      </w:docPartObj>
    </w:sdtPr>
    <w:sdtEndPr>
      <w:rPr>
        <w:noProof/>
      </w:rPr>
    </w:sdtEndPr>
    <w:sdtContent>
      <w:p w14:paraId="714D1441" w14:textId="7E54DB4C"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719E7858" w14:textId="77777777" w:rsidR="00154AD2" w:rsidRDefault="00154AD2">
    <w:pPr>
      <w:pStyle w:val="FooterCouncil"/>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0A4F3" w14:textId="77777777" w:rsidR="00154AD2" w:rsidRDefault="00154AD2">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9EF6" w14:textId="77777777" w:rsidR="00154AD2" w:rsidRDefault="00154AD2">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099938"/>
      <w:docPartObj>
        <w:docPartGallery w:val="Page Numbers (Bottom of Page)"/>
        <w:docPartUnique/>
      </w:docPartObj>
    </w:sdtPr>
    <w:sdtEndPr>
      <w:rPr>
        <w:noProof/>
      </w:rPr>
    </w:sdtEndPr>
    <w:sdtContent>
      <w:p w14:paraId="345873AE" w14:textId="1218090F"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2986C6F5" w14:textId="77777777" w:rsidR="00154AD2" w:rsidRDefault="00154AD2">
    <w:pPr>
      <w:pStyle w:val="FooterCouncil"/>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73DE8" w14:textId="77777777" w:rsidR="00154AD2" w:rsidRDefault="00154AD2">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25039" w14:textId="77777777" w:rsidR="00154AD2" w:rsidRDefault="00154AD2">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277009"/>
      <w:docPartObj>
        <w:docPartGallery w:val="Page Numbers (Bottom of Page)"/>
        <w:docPartUnique/>
      </w:docPartObj>
    </w:sdtPr>
    <w:sdtEndPr>
      <w:rPr>
        <w:noProof/>
      </w:rPr>
    </w:sdtEndPr>
    <w:sdtContent>
      <w:p w14:paraId="65098364" w14:textId="728670F7"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4643FB93" w14:textId="77777777" w:rsidR="00154AD2" w:rsidRDefault="00154AD2">
    <w:pPr>
      <w:pStyle w:val="FooterCouncil"/>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F6AF8" w14:textId="77777777" w:rsidR="00154AD2" w:rsidRDefault="00154A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B0DE0" w14:textId="77777777" w:rsidR="00154AD2" w:rsidRDefault="00154AD2">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82116" w14:textId="77777777" w:rsidR="00154AD2" w:rsidRDefault="00154AD2">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741893"/>
      <w:docPartObj>
        <w:docPartGallery w:val="Page Numbers (Bottom of Page)"/>
        <w:docPartUnique/>
      </w:docPartObj>
    </w:sdtPr>
    <w:sdtEndPr>
      <w:rPr>
        <w:noProof/>
      </w:rPr>
    </w:sdtEndPr>
    <w:sdtContent>
      <w:p w14:paraId="00966A19" w14:textId="69B60B7F"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3F45C853" w14:textId="77777777" w:rsidR="00154AD2" w:rsidRDefault="00154AD2">
    <w:pPr>
      <w:pStyle w:val="FooterCouncil"/>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A0EAA" w14:textId="77777777" w:rsidR="00154AD2" w:rsidRDefault="00154AD2">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00FE" w14:textId="77777777" w:rsidR="00154AD2" w:rsidRDefault="00154AD2">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036114"/>
      <w:docPartObj>
        <w:docPartGallery w:val="Page Numbers (Bottom of Page)"/>
        <w:docPartUnique/>
      </w:docPartObj>
    </w:sdtPr>
    <w:sdtEndPr>
      <w:rPr>
        <w:noProof/>
      </w:rPr>
    </w:sdtEndPr>
    <w:sdtContent>
      <w:p w14:paraId="25167880" w14:textId="0D504E9E"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4B6037DF" w14:textId="77777777" w:rsidR="00154AD2" w:rsidRDefault="00154AD2">
    <w:pPr>
      <w:pStyle w:val="FooterCouncil"/>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E1D7A" w14:textId="77777777" w:rsidR="00154AD2" w:rsidRDefault="00154AD2">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943A7" w14:textId="77777777" w:rsidR="00154AD2" w:rsidRDefault="00154AD2">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507974"/>
      <w:docPartObj>
        <w:docPartGallery w:val="Page Numbers (Bottom of Page)"/>
        <w:docPartUnique/>
      </w:docPartObj>
    </w:sdtPr>
    <w:sdtEndPr>
      <w:rPr>
        <w:noProof/>
      </w:rPr>
    </w:sdtEndPr>
    <w:sdtContent>
      <w:p w14:paraId="1811EA1C" w14:textId="44C20AC1"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01988643" w14:textId="77777777" w:rsidR="00154AD2" w:rsidRDefault="00154AD2">
    <w:pPr>
      <w:pStyle w:val="FooterCouncil"/>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04B48" w14:textId="77777777" w:rsidR="00154AD2" w:rsidRDefault="00154AD2">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73585" w14:textId="77777777" w:rsidR="00154AD2" w:rsidRDefault="00154A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346073"/>
      <w:docPartObj>
        <w:docPartGallery w:val="Page Numbers (Bottom of Page)"/>
        <w:docPartUnique/>
      </w:docPartObj>
    </w:sdtPr>
    <w:sdtEndPr>
      <w:rPr>
        <w:noProof/>
      </w:rPr>
    </w:sdtEndPr>
    <w:sdtContent>
      <w:p w14:paraId="2AA68066" w14:textId="09FED552" w:rsidR="00154AD2" w:rsidRDefault="007F6BF3">
        <w:pPr>
          <w:pStyle w:val="Footer"/>
          <w:jc w:val="center"/>
        </w:pPr>
        <w:r>
          <w:fldChar w:fldCharType="begin"/>
        </w:r>
        <w:r>
          <w:instrText xml:space="preserve"> PAGE   \* MERGEFORMAT </w:instrText>
        </w:r>
        <w:r>
          <w:fldChar w:fldCharType="separate"/>
        </w:r>
        <w:r w:rsidR="00C7701C">
          <w:rPr>
            <w:noProof/>
          </w:rPr>
          <w:t>2</w:t>
        </w:r>
        <w:r>
          <w:fldChar w:fldCharType="end"/>
        </w:r>
      </w:p>
    </w:sdtContent>
  </w:sdt>
  <w:p w14:paraId="0DEA6884" w14:textId="77777777" w:rsidR="00154AD2" w:rsidRDefault="00154AD2">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801915"/>
      <w:docPartObj>
        <w:docPartGallery w:val="Page Numbers (Bottom of Page)"/>
        <w:docPartUnique/>
      </w:docPartObj>
    </w:sdtPr>
    <w:sdtEndPr>
      <w:rPr>
        <w:noProof/>
      </w:rPr>
    </w:sdtEndPr>
    <w:sdtContent>
      <w:p w14:paraId="7D3A79CE" w14:textId="724C2B6F"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68DB9891" w14:textId="77777777" w:rsidR="00154AD2" w:rsidRDefault="00154AD2">
    <w:pPr>
      <w:pStyle w:val="FooterCouncil"/>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86A8D" w14:textId="77777777" w:rsidR="00154AD2" w:rsidRDefault="00154AD2">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82201" w14:textId="77777777" w:rsidR="00154AD2" w:rsidRDefault="00154AD2">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415558"/>
      <w:docPartObj>
        <w:docPartGallery w:val="Page Numbers (Bottom of Page)"/>
        <w:docPartUnique/>
      </w:docPartObj>
    </w:sdtPr>
    <w:sdtEndPr>
      <w:rPr>
        <w:noProof/>
      </w:rPr>
    </w:sdtEndPr>
    <w:sdtContent>
      <w:p w14:paraId="3C55196F" w14:textId="3F12762B"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008F913B" w14:textId="77777777" w:rsidR="00154AD2" w:rsidRDefault="00154AD2">
    <w:pPr>
      <w:pStyle w:val="FooterCouncil"/>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52109" w14:textId="77777777" w:rsidR="00154AD2" w:rsidRDefault="00154AD2">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01565" w14:textId="77777777" w:rsidR="00154AD2" w:rsidRDefault="00154AD2">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578241"/>
      <w:docPartObj>
        <w:docPartGallery w:val="Page Numbers (Bottom of Page)"/>
        <w:docPartUnique/>
      </w:docPartObj>
    </w:sdtPr>
    <w:sdtEndPr>
      <w:rPr>
        <w:noProof/>
      </w:rPr>
    </w:sdtEndPr>
    <w:sdtContent>
      <w:p w14:paraId="491E5022" w14:textId="0DA370AA"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11540942" w14:textId="77777777" w:rsidR="00154AD2" w:rsidRDefault="00154AD2">
    <w:pPr>
      <w:pStyle w:val="FooterCouncil"/>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02774" w14:textId="77777777" w:rsidR="00154AD2" w:rsidRDefault="00154AD2">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013ED" w14:textId="77777777" w:rsidR="00154AD2" w:rsidRDefault="00154AD2">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812463"/>
      <w:docPartObj>
        <w:docPartGallery w:val="Page Numbers (Bottom of Page)"/>
        <w:docPartUnique/>
      </w:docPartObj>
    </w:sdtPr>
    <w:sdtEndPr>
      <w:rPr>
        <w:noProof/>
      </w:rPr>
    </w:sdtEndPr>
    <w:sdtContent>
      <w:p w14:paraId="553A0A03" w14:textId="771841E8"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423CC830" w14:textId="77777777" w:rsidR="00154AD2" w:rsidRDefault="00154AD2">
    <w:pPr>
      <w:pStyle w:val="FooterCouncil"/>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A863A" w14:textId="77777777" w:rsidR="00154AD2" w:rsidRDefault="00154AD2">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83F60" w14:textId="77777777" w:rsidR="00154AD2" w:rsidRDefault="00154AD2">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02836" w14:textId="77777777" w:rsidR="00154AD2" w:rsidRDefault="00154AD2">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733270"/>
      <w:docPartObj>
        <w:docPartGallery w:val="Page Numbers (Bottom of Page)"/>
        <w:docPartUnique/>
      </w:docPartObj>
    </w:sdtPr>
    <w:sdtEndPr>
      <w:rPr>
        <w:noProof/>
      </w:rPr>
    </w:sdtEndPr>
    <w:sdtContent>
      <w:p w14:paraId="0F5CF51F" w14:textId="58203338"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4135D1FF" w14:textId="77777777" w:rsidR="00154AD2" w:rsidRDefault="00154AD2">
    <w:pPr>
      <w:pStyle w:val="FooterCouncil"/>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B5A9E" w14:textId="77777777" w:rsidR="00154AD2" w:rsidRDefault="00154AD2">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6CD2B" w14:textId="77777777" w:rsidR="00154AD2" w:rsidRDefault="00154AD2">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883907"/>
      <w:docPartObj>
        <w:docPartGallery w:val="Page Numbers (Bottom of Page)"/>
        <w:docPartUnique/>
      </w:docPartObj>
    </w:sdtPr>
    <w:sdtEndPr>
      <w:rPr>
        <w:noProof/>
      </w:rPr>
    </w:sdtEndPr>
    <w:sdtContent>
      <w:p w14:paraId="1E7DE44E" w14:textId="71994768"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368A7015" w14:textId="77777777" w:rsidR="00154AD2" w:rsidRDefault="00154AD2">
    <w:pPr>
      <w:pStyle w:val="FooterCouncil"/>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A2D1F" w14:textId="77777777" w:rsidR="00154AD2" w:rsidRDefault="00154AD2">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DDB6A" w14:textId="77777777" w:rsidR="00154AD2" w:rsidRDefault="00154AD2">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524488"/>
      <w:docPartObj>
        <w:docPartGallery w:val="Page Numbers (Bottom of Page)"/>
        <w:docPartUnique/>
      </w:docPartObj>
    </w:sdtPr>
    <w:sdtEndPr>
      <w:rPr>
        <w:noProof/>
      </w:rPr>
    </w:sdtEndPr>
    <w:sdtContent>
      <w:p w14:paraId="26B90A8C" w14:textId="16A8AB06"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22113364" w14:textId="77777777" w:rsidR="00154AD2" w:rsidRDefault="00154AD2">
    <w:pPr>
      <w:pStyle w:val="FooterCouncil"/>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1D2FD" w14:textId="77777777" w:rsidR="00154AD2" w:rsidRDefault="00154AD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F4ED3" w14:textId="77777777" w:rsidR="00F0067B" w:rsidRDefault="00F0067B">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B96EC" w14:textId="77777777" w:rsidR="00154AD2" w:rsidRDefault="00154AD2">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375543"/>
      <w:docPartObj>
        <w:docPartGallery w:val="Page Numbers (Bottom of Page)"/>
        <w:docPartUnique/>
      </w:docPartObj>
    </w:sdtPr>
    <w:sdtEndPr>
      <w:rPr>
        <w:noProof/>
      </w:rPr>
    </w:sdtEndPr>
    <w:sdtContent>
      <w:p w14:paraId="20D54BE6" w14:textId="27EB8F5F"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20347BDD" w14:textId="77777777" w:rsidR="00154AD2" w:rsidRDefault="00154AD2">
    <w:pPr>
      <w:pStyle w:val="FooterCouncil"/>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C22CD" w14:textId="77777777" w:rsidR="00154AD2" w:rsidRDefault="00154AD2">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7697E" w14:textId="77777777" w:rsidR="00154AD2" w:rsidRDefault="00154AD2">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692075"/>
      <w:docPartObj>
        <w:docPartGallery w:val="Page Numbers (Bottom of Page)"/>
        <w:docPartUnique/>
      </w:docPartObj>
    </w:sdtPr>
    <w:sdtEndPr>
      <w:rPr>
        <w:noProof/>
      </w:rPr>
    </w:sdtEndPr>
    <w:sdtContent>
      <w:p w14:paraId="27D12E9D" w14:textId="1F2E7166"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6CA32D1F" w14:textId="77777777" w:rsidR="00154AD2" w:rsidRDefault="00154AD2">
    <w:pPr>
      <w:pStyle w:val="FooterCouncil"/>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46821" w14:textId="77777777" w:rsidR="00154AD2" w:rsidRDefault="00154AD2">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E7E8F" w14:textId="77777777" w:rsidR="00154AD2" w:rsidRDefault="00154AD2">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046173"/>
      <w:docPartObj>
        <w:docPartGallery w:val="Page Numbers (Bottom of Page)"/>
        <w:docPartUnique/>
      </w:docPartObj>
    </w:sdtPr>
    <w:sdtEndPr>
      <w:rPr>
        <w:noProof/>
      </w:rPr>
    </w:sdtEndPr>
    <w:sdtContent>
      <w:p w14:paraId="7812839D" w14:textId="7C40077D"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00134FDC" w14:textId="77777777" w:rsidR="00154AD2" w:rsidRDefault="00154AD2">
    <w:pPr>
      <w:pStyle w:val="FooterCouncil"/>
    </w:pP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ED1FF" w14:textId="77777777" w:rsidR="00154AD2" w:rsidRDefault="00154AD2">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667FC" w14:textId="77777777" w:rsidR="00154AD2" w:rsidRDefault="00154AD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983154"/>
      <w:docPartObj>
        <w:docPartGallery w:val="Page Numbers (Bottom of Page)"/>
        <w:docPartUnique/>
      </w:docPartObj>
    </w:sdtPr>
    <w:sdtEndPr>
      <w:rPr>
        <w:noProof/>
      </w:rPr>
    </w:sdtEndPr>
    <w:sdtContent>
      <w:p w14:paraId="03F22061" w14:textId="461AFE38" w:rsidR="00F0067B" w:rsidRDefault="00F0067B">
        <w:pPr>
          <w:pStyle w:val="Footer"/>
          <w:jc w:val="center"/>
        </w:pPr>
        <w:r>
          <w:fldChar w:fldCharType="begin"/>
        </w:r>
        <w:r>
          <w:instrText xml:space="preserve"> PAGE   \* MERGEFORMAT </w:instrText>
        </w:r>
        <w:r>
          <w:fldChar w:fldCharType="separate"/>
        </w:r>
        <w:r w:rsidR="00C7701C">
          <w:rPr>
            <w:noProof/>
          </w:rPr>
          <w:t>8</w:t>
        </w:r>
        <w:r>
          <w:fldChar w:fldCharType="end"/>
        </w:r>
      </w:p>
    </w:sdtContent>
  </w:sdt>
  <w:p w14:paraId="7AD0E6FA" w14:textId="77777777" w:rsidR="00F0067B" w:rsidRDefault="00F0067B">
    <w:pPr>
      <w:pStyle w:val="Footer"/>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950081"/>
      <w:docPartObj>
        <w:docPartGallery w:val="Page Numbers (Bottom of Page)"/>
        <w:docPartUnique/>
      </w:docPartObj>
    </w:sdtPr>
    <w:sdtEndPr>
      <w:rPr>
        <w:noProof/>
      </w:rPr>
    </w:sdtEndPr>
    <w:sdtContent>
      <w:p w14:paraId="171ABC93" w14:textId="08F260A5"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75AA0CD7" w14:textId="77777777" w:rsidR="00154AD2" w:rsidRDefault="00154AD2">
    <w:pPr>
      <w:pStyle w:val="FooterCouncil"/>
    </w:pP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92D4F" w14:textId="77777777" w:rsidR="00154AD2" w:rsidRDefault="00154AD2">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6F74F" w14:textId="77777777" w:rsidR="00154AD2" w:rsidRDefault="00154AD2">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917768"/>
      <w:docPartObj>
        <w:docPartGallery w:val="Page Numbers (Bottom of Page)"/>
        <w:docPartUnique/>
      </w:docPartObj>
    </w:sdtPr>
    <w:sdtEndPr>
      <w:rPr>
        <w:noProof/>
      </w:rPr>
    </w:sdtEndPr>
    <w:sdtContent>
      <w:p w14:paraId="5DEDEBC3" w14:textId="2065B74D"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657ED285" w14:textId="77777777" w:rsidR="00154AD2" w:rsidRDefault="00154AD2">
    <w:pPr>
      <w:pStyle w:val="FooterCouncil"/>
    </w:pP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FA91C" w14:textId="77777777" w:rsidR="00154AD2" w:rsidRDefault="00154AD2">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2FFA4" w14:textId="77777777" w:rsidR="00154AD2" w:rsidRDefault="00154AD2">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580077"/>
      <w:docPartObj>
        <w:docPartGallery w:val="Page Numbers (Bottom of Page)"/>
        <w:docPartUnique/>
      </w:docPartObj>
    </w:sdtPr>
    <w:sdtEndPr>
      <w:rPr>
        <w:noProof/>
      </w:rPr>
    </w:sdtEndPr>
    <w:sdtContent>
      <w:p w14:paraId="38B617B1" w14:textId="29E47AAE"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40204AFC" w14:textId="77777777" w:rsidR="00154AD2" w:rsidRDefault="00154AD2">
    <w:pPr>
      <w:pStyle w:val="FooterCouncil"/>
    </w:pP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F680E" w14:textId="77777777" w:rsidR="00154AD2" w:rsidRDefault="00154AD2">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9ED65" w14:textId="77777777" w:rsidR="00154AD2" w:rsidRDefault="00154AD2">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825800"/>
      <w:docPartObj>
        <w:docPartGallery w:val="Page Numbers (Bottom of Page)"/>
        <w:docPartUnique/>
      </w:docPartObj>
    </w:sdtPr>
    <w:sdtEndPr>
      <w:rPr>
        <w:noProof/>
      </w:rPr>
    </w:sdtEndPr>
    <w:sdtContent>
      <w:p w14:paraId="16F8FF98" w14:textId="3E257F15" w:rsidR="00154AD2" w:rsidRDefault="007F6BF3">
        <w:pPr>
          <w:pStyle w:val="Footer"/>
          <w:jc w:val="center"/>
        </w:pPr>
        <w:r>
          <w:fldChar w:fldCharType="begin"/>
        </w:r>
        <w:r>
          <w:instrText xml:space="preserve"> PAGE   \* MERGEFORMAT </w:instrText>
        </w:r>
        <w:r>
          <w:fldChar w:fldCharType="separate"/>
        </w:r>
        <w:r>
          <w:t>2</w:t>
        </w:r>
        <w:r>
          <w:fldChar w:fldCharType="end"/>
        </w:r>
      </w:p>
    </w:sdtContent>
  </w:sdt>
  <w:p w14:paraId="612C7217" w14:textId="77777777" w:rsidR="00154AD2" w:rsidRDefault="00154AD2">
    <w:pPr>
      <w:pStyle w:val="FooterCouncil"/>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8EB5C" w14:textId="77777777" w:rsidR="00F0067B" w:rsidRDefault="00F0067B">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BABC1" w14:textId="77777777" w:rsidR="00154AD2" w:rsidRDefault="00154AD2">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3D19E" w14:textId="77777777" w:rsidR="00F0067B" w:rsidRDefault="00F0067B">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676352"/>
      <w:docPartObj>
        <w:docPartGallery w:val="Page Numbers (Bottom of Page)"/>
        <w:docPartUnique/>
      </w:docPartObj>
    </w:sdtPr>
    <w:sdtEndPr>
      <w:rPr>
        <w:noProof/>
      </w:rPr>
    </w:sdtEndPr>
    <w:sdtContent>
      <w:p w14:paraId="7BAB663F" w14:textId="77777777" w:rsidR="00F0067B" w:rsidRDefault="00F0067B">
        <w:pPr>
          <w:pStyle w:val="Footer"/>
          <w:jc w:val="center"/>
        </w:pPr>
        <w:r>
          <w:fldChar w:fldCharType="begin"/>
        </w:r>
        <w:r>
          <w:instrText xml:space="preserve"> PAGE   \* MERGEFORMAT </w:instrText>
        </w:r>
        <w:r>
          <w:fldChar w:fldCharType="separate"/>
        </w:r>
        <w:r>
          <w:t>2</w:t>
        </w:r>
        <w:r>
          <w:fldChar w:fldCharType="end"/>
        </w:r>
      </w:p>
    </w:sdtContent>
  </w:sdt>
  <w:p w14:paraId="797E6709" w14:textId="77777777" w:rsidR="00F0067B" w:rsidRDefault="00F0067B">
    <w:pPr>
      <w:pStyle w:val="FooterCouncil"/>
    </w:pP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FF156" w14:textId="77777777" w:rsidR="00F0067B" w:rsidRDefault="00F0067B">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D60F9" w14:textId="77777777" w:rsidR="00F0067B" w:rsidRDefault="00F0067B">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337070"/>
      <w:docPartObj>
        <w:docPartGallery w:val="Page Numbers (Bottom of Page)"/>
        <w:docPartUnique/>
      </w:docPartObj>
    </w:sdtPr>
    <w:sdtEndPr>
      <w:rPr>
        <w:noProof/>
      </w:rPr>
    </w:sdtEndPr>
    <w:sdtContent>
      <w:p w14:paraId="1D55E89D" w14:textId="77777777" w:rsidR="00F0067B" w:rsidRDefault="00F0067B">
        <w:pPr>
          <w:pStyle w:val="Footer"/>
          <w:jc w:val="center"/>
        </w:pPr>
        <w:r>
          <w:fldChar w:fldCharType="begin"/>
        </w:r>
        <w:r>
          <w:instrText xml:space="preserve"> PAGE   \* MERGEFORMAT </w:instrText>
        </w:r>
        <w:r>
          <w:fldChar w:fldCharType="separate"/>
        </w:r>
        <w:r>
          <w:t>2</w:t>
        </w:r>
        <w:r>
          <w:fldChar w:fldCharType="end"/>
        </w:r>
      </w:p>
    </w:sdtContent>
  </w:sdt>
  <w:p w14:paraId="03C982D1" w14:textId="77777777" w:rsidR="00F0067B" w:rsidRDefault="00F0067B">
    <w:pPr>
      <w:pStyle w:val="FooterCouncil"/>
    </w:pP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F653A" w14:textId="77777777" w:rsidR="00F0067B" w:rsidRDefault="00F0067B">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69459" w14:textId="77777777" w:rsidR="00F0067B" w:rsidRDefault="00F0067B">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861082"/>
      <w:docPartObj>
        <w:docPartGallery w:val="Page Numbers (Bottom of Page)"/>
        <w:docPartUnique/>
      </w:docPartObj>
    </w:sdtPr>
    <w:sdtEndPr>
      <w:rPr>
        <w:noProof/>
      </w:rPr>
    </w:sdtEndPr>
    <w:sdtContent>
      <w:p w14:paraId="41D87C28" w14:textId="77777777" w:rsidR="00F0067B" w:rsidRDefault="00F0067B">
        <w:pPr>
          <w:pStyle w:val="Footer"/>
          <w:jc w:val="center"/>
        </w:pPr>
        <w:r>
          <w:fldChar w:fldCharType="begin"/>
        </w:r>
        <w:r>
          <w:instrText xml:space="preserve"> PAGE   \* MERGEFORMAT </w:instrText>
        </w:r>
        <w:r>
          <w:fldChar w:fldCharType="separate"/>
        </w:r>
        <w:r>
          <w:t>2</w:t>
        </w:r>
        <w:r>
          <w:fldChar w:fldCharType="end"/>
        </w:r>
      </w:p>
    </w:sdtContent>
  </w:sdt>
  <w:p w14:paraId="291FD6A9" w14:textId="77777777" w:rsidR="00F0067B" w:rsidRDefault="00F0067B">
    <w:pPr>
      <w:pStyle w:val="FooterCouncil"/>
    </w:pP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78E26" w14:textId="77777777" w:rsidR="00F0067B" w:rsidRDefault="00F00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0C43C" w14:textId="77777777" w:rsidR="001A615F" w:rsidRDefault="001A615F">
      <w:pPr>
        <w:spacing w:after="0" w:line="240" w:lineRule="auto"/>
      </w:pPr>
      <w:r>
        <w:separator/>
      </w:r>
    </w:p>
  </w:footnote>
  <w:footnote w:type="continuationSeparator" w:id="0">
    <w:p w14:paraId="34923DF2" w14:textId="77777777" w:rsidR="001A615F" w:rsidRDefault="001A615F">
      <w:pPr>
        <w:spacing w:after="0" w:line="240" w:lineRule="auto"/>
      </w:pPr>
      <w:r>
        <w:continuationSeparator/>
      </w:r>
    </w:p>
  </w:footnote>
  <w:footnote w:type="continuationNotice" w:id="1">
    <w:p w14:paraId="040B0FBE" w14:textId="77777777" w:rsidR="001A615F" w:rsidRDefault="001A615F">
      <w:pPr>
        <w:spacing w:after="0" w:line="240" w:lineRule="auto"/>
      </w:pPr>
    </w:p>
  </w:footnote>
  <w:footnote w:id="2">
    <w:p w14:paraId="4F724CD0" w14:textId="77777777" w:rsidR="00154AD2" w:rsidRDefault="007F6BF3">
      <w:pPr>
        <w:pStyle w:val="FootnoteText"/>
        <w:ind w:left="709" w:hanging="709"/>
      </w:pPr>
      <w:r>
        <w:rPr>
          <w:rStyle w:val="FootnoteReference"/>
        </w:rPr>
        <w:footnoteRef/>
      </w:r>
      <w:r>
        <w:t xml:space="preserve"> </w:t>
      </w:r>
      <w:hyperlink r:id="rId1" w:history="1">
        <w:r>
          <w:rPr>
            <w:rStyle w:val="Hyperlink"/>
          </w:rPr>
          <w:t>Βλ. https://www.un.org/development/desa/disabilities/convention-on-the-rights-of-persons-with-disabilities.html</w:t>
        </w:r>
      </w:hyperlink>
      <w:r>
        <w:t xml:space="preserve">.    </w:t>
      </w:r>
    </w:p>
  </w:footnote>
  <w:footnote w:id="3">
    <w:p w14:paraId="6EF9B016" w14:textId="77777777" w:rsidR="00154AD2" w:rsidRDefault="007F6BF3">
      <w:pPr>
        <w:pStyle w:val="FootnoteText"/>
        <w:ind w:left="709" w:hanging="709"/>
      </w:pPr>
      <w:r>
        <w:rPr>
          <w:rStyle w:val="FootnoteReference"/>
        </w:rPr>
        <w:footnoteRef/>
      </w:r>
      <w:r>
        <w:t xml:space="preserve"> </w:t>
      </w:r>
      <w:hyperlink r:id="rId2" w:history="1">
        <w:r>
          <w:rPr>
            <w:rStyle w:val="Hyperlink"/>
          </w:rPr>
          <w:t>https://ec.europa.eu/social/main.jsp?catId=738&amp;langId=en&amp;pubId=8376&amp;furtherPubs=yes</w:t>
        </w:r>
      </w:hyperlink>
      <w:r>
        <w:t xml:space="preserve"> </w:t>
      </w:r>
    </w:p>
  </w:footnote>
  <w:footnote w:id="4">
    <w:p w14:paraId="7BE524BD" w14:textId="77777777" w:rsidR="00154AD2" w:rsidRDefault="007F6BF3">
      <w:pPr>
        <w:pStyle w:val="FootnoteText"/>
        <w:ind w:left="709" w:hanging="709"/>
      </w:pPr>
      <w:r>
        <w:rPr>
          <w:rStyle w:val="FootnoteReference"/>
        </w:rPr>
        <w:footnoteRef/>
      </w:r>
      <w:r>
        <w:t xml:space="preserve"> </w:t>
      </w:r>
      <w:hyperlink r:id="rId3" w:history="1">
        <w:r>
          <w:rPr>
            <w:rStyle w:val="Hyperlink"/>
          </w:rPr>
          <w:t>https://ec.europa.eu/info/sites/default/files/1_en_act_part1_v8_0.pdf</w:t>
        </w:r>
      </w:hyperlink>
      <w:r>
        <w:t xml:space="preserve"> </w:t>
      </w:r>
    </w:p>
  </w:footnote>
  <w:footnote w:id="5">
    <w:p w14:paraId="20BF6478" w14:textId="77777777" w:rsidR="00154AD2" w:rsidRDefault="007F6BF3">
      <w:pPr>
        <w:pStyle w:val="FootnoteText"/>
        <w:ind w:left="709" w:hanging="709"/>
      </w:pPr>
      <w:r>
        <w:rPr>
          <w:rStyle w:val="FootnoteReference"/>
        </w:rPr>
        <w:footnoteRef/>
      </w:r>
      <w:r>
        <w:t xml:space="preserve"> </w:t>
      </w:r>
      <w:hyperlink r:id="rId4" w:history="1">
        <w:r>
          <w:rPr>
            <w:rStyle w:val="Hyperlink"/>
          </w:rPr>
          <w:t>Βλ. https://www.un.org/development/desa/disabilities/convention-on-the-rights-of-persons-with-disabilities.html</w:t>
        </w:r>
      </w:hyperlink>
      <w:r>
        <w:t xml:space="preserve">.    </w:t>
      </w:r>
    </w:p>
  </w:footnote>
  <w:footnote w:id="6">
    <w:p w14:paraId="697E022B" w14:textId="77777777" w:rsidR="00154AD2" w:rsidRDefault="007F6BF3">
      <w:pPr>
        <w:pStyle w:val="FootnoteText"/>
        <w:ind w:left="709" w:hanging="709"/>
      </w:pPr>
      <w:r>
        <w:rPr>
          <w:rStyle w:val="FootnoteReference"/>
        </w:rPr>
        <w:footnoteRef/>
      </w:r>
      <w:r>
        <w:t xml:space="preserve"> </w:t>
      </w:r>
      <w:hyperlink r:id="rId5" w:history="1">
        <w:r>
          <w:rPr>
            <w:rStyle w:val="Hyperlink"/>
          </w:rPr>
          <w:t>https://ec.europa.eu/social/main.jsp?catId=738&amp;langId=en&amp;pubId=8376&amp;furtherPubs=yes</w:t>
        </w:r>
      </w:hyperlink>
      <w:r>
        <w:t xml:space="preserve"> </w:t>
      </w:r>
    </w:p>
  </w:footnote>
  <w:footnote w:id="7">
    <w:p w14:paraId="22261CC4" w14:textId="77777777" w:rsidR="00154AD2" w:rsidRDefault="007F6BF3">
      <w:pPr>
        <w:pStyle w:val="FootnoteText"/>
        <w:ind w:left="709" w:hanging="709"/>
      </w:pPr>
      <w:r>
        <w:footnoteRef/>
      </w:r>
      <w:r>
        <w:t xml:space="preserve"> </w:t>
      </w:r>
      <w:r>
        <w:tab/>
        <w:t>Εξαιρουμένων των έργων στο πλαίσιο του παρόντος μέτρου για την παραγωγή ηλεκτρικής ενέργειας και/ή θερμότητας, καθώς και των σχετικών υποδομών μεταφοράς και διανομής, με χρήση φυσικού αερίου, τα οποία πληρούν τους όρους που καθορίζονται στο παράρτημα III των τεχνικών οδηγιών «Μη πρόκληση σημαντικής βλάβης» (2021/C58/01).</w:t>
      </w:r>
    </w:p>
  </w:footnote>
  <w:footnote w:id="8">
    <w:p w14:paraId="2B2A4952" w14:textId="77777777" w:rsidR="00154AD2" w:rsidRDefault="007F6BF3">
      <w:pPr>
        <w:pStyle w:val="FootnoteText"/>
        <w:ind w:left="709" w:hanging="709"/>
      </w:pPr>
      <w:r>
        <w:footnoteRef/>
      </w:r>
      <w:r>
        <w:t xml:space="preserve"> </w:t>
      </w:r>
      <w:r>
        <w:tab/>
        <w:t>Όταν η υποστηριζόμενη δραστηριότητα επιτυγχάνει προβλεπόμενες εκπομπές αερίων του θερμοκηπίου που δεν είναι σημαντικά χαμηλότερες από τους σχετικούς δείκτες αναφοράς, θα πρέπει να παρέχεται επεξήγηση των λόγων για τους οποίους αυτό δεν είναι εφικτό. Δείκτες αναφοράς που καθορίζονται για τη δωρεάν κατανομή για δραστηριότητες που εμπίπτουν στο πεδίο εφαρμογής του συστήματος εμπορίας δικαιωμάτων εκπομπής, όπως ορίζεται στον εκτελεστικό κανονισμό (ΕΕ) 2021/447 της Επιτροπής.</w:t>
      </w:r>
    </w:p>
  </w:footnote>
  <w:footnote w:id="9">
    <w:p w14:paraId="104B9886" w14:textId="77777777" w:rsidR="00154AD2" w:rsidRDefault="007F6BF3">
      <w:pPr>
        <w:pStyle w:val="FootnoteText"/>
        <w:ind w:left="709" w:hanging="709"/>
      </w:pPr>
      <w:r>
        <w:footnoteRef/>
      </w:r>
      <w:r>
        <w:t xml:space="preserve"> </w:t>
      </w:r>
      <w:r>
        <w:tab/>
        <w:t>Η εξαίρεση αυτή δεν ισχύει για δράσεις στο πλαίσιο του παρόντος μέτρου σε μονάδες που προορίζονται αποκλειστικά για την επεξεργασία μη ανακυκλώσιμων επικίνδυνων αποβλήτων, και σε υφιστάμενες μονάδες, όταν οι δράσεις στο πλαίσιο του παρόντος μέτρου αποσκοπούν στην αύξηση της ενεργειακής απόδοσης, στη δέσμευση καυσαερίων για αποθήκευση ή χρήση ή στην ανάκτηση υλικών από τέφρα αποτέφρωσης, υπό την προϋπόθεση ότι οι εν λόγω δράσεις στο πλαίσιο του παρόντος μέτρου δεν οδηγούν σε αύξηση της ικανότητας επεξεργασίας αποβλήτων της μονάδας ή σε παράταση της διάρκειας ζωής των μονάδων· για τα οποία παρέχονται αποδεικτικά στοιχεία σε επίπεδο μονάδας.</w:t>
      </w:r>
    </w:p>
  </w:footnote>
  <w:footnote w:id="10">
    <w:p w14:paraId="3F26F5F7" w14:textId="77777777" w:rsidR="00154AD2" w:rsidRDefault="007F6BF3">
      <w:pPr>
        <w:pStyle w:val="FootnoteText"/>
        <w:ind w:left="709" w:hanging="709"/>
      </w:pPr>
      <w:r>
        <w:footnoteRef/>
      </w:r>
      <w:r>
        <w:t xml:space="preserve"> </w:t>
      </w:r>
      <w:r>
        <w:tab/>
        <w:t>Η εξαίρεση αυτή δεν ισχύει για δράσεις στο πλαίσιο του παρόντος μέτρου σε υφιστάμενες μονάδες μηχανικής βιολογικής επεξεργασίας, όπου οι δράσεις στο πλαίσιο του παρόντος μέτρου αποσκοπούν στην αύξηση της ενεργειακής απόδοσης ή στη μετασκευή σε εργασίες ανακύκλωσης διαχωρισμένων αποβλήτων σε βιοαπόβλητα λιπασματοποίησης και αναερόβιας χώνευσης βιολογικών αποβλήτων, υπό την προϋπόθεση ότι οι δράσεις αυτές στο πλαίσιο του παρόντος μέτρου δεν οδηγούν σε αύξηση της ικανότητας επεξεργασίας αποβλήτων των μονάδων ή σε παράταση της διάρκειας ζωής των μονάδων· για τα οποία παρέχονται αποδεικτικά στοιχεία σε επίπεδο μονάδας.</w:t>
      </w:r>
    </w:p>
  </w:footnote>
  <w:footnote w:id="11">
    <w:p w14:paraId="54B6E1CA" w14:textId="77777777" w:rsidR="00154AD2" w:rsidRDefault="007F6BF3">
      <w:pPr>
        <w:pStyle w:val="FootnoteText"/>
        <w:ind w:left="709" w:hanging="709"/>
      </w:pPr>
      <w:r>
        <w:footnoteRef/>
      </w:r>
      <w:r>
        <w:t xml:space="preserve"> </w:t>
      </w:r>
      <w:r>
        <w:tab/>
        <w:t>Εξαιρουμένων των έργων στο πλαίσιο του παρόντος μέτρου για την παραγωγή ηλεκτρικής ενέργειας και/ή θερμότητας, καθώς και των σχετικών υποδομών μεταφοράς και διανομής, με χρήση φυσικού αερίου, τα οποία πληρούν τους όρους που καθορίζονται στο παράρτημα III των τεχνικών οδηγιών «Μη πρόκληση σημαντικής βλάβης» (2021/C58/01).</w:t>
      </w:r>
    </w:p>
  </w:footnote>
  <w:footnote w:id="12">
    <w:p w14:paraId="0700F327" w14:textId="77777777" w:rsidR="00154AD2" w:rsidRDefault="007F6BF3">
      <w:pPr>
        <w:pStyle w:val="FootnoteText"/>
        <w:ind w:left="709" w:hanging="709"/>
      </w:pPr>
      <w:r>
        <w:footnoteRef/>
      </w:r>
      <w:r>
        <w:t xml:space="preserve"> </w:t>
      </w:r>
      <w:r>
        <w:tab/>
        <w:t>Όταν η υποστηριζόμενη δραστηριότητα επιτυγχάνει προβλεπόμενες εκπομπές αερίων του θερμοκηπίου που δεν είναι σημαντικά χαμηλότερες από τους σχετικούς δείκτες αναφοράς, θα πρέπει να παρέχεται επεξήγηση των λόγων για τους οποίους αυτό δεν είναι εφικτό. Δείκτες αναφοράς που καθορίζονται για τη δωρεάν κατανομή για δραστηριότητες που εμπίπτουν στο πεδίο εφαρμογής του συστήματος εμπορίας δικαιωμάτων εκπομπής, όπως ορίζεται στον εκτελεστικό κανονισμό (ΕΕ) 2021/447 της Επιτροπής.</w:t>
      </w:r>
    </w:p>
  </w:footnote>
  <w:footnote w:id="13">
    <w:p w14:paraId="4A7CE0CE" w14:textId="77777777" w:rsidR="00154AD2" w:rsidRDefault="007F6BF3">
      <w:pPr>
        <w:pStyle w:val="FootnoteText"/>
        <w:ind w:left="709" w:hanging="709"/>
      </w:pPr>
      <w:r>
        <w:rPr>
          <w:rStyle w:val="FootnoteReference"/>
        </w:rPr>
        <w:footnoteRef/>
      </w:r>
      <w:r>
        <w:t xml:space="preserve"> </w:t>
      </w:r>
      <w:r>
        <w:tab/>
        <w:t>Η εξαίρεση αυτή δεν ισχύει για δράσεις στο πλαίσιο του παρόντος μέτρου σε μονάδες που προορίζονται αποκλειστικά για την επεξεργασία μη ανακυκλώσιμων επικίνδυνων αποβλήτων, και σε υφιστάμενες μονάδες, όταν οι δράσεις στο πλαίσιο του παρόντος μέτρου αποσκοπούν στην αύξηση της ενεργειακής απόδοσης, στη δέσμευση καυσαερίων για αποθήκευση ή χρήση ή στην ανάκτηση υλικών από τέφρα αποτέφρωσης, υπό την προϋπόθεση ότι οι εν λόγω δράσεις στο πλαίσιο του παρόντος μέτρου δεν οδηγούν σε αύξηση της ικανότητας επεξεργασίας αποβλήτων της μονάδας ή σε παράταση της διάρκειας ζωής των μονάδων· για τα οποία παρέχονται αποδεικτικά στοιχεία σε επίπεδο μονάδας.</w:t>
      </w:r>
    </w:p>
  </w:footnote>
  <w:footnote w:id="14">
    <w:p w14:paraId="33C91D2C" w14:textId="77777777" w:rsidR="00154AD2" w:rsidRDefault="007F6BF3">
      <w:pPr>
        <w:pStyle w:val="FootnoteText"/>
        <w:ind w:left="709" w:hanging="709"/>
      </w:pPr>
      <w:r>
        <w:footnoteRef/>
      </w:r>
      <w:r>
        <w:t xml:space="preserve"> </w:t>
      </w:r>
      <w:r>
        <w:tab/>
        <w:t>Η εξαίρεση αυτή δεν ισχύει για δράσεις στο πλαίσιο του παρόντος μέτρου σε υφιστάμενες μονάδες μηχανικής βιολογικής επεξεργασίας, όπου οι δράσεις στο πλαίσιο του παρόντος μέτρου αποσκοπούν στην αύξηση της ενεργειακής απόδοσης ή στη μετασκευή σε εργασίες ανακύκλωσης διαχωρισμένων αποβλήτων σε βιοαπόβλητα λιπασματοποίησης και αναερόβιας χώνευσης βιολογικών αποβλήτων, υπό την προϋπόθεση ότι οι δράσεις αυτές στο πλαίσιο του παρόντος μέτρου δεν οδηγούν σε αύξηση της ικανότητας επεξεργασίας αποβλήτων των μονάδων ή σε παράταση της διάρκειας ζωής των μονάδων· για τα οποία παρέχονται αποδεικτικά στοιχεία σε επίπεδο μονάδας.</w:t>
      </w:r>
    </w:p>
  </w:footnote>
  <w:footnote w:id="15">
    <w:p w14:paraId="4570EEC3" w14:textId="77777777" w:rsidR="00154AD2" w:rsidRDefault="007F6BF3">
      <w:pPr>
        <w:pStyle w:val="FootnoteText"/>
        <w:ind w:left="709" w:hanging="709"/>
      </w:pPr>
      <w:r>
        <w:rPr>
          <w:rStyle w:val="FootnoteReference"/>
        </w:rPr>
        <w:footnoteRef/>
      </w:r>
      <w:r>
        <w:t xml:space="preserve"> </w:t>
      </w:r>
      <w:r>
        <w:tab/>
        <w:t>Εξαιρουμένων των έργων στο πλαίσιο του παρόντος μέτρου για την παραγωγή ηλεκτρικής ενέργειας και/ή θερμότητας, καθώς και των σχετικών υποδομών μεταφοράς και διανομής, με χρήση φυσικού αερίου, τα οποία πληρούν τους όρους που καθορίζονται στο παράρτημα III των τεχνικών οδηγιών «Μη πρόκληση σημαντικής βλάβης» (2021/C58/01).</w:t>
      </w:r>
    </w:p>
  </w:footnote>
  <w:footnote w:id="16">
    <w:p w14:paraId="18847726" w14:textId="77777777" w:rsidR="00154AD2" w:rsidRDefault="007F6BF3">
      <w:pPr>
        <w:pStyle w:val="FootnoteText"/>
        <w:ind w:left="709" w:hanging="709"/>
      </w:pPr>
      <w:r>
        <w:rPr>
          <w:rStyle w:val="FootnoteReference"/>
        </w:rPr>
        <w:footnoteRef/>
      </w:r>
      <w:r>
        <w:t xml:space="preserve"> </w:t>
      </w:r>
      <w:r>
        <w:tab/>
        <w:t>Όταν η υποστηριζόμενη δραστηριότητα επιτυγχάνει προβλεπόμενες εκπομπές αερίων του θερμοκηπίου που δεν είναι σημαντικά χαμηλότερες από τους σχετικούς δείκτες αναφοράς, θα πρέπει να παρέχεται επεξήγηση των λόγων για τους οποίους αυτό δεν είναι εφικτό. Δείκτες αναφοράς που καθορίζονται για τη δωρεάν κατανομή για δραστηριότητες που εμπίπτουν στο πεδίο εφαρμογής του συστήματος εμπορίας δικαιωμάτων εκπομπής, όπως ορίζεται στον εκτελεστικό κανονισμό (ΕΕ) 2021/447 της Επιτροπής.</w:t>
      </w:r>
    </w:p>
  </w:footnote>
  <w:footnote w:id="17">
    <w:p w14:paraId="2CDBAB26" w14:textId="77777777" w:rsidR="00154AD2" w:rsidRDefault="007F6BF3">
      <w:pPr>
        <w:spacing w:after="0" w:line="240" w:lineRule="auto"/>
        <w:ind w:left="709" w:hanging="709"/>
        <w:jc w:val="both"/>
        <w:rPr>
          <w:rFonts w:ascii="Times New Roman" w:eastAsiaTheme="minorEastAsia"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Η εξαίρεση αυτή δεν ισχύει για δράσεις στο πλαίσιο του παρόντος μέτρου σε μονάδες που προορίζονται αποκλειστικά για την επεξεργασία μη ανακυκλώσιμων επικίνδυνων αποβλήτων, και σε υφιστάμενες μονάδες, όταν οι δράσεις στο πλαίσιο του παρόντος μέτρου αποσκοπούν στην αύξηση της ενεργειακής απόδοσης, στη δέσμευση καυσαερίων για αποθήκευση ή χρήση ή στην ανάκτηση υλικών από τέφρα αποτέφρωσης, υπό την προϋπόθεση ότι οι εν λόγω δράσεις στο πλαίσιο του παρόντος μέτρου δεν οδηγούν σε αύξηση της ικανότητας επεξεργασίας αποβλήτων της μονάδας ή σε παράταση της διάρκειας ζωής των μονάδων· για τα οποία παρέχονται αποδεικτικά στοιχεία σε επίπεδο μονάδας.</w:t>
      </w:r>
    </w:p>
  </w:footnote>
  <w:footnote w:id="18">
    <w:p w14:paraId="02418914" w14:textId="77777777" w:rsidR="00154AD2" w:rsidRDefault="007F6BF3">
      <w:pPr>
        <w:pStyle w:val="FootnoteText"/>
        <w:ind w:left="709" w:hanging="709"/>
      </w:pPr>
      <w:r>
        <w:rPr>
          <w:rStyle w:val="FootnoteReference"/>
        </w:rPr>
        <w:footnoteRef/>
      </w:r>
      <w:r>
        <w:t xml:space="preserve"> </w:t>
      </w:r>
      <w:r>
        <w:tab/>
        <w:t>Η εξαίρεση αυτή δεν ισχύει για δράσεις στο πλαίσιο του παρόντος μέτρου σε υφιστάμενες μονάδες μηχανικής βιολογικής επεξεργασίας, όπου οι δράσεις στο πλαίσιο του παρόντος μέτρου αποσκοπούν στην αύξηση της ενεργειακής απόδοσης ή στη μετασκευή σε εργασίες ανακύκλωσης διαχωρισμένων αποβλήτων σε βιοαπόβλητα λιπασματοποίησης και αναερόβιας χώνευσης βιολογικών αποβλήτων, υπό την προϋπόθεση ότι οι δράσεις αυτές στο πλαίσιο του παρόντος μέτρου δεν οδηγούν σε αύξηση της ικανότητας επεξεργασίας αποβλήτων των μονάδων ή σε παράταση της διάρκειας ζωής των μονάδων· για τα οποία παρέχονται αποδεικτικά στοιχεία σε επίπεδο μονάδας.</w:t>
      </w:r>
    </w:p>
  </w:footnote>
  <w:footnote w:id="19">
    <w:p w14:paraId="2734878E" w14:textId="77777777" w:rsidR="00154AD2" w:rsidRDefault="007F6BF3">
      <w:pPr>
        <w:pStyle w:val="FootnoteText"/>
        <w:ind w:left="709" w:hanging="709"/>
      </w:pPr>
      <w:r>
        <w:rPr>
          <w:rStyle w:val="FootnoteReference"/>
        </w:rPr>
        <w:footnoteRef/>
      </w:r>
      <w:r>
        <w:t xml:space="preserve"> </w:t>
      </w:r>
      <w:r>
        <w:tab/>
        <w:t>Εξαιρουμένων των έργων στο πλαίσιο του παρόντος μέτρου για την παραγωγή ηλεκτρικής ενέργειας και/ή θερμότητας, καθώς και των σχετικών υποδομών μεταφοράς και διανομής, με χρήση φυσικού αερίου, τα οποία πληρούν τους όρους που καθορίζονται στο παράρτημα III των τεχνικών οδηγιών «Μη πρόκληση σημαντικής βλάβης» (2021/C58/01).</w:t>
      </w:r>
    </w:p>
  </w:footnote>
  <w:footnote w:id="20">
    <w:p w14:paraId="25410A69" w14:textId="77777777" w:rsidR="00154AD2" w:rsidRDefault="007F6BF3">
      <w:pPr>
        <w:pStyle w:val="FootnoteText"/>
        <w:ind w:left="709" w:hanging="709"/>
      </w:pPr>
      <w:r>
        <w:rPr>
          <w:rStyle w:val="FootnoteReference"/>
        </w:rPr>
        <w:footnoteRef/>
      </w:r>
      <w:r>
        <w:t xml:space="preserve"> </w:t>
      </w:r>
      <w:r>
        <w:tab/>
        <w:t>Όταν η υποστηριζόμενη δραστηριότητα επιτυγχάνει προβλεπόμενες εκπομπές αερίων του θερμοκηπίου που δεν είναι σημαντικά χαμηλότερες από τους σχετικούς δείκτες αναφοράς, θα πρέπει να παρέχεται επεξήγηση των λόγων για τους οποίους αυτό δεν είναι εφικτό. Δείκτες αναφοράς που καθορίζονται για τη δωρεάν κατανομή για δραστηριότητες που εμπίπτουν στο πεδίο εφαρμογής του συστήματος εμπορίας δικαιωμάτων εκπομπής, όπως ορίζεται στον εκτελεστικό κανονισμό (ΕΕ) 2021/447 της Επιτροπής.</w:t>
      </w:r>
    </w:p>
  </w:footnote>
  <w:footnote w:id="21">
    <w:p w14:paraId="4B3934FC" w14:textId="77777777" w:rsidR="00154AD2" w:rsidRDefault="007F6BF3">
      <w:pPr>
        <w:spacing w:after="0" w:line="240" w:lineRule="auto"/>
        <w:ind w:left="709" w:hanging="709"/>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Η εξαίρεση αυτή δεν ισχύει για δράσεις στο πλαίσιο του παρόντος μέτρου σε μονάδες που προορίζονται αποκλειστικά για την επεξεργασία μη ανακυκλώσιμων επικίνδυνων αποβλήτων, και σε υφιστάμενες μονάδες, όταν οι δράσεις στο πλαίσιο του παρόντος μέτρου αποσκοπούν στην αύξηση της ενεργειακής απόδοσης, στη δέσμευση καυσαερίων για αποθήκευση ή χρήση ή στην ανάκτηση υλικών από τέφρα αποτέφρωσης, υπό την προϋπόθεση ότι οι εν λόγω δράσεις στο πλαίσιο του παρόντος μέτρου δεν οδηγούν σε αύξηση της ικανότητας επεξεργασίας αποβλήτων της μονάδας ή σε παράταση της διάρκειας ζωής των μονάδων· για τα οποία παρέχονται αποδεικτικά στοιχεία σε επίπεδο μονάδας.</w:t>
      </w:r>
    </w:p>
  </w:footnote>
  <w:footnote w:id="22">
    <w:p w14:paraId="6CB29564" w14:textId="77777777" w:rsidR="00154AD2" w:rsidRDefault="007F6BF3">
      <w:pPr>
        <w:pStyle w:val="FootnoteText"/>
        <w:ind w:left="709" w:hanging="709"/>
      </w:pPr>
      <w:r>
        <w:rPr>
          <w:rStyle w:val="FootnoteReference"/>
        </w:rPr>
        <w:footnoteRef/>
      </w:r>
      <w:r>
        <w:t xml:space="preserve"> </w:t>
      </w:r>
      <w:r>
        <w:tab/>
        <w:t>Η εξαίρεση αυτή δεν ισχύει για δράσεις στο πλαίσιο του παρόντος μέτρου σε υφιστάμενες μονάδες μηχανικής βιολογικής επεξεργασίας, όπου οι δράσεις στο πλαίσιο του παρόντος μέτρου αποσκοπούν στην αύξηση της ενεργειακής απόδοσης ή στη μετασκευή σε εργασίες ανακύκλωσης διαχωρισμένων αποβλήτων σε βιοαπόβλητα λιπασματοποίησης και αναερόβιας χώνευσης βιολογικών αποβλήτων, υπό την προϋπόθεση ότι οι δράσεις αυτές στο πλαίσιο του παρόντος μέτρου δεν οδηγούν σε αύξηση της ικανότητας επεξεργασίας αποβλήτων των μονάδων ή σε παράταση της διάρκειας ζωής των μονάδων· για τα οποία παρέχονται αποδεικτικά στοιχεία σε επίπεδο μονάδας.</w:t>
      </w:r>
    </w:p>
  </w:footnote>
  <w:footnote w:id="23">
    <w:p w14:paraId="1A1A021C" w14:textId="77777777" w:rsidR="00154AD2" w:rsidRDefault="007F6BF3">
      <w:pPr>
        <w:pStyle w:val="FootnoteText"/>
        <w:ind w:left="709" w:hanging="709"/>
      </w:pPr>
      <w:r>
        <w:rPr>
          <w:rStyle w:val="FootnoteReference"/>
        </w:rPr>
        <w:footnoteRef/>
      </w:r>
      <w:r>
        <w:t xml:space="preserve"> </w:t>
      </w:r>
      <w:r>
        <w:tab/>
        <w:t>Εξαιρουμένων των έργων στο πλαίσιο του παρόντος μέτρου για την παραγωγή ηλεκτρικής ενέργειας και/ή θερμότητας, καθώς και των σχετικών υποδομών μεταφοράς και διανομής, με χρήση φυσικού αερίου, τα οποία πληρούν τους όρους που καθορίζονται στο παράρτημα III των τεχνικών οδηγιών «Μη πρόκληση σημαντικής βλάβης» (2021/C58/01).</w:t>
      </w:r>
    </w:p>
  </w:footnote>
  <w:footnote w:id="24">
    <w:p w14:paraId="72CFAB7C" w14:textId="77777777" w:rsidR="00154AD2" w:rsidRDefault="007F6BF3">
      <w:pPr>
        <w:pStyle w:val="FootnoteText"/>
        <w:ind w:left="709" w:hanging="709"/>
      </w:pPr>
      <w:r>
        <w:rPr>
          <w:rStyle w:val="FootnoteReference"/>
        </w:rPr>
        <w:footnoteRef/>
      </w:r>
      <w:r>
        <w:t xml:space="preserve"> </w:t>
      </w:r>
      <w:r>
        <w:tab/>
        <w:t>Όταν η υποστηριζόμενη δραστηριότητα επιτυγχάνει προβλεπόμενες εκπομπές αερίων του θερμοκηπίου που δεν είναι σημαντικά χαμηλότερες από τους σχετικούς δείκτες αναφοράς, θα πρέπει να παρέχεται επεξήγηση των λόγων για τους οποίους αυτό δεν είναι εφικτό. Δείκτες αναφοράς που καθορίζονται για τη δωρεάν κατανομή για δραστηριότητες που εμπίπτουν στο πεδίο εφαρμογής του συστήματος εμπορίας δικαιωμάτων εκπομπής, όπως ορίζεται στον εκτελεστικό κανονισμό (ΕΕ) 2021/447 της Επιτροπής.</w:t>
      </w:r>
    </w:p>
  </w:footnote>
  <w:footnote w:id="25">
    <w:p w14:paraId="23F2A08C" w14:textId="77777777" w:rsidR="00154AD2" w:rsidRDefault="007F6BF3">
      <w:pPr>
        <w:spacing w:after="0" w:line="240" w:lineRule="auto"/>
        <w:ind w:left="709" w:hanging="709"/>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Η εξαίρεση αυτή δεν ισχύει για δράσεις στο πλαίσιο του παρόντος μέτρου σε μονάδες που προορίζονται αποκλειστικά για την επεξεργασία μη ανακυκλώσιμων επικίνδυνων αποβλήτων, και σε υφιστάμενες μονάδες, όταν οι δράσεις στο πλαίσιο του παρόντος μέτρου αποσκοπούν στην αύξηση της ενεργειακής απόδοσης, στη δέσμευση καυσαερίων για αποθήκευση ή χρήση ή στην ανάκτηση υλικών από τέφρα αποτέφρωσης, υπό την προϋπόθεση ότι οι εν λόγω δράσεις στο πλαίσιο του παρόντος μέτρου δεν οδηγούν σε αύξηση της ικανότητας επεξεργασίας αποβλήτων της μονάδας ή σε παράταση της διάρκειας ζωής των μονάδων· για τα οποία παρέχονται αποδεικτικά στοιχεία σε επίπεδο μονάδας.</w:t>
      </w:r>
    </w:p>
  </w:footnote>
  <w:footnote w:id="26">
    <w:p w14:paraId="2E05CEF0" w14:textId="77777777" w:rsidR="00154AD2" w:rsidRDefault="007F6BF3">
      <w:pPr>
        <w:pStyle w:val="FootnoteText"/>
        <w:ind w:left="709" w:hanging="709"/>
      </w:pPr>
      <w:r>
        <w:rPr>
          <w:rStyle w:val="FootnoteReference"/>
        </w:rPr>
        <w:footnoteRef/>
      </w:r>
      <w:r>
        <w:t xml:space="preserve"> </w:t>
      </w:r>
      <w:r>
        <w:tab/>
        <w:t>Η εξαίρεση αυτή δεν ισχύει για δράσεις στο πλαίσιο του παρόντος μέτρου σε υφιστάμενες μονάδες μηχανικής βιολογικής επεξεργασίας, όπου οι δράσεις στο πλαίσιο του παρόντος μέτρου αποσκοπούν στην αύξηση της ενεργειακής απόδοσης ή στη μετασκευή σε εργασίες ανακύκλωσης διαχωρισμένων αποβλήτων σε βιοαπόβλητα λιπασματοποίησης και αναερόβιας χώνευσης βιολογικών αποβλήτων, υπό την προϋπόθεση ότι οι δράσεις αυτές στο πλαίσιο του παρόντος μέτρου δεν οδηγούν σε αύξηση της ικανότητας επεξεργασίας αποβλήτων των μονάδων ή σε παράταση της διάρκειας ζωής των μονάδων· για τα οποία παρέχονται αποδεικτικά στοιχεία σε επίπεδο μονάδας.</w:t>
      </w:r>
    </w:p>
  </w:footnote>
  <w:footnote w:id="27">
    <w:p w14:paraId="2FE089E1" w14:textId="77777777" w:rsidR="00154AD2" w:rsidRDefault="007F6BF3">
      <w:pPr>
        <w:pStyle w:val="FootnoteText"/>
        <w:ind w:left="709" w:hanging="709"/>
      </w:pPr>
      <w:r>
        <w:rPr>
          <w:rStyle w:val="FootnoteReference"/>
        </w:rPr>
        <w:footnoteRef/>
      </w:r>
      <w:r>
        <w:t xml:space="preserve"> </w:t>
      </w:r>
      <w:r>
        <w:tab/>
        <w:t>Εξαιρουμένων των έργων στο πλαίσιο του παρόντος μέτρου για την παραγωγή ηλεκτρικής ενέργειας και/ή θερμότητας, καθώς και των σχετικών υποδομών μεταφοράς και διανομής, με χρήση φυσικού αερίου, τα οποία πληρούν τους όρους που καθορίζονται στο παράρτημα III των τεχνικών οδηγιών «Μη πρόκληση σημαντικής βλάβης» (2021/C58/01).</w:t>
      </w:r>
    </w:p>
  </w:footnote>
  <w:footnote w:id="28">
    <w:p w14:paraId="54165B86" w14:textId="77777777" w:rsidR="00154AD2" w:rsidRDefault="007F6BF3">
      <w:pPr>
        <w:pStyle w:val="FootnoteText"/>
        <w:ind w:left="709" w:hanging="709"/>
      </w:pPr>
      <w:r>
        <w:rPr>
          <w:rStyle w:val="FootnoteReference"/>
        </w:rPr>
        <w:footnoteRef/>
      </w:r>
      <w:r>
        <w:t xml:space="preserve"> </w:t>
      </w:r>
      <w:r>
        <w:tab/>
        <w:t>Όταν η υποστηριζόμενη δραστηριότητα επιτυγχάνει προβλεπόμενες εκπομπές αερίων του θερμοκηπίου που δεν είναι σημαντικά χαμηλότερες από τους σχετικούς δείκτες αναφοράς, θα πρέπει να παρέχεται επεξήγηση των λόγων για τους οποίους αυτό δεν είναι εφικτό. Δείκτες αναφοράς που καθορίζονται για τη δωρεάν κατανομή για δραστηριότητες που εμπίπτουν στο πεδίο εφαρμογής του συστήματος εμπορίας δικαιωμάτων εκπομπής, όπως ορίζεται στον εκτελεστικό κανονισμό (ΕΕ) 2021/447 της Επιτροπής.</w:t>
      </w:r>
    </w:p>
  </w:footnote>
  <w:footnote w:id="29">
    <w:p w14:paraId="78C1F4E6" w14:textId="77777777" w:rsidR="00154AD2" w:rsidRDefault="007F6BF3">
      <w:pPr>
        <w:spacing w:after="0" w:line="240" w:lineRule="auto"/>
        <w:ind w:left="709" w:hanging="709"/>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Η εξαίρεση αυτή δεν ισχύει για δράσεις στο πλαίσιο του παρόντος μέτρου σε μονάδες που προορίζονται αποκλειστικά για την επεξεργασία μη ανακυκλώσιμων επικίνδυνων αποβλήτων, και σε υφιστάμενες μονάδες, όταν οι δράσεις στο πλαίσιο του παρόντος μέτρου αποσκοπούν στην αύξηση της ενεργειακής απόδοσης, στη δέσμευση καυσαερίων για αποθήκευση ή χρήση ή στην ανάκτηση υλικών από τέφρα αποτέφρωσης, υπό την προϋπόθεση ότι οι εν λόγω δράσεις στο πλαίσιο του παρόντος μέτρου δεν οδηγούν σε αύξηση της ικανότητας επεξεργασίας αποβλήτων της μονάδας ή σε παράταση της διάρκειας ζωής των μονάδων· για τα οποία παρέχονται αποδεικτικά στοιχεία σε επίπεδο μονάδας.</w:t>
      </w:r>
    </w:p>
  </w:footnote>
  <w:footnote w:id="30">
    <w:p w14:paraId="43DD17DC" w14:textId="77777777" w:rsidR="00154AD2" w:rsidRDefault="007F6BF3">
      <w:pPr>
        <w:pStyle w:val="FootnoteText"/>
        <w:ind w:left="709" w:hanging="709"/>
      </w:pPr>
      <w:r>
        <w:rPr>
          <w:rStyle w:val="FootnoteReference"/>
        </w:rPr>
        <w:footnoteRef/>
      </w:r>
      <w:r>
        <w:t xml:space="preserve"> </w:t>
      </w:r>
      <w:r>
        <w:tab/>
        <w:t>Η εξαίρεση αυτή δεν ισχύει για δράσεις στο πλαίσιο του παρόντος μέτρου σε υφιστάμενες μονάδες μηχανικής βιολογικής επεξεργασίας, όπου οι δράσεις στο πλαίσιο του παρόντος μέτρου αποσκοπούν στην αύξηση της ενεργειακής απόδοσης ή στη μετασκευή σε εργασίες ανακύκλωσης διαχωρισμένων αποβλήτων σε βιοαπόβλητα λιπασματοποίησης και αναερόβιας χώνευσης βιολογικών αποβλήτων, υπό την προϋπόθεση ότι οι δράσεις αυτές στο πλαίσιο του παρόντος μέτρου δεν οδηγούν σε αύξηση της ικανότητας επεξεργασίας αποβλήτων των μονάδων ή σε παράταση της διάρκειας ζωής των μονάδων· για τα οποία παρέχονται αποδεικτικά στοιχεία σε επίπεδο μονάδας.</w:t>
      </w:r>
    </w:p>
  </w:footnote>
  <w:footnote w:id="31">
    <w:p w14:paraId="27354B64" w14:textId="77777777" w:rsidR="00154AD2" w:rsidRDefault="007F6BF3">
      <w:pPr>
        <w:pStyle w:val="FootnoteText"/>
      </w:pPr>
      <w:r>
        <w:rPr>
          <w:rStyle w:val="FootnoteReference"/>
        </w:rPr>
        <w:footnoteRef/>
      </w:r>
      <w:r>
        <w:t xml:space="preserve"> Εξαιρουμένων των έργων στο πλαίσιο του παρόντος μέτρου για την παραγωγή ηλεκτρικής ενέργειας και/ή θερμότητας, καθώς και των σχετικών υποδομών μεταφοράς και διανομής, με χρήση φυσικού αερίου, τα οποία πληρούν τους όρους που καθορίζονται στο παράρτημα III των τεχνικών οδηγιών «Μη πρόκληση σημαντικής βλάβης» (2021/C58/01). </w:t>
      </w:r>
    </w:p>
  </w:footnote>
  <w:footnote w:id="32">
    <w:p w14:paraId="4299F52C" w14:textId="77777777" w:rsidR="00154AD2" w:rsidRDefault="007F6BF3">
      <w:pPr>
        <w:pStyle w:val="FootnoteText"/>
      </w:pPr>
      <w:r>
        <w:rPr>
          <w:rStyle w:val="FootnoteReference"/>
        </w:rPr>
        <w:footnoteRef/>
      </w:r>
      <w:r>
        <w:t xml:space="preserve"> Όταν η υποστηριζόμενη δραστηριότητα επιτυγχάνει προβλεπόμενες εκπομπές αερίων του θερμοκηπίου που δεν είναι σημαντικά χαμηλότερες από τους σχετικούς δείκτες αναφοράς, παρέχεται επεξήγηση των λόγων για τους οποίους αυτό δεν είναι εφικτό. Δείκτες αναφοράς που καθορίζονται για τη δωρεάν κατανομή για δραστηριότητες που εμπίπτουν στο πεδίο εφαρμογής του συστήματος εμπορίας δικαιωμάτων εκπομπής, όπως ορίζεται στον εκτελεστικό κανονισμό (ΕΕ) 2021/447 της Επιτροπής. </w:t>
      </w:r>
    </w:p>
  </w:footnote>
  <w:footnote w:id="33">
    <w:p w14:paraId="275F7B84" w14:textId="77777777" w:rsidR="00154AD2" w:rsidRDefault="007F6BF3">
      <w:pPr>
        <w:pStyle w:val="FootnoteText"/>
      </w:pPr>
      <w:r>
        <w:rPr>
          <w:rStyle w:val="FootnoteReference"/>
        </w:rPr>
        <w:footnoteRef/>
      </w:r>
      <w:r>
        <w:t xml:space="preserve"> Η εξαίρεση αυτή δεν ισχύει για δράσεις στο πλαίσιο του παρόντος μέτρου σε μονάδες που προορίζονται αποκλειστικά για την επεξεργασία μη ανακυκλώσιμων επικίνδυνων αποβλήτων, και σε υφιστάμενες μονάδες, όταν οι δράσεις στο πλαίσιο του παρόντος μέτρου αποσκοπούν στην αύξηση της ενεργειακής απόδοσης, στη δέσμευση καυσαερίων για αποθήκευση ή χρήση ή στην ανάκτηση υλικών από τέφρα αποτέφρωσης, υπό την προϋπόθεση ότι οι εν λόγω δράσεις στο πλαίσιο του παρόντος μέτρου δεν οδηγούν σε αύξηση της ικανότητας επεξεργασίας αποβλήτων της μονάδας ή σε παράταση της διάρκειας ζωής των μονάδων· για τα οποία παρέχονται αποδεικτικά στοιχεία σε επίπεδο μονάδας. </w:t>
      </w:r>
    </w:p>
  </w:footnote>
  <w:footnote w:id="34">
    <w:p w14:paraId="15124B53" w14:textId="77777777" w:rsidR="00154AD2" w:rsidRDefault="007F6BF3">
      <w:pPr>
        <w:pStyle w:val="FootnoteText"/>
      </w:pPr>
      <w:r>
        <w:rPr>
          <w:rStyle w:val="FootnoteReference"/>
        </w:rPr>
        <w:footnoteRef/>
      </w:r>
      <w:r>
        <w:t xml:space="preserve">  Η εξαίρεση αυτή δεν ισχύει για δράσεις στο πλαίσιο του παρόντος μέτρου σε υφιστάμενες μονάδες μηχανικής βιολογικής επεξεργασίας, όπου οι δράσεις στο πλαίσιο του παρόντος μέτρου αποσκοπούν στην αύξηση της ενεργειακής απόδοσης ή στη μετασκευή σε εργασίες ανακύκλωσης διαχωρισμένων αποβλήτων σε βιοαπόβλητα λιπασματοποίησης και αναερόβιας χώνευσης βιολογικών αποβλήτων, υπό την προϋπόθεση ότι οι δράσεις αυτές στο πλαίσιο του παρόντος μέτρου δεν οδηγούν σε αύξηση της ικανότητας επεξεργασίας αποβλήτων των μονάδων ή σε παράταση της διάρκειας ζωής των μονάδων· για τα οποία παρέχονται αποδεικτικά στοιχεία σε επίπεδο μονάδας. </w:t>
      </w:r>
    </w:p>
  </w:footnote>
  <w:footnote w:id="35">
    <w:p w14:paraId="13E939F4" w14:textId="77777777" w:rsidR="00154AD2" w:rsidRDefault="007F6BF3">
      <w:pPr>
        <w:pStyle w:val="FootnoteText"/>
        <w:spacing w:line="240" w:lineRule="auto"/>
        <w:ind w:left="709" w:hanging="709"/>
      </w:pPr>
      <w:r>
        <w:rPr>
          <w:rStyle w:val="FootnoteReference"/>
        </w:rPr>
        <w:footnoteRef/>
      </w:r>
      <w:r>
        <w:t xml:space="preserve"> </w:t>
      </w:r>
      <w:r>
        <w:tab/>
        <w:t>Εξαιρουμένων των έργων στο πλαίσιο του παρόντος μέτρου για την παραγωγή ηλεκτρικής ενέργειας και/ή θερμότητας, καθώς και των σχετικών υποδομών μεταφοράς και διανομής, με χρήση φυσικού αερίου, τα οποία πληρούν τους όρους που καθορίζονται στο παράρτημα III των τεχνικών οδηγιών «Μη πρόκληση σημαντικής βλάβης» (2021/C58/01).</w:t>
      </w:r>
    </w:p>
  </w:footnote>
  <w:footnote w:id="36">
    <w:p w14:paraId="7560EFBF" w14:textId="77777777" w:rsidR="00154AD2" w:rsidRDefault="007F6BF3">
      <w:pPr>
        <w:pStyle w:val="FootnoteText"/>
        <w:spacing w:line="240" w:lineRule="auto"/>
        <w:ind w:left="709" w:hanging="709"/>
      </w:pPr>
      <w:r>
        <w:rPr>
          <w:rStyle w:val="FootnoteReference"/>
        </w:rPr>
        <w:footnoteRef/>
      </w:r>
      <w:r>
        <w:t xml:space="preserve"> </w:t>
      </w:r>
      <w:r>
        <w:tab/>
        <w:t>Όταν η υποστηριζόμενη δραστηριότητα επιτυγχάνει προβλεπόμενες εκπομπές αερίων του θερμοκηπίου που δεν είναι σημαντικά χαμηλότερες από τους σχετικούς δείκτες αναφοράς, θα πρέπει να παρέχεται επεξήγηση των λόγων για τους οποίους αυτό δεν είναι εφικτό. Δείκτες αναφοράς που καθορίζονται για τη δωρεάν κατανομή για δραστηριότητες που εμπίπτουν στο πεδίο εφαρμογής του συστήματος εμπορίας δικαιωμάτων εκπομπής, όπως ορίζεται στον εκτελεστικό κανονισμό (ΕΕ) 2021/447 της Επιτροπής.</w:t>
      </w:r>
    </w:p>
  </w:footnote>
  <w:footnote w:id="37">
    <w:p w14:paraId="22DA75BD" w14:textId="77777777" w:rsidR="00154AD2" w:rsidRDefault="007F6BF3">
      <w:pPr>
        <w:spacing w:after="0" w:line="240" w:lineRule="auto"/>
        <w:ind w:left="709" w:hanging="709"/>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Η εξαίρεση αυτή δεν ισχύει για δράσεις στο πλαίσιο του παρόντος μέτρου σε μονάδες που προορίζονται αποκλειστικά για την επεξεργασία μη ανακυκλώσιμων επικίνδυνων αποβλήτων, και σε υφιστάμενες μονάδες, όταν οι δράσεις στο πλαίσιο του παρόντος μέτρου αποσκοπούν στην αύξηση της ενεργειακής απόδοσης, στη δέσμευση καυσαερίων για αποθήκευση ή χρήση ή στην ανάκτηση υλικών από τέφρα αποτέφρωσης, υπό την προϋπόθεση ότι οι εν λόγω δράσεις στο πλαίσιο του παρόντος μέτρου δεν οδηγούν σε αύξηση της ικανότητας επεξεργασίας αποβλήτων της μονάδας ή σε παράταση της διάρκειας ζωής των μονάδων· για τα οποία παρέχονται αποδεικτικά στοιχεία σε επίπεδο μονάδας.</w:t>
      </w:r>
    </w:p>
  </w:footnote>
  <w:footnote w:id="38">
    <w:p w14:paraId="31E3972C" w14:textId="77777777" w:rsidR="00154AD2" w:rsidRDefault="007F6BF3">
      <w:pPr>
        <w:pStyle w:val="FootnoteText"/>
        <w:spacing w:line="240" w:lineRule="auto"/>
        <w:ind w:left="709" w:hanging="709"/>
      </w:pPr>
      <w:r>
        <w:rPr>
          <w:rStyle w:val="FootnoteReference"/>
        </w:rPr>
        <w:footnoteRef/>
      </w:r>
      <w:r>
        <w:t xml:space="preserve"> </w:t>
      </w:r>
      <w:r>
        <w:tab/>
        <w:t>Η εξαίρεση αυτή δεν ισχύει για δράσεις στο πλαίσιο του παρόντος μέτρου σε υφιστάμενες μονάδες μηχανικής βιολογικής επεξεργασίας, όπου οι δράσεις στο πλαίσιο του παρόντος μέτρου αποσκοπούν στην αύξηση της ενεργειακής απόδοσης ή στη μετασκευή σε εργασίες ανακύκλωσης διαχωρισμένων αποβλήτων σε βιοαπόβλητα λιπασματοποίησης και αναερόβιας χώνευσης βιολογικών αποβλήτων, υπό την προϋπόθεση ότι οι δράσεις αυτές στο πλαίσιο του παρόντος μέτρου δεν οδηγούν σε αύξηση της ικανότητας επεξεργασίας αποβλήτων των μονάδων ή σε παράταση της διάρκειας ζωής των μονάδων· για τα οποία παρέχονται αποδεικτικά στοιχεία σε επίπεδο μονάδας.</w:t>
      </w:r>
    </w:p>
  </w:footnote>
  <w:footnote w:id="39">
    <w:p w14:paraId="032B3FB7" w14:textId="017008BD" w:rsidR="00154AD2" w:rsidRDefault="007F6BF3">
      <w:pPr>
        <w:pStyle w:val="FootnoteText"/>
        <w:ind w:left="709" w:hanging="709"/>
      </w:pPr>
      <w:r>
        <w:rPr>
          <w:rStyle w:val="FootnoteReference"/>
        </w:rPr>
        <w:footnoteRef/>
      </w:r>
      <w:r>
        <w:t xml:space="preserve"> </w:t>
      </w:r>
      <w:r>
        <w:tab/>
        <w:t xml:space="preserve">Decreto Regulamentar n.° 9-A/2017: </w:t>
      </w:r>
      <w:hyperlink r:id="rId6" w:history="1">
        <w:r>
          <w:rPr>
            <w:rStyle w:val="Hyperlink"/>
          </w:rPr>
          <w:t>https://dre.pt/application/conteudo/114152782</w:t>
        </w:r>
      </w:hyperlink>
      <w:r>
        <w:t xml:space="preserve">  </w:t>
      </w:r>
    </w:p>
  </w:footnote>
  <w:footnote w:id="40">
    <w:p w14:paraId="0D885102" w14:textId="77777777" w:rsidR="00154AD2" w:rsidRDefault="007F6BF3">
      <w:pPr>
        <w:pStyle w:val="FootnoteText"/>
        <w:spacing w:line="240" w:lineRule="auto"/>
      </w:pPr>
      <w:r>
        <w:rPr>
          <w:rStyle w:val="FootnoteReference"/>
        </w:rPr>
        <w:footnoteRef/>
      </w:r>
      <w:r>
        <w:t xml:space="preserve"> </w:t>
      </w:r>
      <w:r>
        <w:tab/>
        <w:t>Εξαιρουμένων των έργων στο πλαίσιο του παρόντος μέτρου για την παραγωγή ηλεκτρικής ενέργειας και/ή θερμότητας, καθώς και των σχετικών υποδομών μεταφοράς και διανομής, με χρήση φυσικού αερίου, τα οποία πληρούν τους όρους που καθορίζονται στο παράρτημα III των τεχνικών οδηγιών «Μη πρόκληση σημαντικής βλάβης» (2021/C58/01).</w:t>
      </w:r>
    </w:p>
  </w:footnote>
  <w:footnote w:id="41">
    <w:p w14:paraId="41986EED" w14:textId="77777777" w:rsidR="00154AD2" w:rsidRDefault="007F6BF3">
      <w:pPr>
        <w:pStyle w:val="FootnoteText"/>
        <w:spacing w:line="240" w:lineRule="auto"/>
      </w:pPr>
      <w:r>
        <w:rPr>
          <w:rStyle w:val="FootnoteReference"/>
        </w:rPr>
        <w:footnoteRef/>
      </w:r>
      <w:r>
        <w:t xml:space="preserve"> </w:t>
      </w:r>
      <w:r>
        <w:tab/>
        <w:t>Όταν η υποστηριζόμενη δραστηριότητα επιτυγχάνει προβλεπόμενες εκπομπές αερίων του θερμοκηπίου που δεν είναι σημαντικά χαμηλότερες από τους σχετικούς δείκτες αναφοράς, θα πρέπει να παρέχεται επεξήγηση των λόγων για τους οποίους αυτό δεν είναι εφικτό. Δείκτες αναφοράς που καθορίζονται για τη δωρεάν κατανομή για δραστηριότητες που εμπίπτουν στο πεδίο εφαρμογής του συστήματος εμπορίας δικαιωμάτων εκπομπής, όπως ορίζεται στον εκτελεστικό κανονισμό (ΕΕ) 2021/447 της Επιτροπής.</w:t>
      </w:r>
    </w:p>
  </w:footnote>
  <w:footnote w:id="42">
    <w:p w14:paraId="0FE45297" w14:textId="77777777" w:rsidR="00154AD2" w:rsidRDefault="007F6BF3">
      <w:pPr>
        <w:pStyle w:val="FootnoteText"/>
        <w:spacing w:line="240" w:lineRule="auto"/>
      </w:pPr>
      <w:r>
        <w:rPr>
          <w:rStyle w:val="FootnoteReference"/>
        </w:rPr>
        <w:footnoteRef/>
      </w:r>
      <w:r>
        <w:t xml:space="preserve"> </w:t>
      </w:r>
      <w:r>
        <w:tab/>
        <w:t>Η εξαίρεση αυτή δεν ισχύει για δράσεις στο πλαίσιο του παρόντος μέτρου σε μονάδες που προορίζονται αποκλειστικά για την επεξεργασία μη ανακυκλώσιμων επικίνδυνων αποβλήτων, και σε υφιστάμενες μονάδες, όταν οι δράσεις στο πλαίσιο του παρόντος μέτρου αποσκοπούν στην αύξηση της ενεργειακής απόδοσης, στη δέσμευση καυσαερίων για αποθήκευση ή χρήση ή στην ανάκτηση υλικών από τέφρα αποτέφρωσης, υπό την προϋπόθεση ότι οι εν λόγω δράσεις στο πλαίσιο του παρόντος μέτρου δεν οδηγούν σε αύξηση της ικανότητας επεξεργασίας αποβλήτων της μονάδας ή σε παράταση της διάρκειας ζωής των μονάδων· για τα οποία παρέχονται αποδεικτικά στοιχεία σε επίπεδο μονάδας.</w:t>
      </w:r>
    </w:p>
  </w:footnote>
  <w:footnote w:id="43">
    <w:p w14:paraId="45413230" w14:textId="77777777" w:rsidR="00154AD2" w:rsidRDefault="007F6BF3">
      <w:pPr>
        <w:pStyle w:val="FootnoteText"/>
        <w:spacing w:line="240" w:lineRule="auto"/>
      </w:pPr>
      <w:r>
        <w:rPr>
          <w:rStyle w:val="FootnoteReference"/>
        </w:rPr>
        <w:footnoteRef/>
      </w:r>
      <w:r>
        <w:t xml:space="preserve"> </w:t>
      </w:r>
      <w:r>
        <w:tab/>
        <w:t>Η εξαίρεση αυτή δεν ισχύει για δράσεις στο πλαίσιο του παρόντος μέτρου σε υφιστάμενες μονάδες μηχανικής βιολογικής επεξεργασίας, όπου οι δράσεις στο πλαίσιο του παρόντος μέτρου αποσκοπούν στην αύξηση της ενεργειακής απόδοσης ή στη μετασκευή σε εργασίες ανακύκλωσης διαχωρισμένων αποβλήτων σε βιοαπόβλητα λιπασματοποίησης και αναερόβιας χώνευσης βιολογικών αποβλήτων, υπό την προϋπόθεση ότι οι δράσεις αυτές στο πλαίσιο του παρόντος μέτρου δεν οδηγούν σε αύξηση της ικανότητας επεξεργασίας αποβλήτων των μονάδων ή σε παράταση της διάρκειας ζωής των μονάδων· για τα οποία παρέχονται αποδεικτικά στοιχεία σε επίπεδο μονάδας.</w:t>
      </w:r>
    </w:p>
  </w:footnote>
  <w:footnote w:id="44">
    <w:p w14:paraId="2D3802F5" w14:textId="77777777" w:rsidR="00154AD2" w:rsidRDefault="007F6BF3">
      <w:pPr>
        <w:pStyle w:val="FootnoteText"/>
        <w:spacing w:line="240" w:lineRule="auto"/>
        <w:ind w:left="709" w:hanging="709"/>
      </w:pPr>
      <w:r>
        <w:rPr>
          <w:rStyle w:val="FootnoteReference"/>
        </w:rPr>
        <w:footnoteRef/>
      </w:r>
      <w:r>
        <w:t xml:space="preserve"> </w:t>
      </w:r>
      <w:r>
        <w:tab/>
        <w:t>Εξαιρουμένων των έργων στο πλαίσιο του παρόντος μέτρου για την παραγωγή ηλεκτρικής ενέργειας και/ή θερμότητας, καθώς και των σχετικών υποδομών μεταφοράς και διανομής, με χρήση φυσικού αερίου, τα οποία πληρούν τους όρους που καθορίζονται στο παράρτημα III των τεχνικών οδηγιών «Μη πρόκληση σημαντικής βλάβης» (2021/C58/01).</w:t>
      </w:r>
    </w:p>
  </w:footnote>
  <w:footnote w:id="45">
    <w:p w14:paraId="58D642AD" w14:textId="77777777" w:rsidR="00154AD2" w:rsidRDefault="007F6BF3">
      <w:pPr>
        <w:pStyle w:val="FootnoteText"/>
        <w:spacing w:line="240" w:lineRule="auto"/>
        <w:ind w:left="709" w:hanging="709"/>
      </w:pPr>
      <w:r>
        <w:rPr>
          <w:rStyle w:val="FootnoteReference"/>
        </w:rPr>
        <w:footnoteRef/>
      </w:r>
      <w:r>
        <w:t xml:space="preserve"> </w:t>
      </w:r>
      <w:r>
        <w:tab/>
        <w:t>Όταν η υποστηριζόμενη δραστηριότητα επιτυγχάνει προβλεπόμενες εκπομπές αερίων του θερμοκηπίου που δεν είναι σημαντικά χαμηλότερες από τους σχετικούς δείκτες αναφοράς, θα πρέπει να παρέχεται επεξήγηση των λόγων για τους οποίους αυτό δεν είναι εφικτό. Δείκτες αναφοράς που καθορίζονται για τη δωρεάν κατανομή για δραστηριότητες που εμπίπτουν στο πεδίο εφαρμογής του συστήματος εμπορίας δικαιωμάτων εκπομπής, όπως ορίζεται στον εκτελεστικό κανονισμό (ΕΕ) 2021/447 της Επιτροπής.</w:t>
      </w:r>
    </w:p>
  </w:footnote>
  <w:footnote w:id="46">
    <w:p w14:paraId="2EC8D73E" w14:textId="77777777" w:rsidR="00154AD2" w:rsidRDefault="007F6BF3">
      <w:pPr>
        <w:spacing w:after="0" w:line="240" w:lineRule="auto"/>
        <w:ind w:left="709" w:hanging="709"/>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Η εξαίρεση αυτή δεν ισχύει για δράσεις στο πλαίσιο του παρόντος μέτρου σε μονάδες που προορίζονται αποκλειστικά για την επεξεργασία μη ανακυκλώσιμων επικίνδυνων αποβλήτων, και σε υφιστάμενες μονάδες, όταν οι δράσεις στο πλαίσιο του παρόντος μέτρου αποσκοπούν στην αύξηση της ενεργειακής απόδοσης, στη δέσμευση καυσαερίων για αποθήκευση ή χρήση ή στην ανάκτηση υλικών από τέφρα αποτέφρωσης, υπό την προϋπόθεση ότι οι εν λόγω δράσεις στο πλαίσιο του παρόντος μέτρου δεν οδηγούν σε αύξηση της ικανότητας επεξεργασίας αποβλήτων της μονάδας ή σε παράταση της διάρκειας ζωής των μονάδων· για τα οποία παρέχονται αποδεικτικά στοιχεία σε επίπεδο μονάδας.</w:t>
      </w:r>
    </w:p>
  </w:footnote>
  <w:footnote w:id="47">
    <w:p w14:paraId="69F62AAE" w14:textId="77777777" w:rsidR="00154AD2" w:rsidRDefault="007F6BF3">
      <w:pPr>
        <w:pStyle w:val="FootnoteText"/>
        <w:spacing w:line="240" w:lineRule="auto"/>
        <w:ind w:left="709" w:hanging="709"/>
      </w:pPr>
      <w:r>
        <w:rPr>
          <w:rStyle w:val="FootnoteReference"/>
        </w:rPr>
        <w:footnoteRef/>
      </w:r>
      <w:r>
        <w:t xml:space="preserve"> </w:t>
      </w:r>
      <w:r>
        <w:tab/>
        <w:t>Η εξαίρεση αυτή δεν ισχύει για δράσεις στο πλαίσιο του παρόντος μέτρου σε υφιστάμενες μονάδες μηχανικής βιολογικής επεξεργασίας, όπου οι δράσεις στο πλαίσιο του παρόντος μέτρου αποσκοπούν στην αύξηση της ενεργειακής απόδοσης ή στη μετασκευή σε εργασίες ανακύκλωσης διαχωρισμένων αποβλήτων σε βιοαπόβλητα λιπασματοποίησης και αναερόβιας χώνευσης βιολογικών αποβλήτων, υπό την προϋπόθεση ότι οι δράσεις αυτές στο πλαίσιο του παρόντος μέτρου δεν οδηγούν σε αύξηση της ικανότητας επεξεργασίας αποβλήτων των μονάδων ή σε παράταση της διάρκειας ζωής των μονάδων· για τα οποία παρέχονται αποδεικτικά στοιχεία σε επίπεδο μονάδας.</w:t>
      </w:r>
    </w:p>
  </w:footnote>
  <w:footnote w:id="48">
    <w:p w14:paraId="23D04827" w14:textId="77777777" w:rsidR="00154AD2" w:rsidRDefault="007F6BF3">
      <w:pPr>
        <w:pStyle w:val="FootnoteText"/>
      </w:pPr>
      <w:r>
        <w:rPr>
          <w:rStyle w:val="FootnoteReference"/>
        </w:rPr>
        <w:footnoteRef/>
      </w:r>
      <w:r>
        <w:t xml:space="preserve"> </w:t>
      </w:r>
      <w:r>
        <w:tab/>
        <w:t>Εξαιρουμένων των έργων στο πλαίσιο του παρόντος μέτρου για την παραγωγή ηλεκτρικής ενέργειας και/ή θερμότητας, καθώς και των σχετικών υποδομών μεταφοράς και διανομής, με χρήση φυσικού αερίου, τα οποία πληρούν τους όρους που καθορίζονται στο παράρτημα III των τεχνικών οδηγιών «Μη πρόκληση σημαντικής βλάβης» (2021/C58/01).</w:t>
      </w:r>
    </w:p>
  </w:footnote>
  <w:footnote w:id="49">
    <w:p w14:paraId="086CCC13" w14:textId="77777777" w:rsidR="00154AD2" w:rsidRDefault="007F6BF3">
      <w:pPr>
        <w:pStyle w:val="FootnoteText"/>
        <w:spacing w:line="240" w:lineRule="auto"/>
      </w:pPr>
      <w:r>
        <w:rPr>
          <w:rStyle w:val="FootnoteReference"/>
        </w:rPr>
        <w:footnoteRef/>
      </w:r>
      <w:r>
        <w:t xml:space="preserve"> </w:t>
      </w:r>
      <w:r>
        <w:tab/>
        <w:t>Όταν η υποστηριζόμενη δραστηριότητα επιτυγχάνει προβλεπόμενες εκπομπές αερίων του θερμοκηπίου που δεν είναι σημαντικά χαμηλότερες από τους σχετικούς δείκτες αναφοράς, θα πρέπει να παρέχεται επεξήγηση των λόγων για τους οποίους αυτό δεν είναι εφικτό. Δείκτες αναφοράς που καθορίζονται για τη δωρεάν κατανομή για δραστηριότητες που εμπίπτουν στο πεδίο εφαρμογής του συστήματος εμπορίας δικαιωμάτων εκπομπής, όπως ορίζεται στον εκτελεστικό κανονισμό (ΕΕ) 2021/447 της Επιτροπής.</w:t>
      </w:r>
    </w:p>
  </w:footnote>
  <w:footnote w:id="50">
    <w:p w14:paraId="50DDA874" w14:textId="77777777" w:rsidR="00154AD2" w:rsidRDefault="007F6BF3">
      <w:pPr>
        <w:spacing w:after="0" w:line="240" w:lineRule="auto"/>
        <w:ind w:left="709" w:hanging="709"/>
        <w:jc w:val="both"/>
        <w:rPr>
          <w:rFonts w:ascii="Times New Roman" w:hAnsi="Times New Roman" w:cs="Times New Roman"/>
        </w:rPr>
      </w:pPr>
      <w:r>
        <w:rPr>
          <w:rStyle w:val="FootnoteReference"/>
          <w:sz w:val="20"/>
        </w:rPr>
        <w:footnoteRef/>
      </w:r>
      <w:r>
        <w:rPr>
          <w:rFonts w:ascii="Times New Roman" w:hAnsi="Times New Roman"/>
          <w:sz w:val="20"/>
        </w:rPr>
        <w:t xml:space="preserve"> </w:t>
      </w:r>
      <w:r>
        <w:rPr>
          <w:rFonts w:ascii="Times New Roman" w:hAnsi="Times New Roman"/>
          <w:sz w:val="20"/>
        </w:rPr>
        <w:tab/>
        <w:t>Η εξαίρεση αυτή δεν ισχύει για δράσεις στο πλαίσιο του παρόντος μέτρου σε μονάδες που προορίζονται αποκλειστικά για την επεξεργασία μη ανακυκλώσιμων επικίνδυνων αποβλήτων, και σε υφιστάμενες μονάδες, όταν οι δράσεις στο πλαίσιο του παρόντος μέτρου αποσκοπούν στην αύξηση της ενεργειακής απόδοσης, στη δέσμευση καυσαερίων για αποθήκευση ή χρήση ή στην ανάκτηση υλικών από τέφρα αποτέφρωσης, υπό την προϋπόθεση ότι οι εν λόγω δράσεις στο πλαίσιο του παρόντος μέτρου δεν οδηγούν σε αύξηση της ικανότητας επεξεργασίας αποβλήτων της μονάδας ή σε παράταση της διάρκειας ζωής των μονάδων· για τα οποία παρέχονται αποδεικτικά στοιχεία σε επίπεδο μονάδας.</w:t>
      </w:r>
    </w:p>
  </w:footnote>
  <w:footnote w:id="51">
    <w:p w14:paraId="629442C7" w14:textId="77777777" w:rsidR="00154AD2" w:rsidRDefault="007F6BF3">
      <w:pPr>
        <w:pStyle w:val="FootnoteText"/>
        <w:spacing w:line="240" w:lineRule="auto"/>
      </w:pPr>
      <w:r>
        <w:rPr>
          <w:rStyle w:val="FootnoteReference"/>
        </w:rPr>
        <w:footnoteRef/>
      </w:r>
      <w:r>
        <w:t xml:space="preserve"> </w:t>
      </w:r>
      <w:r>
        <w:tab/>
        <w:t>Η εξαίρεση αυτή δεν ισχύει για δράσεις στο πλαίσιο του παρόντος μέτρου σε υφιστάμενες μονάδες μηχανικής βιολογικής επεξεργασίας, όπου οι δράσεις στο πλαίσιο του παρόντος μέτρου αποσκοπούν στην αύξηση της ενεργειακής απόδοσης ή στη μετασκευή σε εργασίες ανακύκλωσης διαχωρισμένων αποβλήτων σε βιοαπόβλητα λιπασματοποίησης και αναερόβιας χώνευσης βιολογικών αποβλήτων, υπό την προϋπόθεση ότι οι δράσεις αυτές στο πλαίσιο του παρόντος μέτρου δεν οδηγούν σε αύξηση της ικανότητας επεξεργασίας αποβλήτων των μονάδων ή σε παράταση της διάρκειας ζωής των μονάδων· για τα οποία παρέχονται αποδεικτικά στοιχεία σε επίπεδο μονάδας.</w:t>
      </w:r>
    </w:p>
  </w:footnote>
  <w:footnote w:id="52">
    <w:p w14:paraId="6CD2C7EC" w14:textId="77777777" w:rsidR="00154AD2" w:rsidRDefault="007F6BF3">
      <w:pPr>
        <w:pStyle w:val="FootnoteText"/>
        <w:ind w:left="709" w:hanging="709"/>
      </w:pPr>
      <w:r>
        <w:rPr>
          <w:rStyle w:val="FootnoteReference"/>
        </w:rPr>
        <w:footnoteRef/>
      </w:r>
      <w:r>
        <w:t xml:space="preserve"> </w:t>
      </w:r>
      <w:r>
        <w:tab/>
        <w:t>Εξαιρουμένων των έργων στο πλαίσιο του παρόντος μέτρου για την παραγωγή ηλεκτρικής ενέργειας και/ή θερμότητας, καθώς και των σχετικών υποδομών μεταφοράς και διανομής, με χρήση φυσικού αερίου, τα οποία πληρούν τους όρους που καθορίζονται στο παράρτημα III των τεχνικών οδηγιών «Μη πρόκληση σημαντικής βλάβης» (2021/C58/01).</w:t>
      </w:r>
    </w:p>
  </w:footnote>
  <w:footnote w:id="53">
    <w:p w14:paraId="6D4C9DB2" w14:textId="77777777" w:rsidR="00154AD2" w:rsidRDefault="007F6BF3">
      <w:pPr>
        <w:pStyle w:val="FootnoteText"/>
        <w:ind w:left="709" w:hanging="709"/>
      </w:pPr>
      <w:r>
        <w:rPr>
          <w:rStyle w:val="FootnoteReference"/>
        </w:rPr>
        <w:footnoteRef/>
      </w:r>
      <w:r>
        <w:t xml:space="preserve"> </w:t>
      </w:r>
      <w:r>
        <w:tab/>
        <w:t>Όταν η υποστηριζόμενη δραστηριότητα επιτυγχάνει προβλεπόμενες εκπομπές αερίων του θερμοκηπίου που δεν είναι σημαντικά χαμηλότερες από τους σχετικούς δείκτες αναφοράς, θα πρέπει να παρέχεται επεξήγηση των λόγων για τους οποίους αυτό δεν είναι εφικτό. Δείκτες αναφοράς που καθορίζονται για τη δωρεάν κατανομή για δραστηριότητες που εμπίπτουν στο πεδίο εφαρμογής του συστήματος εμπορίας δικαιωμάτων εκπομπής, όπως ορίζεται στον εκτελεστικό κανονισμό (ΕΕ) 2021/447 της Επιτροπής.</w:t>
      </w:r>
    </w:p>
  </w:footnote>
  <w:footnote w:id="54">
    <w:p w14:paraId="2F4AA456" w14:textId="77777777" w:rsidR="00154AD2" w:rsidRDefault="007F6BF3">
      <w:pPr>
        <w:pStyle w:val="FootnoteText"/>
        <w:ind w:left="709" w:hanging="709"/>
      </w:pPr>
      <w:r>
        <w:rPr>
          <w:rStyle w:val="FootnoteReference"/>
        </w:rPr>
        <w:footnoteRef/>
      </w:r>
      <w:r>
        <w:t xml:space="preserve"> </w:t>
      </w:r>
      <w:r>
        <w:tab/>
        <w:t>Η εξαίρεση αυτή δεν ισχύει για δράσεις στο πλαίσιο του παρόντος μέτρου σε μονάδες που προορίζονται αποκλειστικά για την επεξεργασία μη ανακυκλώσιμων επικίνδυνων αποβλήτων, και σε υφιστάμενες μονάδες, όταν οι δράσεις στο πλαίσιο του παρόντος μέτρου αποσκοπούν στην αύξηση της ενεργειακής απόδοσης, στη δέσμευση καυσαερίων για αποθήκευση ή χρήση ή στην ανάκτηση υλικών από τέφρα αποτέφρωσης, υπό την προϋπόθεση ότι οι εν λόγω δράσεις στο πλαίσιο του παρόντος μέτρου δεν οδηγούν σε αύξηση της ικανότητας επεξεργασίας αποβλήτων της μονάδας ή σε παράταση της διάρκειας ζωής των μονάδων· για τα οποία παρέχονται αποδεικτικά στοιχεία σε επίπεδο μονάδας.</w:t>
      </w:r>
    </w:p>
  </w:footnote>
  <w:footnote w:id="55">
    <w:p w14:paraId="5D8F35A8" w14:textId="77777777" w:rsidR="00154AD2" w:rsidRDefault="007F6BF3">
      <w:pPr>
        <w:pStyle w:val="FootnoteText"/>
        <w:ind w:left="709" w:hanging="709"/>
      </w:pPr>
      <w:r>
        <w:rPr>
          <w:rStyle w:val="FootnoteReference"/>
        </w:rPr>
        <w:footnoteRef/>
      </w:r>
      <w:r>
        <w:t xml:space="preserve"> </w:t>
      </w:r>
      <w:r>
        <w:tab/>
        <w:t>Η εξαίρεση αυτή δεν ισχύει για δράσεις στο πλαίσιο του παρόντος μέτρου σε υφιστάμενες μονάδες μηχανικής βιολογικής επεξεργασίας, όπου οι δράσεις στο πλαίσιο του παρόντος μέτρου αποσκοπούν στην αύξηση της ενεργειακής απόδοσης ή στη μετασκευή σε εργασίες ανακύκλωσης διαχωρισμένων αποβλήτων σε βιοαπόβλητα λιπασματοποίησης και αναερόβιας χώνευσης βιολογικών αποβλήτων, υπό την προϋπόθεση ότι οι δράσεις αυτές στο πλαίσιο του παρόντος μέτρου δεν οδηγούν σε αύξηση της ικανότητας επεξεργασίας αποβλήτων των μονάδων ή σε παράταση της διάρκειας ζωής των μονάδων· για τα οποία παρέχονται αποδεικτικά στοιχεία σε επίπεδο μονάδας.</w:t>
      </w:r>
    </w:p>
  </w:footnote>
  <w:footnote w:id="56">
    <w:p w14:paraId="5A0A53A2" w14:textId="77777777" w:rsidR="00154AD2" w:rsidRDefault="007F6BF3">
      <w:pPr>
        <w:pStyle w:val="FootnoteText"/>
        <w:ind w:left="709" w:hanging="709"/>
      </w:pPr>
      <w:r>
        <w:rPr>
          <w:rStyle w:val="FootnoteReference"/>
        </w:rPr>
        <w:footnoteRef/>
      </w:r>
      <w:r>
        <w:t xml:space="preserve"> </w:t>
      </w:r>
      <w:r>
        <w:tab/>
        <w:t>Εξαιρουμένων των έργων στο πλαίσιο του παρόντος μέτρου για την παραγωγή ηλεκτρικής ενέργειας και/ή θερμότητας, καθώς και των σχετικών υποδομών μεταφοράς και διανομής, με χρήση φυσικού αερίου, τα οποία πληρούν τους όρους που καθορίζονται στο παράρτημα III των τεχνικών οδηγιών «Μη πρόκληση σημαντικής βλάβης» (2021/C58/01).</w:t>
      </w:r>
    </w:p>
  </w:footnote>
  <w:footnote w:id="57">
    <w:p w14:paraId="59375361" w14:textId="77777777" w:rsidR="00154AD2" w:rsidRDefault="007F6BF3">
      <w:pPr>
        <w:pStyle w:val="FootnoteText"/>
        <w:ind w:left="709" w:hanging="709"/>
      </w:pPr>
      <w:r>
        <w:rPr>
          <w:rStyle w:val="FootnoteReference"/>
        </w:rPr>
        <w:footnoteRef/>
      </w:r>
      <w:r>
        <w:t xml:space="preserve"> </w:t>
      </w:r>
      <w:r>
        <w:tab/>
        <w:t>Όταν η υποστηριζόμενη δραστηριότητα επιτυγχάνει προβλεπόμενες εκπομπές αερίων του θερμοκηπίου που δεν είναι σημαντικά χαμηλότερες από τους σχετικούς δείκτες αναφοράς, θα πρέπει να παρέχεται επεξήγηση των λόγων για τους οποίους αυτό δεν είναι εφικτό. Δείκτες αναφοράς που καθορίζονται για τη δωρεάν κατανομή για δραστηριότητες που εμπίπτουν στο πεδίο εφαρμογής του συστήματος εμπορίας δικαιωμάτων εκπομπής, όπως ορίζεται στον εκτελεστικό κανονισμό (ΕΕ) 2021/447 της Επιτροπής.</w:t>
      </w:r>
    </w:p>
  </w:footnote>
  <w:footnote w:id="58">
    <w:p w14:paraId="3A868ECC" w14:textId="77777777" w:rsidR="00154AD2" w:rsidRDefault="007F6BF3">
      <w:pPr>
        <w:pStyle w:val="FootnoteText"/>
        <w:ind w:left="709" w:hanging="709"/>
      </w:pPr>
      <w:r>
        <w:rPr>
          <w:rStyle w:val="FootnoteReference"/>
        </w:rPr>
        <w:footnoteRef/>
      </w:r>
      <w:r>
        <w:t xml:space="preserve"> </w:t>
      </w:r>
      <w:r>
        <w:tab/>
        <w:t>Η εξαίρεση αυτή δεν ισχύει για δράσεις στο πλαίσιο του παρόντος μέτρου σε μονάδες που προορίζονται αποκλειστικά για την επεξεργασία μη ανακυκλώσιμων επικίνδυνων αποβλήτων, και σε υφιστάμενες μονάδες, όταν οι δράσεις στο πλαίσιο του παρόντος μέτρου αποσκοπούν στην αύξηση της ενεργειακής απόδοσης, στη δέσμευση καυσαερίων για αποθήκευση ή χρήση ή στην ανάκτηση υλικών από τέφρα αποτέφρωσης, υπό την προϋπόθεση ότι οι εν λόγω δράσεις στο πλαίσιο του παρόντος μέτρου δεν οδηγούν σε αύξηση της ικανότητας επεξεργασίας αποβλήτων της μονάδας ή σε παράταση της διάρκειας ζωής των μονάδων· για τα οποία παρέχονται αποδεικτικά στοιχεία σε επίπεδο μονάδας.</w:t>
      </w:r>
    </w:p>
  </w:footnote>
  <w:footnote w:id="59">
    <w:p w14:paraId="57210ACA" w14:textId="77777777" w:rsidR="00154AD2" w:rsidRDefault="007F6BF3">
      <w:pPr>
        <w:pStyle w:val="FootnoteText"/>
        <w:ind w:left="709" w:hanging="709"/>
      </w:pPr>
      <w:r>
        <w:rPr>
          <w:rStyle w:val="FootnoteReference"/>
        </w:rPr>
        <w:footnoteRef/>
      </w:r>
      <w:r>
        <w:t xml:space="preserve"> </w:t>
      </w:r>
      <w:r>
        <w:tab/>
        <w:t>Η εξαίρεση αυτή δεν ισχύει για δράσεις στο πλαίσιο του παρόντος μέτρου σε υφιστάμενες μονάδες μηχανικής βιολογικής επεξεργασίας, όπου οι δράσεις στο πλαίσιο του παρόντος μέτρου αποσκοπούν στην αύξηση της ενεργειακής απόδοσης ή στη μετασκευή σε εργασίες ανακύκλωσης διαχωρισμένων αποβλήτων σε βιοαπόβλητα λιπασματοποίησης και αναερόβιας χώνευσης βιολογικών αποβλήτων, υπό την προϋπόθεση ότι οι δράσεις αυτές στο πλαίσιο του παρόντος μέτρου δεν οδηγούν σε αύξηση της ικανότητας επεξεργασίας αποβλήτων των μονάδων ή σε παράταση της διάρκειας ζωής των μονάδων· για τα οποία παρέχονται αποδεικτικά στοιχεία σε επίπεδο μονάδας.</w:t>
      </w:r>
    </w:p>
  </w:footnote>
  <w:footnote w:id="60">
    <w:p w14:paraId="29A7C9B1" w14:textId="77777777" w:rsidR="00154AD2" w:rsidRDefault="007F6BF3">
      <w:pPr>
        <w:pStyle w:val="FootnoteText"/>
        <w:ind w:left="709" w:hanging="709"/>
      </w:pPr>
      <w:r>
        <w:rPr>
          <w:rStyle w:val="FootnoteReference"/>
        </w:rPr>
        <w:footnoteRef/>
      </w:r>
      <w:r>
        <w:t xml:space="preserve"> </w:t>
      </w:r>
      <w:r>
        <w:tab/>
        <w:t>Εξαιρουμένων των έργων στο πλαίσιο του παρόντος μέτρου για την παραγωγή ηλεκτρικής ενέργειας και/ή θερμότητας, καθώς και των σχετικών υποδομών μεταφοράς και διανομής, με χρήση φυσικού αερίου, τα οποία πληρούν τους όρους που καθορίζονται στο παράρτημα III των τεχνικών οδηγιών «Μη πρόκληση σημαντικής βλάβης» (2021/C58/01).</w:t>
      </w:r>
    </w:p>
  </w:footnote>
  <w:footnote w:id="61">
    <w:p w14:paraId="24F14AC4" w14:textId="77777777" w:rsidR="00154AD2" w:rsidRDefault="007F6BF3">
      <w:pPr>
        <w:pStyle w:val="FootnoteText"/>
        <w:ind w:left="709" w:hanging="709"/>
      </w:pPr>
      <w:r>
        <w:rPr>
          <w:rStyle w:val="FootnoteReference"/>
        </w:rPr>
        <w:footnoteRef/>
      </w:r>
      <w:r>
        <w:t xml:space="preserve"> </w:t>
      </w:r>
      <w:r>
        <w:tab/>
        <w:t>Όταν η υποστηριζόμενη δραστηριότητα επιτυγχάνει προβλεπόμενες εκπομπές αερίων του θερμοκηπίου που δεν είναι σημαντικά χαμηλότερες από τους σχετικούς δείκτες αναφοράς, θα πρέπει να παρέχεται επεξήγηση των λόγων για τους οποίους αυτό δεν είναι εφικτό. Δείκτες αναφοράς που καθορίζονται για τη δωρεάν κατανομή για δραστηριότητες που εμπίπτουν στο πεδίο εφαρμογής του συστήματος εμπορίας δικαιωμάτων εκπομπής, όπως ορίζεται στον εκτελεστικό κανονισμό (ΕΕ) 2021/447 της Επιτροπής.</w:t>
      </w:r>
    </w:p>
  </w:footnote>
  <w:footnote w:id="62">
    <w:p w14:paraId="57CE1546" w14:textId="77777777" w:rsidR="00154AD2" w:rsidRDefault="007F6BF3">
      <w:pPr>
        <w:pStyle w:val="FootnoteText"/>
        <w:ind w:left="709" w:hanging="709"/>
      </w:pPr>
      <w:r>
        <w:rPr>
          <w:rStyle w:val="FootnoteReference"/>
        </w:rPr>
        <w:footnoteRef/>
      </w:r>
      <w:r>
        <w:t xml:space="preserve"> </w:t>
      </w:r>
      <w:r>
        <w:tab/>
        <w:t>Η εξαίρεση αυτή δεν ισχύει για δράσεις στο πλαίσιο του παρόντος μέτρου σε μονάδες που προορίζονται αποκλειστικά για την επεξεργασία μη ανακυκλώσιμων επικίνδυνων αποβλήτων, και σε υφιστάμενες μονάδες, όταν οι δράσεις στο πλαίσιο του παρόντος μέτρου αποσκοπούν στην αύξηση της ενεργειακής απόδοσης, στη δέσμευση καυσαερίων για αποθήκευση ή χρήση ή στην ανάκτηση υλικών από τέφρα αποτέφρωσης, υπό την προϋπόθεση ότι οι εν λόγω δράσεις στο πλαίσιο του παρόντος μέτρου δεν οδηγούν σε αύξηση της ικανότητας επεξεργασίας αποβλήτων της μονάδας ή σε παράταση της διάρκειας ζωής των μονάδων· για τα οποία παρέχονται αποδεικτικά στοιχεία σε επίπεδο μονάδας.</w:t>
      </w:r>
    </w:p>
  </w:footnote>
  <w:footnote w:id="63">
    <w:p w14:paraId="1812F0A1" w14:textId="77777777" w:rsidR="00154AD2" w:rsidRDefault="007F6BF3">
      <w:pPr>
        <w:pStyle w:val="FootnoteText"/>
        <w:ind w:left="709" w:hanging="709"/>
      </w:pPr>
      <w:r>
        <w:rPr>
          <w:rStyle w:val="FootnoteReference"/>
        </w:rPr>
        <w:footnoteRef/>
      </w:r>
      <w:r>
        <w:t xml:space="preserve"> </w:t>
      </w:r>
      <w:r>
        <w:tab/>
        <w:t>Η εξαίρεση αυτή δεν ισχύει για δράσεις στο πλαίσιο του παρόντος μέτρου σε υφιστάμενες μονάδες μηχανικής βιολογικής επεξεργασίας, όπου οι δράσεις στο πλαίσιο του παρόντος μέτρου αποσκοπούν στην αύξηση της ενεργειακής απόδοσης ή στη μετασκευή σε εργασίες ανακύκλωσης διαχωρισμένων αποβλήτων σε βιοαπόβλητα λιπασματοποίησης και αναερόβιας χώνευσης βιολογικών αποβλήτων, υπό την προϋπόθεση ότι οι δράσεις αυτές στο πλαίσιο του παρόντος μέτρου δεν οδηγούν σε αύξηση της ικανότητας επεξεργασίας αποβλήτων των μονάδων ή σε παράταση της διάρκειας ζωής των μονάδων· για τα οποία παρέχονται αποδεικτικά στοιχεία σε επίπεδο μονάδας.</w:t>
      </w:r>
    </w:p>
  </w:footnote>
  <w:footnote w:id="64">
    <w:p w14:paraId="3705F09F" w14:textId="77777777" w:rsidR="00154AD2" w:rsidRDefault="007F6BF3">
      <w:pPr>
        <w:pStyle w:val="FootnoteText"/>
      </w:pPr>
      <w:r>
        <w:rPr>
          <w:rStyle w:val="FootnoteReference"/>
        </w:rPr>
        <w:footnoteRef/>
      </w:r>
      <w:r>
        <w:t xml:space="preserve"> </w:t>
      </w:r>
      <w:r>
        <w:tab/>
        <w:t>Εξαιρουμένων των έργων στο πλαίσιο του παρόντος μέτρου για την παραγωγή ηλεκτρικής ενέργειας και/ή θερμότητας, καθώς και των σχετικών υποδομών μεταφοράς και διανομής, με χρήση φυσικού αερίου, τα οποία πληρούν τους όρους που καθορίζονται στο παράρτημα III των τεχνικών οδηγιών «Μη πρόκληση σημαντικής βλάβης» (2021/C58/01).</w:t>
      </w:r>
    </w:p>
  </w:footnote>
  <w:footnote w:id="65">
    <w:p w14:paraId="79ECCF36" w14:textId="77777777" w:rsidR="00154AD2" w:rsidRDefault="007F6BF3">
      <w:pPr>
        <w:pStyle w:val="FootnoteText"/>
      </w:pPr>
      <w:r>
        <w:rPr>
          <w:rStyle w:val="FootnoteReference"/>
        </w:rPr>
        <w:footnoteRef/>
      </w:r>
      <w:r>
        <w:t xml:space="preserve"> </w:t>
      </w:r>
      <w:r>
        <w:tab/>
        <w:t>Όταν η υποστηριζόμενη δραστηριότητα επιτυγχάνει προβλεπόμενες εκπομπές αερίων του θερμοκηπίου που δεν είναι σημαντικά χαμηλότερες από τους σχετικούς δείκτες αναφοράς, θα πρέπει να παρέχεται επεξήγηση των λόγων για τους οποίους αυτό δεν είναι εφικτό. Δείκτες αναφοράς που καθορίζονται για τη δωρεάν κατανομή για δραστηριότητες που εμπίπτουν στο πεδίο εφαρμογής του συστήματος εμπορίας δικαιωμάτων εκπομπής, όπως ορίζεται στον εκτελεστικό κανονισμό (ΕΕ) 2021/447 της Επιτροπής.</w:t>
      </w:r>
    </w:p>
  </w:footnote>
  <w:footnote w:id="66">
    <w:p w14:paraId="0CD64774" w14:textId="77777777" w:rsidR="00154AD2" w:rsidRDefault="007F6BF3">
      <w:pPr>
        <w:pStyle w:val="FootnoteText"/>
      </w:pPr>
      <w:r>
        <w:rPr>
          <w:rStyle w:val="FootnoteReference"/>
        </w:rPr>
        <w:footnoteRef/>
      </w:r>
      <w:r>
        <w:t xml:space="preserve"> </w:t>
      </w:r>
      <w:r>
        <w:tab/>
        <w:t>Η εξαίρεση αυτή δεν ισχύει για δράσεις στο πλαίσιο του παρόντος μέτρου σε μονάδες που προορίζονται αποκλειστικά για την επεξεργασία μη ανακυκλώσιμων επικίνδυνων αποβλήτων, και σε υφιστάμενες μονάδες, όταν οι δράσεις στο πλαίσιο του παρόντος μέτρου αποσκοπούν στην αύξηση της ενεργειακής απόδοσης, στη δέσμευση καυσαερίων για αποθήκευση ή χρήση ή στην ανάκτηση υλικών από τέφρα αποτέφρωσης, υπό την προϋπόθεση ότι οι εν λόγω δράσεις στο πλαίσιο του παρόντος μέτρου δεν οδηγούν σε αύξηση της ικανότητας επεξεργασίας αποβλήτων της μονάδας ή σε παράταση της διάρκειας ζωής των μονάδων· για τα οποία παρέχονται αποδεικτικά στοιχεία σε επίπεδο μονάδας.</w:t>
      </w:r>
    </w:p>
  </w:footnote>
  <w:footnote w:id="67">
    <w:p w14:paraId="137FD1EF" w14:textId="77777777" w:rsidR="00154AD2" w:rsidRDefault="007F6BF3">
      <w:pPr>
        <w:pStyle w:val="FootnoteText"/>
      </w:pPr>
      <w:r>
        <w:rPr>
          <w:rStyle w:val="FootnoteReference"/>
        </w:rPr>
        <w:footnoteRef/>
      </w:r>
      <w:r>
        <w:t xml:space="preserve"> </w:t>
      </w:r>
      <w:r>
        <w:tab/>
        <w:t>Η εξαίρεση αυτή δεν ισχύει για δράσεις στο πλαίσιο του παρόντος μέτρου σε υφιστάμενες μονάδες μηχανικής βιολογικής επεξεργασίας, όπου οι δράσεις στο πλαίσιο του παρόντος μέτρου αποσκοπούν στην αύξηση της ενεργειακής απόδοσης ή στη μετασκευή σε εργασίες ανακύκλωσης διαχωρισμένων αποβλήτων σε βιοαπόβλητα λιπασματοποίησης και αναερόβιας χώνευσης βιολογικών αποβλήτων, υπό την προϋπόθεση ότι οι δράσεις αυτές στο πλαίσιο του παρόντος μέτρου δεν οδηγούν σε αύξηση της ικανότητας επεξεργασίας αποβλήτων των μονάδων ή σε παράταση της διάρκειας ζωής των μονάδων· για τα οποία παρέχονται αποδεικτικά στοιχεία σε επίπεδο μονάδας.</w:t>
      </w:r>
    </w:p>
  </w:footnote>
  <w:footnote w:id="68">
    <w:p w14:paraId="405D3F43" w14:textId="77777777" w:rsidR="00154AD2" w:rsidRDefault="007F6BF3">
      <w:pPr>
        <w:pStyle w:val="FootnoteText"/>
      </w:pPr>
      <w:r>
        <w:rPr>
          <w:rStyle w:val="FootnoteReference"/>
        </w:rPr>
        <w:footnoteRef/>
      </w:r>
      <w:r>
        <w:t xml:space="preserve"> </w:t>
      </w:r>
      <w:r>
        <w:tab/>
        <w:t>Εξαιρουμένων των έργων στο πλαίσιο του παρόντος μέτρου για την παραγωγή ηλεκτρικής ενέργειας και/ή θερμότητας, καθώς και των σχετικών υποδομών μεταφοράς και διανομής, με χρήση φυσικού αερίου, τα οποία πληρούν τους όρους που καθορίζονται στο παράρτημα III των τεχνικών οδηγιών «Μη πρόκληση σημαντικής βλάβης» (2021/C58/01).</w:t>
      </w:r>
    </w:p>
  </w:footnote>
  <w:footnote w:id="69">
    <w:p w14:paraId="5450CE25" w14:textId="77777777" w:rsidR="00154AD2" w:rsidRDefault="007F6BF3">
      <w:pPr>
        <w:pStyle w:val="FootnoteText"/>
      </w:pPr>
      <w:r>
        <w:rPr>
          <w:rStyle w:val="FootnoteReference"/>
        </w:rPr>
        <w:footnoteRef/>
      </w:r>
      <w:r>
        <w:t xml:space="preserve"> </w:t>
      </w:r>
      <w:r>
        <w:tab/>
        <w:t>Όταν η υποστηριζόμενη δραστηριότητα επιτυγχάνει προβλεπόμενες εκπομπές αερίων του θερμοκηπίου που δεν είναι σημαντικά χαμηλότερες από τους σχετικούς δείκτες αναφοράς, θα πρέπει να παρέχεται επεξήγηση των λόγων για τους οποίους αυτό δεν είναι εφικτό. Δείκτες αναφοράς που καθορίζονται για τη δωρεάν κατανομή για δραστηριότητες που εμπίπτουν στο πεδίο εφαρμογής του συστήματος εμπορίας δικαιωμάτων εκπομπής, όπως ορίζεται στον εκτελεστικό κανονισμό (ΕΕ) 2021/447 της Επιτροπής.</w:t>
      </w:r>
    </w:p>
  </w:footnote>
  <w:footnote w:id="70">
    <w:p w14:paraId="3B01555B" w14:textId="77777777" w:rsidR="00154AD2" w:rsidRDefault="007F6BF3">
      <w:pPr>
        <w:pStyle w:val="FootnoteText"/>
      </w:pPr>
      <w:r>
        <w:rPr>
          <w:rStyle w:val="FootnoteReference"/>
        </w:rPr>
        <w:footnoteRef/>
      </w:r>
      <w:r>
        <w:t xml:space="preserve"> </w:t>
      </w:r>
      <w:r>
        <w:tab/>
        <w:t>Η εξαίρεση αυτή δεν ισχύει για δράσεις στο πλαίσιο του παρόντος μέτρου σε μονάδες που προορίζονται αποκλειστικά για την επεξεργασία μη ανακυκλώσιμων επικίνδυνων αποβλήτων, και σε υφιστάμενες μονάδες, όταν οι δράσεις στο πλαίσιο του παρόντος μέτρου αποσκοπούν στην αύξηση της ενεργειακής απόδοσης, στη δέσμευση καυσαερίων για αποθήκευση ή χρήση ή στην ανάκτηση υλικών από τέφρα αποτέφρωσης, υπό την προϋπόθεση ότι οι εν λόγω δράσεις στο πλαίσιο του παρόντος μέτρου δεν οδηγούν σε αύξηση της ικανότητας επεξεργασίας αποβλήτων της μονάδας ή σε παράταση της διάρκειας ζωής των μονάδων· για τα οποία παρέχονται αποδεικτικά στοιχεία σε επίπεδο μονάδας.</w:t>
      </w:r>
    </w:p>
  </w:footnote>
  <w:footnote w:id="71">
    <w:p w14:paraId="3D345DD3" w14:textId="77777777" w:rsidR="00154AD2" w:rsidRDefault="007F6BF3">
      <w:pPr>
        <w:pStyle w:val="FootnoteText"/>
      </w:pPr>
      <w:r>
        <w:rPr>
          <w:rStyle w:val="FootnoteReference"/>
        </w:rPr>
        <w:footnoteRef/>
      </w:r>
      <w:r>
        <w:t xml:space="preserve"> </w:t>
      </w:r>
      <w:r>
        <w:tab/>
        <w:t>Η εξαίρεση αυτή δεν ισχύει για δράσεις στο πλαίσιο του παρόντος μέτρου σε υφιστάμενες μονάδες μηχανικής βιολογικής επεξεργασίας, όπου οι δράσεις στο πλαίσιο του παρόντος μέτρου αποσκοπούν στην αύξηση της ενεργειακής απόδοσης ή στη μετασκευή σε εργασίες ανακύκλωσης διαχωρισμένων αποβλήτων σε βιοαπόβλητα λιπασματοποίησης και αναερόβιας χώνευσης βιολογικών αποβλήτων, υπό την προϋπόθεση ότι οι δράσεις αυτές στο πλαίσιο του παρόντος μέτρου δεν οδηγούν σε αύξηση της ικανότητας επεξεργασίας αποβλήτων των μονάδων ή σε παράταση της διάρκειας ζωής των μονάδων· για τα οποία παρέχονται αποδεικτικά στοιχεία σε επίπεδο μονάδας.</w:t>
      </w:r>
    </w:p>
  </w:footnote>
  <w:footnote w:id="72">
    <w:p w14:paraId="1D00325C" w14:textId="77777777" w:rsidR="00154AD2" w:rsidRDefault="007F6BF3">
      <w:pPr>
        <w:pStyle w:val="FootnoteText"/>
      </w:pPr>
      <w:r>
        <w:rPr>
          <w:rStyle w:val="FootnoteReference"/>
        </w:rPr>
        <w:footnoteRef/>
      </w:r>
      <w:r>
        <w:t xml:space="preserve"> </w:t>
      </w:r>
      <w:r>
        <w:tab/>
        <w:t>Εξαιρουμένων των έργων στο πλαίσιο του παρόντος μέτρου για την παραγωγή ηλεκτρικής ενέργειας και/ή θερμότητας, καθώς και των σχετικών υποδομών μεταφοράς και διανομής, με χρήση φυσικού αερίου, τα οποία πληρούν τους όρους που καθορίζονται στο παράρτημα III των τεχνικών οδηγιών «Μη πρόκληση σημαντικής βλάβης» (2021/C58/01).</w:t>
      </w:r>
    </w:p>
  </w:footnote>
  <w:footnote w:id="73">
    <w:p w14:paraId="2B98AA92" w14:textId="77777777" w:rsidR="00154AD2" w:rsidRDefault="007F6BF3">
      <w:pPr>
        <w:pStyle w:val="FootnoteText"/>
      </w:pPr>
      <w:r>
        <w:rPr>
          <w:rStyle w:val="FootnoteReference"/>
        </w:rPr>
        <w:footnoteRef/>
      </w:r>
      <w:r>
        <w:t xml:space="preserve"> </w:t>
      </w:r>
      <w:r>
        <w:tab/>
        <w:t>Όταν η υποστηριζόμενη δραστηριότητα επιτυγχάνει προβλεπόμενες εκπομπές αερίων του θερμοκηπίου που δεν είναι σημαντικά χαμηλότερες από τους σχετικούς δείκτες αναφοράς, θα πρέπει να παρέχεται επεξήγηση των λόγων για τους οποίους αυτό δεν είναι εφικτό. Δείκτες αναφοράς που καθορίζονται για τη δωρεάν κατανομή για δραστηριότητες που εμπίπτουν στο πεδίο εφαρμογής του συστήματος εμπορίας δικαιωμάτων εκπομπής, όπως ορίζεται στον εκτελεστικό κανονισμό (ΕΕ) 2021/447 της Επιτροπής.</w:t>
      </w:r>
    </w:p>
  </w:footnote>
  <w:footnote w:id="74">
    <w:p w14:paraId="1AD470E4" w14:textId="77777777" w:rsidR="00154AD2" w:rsidRDefault="007F6BF3">
      <w:pPr>
        <w:pStyle w:val="FootnoteText"/>
      </w:pPr>
      <w:r>
        <w:rPr>
          <w:rStyle w:val="FootnoteReference"/>
        </w:rPr>
        <w:footnoteRef/>
      </w:r>
      <w:r>
        <w:t xml:space="preserve"> </w:t>
      </w:r>
      <w:r>
        <w:tab/>
        <w:t>Η εξαίρεση αυτή δεν ισχύει για δράσεις στο πλαίσιο του παρόντος μέτρου σε μονάδες που προορίζονται αποκλειστικά για την επεξεργασία μη ανακυκλώσιμων επικίνδυνων αποβλήτων, και σε υφιστάμενες μονάδες, όταν οι δράσεις στο πλαίσιο του παρόντος μέτρου αποσκοπούν στην αύξηση της ενεργειακής απόδοσης, στη δέσμευση καυσαερίων για αποθήκευση ή χρήση ή στην ανάκτηση υλικών από τέφρα αποτέφρωσης, υπό την προϋπόθεση ότι οι εν λόγω δράσεις στο πλαίσιο του παρόντος μέτρου δεν οδηγούν σε αύξηση της ικανότητας επεξεργασίας αποβλήτων της μονάδας ή σε παράταση της διάρκειας ζωής των μονάδων· για τα οποία παρέχονται αποδεικτικά στοιχεία σε επίπεδο μονάδας.</w:t>
      </w:r>
    </w:p>
  </w:footnote>
  <w:footnote w:id="75">
    <w:p w14:paraId="62FBAA1A" w14:textId="77777777" w:rsidR="00154AD2" w:rsidRDefault="007F6BF3">
      <w:pPr>
        <w:pStyle w:val="FootnoteText"/>
      </w:pPr>
      <w:r>
        <w:rPr>
          <w:rStyle w:val="FootnoteReference"/>
        </w:rPr>
        <w:footnoteRef/>
      </w:r>
      <w:r>
        <w:t xml:space="preserve"> </w:t>
      </w:r>
      <w:r>
        <w:tab/>
        <w:t>Η εξαίρεση αυτή δεν ισχύει για δράσεις στο πλαίσιο του παρόντος μέτρου σε υφιστάμενες μονάδες μηχανικής βιολογικής επεξεργασίας, όπου οι δράσεις στο πλαίσιο του παρόντος μέτρου αποσκοπούν στην αύξηση της ενεργειακής απόδοσης ή στη μετασκευή σε εργασίες ανακύκλωσης διαχωρισμένων αποβλήτων σε βιοαπόβλητα λιπασματοποίησης και αναερόβιας χώνευσης βιολογικών αποβλήτων, υπό την προϋπόθεση ότι οι δράσεις αυτές στο πλαίσιο του παρόντος μέτρου δεν οδηγούν σε αύξηση της ικανότητας επεξεργασίας αποβλήτων των μονάδων ή σε παράταση της διάρκειας ζωής των μονάδων· για τα οποία παρέχονται αποδεικτικά στοιχεία σε επίπεδο μονάδας.</w:t>
      </w:r>
    </w:p>
  </w:footnote>
  <w:footnote w:id="76">
    <w:p w14:paraId="7ECA6AE2" w14:textId="77777777" w:rsidR="00154AD2" w:rsidRDefault="007F6BF3">
      <w:pPr>
        <w:pStyle w:val="FootnoteText"/>
      </w:pPr>
      <w:r>
        <w:rPr>
          <w:rStyle w:val="FootnoteReference"/>
        </w:rPr>
        <w:footnoteRef/>
      </w:r>
      <w:r>
        <w:t xml:space="preserve"> Η έννοια του φορολογικού πλεονεκτήματος ορίζεται στο άρθρο 2 </w:t>
      </w:r>
      <w:r>
        <w:rPr>
          <w:i/>
        </w:rPr>
        <w:t xml:space="preserve">του Estatuto dos Benefícios </w:t>
      </w:r>
      <w:r>
        <w:t>Fiscais (παράρτημα του νομοθετικού διατάγματος αριθ. 215/1989 της 1 Ιουλίου). Οι φορολογικές δαπάνες ορίζονται ως οι δημοσιονομικές επιπτώσεις που προκύπτουν από τα φορολογικά πλεονεκτήματα.</w:t>
      </w:r>
    </w:p>
  </w:footnote>
  <w:footnote w:id="77">
    <w:p w14:paraId="29A60DEE" w14:textId="77777777" w:rsidR="00154AD2" w:rsidRDefault="007F6BF3">
      <w:pPr>
        <w:pStyle w:val="FootnoteText"/>
        <w:ind w:left="709" w:hanging="709"/>
      </w:pPr>
      <w:r>
        <w:rPr>
          <w:rStyle w:val="FootnoteReference"/>
        </w:rPr>
        <w:footnoteRef/>
      </w:r>
      <w:r>
        <w:t xml:space="preserve"> </w:t>
      </w:r>
      <w:r>
        <w:tab/>
        <w:t>Δωμάτια που έχουν δημιουργηθεί για να επηρεάσουν το αισθητηριακό σύστημα είτε για να ειδοποιήσουν είτε να ηρεμήσουν</w:t>
      </w:r>
    </w:p>
  </w:footnote>
  <w:footnote w:id="78">
    <w:p w14:paraId="4E79D273" w14:textId="77777777" w:rsidR="00154AD2" w:rsidRDefault="007F6BF3">
      <w:pPr>
        <w:pStyle w:val="FootnoteText"/>
      </w:pPr>
      <w:r>
        <w:rPr>
          <w:rStyle w:val="FootnoteReference"/>
        </w:rPr>
        <w:footnoteRef/>
      </w:r>
      <w:r>
        <w:t xml:space="preserve"> Εξαιρουμένων των έργων στο πλαίσιο του παρόντος μέτρου για την παραγωγή ηλεκτρικής ενέργειας και/ή θερμότητας, καθώς και των σχετικών υποδομών μεταφοράς και διανομής, με χρήση φυσικού αερίου, τα οποία πληρούν τους όρους που καθορίζονται στο παράρτημα III των τεχνικών οδηγιών «Μη πρόκληση σημαντικής βλάβης» (2021/C58/01). </w:t>
      </w:r>
    </w:p>
  </w:footnote>
  <w:footnote w:id="79">
    <w:p w14:paraId="328B7220" w14:textId="77777777" w:rsidR="00154AD2" w:rsidRDefault="007F6BF3">
      <w:pPr>
        <w:pStyle w:val="FootnoteText"/>
      </w:pPr>
      <w:r>
        <w:rPr>
          <w:rStyle w:val="FootnoteReference"/>
        </w:rPr>
        <w:footnoteRef/>
      </w:r>
      <w:r>
        <w:t xml:space="preserve"> Η εξαίρεση αυτή δεν ισχύει για δράσεις στο πλαίσιο του παρόντος μέτρου σε μονάδες που προορίζονται αποκλειστικά για την επεξεργασία μη ανακυκλώσιμων επικίνδυνων αποβλήτων, και σε υφιστάμενες μονάδες, όταν οι δράσεις στο πλαίσιο του παρόντος μέτρου αποσκοπούν στην αύξηση της ενεργειακής απόδοσης, στη δέσμευση καυσαερίων για αποθήκευση ή χρήση ή στην ανάκτηση υλικών από τέφρα αποτέφρωσης, υπό την προϋπόθεση ότι οι εν λόγω δράσεις στο πλαίσιο του παρόντος μέτρου δεν οδηγούν σε αύξηση της ικανότητας επεξεργασίας αποβλήτων της μονάδας ή σε παράταση της διάρκειας ζωής των μονάδων· για τα οποία παρέχονται αποδεικτικά στοιχεία σε επίπεδο μονάδας. </w:t>
      </w:r>
    </w:p>
  </w:footnote>
  <w:footnote w:id="80">
    <w:p w14:paraId="2AA60221" w14:textId="0051F9E1" w:rsidR="00154AD2" w:rsidRDefault="007F6BF3">
      <w:pPr>
        <w:pStyle w:val="FootnoteText"/>
      </w:pPr>
      <w:r>
        <w:rPr>
          <w:rStyle w:val="FootnoteReference"/>
        </w:rPr>
        <w:footnoteRef/>
      </w:r>
      <w:r>
        <w:t xml:space="preserve"> Η εξαίρεση αυτή δεν ισχύει για δράσεις στο πλαίσιο του παρόντος μέτρου σε υφιστάμενες μονάδες μηχανικής βιολογικής επεξεργασίας, όπου οι δράσεις στο πλαίσιο του παρόντος μέτρου αποσκοπούν στην αύξηση της ενεργειακής απόδοσης ή στη μετασκευή σε εργασίες ανακύκλωσης διαχωρισμένων αποβλήτων σε βιοαπόβλητα λιπασματοποίησης και αναερόβιας χώνευσης βιολογικών αποβλήτων, υπό την προϋπόθεση ότι οι δράσεις αυτές στο πλαίσιο του παρόντος μέτρου δεν οδηγούν σε αύξηση της ικανότητας επεξεργασίας αποβλήτων των μονάδων ή σε παράταση της διάρκειας ζωής των μονάδων· για τα οποία παρέχονται αποδεικτικά στοιχεία σε επίπεδο μονάδας. </w:t>
      </w:r>
    </w:p>
  </w:footnote>
  <w:footnote w:id="81">
    <w:p w14:paraId="4213660C" w14:textId="77777777" w:rsidR="00154AD2" w:rsidRDefault="007F6BF3">
      <w:pPr>
        <w:pStyle w:val="FootnoteText"/>
      </w:pPr>
      <w:r>
        <w:rPr>
          <w:rStyle w:val="FootnoteReference"/>
        </w:rPr>
        <w:footnoteRef/>
      </w:r>
      <w:r>
        <w:t xml:space="preserve"> Η εξαίρεση αυτή δεν ισχύει για δράσεις στο πλαίσιο του παρόντος μέτρου σε μονάδες που προορίζονται αποκλειστικά για την επεξεργασία μη ανακυκλώσιμων επικίνδυνων αποβλήτων, και σε υφιστάμενες μονάδες, όταν οι δράσεις στο πλαίσιο του παρόντος μέτρου αποσκοπούν στην αύξηση της ενεργειακής απόδοσης, στη δέσμευση καυσαερίων για αποθήκευση ή χρήση ή στην ανάκτηση υλικών από τέφρα αποτέφρωσης, υπό την προϋπόθεση ότι οι εν λόγω δράσεις στο πλαίσιο του παρόντος μέτρου δεν οδηγούν σε αύξηση της ικανότητας επεξεργασίας αποβλήτων της μονάδας ή σε παράταση της διάρκειας ζωής των μονάδων· για τα οποία παρέχονται αποδεικτικά στοιχεία σε επίπεδο μονάδας. </w:t>
      </w:r>
    </w:p>
  </w:footnote>
  <w:footnote w:id="82">
    <w:p w14:paraId="7D3EBBC3" w14:textId="63EBD02D" w:rsidR="00154AD2" w:rsidRDefault="007F6BF3">
      <w:pPr>
        <w:pStyle w:val="FootnoteText"/>
      </w:pPr>
      <w:r>
        <w:rPr>
          <w:rStyle w:val="FootnoteReference"/>
        </w:rPr>
        <w:footnoteRef/>
      </w:r>
      <w:r>
        <w:t xml:space="preserve"> Η εξαίρεση αυτή δεν ισχύει για δράσεις στο πλαίσιο του παρόντος μέτρου σε υφιστάμενες μονάδες μηχανικής βιολογικής επεξεργασίας, όπου οι δράσεις στο πλαίσιο του παρόντος μέτρου αποσκοπούν στην αύξηση της ενεργειακής απόδοσης ή στη μετασκευή σε εργασίες ανακύκλωσης διαχωρισμένων αποβλήτων σε βιοαπόβλητα λιπασματοποίησης και αναερόβιας χώνευσης βιολογικών αποβλήτων, υπό την προϋπόθεση ότι οι δράσεις αυτές στο πλαίσιο του παρόντος μέτρου δεν οδηγούν σε αύξηση της ικανότητας επεξεργασίας αποβλήτων των μονάδων ή σε παράταση της διάρκειας ζωής των μονάδων· για τα οποία παρέχονται αποδεικτικά στοιχεία σε επίπεδο μονάδας.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DC183" w14:textId="77777777" w:rsidR="00C7701C" w:rsidRPr="00C7701C" w:rsidRDefault="00C7701C" w:rsidP="00C7701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6D734" w14:textId="77777777" w:rsidR="00F0067B" w:rsidRDefault="00F0067B">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56A1E" w14:textId="77777777" w:rsidR="00154AD2" w:rsidRDefault="00154AD2">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EF3E1" w14:textId="77777777" w:rsidR="00154AD2" w:rsidRDefault="00154AD2">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4980" w14:textId="77777777" w:rsidR="00154AD2" w:rsidRDefault="00154AD2">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0770D" w14:textId="77777777" w:rsidR="00154AD2" w:rsidRDefault="00154AD2">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E5FE9" w14:textId="77777777" w:rsidR="00154AD2" w:rsidRDefault="00154AD2">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124B8" w14:textId="77777777" w:rsidR="00154AD2" w:rsidRDefault="00154AD2">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A13E6" w14:textId="77777777" w:rsidR="00154AD2" w:rsidRDefault="00154AD2">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BA8AC" w14:textId="77777777" w:rsidR="00154AD2" w:rsidRDefault="00154AD2">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5232E" w14:textId="77777777" w:rsidR="00154AD2" w:rsidRDefault="00154AD2">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0F5A" w14:textId="77777777" w:rsidR="00154AD2" w:rsidRDefault="00154AD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4D885" w14:textId="77777777" w:rsidR="00F0067B" w:rsidRDefault="00F0067B">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A8A13" w14:textId="77777777" w:rsidR="00154AD2" w:rsidRDefault="00154AD2">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AC2F1" w14:textId="77777777" w:rsidR="00154AD2" w:rsidRDefault="00154AD2">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6DF1B" w14:textId="77777777" w:rsidR="00154AD2" w:rsidRDefault="00154AD2">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82C45" w14:textId="77777777" w:rsidR="00154AD2" w:rsidRDefault="00154AD2">
    <w:pPr>
      <w:pStyle w:val="Header"/>
    </w:pP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02C8D" w14:textId="77777777" w:rsidR="00154AD2" w:rsidRDefault="00154AD2">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EB982" w14:textId="77777777" w:rsidR="00154AD2" w:rsidRDefault="00154AD2">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E9295" w14:textId="77777777" w:rsidR="00154AD2" w:rsidRDefault="00154AD2">
    <w:pPr>
      <w:pStyle w:val="Header"/>
    </w:pP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D0039" w14:textId="77777777" w:rsidR="00154AD2" w:rsidRDefault="00154AD2">
    <w:pPr>
      <w:pStyle w:val="Header"/>
    </w:pP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EED21" w14:textId="77777777" w:rsidR="00154AD2" w:rsidRDefault="00154AD2">
    <w:pPr>
      <w:pStyle w:val="Header"/>
    </w:pP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77854" w14:textId="77777777" w:rsidR="00154AD2" w:rsidRDefault="00154AD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BF2A6" w14:textId="77777777" w:rsidR="00F0067B" w:rsidRDefault="00F0067B">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008FE" w14:textId="77777777" w:rsidR="00154AD2" w:rsidRDefault="00154AD2">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8F815" w14:textId="77777777" w:rsidR="00154AD2" w:rsidRDefault="00154AD2">
    <w:pPr>
      <w:pStyle w:val="Header"/>
    </w:pP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4230" w14:textId="77777777" w:rsidR="00154AD2" w:rsidRDefault="00154AD2">
    <w:pPr>
      <w:pStyle w:val="Header"/>
    </w:pP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2D6CB" w14:textId="77777777" w:rsidR="00154AD2" w:rsidRDefault="00154AD2">
    <w:pPr>
      <w:pStyle w:val="Header"/>
    </w:pP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A4D6A" w14:textId="77777777" w:rsidR="00154AD2" w:rsidRDefault="00154AD2">
    <w:pPr>
      <w:pStyle w:val="Header"/>
    </w:pP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53F1B" w14:textId="77777777" w:rsidR="00154AD2" w:rsidRDefault="00154AD2">
    <w:pPr>
      <w:pStyle w:val="Header"/>
    </w:pP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C9215" w14:textId="77777777" w:rsidR="00154AD2" w:rsidRDefault="00154AD2">
    <w:pPr>
      <w:pStyle w:val="Header"/>
    </w:pPr>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7C4D0" w14:textId="77777777" w:rsidR="00154AD2" w:rsidRDefault="00154AD2">
    <w:pPr>
      <w:pStyle w:val="Header"/>
    </w:pP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ADB31" w14:textId="77777777" w:rsidR="00154AD2" w:rsidRDefault="00154AD2">
    <w:pPr>
      <w:pStyle w:val="Header"/>
    </w:pP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5D58F" w14:textId="77777777" w:rsidR="00154AD2" w:rsidRDefault="00154AD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F8DEE" w14:textId="77777777" w:rsidR="00154AD2" w:rsidRDefault="00154AD2">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B862C" w14:textId="77777777" w:rsidR="00154AD2" w:rsidRDefault="00154AD2">
    <w:pPr>
      <w:pStyle w:val="Header"/>
    </w:pPr>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70E8A" w14:textId="77777777" w:rsidR="00154AD2" w:rsidRDefault="00154AD2">
    <w:pPr>
      <w:pStyle w:val="Header"/>
    </w:pP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D0F1E" w14:textId="77777777" w:rsidR="00154AD2" w:rsidRDefault="00154AD2">
    <w:pPr>
      <w:pStyle w:val="Header"/>
    </w:pPr>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236E8" w14:textId="77777777" w:rsidR="00154AD2" w:rsidRDefault="00154AD2">
    <w:pPr>
      <w:pStyle w:val="Header"/>
    </w:pPr>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FD6FE" w14:textId="77777777" w:rsidR="00154AD2" w:rsidRDefault="00154AD2">
    <w:pPr>
      <w:pStyle w:val="Header"/>
    </w:pP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5F8BF" w14:textId="77777777" w:rsidR="00154AD2" w:rsidRDefault="00154AD2">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D5682" w14:textId="77777777" w:rsidR="00154AD2" w:rsidRDefault="00154AD2">
    <w:pPr>
      <w:pStyle w:val="Header"/>
    </w:pPr>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3EF45" w14:textId="77777777" w:rsidR="00154AD2" w:rsidRDefault="00154AD2">
    <w:pPr>
      <w:pStyle w:val="Header"/>
    </w:pPr>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32283" w14:textId="77777777" w:rsidR="00154AD2" w:rsidRDefault="00154AD2">
    <w:pPr>
      <w:pStyle w:val="Header"/>
    </w:pPr>
  </w:p>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2AFD4" w14:textId="77777777" w:rsidR="00154AD2" w:rsidRDefault="00154AD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EF86B" w14:textId="77777777" w:rsidR="00154AD2" w:rsidRDefault="00154AD2">
    <w:pPr>
      <w:pStyle w:val="Header"/>
    </w:pP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58B30" w14:textId="77777777" w:rsidR="00154AD2" w:rsidRDefault="00154AD2">
    <w:pPr>
      <w:pStyle w:val="Header"/>
    </w:pP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0F833" w14:textId="77777777" w:rsidR="00154AD2" w:rsidRDefault="00154AD2">
    <w:pPr>
      <w:pStyle w:val="Header"/>
    </w:pPr>
  </w:p>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0421B" w14:textId="77777777" w:rsidR="00154AD2" w:rsidRDefault="00154AD2">
    <w:pPr>
      <w:pStyle w:val="Header"/>
    </w:pPr>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E132F" w14:textId="77777777" w:rsidR="00154AD2" w:rsidRDefault="00154AD2">
    <w:pPr>
      <w:pStyle w:val="Header"/>
    </w:pP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73FC9" w14:textId="77777777" w:rsidR="00154AD2" w:rsidRDefault="00154AD2">
    <w:pPr>
      <w:pStyle w:val="Header"/>
    </w:pPr>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0AC6D" w14:textId="77777777" w:rsidR="00154AD2" w:rsidRDefault="00154AD2">
    <w:pPr>
      <w:pStyle w:val="Header"/>
    </w:pPr>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D58A8" w14:textId="77777777" w:rsidR="00154AD2" w:rsidRDefault="00154AD2">
    <w:pPr>
      <w:pStyle w:val="Header"/>
    </w:pPr>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1450E" w14:textId="77777777" w:rsidR="00154AD2" w:rsidRDefault="00154AD2">
    <w:pPr>
      <w:pStyle w:val="Header"/>
    </w:pPr>
  </w:p>
</w:hdr>
</file>

<file path=word/header1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EDBE5" w14:textId="77777777" w:rsidR="00154AD2" w:rsidRDefault="00154AD2">
    <w:pPr>
      <w:pStyle w:val="Header"/>
    </w:pPr>
  </w:p>
</w:hdr>
</file>

<file path=word/header1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9A42D" w14:textId="77777777" w:rsidR="00154AD2" w:rsidRDefault="00154AD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61AA0" w14:textId="77777777" w:rsidR="00154AD2" w:rsidRDefault="00154AD2">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1B720" w14:textId="77777777" w:rsidR="00154AD2" w:rsidRDefault="00154AD2">
    <w:pPr>
      <w:pStyle w:val="Header"/>
    </w:pPr>
  </w:p>
</w:hdr>
</file>

<file path=word/header1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CA31D" w14:textId="77777777" w:rsidR="00154AD2" w:rsidRDefault="00154AD2">
    <w:pPr>
      <w:pStyle w:val="Header"/>
    </w:pPr>
  </w:p>
</w:hdr>
</file>

<file path=word/header1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9CB87" w14:textId="77777777" w:rsidR="00154AD2" w:rsidRDefault="00154AD2">
    <w:pPr>
      <w:pStyle w:val="Header"/>
    </w:pPr>
  </w:p>
</w:hdr>
</file>

<file path=word/header1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8866D" w14:textId="77777777" w:rsidR="00154AD2" w:rsidRDefault="00154AD2">
    <w:pPr>
      <w:pStyle w:val="Header"/>
    </w:pPr>
  </w:p>
</w:hdr>
</file>

<file path=word/header1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770DF" w14:textId="77777777" w:rsidR="00154AD2" w:rsidRDefault="00154AD2">
    <w:pPr>
      <w:pStyle w:val="Header"/>
    </w:pPr>
  </w:p>
</w:hdr>
</file>

<file path=word/header1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EB748" w14:textId="77777777" w:rsidR="00154AD2" w:rsidRDefault="00154AD2">
    <w:pPr>
      <w:pStyle w:val="Header"/>
    </w:pPr>
  </w:p>
</w:hdr>
</file>

<file path=word/header1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844AE" w14:textId="77777777" w:rsidR="00154AD2" w:rsidRDefault="00154AD2">
    <w:pPr>
      <w:pStyle w:val="Header"/>
    </w:pPr>
  </w:p>
</w:hdr>
</file>

<file path=word/header1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D5A93" w14:textId="77777777" w:rsidR="00154AD2" w:rsidRDefault="00154AD2">
    <w:pPr>
      <w:pStyle w:val="Header"/>
    </w:pPr>
  </w:p>
</w:hdr>
</file>

<file path=word/header1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66726" w14:textId="77777777" w:rsidR="00154AD2" w:rsidRDefault="00154AD2">
    <w:pPr>
      <w:pStyle w:val="Header"/>
    </w:pPr>
  </w:p>
</w:hdr>
</file>

<file path=word/header1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0B7DF" w14:textId="77777777" w:rsidR="00154AD2" w:rsidRDefault="00154AD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4CA62" w14:textId="77777777" w:rsidR="00154AD2" w:rsidRDefault="00154AD2">
    <w:pPr>
      <w:pStyle w:val="Header"/>
    </w:pPr>
  </w:p>
</w:hdr>
</file>

<file path=word/header1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CD57C" w14:textId="77777777" w:rsidR="00154AD2" w:rsidRDefault="00154AD2">
    <w:pPr>
      <w:pStyle w:val="Header"/>
    </w:pPr>
  </w:p>
</w:hdr>
</file>

<file path=word/header1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12D3D" w14:textId="77777777" w:rsidR="00154AD2" w:rsidRDefault="00154AD2">
    <w:pPr>
      <w:pStyle w:val="Header"/>
    </w:pPr>
  </w:p>
</w:hdr>
</file>

<file path=word/header1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6A90E" w14:textId="77777777" w:rsidR="00154AD2" w:rsidRDefault="00154AD2">
    <w:pPr>
      <w:pStyle w:val="Header"/>
    </w:pPr>
  </w:p>
</w:hdr>
</file>

<file path=word/header1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AD0B8" w14:textId="77777777" w:rsidR="00154AD2" w:rsidRDefault="00154AD2">
    <w:pPr>
      <w:pStyle w:val="Header"/>
    </w:pPr>
  </w:p>
</w:hdr>
</file>

<file path=word/header1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D044" w14:textId="77777777" w:rsidR="00154AD2" w:rsidRDefault="00154AD2">
    <w:pPr>
      <w:pStyle w:val="Header"/>
    </w:pPr>
  </w:p>
</w:hdr>
</file>

<file path=word/header1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F8225" w14:textId="77777777" w:rsidR="00154AD2" w:rsidRDefault="00154AD2">
    <w:pPr>
      <w:pStyle w:val="Header"/>
    </w:pPr>
  </w:p>
</w:hdr>
</file>

<file path=word/header1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4A6BA" w14:textId="77777777" w:rsidR="00154AD2" w:rsidRDefault="00154AD2">
    <w:pPr>
      <w:pStyle w:val="Header"/>
    </w:pPr>
  </w:p>
</w:hdr>
</file>

<file path=word/header1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E298E" w14:textId="77777777" w:rsidR="00154AD2" w:rsidRDefault="00154AD2">
    <w:pPr>
      <w:pStyle w:val="Header"/>
    </w:pPr>
  </w:p>
</w:hdr>
</file>

<file path=word/header1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36781" w14:textId="77777777" w:rsidR="00154AD2" w:rsidRDefault="00154AD2">
    <w:pPr>
      <w:pStyle w:val="Header"/>
    </w:pPr>
  </w:p>
</w:hdr>
</file>

<file path=word/header1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95563" w14:textId="77777777" w:rsidR="00154AD2" w:rsidRDefault="00154AD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6D2EF" w14:textId="77777777" w:rsidR="00154AD2" w:rsidRDefault="00154AD2">
    <w:pPr>
      <w:pStyle w:val="Header"/>
    </w:pPr>
  </w:p>
</w:hdr>
</file>

<file path=word/header1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4F637" w14:textId="77777777" w:rsidR="00154AD2" w:rsidRDefault="00154AD2">
    <w:pPr>
      <w:pStyle w:val="Header"/>
    </w:pPr>
  </w:p>
</w:hdr>
</file>

<file path=word/header1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E250D" w14:textId="77777777" w:rsidR="00154AD2" w:rsidRDefault="00154AD2">
    <w:pPr>
      <w:pStyle w:val="Header"/>
    </w:pPr>
  </w:p>
</w:hdr>
</file>

<file path=word/header1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B7438" w14:textId="77777777" w:rsidR="00154AD2" w:rsidRDefault="00154AD2">
    <w:pPr>
      <w:pStyle w:val="Header"/>
    </w:pPr>
  </w:p>
</w:hdr>
</file>

<file path=word/header1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B3CA" w14:textId="77777777" w:rsidR="00154AD2" w:rsidRDefault="00154AD2">
    <w:pPr>
      <w:pStyle w:val="Header"/>
    </w:pPr>
  </w:p>
</w:hdr>
</file>

<file path=word/header1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2D82A" w14:textId="77777777" w:rsidR="00154AD2" w:rsidRDefault="00154AD2">
    <w:pPr>
      <w:pStyle w:val="Header"/>
    </w:pPr>
  </w:p>
</w:hdr>
</file>

<file path=word/header1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9B922" w14:textId="77777777" w:rsidR="00154AD2" w:rsidRDefault="00154AD2">
    <w:pPr>
      <w:pStyle w:val="Header"/>
    </w:pPr>
  </w:p>
</w:hdr>
</file>

<file path=word/header1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881FE" w14:textId="77777777" w:rsidR="00154AD2" w:rsidRDefault="00154AD2">
    <w:pPr>
      <w:pStyle w:val="Header"/>
    </w:pPr>
  </w:p>
</w:hdr>
</file>

<file path=word/header1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E2D1C" w14:textId="77777777" w:rsidR="00154AD2" w:rsidRDefault="00154AD2">
    <w:pPr>
      <w:pStyle w:val="Header"/>
    </w:pPr>
  </w:p>
</w:hdr>
</file>

<file path=word/header1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639A6" w14:textId="77777777" w:rsidR="00154AD2" w:rsidRDefault="00154AD2">
    <w:pPr>
      <w:pStyle w:val="Header"/>
    </w:pPr>
  </w:p>
</w:hdr>
</file>

<file path=word/header1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6FEBF" w14:textId="77777777" w:rsidR="00154AD2" w:rsidRDefault="00154AD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AA26F" w14:textId="77777777" w:rsidR="00154AD2" w:rsidRDefault="00154AD2">
    <w:pPr>
      <w:pStyle w:val="Header"/>
    </w:pPr>
  </w:p>
</w:hdr>
</file>

<file path=word/header1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47B59" w14:textId="77777777" w:rsidR="00154AD2" w:rsidRDefault="00154AD2">
    <w:pPr>
      <w:pStyle w:val="Header"/>
    </w:pPr>
  </w:p>
</w:hdr>
</file>

<file path=word/header1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5728E" w14:textId="77777777" w:rsidR="00154AD2" w:rsidRDefault="00154AD2">
    <w:pPr>
      <w:pStyle w:val="Header"/>
    </w:pPr>
  </w:p>
</w:hdr>
</file>

<file path=word/header1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F0B2F" w14:textId="77777777" w:rsidR="00154AD2" w:rsidRDefault="00154AD2">
    <w:pPr>
      <w:pStyle w:val="Header"/>
    </w:pPr>
  </w:p>
</w:hdr>
</file>

<file path=word/header1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F09A8" w14:textId="77777777" w:rsidR="00154AD2" w:rsidRDefault="00154AD2">
    <w:pPr>
      <w:pStyle w:val="Header"/>
    </w:pPr>
  </w:p>
</w:hdr>
</file>

<file path=word/header1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407A1" w14:textId="77777777" w:rsidR="00154AD2" w:rsidRDefault="00154AD2">
    <w:pPr>
      <w:pStyle w:val="Header"/>
    </w:pPr>
  </w:p>
</w:hdr>
</file>

<file path=word/header1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DECA3" w14:textId="77777777" w:rsidR="00154AD2" w:rsidRDefault="00154AD2">
    <w:pPr>
      <w:pStyle w:val="Header"/>
    </w:pPr>
  </w:p>
</w:hdr>
</file>

<file path=word/header1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8DB52" w14:textId="77777777" w:rsidR="00154AD2" w:rsidRDefault="00154AD2">
    <w:pPr>
      <w:pStyle w:val="Header"/>
    </w:pPr>
  </w:p>
</w:hdr>
</file>

<file path=word/header1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605A9" w14:textId="77777777" w:rsidR="00154AD2" w:rsidRDefault="00154AD2">
    <w:pPr>
      <w:pStyle w:val="Header"/>
    </w:pPr>
  </w:p>
</w:hdr>
</file>

<file path=word/header1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F2904" w14:textId="77777777" w:rsidR="00154AD2" w:rsidRDefault="00154AD2">
    <w:pPr>
      <w:pStyle w:val="Header"/>
    </w:pPr>
  </w:p>
</w:hdr>
</file>

<file path=word/header1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F033E" w14:textId="77777777" w:rsidR="00154AD2" w:rsidRDefault="00154AD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8F65D" w14:textId="77777777" w:rsidR="00F0067B" w:rsidRDefault="00F0067B">
    <w:pPr>
      <w:pStyle w:val="Header"/>
    </w:pPr>
  </w:p>
</w:hdr>
</file>

<file path=word/header1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E54BC" w14:textId="77777777" w:rsidR="00154AD2" w:rsidRDefault="00154AD2">
    <w:pPr>
      <w:pStyle w:val="Header"/>
    </w:pPr>
  </w:p>
</w:hdr>
</file>

<file path=word/header1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019F9" w14:textId="77777777" w:rsidR="00154AD2" w:rsidRDefault="00154AD2">
    <w:pPr>
      <w:pStyle w:val="Header"/>
    </w:pPr>
  </w:p>
</w:hdr>
</file>

<file path=word/header1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43F7" w14:textId="77777777" w:rsidR="00154AD2" w:rsidRDefault="00154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4254D" w14:textId="77777777" w:rsidR="00C7701C" w:rsidRPr="00C7701C" w:rsidRDefault="00C7701C" w:rsidP="00C7701C">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2BA76" w14:textId="77777777" w:rsidR="00F0067B" w:rsidRDefault="00F0067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0888F" w14:textId="77777777" w:rsidR="00F0067B" w:rsidRDefault="00F0067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FDDDB" w14:textId="77777777" w:rsidR="00154AD2" w:rsidRDefault="00154AD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94777" w14:textId="77777777" w:rsidR="00154AD2" w:rsidRDefault="00154AD2">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936C8" w14:textId="77777777" w:rsidR="00154AD2" w:rsidRDefault="00154AD2">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67C6F" w14:textId="77777777" w:rsidR="00154AD2" w:rsidRDefault="00154AD2">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73D9F" w14:textId="77777777" w:rsidR="00154AD2" w:rsidRDefault="00154AD2">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C0942" w14:textId="77777777" w:rsidR="00154AD2" w:rsidRDefault="00154AD2">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AF32A" w14:textId="77777777" w:rsidR="00154AD2" w:rsidRDefault="00154AD2">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CA12F" w14:textId="77777777" w:rsidR="00154AD2" w:rsidRDefault="00154A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1F132" w14:textId="77777777" w:rsidR="00C7701C" w:rsidRPr="00C7701C" w:rsidRDefault="00C7701C" w:rsidP="00C7701C">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782F4" w14:textId="77777777" w:rsidR="00154AD2" w:rsidRDefault="00154AD2">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E224F" w14:textId="77777777" w:rsidR="00154AD2" w:rsidRDefault="00154AD2">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F77E7" w14:textId="77777777" w:rsidR="00154AD2" w:rsidRDefault="00154AD2">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9350" w14:textId="77777777" w:rsidR="00154AD2" w:rsidRDefault="00154AD2">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2D4E8" w14:textId="77777777" w:rsidR="00154AD2" w:rsidRDefault="00154AD2">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08F10" w14:textId="77777777" w:rsidR="00154AD2" w:rsidRDefault="00154AD2">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DDB30" w14:textId="77777777" w:rsidR="00154AD2" w:rsidRDefault="00154AD2">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793A6" w14:textId="77777777" w:rsidR="00154AD2" w:rsidRDefault="00154AD2">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3CF74" w14:textId="77777777" w:rsidR="00154AD2" w:rsidRDefault="00154AD2">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9F793" w14:textId="77777777" w:rsidR="00154AD2" w:rsidRDefault="00154A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54584" w14:textId="77777777" w:rsidR="00154AD2" w:rsidRDefault="00154AD2">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3B4EF" w14:textId="77777777" w:rsidR="00154AD2" w:rsidRDefault="00154AD2">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8D9AC" w14:textId="77777777" w:rsidR="00154AD2" w:rsidRDefault="00154AD2">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4D491" w14:textId="77777777" w:rsidR="00154AD2" w:rsidRDefault="00154AD2">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07821" w14:textId="77777777" w:rsidR="00154AD2" w:rsidRDefault="00154AD2">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1EAE9" w14:textId="77777777" w:rsidR="00154AD2" w:rsidRDefault="00154AD2">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CA868" w14:textId="77777777" w:rsidR="00154AD2" w:rsidRDefault="00154AD2">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FD584" w14:textId="77777777" w:rsidR="00154AD2" w:rsidRDefault="00154AD2">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0F77A" w14:textId="77777777" w:rsidR="00154AD2" w:rsidRDefault="00154AD2">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EAC8F" w14:textId="77777777" w:rsidR="00154AD2" w:rsidRDefault="00154AD2">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C29F0" w14:textId="77777777" w:rsidR="00154AD2" w:rsidRDefault="00154A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4A92B" w14:textId="77777777" w:rsidR="00154AD2" w:rsidRDefault="00154AD2">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B42A0" w14:textId="77777777" w:rsidR="00154AD2" w:rsidRDefault="00154AD2">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D0269" w14:textId="77777777" w:rsidR="00154AD2" w:rsidRDefault="00154AD2">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C71B2" w14:textId="77777777" w:rsidR="00154AD2" w:rsidRDefault="00154AD2">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079D1" w14:textId="77777777" w:rsidR="00154AD2" w:rsidRDefault="00154AD2">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8858B" w14:textId="77777777" w:rsidR="00154AD2" w:rsidRDefault="00154AD2">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7A12D" w14:textId="77777777" w:rsidR="00154AD2" w:rsidRDefault="00154AD2">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30596" w14:textId="77777777" w:rsidR="00154AD2" w:rsidRDefault="00154AD2">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DB726" w14:textId="77777777" w:rsidR="00154AD2" w:rsidRDefault="00154AD2">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507AE" w14:textId="77777777" w:rsidR="00154AD2" w:rsidRDefault="00154AD2">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74CE1" w14:textId="77777777" w:rsidR="00154AD2" w:rsidRDefault="00154A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6762D" w14:textId="77777777" w:rsidR="00154AD2" w:rsidRDefault="00154AD2">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A0CB" w14:textId="77777777" w:rsidR="00154AD2" w:rsidRDefault="00154AD2">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F58FF" w14:textId="77777777" w:rsidR="00154AD2" w:rsidRDefault="00154AD2">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FA092" w14:textId="77777777" w:rsidR="00154AD2" w:rsidRDefault="00154AD2">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1847C" w14:textId="77777777" w:rsidR="00154AD2" w:rsidRDefault="00154AD2">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ED52B" w14:textId="77777777" w:rsidR="00154AD2" w:rsidRDefault="00154AD2">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905E5" w14:textId="77777777" w:rsidR="00154AD2" w:rsidRDefault="00154AD2">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E32A9" w14:textId="77777777" w:rsidR="00154AD2" w:rsidRDefault="00154AD2">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5465A" w14:textId="77777777" w:rsidR="00154AD2" w:rsidRDefault="00154AD2">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4D111" w14:textId="77777777" w:rsidR="00154AD2" w:rsidRDefault="00154AD2">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CD576" w14:textId="77777777" w:rsidR="00154AD2" w:rsidRDefault="00154AD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0D010" w14:textId="77777777" w:rsidR="00F0067B" w:rsidRDefault="00F0067B">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C6C1" w14:textId="77777777" w:rsidR="00154AD2" w:rsidRDefault="00154AD2">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7175B" w14:textId="77777777" w:rsidR="00154AD2" w:rsidRDefault="00154AD2">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FAED7" w14:textId="77777777" w:rsidR="00154AD2" w:rsidRDefault="00154AD2">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763C7" w14:textId="77777777" w:rsidR="00154AD2" w:rsidRDefault="00154AD2">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D838B" w14:textId="77777777" w:rsidR="00154AD2" w:rsidRDefault="00154AD2">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63AB4" w14:textId="77777777" w:rsidR="00154AD2" w:rsidRDefault="00154AD2">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5C8A8" w14:textId="77777777" w:rsidR="00154AD2" w:rsidRDefault="00154AD2">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1F6C0" w14:textId="77777777" w:rsidR="00154AD2" w:rsidRDefault="00154AD2">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B2196" w14:textId="77777777" w:rsidR="00154AD2" w:rsidRDefault="00154AD2">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6D0D7" w14:textId="77777777" w:rsidR="00154AD2" w:rsidRDefault="00154AD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09395" w14:textId="77777777" w:rsidR="00F0067B" w:rsidRDefault="00F0067B">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ED4CB" w14:textId="77777777" w:rsidR="00154AD2" w:rsidRDefault="00154AD2">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DDDB9" w14:textId="77777777" w:rsidR="00154AD2" w:rsidRDefault="00154AD2">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D1991" w14:textId="77777777" w:rsidR="00154AD2" w:rsidRDefault="00154AD2">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C4B4D" w14:textId="77777777" w:rsidR="00154AD2" w:rsidRDefault="00154AD2">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D2570" w14:textId="77777777" w:rsidR="00154AD2" w:rsidRDefault="00154AD2">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43226" w14:textId="77777777" w:rsidR="00154AD2" w:rsidRDefault="00154AD2">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3C44" w14:textId="77777777" w:rsidR="00154AD2" w:rsidRDefault="00154AD2">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63BA2" w14:textId="77777777" w:rsidR="00154AD2" w:rsidRDefault="00154AD2">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F9537" w14:textId="77777777" w:rsidR="00154AD2" w:rsidRDefault="00154AD2">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3420" w14:textId="77777777" w:rsidR="00154AD2" w:rsidRDefault="00154AD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02E67" w14:textId="77777777" w:rsidR="00F0067B" w:rsidRDefault="00F0067B">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EA38" w14:textId="77777777" w:rsidR="00154AD2" w:rsidRDefault="00154AD2">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D4389" w14:textId="77777777" w:rsidR="00F0067B" w:rsidRDefault="00F0067B">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646A6" w14:textId="77777777" w:rsidR="00F0067B" w:rsidRDefault="00F0067B">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D9E2A" w14:textId="77777777" w:rsidR="00F0067B" w:rsidRDefault="00F0067B">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59B56" w14:textId="77777777" w:rsidR="00F0067B" w:rsidRDefault="00F0067B">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A6522" w14:textId="77777777" w:rsidR="00F0067B" w:rsidRDefault="00F0067B">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40B5A" w14:textId="77777777" w:rsidR="00F0067B" w:rsidRDefault="00F0067B">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68730" w14:textId="77777777" w:rsidR="00F0067B" w:rsidRDefault="00F0067B">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7726F" w14:textId="77777777" w:rsidR="00F0067B" w:rsidRDefault="00F0067B">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D37A8" w14:textId="77777777" w:rsidR="00F0067B" w:rsidRDefault="00F00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168214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BC045F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4EC618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31E9FD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52091B"/>
    <w:multiLevelType w:val="hybridMultilevel"/>
    <w:tmpl w:val="0BDC60C2"/>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09868A0"/>
    <w:multiLevelType w:val="hybridMultilevel"/>
    <w:tmpl w:val="32C2A908"/>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EC3743"/>
    <w:multiLevelType w:val="hybridMultilevel"/>
    <w:tmpl w:val="1E7E21BE"/>
    <w:lvl w:ilvl="0" w:tplc="F9B0982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BD3768"/>
    <w:multiLevelType w:val="hybridMultilevel"/>
    <w:tmpl w:val="FFFFFFFF"/>
    <w:lvl w:ilvl="0" w:tplc="DDF0C67C">
      <w:start w:val="8"/>
      <w:numFmt w:val="decimal"/>
      <w:lvlText w:val="%1."/>
      <w:lvlJc w:val="left"/>
      <w:pPr>
        <w:ind w:left="720" w:hanging="360"/>
      </w:pPr>
      <w:rPr>
        <w:rFonts w:ascii="Calibri" w:hAnsi="Calibri" w:hint="default"/>
      </w:rPr>
    </w:lvl>
    <w:lvl w:ilvl="1" w:tplc="38E8673E">
      <w:start w:val="1"/>
      <w:numFmt w:val="lowerLetter"/>
      <w:lvlText w:val="%2."/>
      <w:lvlJc w:val="left"/>
      <w:pPr>
        <w:ind w:left="1440" w:hanging="360"/>
      </w:pPr>
    </w:lvl>
    <w:lvl w:ilvl="2" w:tplc="33E8910E">
      <w:start w:val="1"/>
      <w:numFmt w:val="lowerRoman"/>
      <w:lvlText w:val="%3."/>
      <w:lvlJc w:val="right"/>
      <w:pPr>
        <w:ind w:left="2160" w:hanging="180"/>
      </w:pPr>
    </w:lvl>
    <w:lvl w:ilvl="3" w:tplc="50B22B8C">
      <w:start w:val="1"/>
      <w:numFmt w:val="decimal"/>
      <w:lvlText w:val="%4."/>
      <w:lvlJc w:val="left"/>
      <w:pPr>
        <w:ind w:left="2880" w:hanging="360"/>
      </w:pPr>
    </w:lvl>
    <w:lvl w:ilvl="4" w:tplc="090C8E02">
      <w:start w:val="1"/>
      <w:numFmt w:val="lowerLetter"/>
      <w:lvlText w:val="%5."/>
      <w:lvlJc w:val="left"/>
      <w:pPr>
        <w:ind w:left="3600" w:hanging="360"/>
      </w:pPr>
    </w:lvl>
    <w:lvl w:ilvl="5" w:tplc="8660A99C">
      <w:start w:val="1"/>
      <w:numFmt w:val="lowerRoman"/>
      <w:lvlText w:val="%6."/>
      <w:lvlJc w:val="right"/>
      <w:pPr>
        <w:ind w:left="4320" w:hanging="180"/>
      </w:pPr>
    </w:lvl>
    <w:lvl w:ilvl="6" w:tplc="6DE691CE">
      <w:start w:val="1"/>
      <w:numFmt w:val="decimal"/>
      <w:lvlText w:val="%7."/>
      <w:lvlJc w:val="left"/>
      <w:pPr>
        <w:ind w:left="5040" w:hanging="360"/>
      </w:pPr>
    </w:lvl>
    <w:lvl w:ilvl="7" w:tplc="282EBCCE">
      <w:start w:val="1"/>
      <w:numFmt w:val="lowerLetter"/>
      <w:lvlText w:val="%8."/>
      <w:lvlJc w:val="left"/>
      <w:pPr>
        <w:ind w:left="5760" w:hanging="360"/>
      </w:pPr>
    </w:lvl>
    <w:lvl w:ilvl="8" w:tplc="CE7018EC">
      <w:start w:val="1"/>
      <w:numFmt w:val="lowerRoman"/>
      <w:lvlText w:val="%9."/>
      <w:lvlJc w:val="right"/>
      <w:pPr>
        <w:ind w:left="6480" w:hanging="180"/>
      </w:pPr>
    </w:lvl>
  </w:abstractNum>
  <w:abstractNum w:abstractNumId="8" w15:restartNumberingAfterBreak="0">
    <w:nsid w:val="0507090B"/>
    <w:multiLevelType w:val="hybridMultilevel"/>
    <w:tmpl w:val="22E61F54"/>
    <w:lvl w:ilvl="0" w:tplc="FFFFFFFF">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Yu Mincho Light" w:hAnsi="Yu Mincho Light" w:cs="Yu Mincho Light" w:hint="default"/>
      </w:rPr>
    </w:lvl>
    <w:lvl w:ilvl="2" w:tplc="18090005" w:tentative="1">
      <w:start w:val="1"/>
      <w:numFmt w:val="bullet"/>
      <w:lvlText w:val=""/>
      <w:lvlJc w:val="left"/>
      <w:pPr>
        <w:ind w:left="2220" w:hanging="360"/>
      </w:pPr>
      <w:rPr>
        <w:rFonts w:ascii="MS Mincho" w:hAnsi="MS Mincho" w:hint="default"/>
      </w:rPr>
    </w:lvl>
    <w:lvl w:ilvl="3" w:tplc="18090001" w:tentative="1">
      <w:start w:val="1"/>
      <w:numFmt w:val="bullet"/>
      <w:lvlText w:val=""/>
      <w:lvlJc w:val="left"/>
      <w:pPr>
        <w:ind w:left="2940" w:hanging="360"/>
      </w:pPr>
      <w:rPr>
        <w:rFonts w:ascii="MS Mincho" w:hAnsi="MS Mincho" w:hint="default"/>
      </w:rPr>
    </w:lvl>
    <w:lvl w:ilvl="4" w:tplc="18090003" w:tentative="1">
      <w:start w:val="1"/>
      <w:numFmt w:val="bullet"/>
      <w:lvlText w:val="o"/>
      <w:lvlJc w:val="left"/>
      <w:pPr>
        <w:ind w:left="3660" w:hanging="360"/>
      </w:pPr>
      <w:rPr>
        <w:rFonts w:ascii="Yu Mincho Light" w:hAnsi="Yu Mincho Light" w:cs="Yu Mincho Light" w:hint="default"/>
      </w:rPr>
    </w:lvl>
    <w:lvl w:ilvl="5" w:tplc="18090005" w:tentative="1">
      <w:start w:val="1"/>
      <w:numFmt w:val="bullet"/>
      <w:lvlText w:val=""/>
      <w:lvlJc w:val="left"/>
      <w:pPr>
        <w:ind w:left="4380" w:hanging="360"/>
      </w:pPr>
      <w:rPr>
        <w:rFonts w:ascii="MS Mincho" w:hAnsi="MS Mincho" w:hint="default"/>
      </w:rPr>
    </w:lvl>
    <w:lvl w:ilvl="6" w:tplc="18090001" w:tentative="1">
      <w:start w:val="1"/>
      <w:numFmt w:val="bullet"/>
      <w:lvlText w:val=""/>
      <w:lvlJc w:val="left"/>
      <w:pPr>
        <w:ind w:left="5100" w:hanging="360"/>
      </w:pPr>
      <w:rPr>
        <w:rFonts w:ascii="MS Mincho" w:hAnsi="MS Mincho" w:hint="default"/>
      </w:rPr>
    </w:lvl>
    <w:lvl w:ilvl="7" w:tplc="18090003" w:tentative="1">
      <w:start w:val="1"/>
      <w:numFmt w:val="bullet"/>
      <w:lvlText w:val="o"/>
      <w:lvlJc w:val="left"/>
      <w:pPr>
        <w:ind w:left="5820" w:hanging="360"/>
      </w:pPr>
      <w:rPr>
        <w:rFonts w:ascii="Yu Mincho Light" w:hAnsi="Yu Mincho Light" w:cs="Yu Mincho Light" w:hint="default"/>
      </w:rPr>
    </w:lvl>
    <w:lvl w:ilvl="8" w:tplc="18090005" w:tentative="1">
      <w:start w:val="1"/>
      <w:numFmt w:val="bullet"/>
      <w:lvlText w:val=""/>
      <w:lvlJc w:val="left"/>
      <w:pPr>
        <w:ind w:left="6540" w:hanging="360"/>
      </w:pPr>
      <w:rPr>
        <w:rFonts w:ascii="MS Mincho" w:hAnsi="MS Mincho" w:hint="default"/>
      </w:rPr>
    </w:lvl>
  </w:abstractNum>
  <w:abstractNum w:abstractNumId="9" w15:restartNumberingAfterBreak="0">
    <w:nsid w:val="0853DD90"/>
    <w:multiLevelType w:val="hybridMultilevel"/>
    <w:tmpl w:val="FFFFFFFF"/>
    <w:lvl w:ilvl="0" w:tplc="9B86F24C">
      <w:start w:val="1"/>
      <w:numFmt w:val="bullet"/>
      <w:lvlText w:val="-"/>
      <w:lvlJc w:val="left"/>
      <w:pPr>
        <w:ind w:left="720" w:hanging="360"/>
      </w:pPr>
      <w:rPr>
        <w:rFonts w:ascii="Arial" w:hAnsi="Arial" w:hint="default"/>
      </w:rPr>
    </w:lvl>
    <w:lvl w:ilvl="1" w:tplc="0C4E7CFA">
      <w:start w:val="1"/>
      <w:numFmt w:val="bullet"/>
      <w:lvlText w:val="o"/>
      <w:lvlJc w:val="left"/>
      <w:pPr>
        <w:ind w:left="1440" w:hanging="360"/>
      </w:pPr>
      <w:rPr>
        <w:rFonts w:ascii="Segoe UI Emoji" w:hAnsi="Segoe UI Emoji" w:hint="default"/>
      </w:rPr>
    </w:lvl>
    <w:lvl w:ilvl="2" w:tplc="21EE2022">
      <w:start w:val="1"/>
      <w:numFmt w:val="bullet"/>
      <w:lvlText w:val=""/>
      <w:lvlJc w:val="left"/>
      <w:pPr>
        <w:ind w:left="2160" w:hanging="360"/>
      </w:pPr>
      <w:rPr>
        <w:rFonts w:ascii="@MS Mincho" w:hAnsi="@MS Mincho" w:hint="default"/>
      </w:rPr>
    </w:lvl>
    <w:lvl w:ilvl="3" w:tplc="F8FA31DA">
      <w:start w:val="1"/>
      <w:numFmt w:val="bullet"/>
      <w:lvlText w:val=""/>
      <w:lvlJc w:val="left"/>
      <w:pPr>
        <w:ind w:left="2880" w:hanging="360"/>
      </w:pPr>
      <w:rPr>
        <w:rFonts w:ascii="Times New Roman félkövér" w:hAnsi="Times New Roman félkövér" w:hint="default"/>
      </w:rPr>
    </w:lvl>
    <w:lvl w:ilvl="4" w:tplc="045A305A">
      <w:start w:val="1"/>
      <w:numFmt w:val="bullet"/>
      <w:lvlText w:val="o"/>
      <w:lvlJc w:val="left"/>
      <w:pPr>
        <w:ind w:left="3600" w:hanging="360"/>
      </w:pPr>
      <w:rPr>
        <w:rFonts w:ascii="Segoe UI Emoji" w:hAnsi="Segoe UI Emoji" w:hint="default"/>
      </w:rPr>
    </w:lvl>
    <w:lvl w:ilvl="5" w:tplc="74125AAE">
      <w:start w:val="1"/>
      <w:numFmt w:val="bullet"/>
      <w:lvlText w:val=""/>
      <w:lvlJc w:val="left"/>
      <w:pPr>
        <w:ind w:left="4320" w:hanging="360"/>
      </w:pPr>
      <w:rPr>
        <w:rFonts w:ascii="@MS Mincho" w:hAnsi="@MS Mincho" w:hint="default"/>
      </w:rPr>
    </w:lvl>
    <w:lvl w:ilvl="6" w:tplc="2E8C3324">
      <w:start w:val="1"/>
      <w:numFmt w:val="bullet"/>
      <w:lvlText w:val=""/>
      <w:lvlJc w:val="left"/>
      <w:pPr>
        <w:ind w:left="5040" w:hanging="360"/>
      </w:pPr>
      <w:rPr>
        <w:rFonts w:ascii="Times New Roman félkövér" w:hAnsi="Times New Roman félkövér" w:hint="default"/>
      </w:rPr>
    </w:lvl>
    <w:lvl w:ilvl="7" w:tplc="6AD0341A">
      <w:start w:val="1"/>
      <w:numFmt w:val="bullet"/>
      <w:lvlText w:val="o"/>
      <w:lvlJc w:val="left"/>
      <w:pPr>
        <w:ind w:left="5760" w:hanging="360"/>
      </w:pPr>
      <w:rPr>
        <w:rFonts w:ascii="Segoe UI Emoji" w:hAnsi="Segoe UI Emoji" w:hint="default"/>
      </w:rPr>
    </w:lvl>
    <w:lvl w:ilvl="8" w:tplc="53ECFD58">
      <w:start w:val="1"/>
      <w:numFmt w:val="bullet"/>
      <w:lvlText w:val=""/>
      <w:lvlJc w:val="left"/>
      <w:pPr>
        <w:ind w:left="6480" w:hanging="360"/>
      </w:pPr>
      <w:rPr>
        <w:rFonts w:ascii="@MS Mincho" w:hAnsi="@MS Mincho" w:hint="default"/>
      </w:rPr>
    </w:lvl>
  </w:abstractNum>
  <w:abstractNum w:abstractNumId="10" w15:restartNumberingAfterBreak="0">
    <w:nsid w:val="0B7071AF"/>
    <w:multiLevelType w:val="hybridMultilevel"/>
    <w:tmpl w:val="338CE26C"/>
    <w:lvl w:ilvl="0" w:tplc="991C3E1E">
      <w:start w:val="1"/>
      <w:numFmt w:val="bullet"/>
      <w:lvlText w:val="-"/>
      <w:lvlJc w:val="left"/>
      <w:pPr>
        <w:ind w:left="720" w:hanging="360"/>
      </w:pPr>
      <w:rPr>
        <w:rFonts w:ascii="Calibri" w:hAnsi="Calibr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0B9A3F81"/>
    <w:multiLevelType w:val="hybridMultilevel"/>
    <w:tmpl w:val="E17CE6DE"/>
    <w:lvl w:ilvl="0" w:tplc="1430B29A">
      <w:start w:val="1"/>
      <w:numFmt w:val="bullet"/>
      <w:lvlText w:val="-"/>
      <w:lvlJc w:val="left"/>
      <w:pPr>
        <w:ind w:left="720" w:hanging="360"/>
      </w:pPr>
      <w:rPr>
        <w:rFonts w:ascii="Times New Roman" w:eastAsiaTheme="minorEastAsia"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C583D17"/>
    <w:multiLevelType w:val="hybridMultilevel"/>
    <w:tmpl w:val="B372B45A"/>
    <w:lvl w:ilvl="0" w:tplc="5EC66656">
      <w:start w:val="1"/>
      <w:numFmt w:val="bullet"/>
      <w:lvlText w:val=""/>
      <w:lvlJc w:val="left"/>
      <w:pPr>
        <w:ind w:left="720" w:hanging="360"/>
      </w:pPr>
      <w:rPr>
        <w:rFonts w:ascii="Symbol" w:hAnsi="Symbol"/>
      </w:rPr>
    </w:lvl>
    <w:lvl w:ilvl="1" w:tplc="6C1E4D28">
      <w:start w:val="1"/>
      <w:numFmt w:val="bullet"/>
      <w:lvlText w:val=""/>
      <w:lvlJc w:val="left"/>
      <w:pPr>
        <w:ind w:left="720" w:hanging="360"/>
      </w:pPr>
      <w:rPr>
        <w:rFonts w:ascii="Symbol" w:hAnsi="Symbol"/>
      </w:rPr>
    </w:lvl>
    <w:lvl w:ilvl="2" w:tplc="48B6CD7C">
      <w:start w:val="1"/>
      <w:numFmt w:val="bullet"/>
      <w:lvlText w:val=""/>
      <w:lvlJc w:val="left"/>
      <w:pPr>
        <w:ind w:left="720" w:hanging="360"/>
      </w:pPr>
      <w:rPr>
        <w:rFonts w:ascii="Symbol" w:hAnsi="Symbol"/>
      </w:rPr>
    </w:lvl>
    <w:lvl w:ilvl="3" w:tplc="8804AAEA">
      <w:start w:val="1"/>
      <w:numFmt w:val="bullet"/>
      <w:lvlText w:val=""/>
      <w:lvlJc w:val="left"/>
      <w:pPr>
        <w:ind w:left="720" w:hanging="360"/>
      </w:pPr>
      <w:rPr>
        <w:rFonts w:ascii="Symbol" w:hAnsi="Symbol"/>
      </w:rPr>
    </w:lvl>
    <w:lvl w:ilvl="4" w:tplc="7FBE0D5E">
      <w:start w:val="1"/>
      <w:numFmt w:val="bullet"/>
      <w:lvlText w:val=""/>
      <w:lvlJc w:val="left"/>
      <w:pPr>
        <w:ind w:left="720" w:hanging="360"/>
      </w:pPr>
      <w:rPr>
        <w:rFonts w:ascii="Symbol" w:hAnsi="Symbol"/>
      </w:rPr>
    </w:lvl>
    <w:lvl w:ilvl="5" w:tplc="55204034">
      <w:start w:val="1"/>
      <w:numFmt w:val="bullet"/>
      <w:lvlText w:val=""/>
      <w:lvlJc w:val="left"/>
      <w:pPr>
        <w:ind w:left="720" w:hanging="360"/>
      </w:pPr>
      <w:rPr>
        <w:rFonts w:ascii="Symbol" w:hAnsi="Symbol"/>
      </w:rPr>
    </w:lvl>
    <w:lvl w:ilvl="6" w:tplc="75747AF4">
      <w:start w:val="1"/>
      <w:numFmt w:val="bullet"/>
      <w:lvlText w:val=""/>
      <w:lvlJc w:val="left"/>
      <w:pPr>
        <w:ind w:left="720" w:hanging="360"/>
      </w:pPr>
      <w:rPr>
        <w:rFonts w:ascii="Symbol" w:hAnsi="Symbol"/>
      </w:rPr>
    </w:lvl>
    <w:lvl w:ilvl="7" w:tplc="5A6C7638">
      <w:start w:val="1"/>
      <w:numFmt w:val="bullet"/>
      <w:lvlText w:val=""/>
      <w:lvlJc w:val="left"/>
      <w:pPr>
        <w:ind w:left="720" w:hanging="360"/>
      </w:pPr>
      <w:rPr>
        <w:rFonts w:ascii="Symbol" w:hAnsi="Symbol"/>
      </w:rPr>
    </w:lvl>
    <w:lvl w:ilvl="8" w:tplc="DB141560">
      <w:start w:val="1"/>
      <w:numFmt w:val="bullet"/>
      <w:lvlText w:val=""/>
      <w:lvlJc w:val="left"/>
      <w:pPr>
        <w:ind w:left="720" w:hanging="360"/>
      </w:pPr>
      <w:rPr>
        <w:rFonts w:ascii="Symbol" w:hAnsi="Symbol"/>
      </w:rPr>
    </w:lvl>
  </w:abstractNum>
  <w:abstractNum w:abstractNumId="13" w15:restartNumberingAfterBreak="0">
    <w:nsid w:val="0C681D4E"/>
    <w:multiLevelType w:val="hybridMultilevel"/>
    <w:tmpl w:val="4E964226"/>
    <w:lvl w:ilvl="0" w:tplc="1430B29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90CBC6"/>
    <w:multiLevelType w:val="hybridMultilevel"/>
    <w:tmpl w:val="FFFFFFFF"/>
    <w:lvl w:ilvl="0" w:tplc="5762C3A6">
      <w:start w:val="1"/>
      <w:numFmt w:val="bullet"/>
      <w:lvlText w:val=""/>
      <w:lvlJc w:val="left"/>
      <w:pPr>
        <w:ind w:left="720" w:hanging="360"/>
      </w:pPr>
      <w:rPr>
        <w:rFonts w:ascii="Symbol" w:hAnsi="Symbol" w:hint="default"/>
      </w:rPr>
    </w:lvl>
    <w:lvl w:ilvl="1" w:tplc="523C60EA">
      <w:start w:val="1"/>
      <w:numFmt w:val="bullet"/>
      <w:lvlText w:val="o"/>
      <w:lvlJc w:val="left"/>
      <w:pPr>
        <w:ind w:left="1440" w:hanging="360"/>
      </w:pPr>
      <w:rPr>
        <w:rFonts w:ascii="Courier New" w:hAnsi="Courier New" w:hint="default"/>
      </w:rPr>
    </w:lvl>
    <w:lvl w:ilvl="2" w:tplc="8BFA6B86">
      <w:start w:val="1"/>
      <w:numFmt w:val="bullet"/>
      <w:lvlText w:val=""/>
      <w:lvlJc w:val="left"/>
      <w:pPr>
        <w:ind w:left="2160" w:hanging="360"/>
      </w:pPr>
      <w:rPr>
        <w:rFonts w:ascii="Wingdings" w:hAnsi="Wingdings" w:hint="default"/>
      </w:rPr>
    </w:lvl>
    <w:lvl w:ilvl="3" w:tplc="8842B4AE">
      <w:start w:val="1"/>
      <w:numFmt w:val="bullet"/>
      <w:lvlText w:val=""/>
      <w:lvlJc w:val="left"/>
      <w:pPr>
        <w:ind w:left="2880" w:hanging="360"/>
      </w:pPr>
      <w:rPr>
        <w:rFonts w:ascii="Symbol" w:hAnsi="Symbol" w:hint="default"/>
      </w:rPr>
    </w:lvl>
    <w:lvl w:ilvl="4" w:tplc="04A0D452">
      <w:start w:val="1"/>
      <w:numFmt w:val="bullet"/>
      <w:lvlText w:val="o"/>
      <w:lvlJc w:val="left"/>
      <w:pPr>
        <w:ind w:left="3600" w:hanging="360"/>
      </w:pPr>
      <w:rPr>
        <w:rFonts w:ascii="Courier New" w:hAnsi="Courier New" w:hint="default"/>
      </w:rPr>
    </w:lvl>
    <w:lvl w:ilvl="5" w:tplc="04F21308">
      <w:start w:val="1"/>
      <w:numFmt w:val="bullet"/>
      <w:lvlText w:val=""/>
      <w:lvlJc w:val="left"/>
      <w:pPr>
        <w:ind w:left="4320" w:hanging="360"/>
      </w:pPr>
      <w:rPr>
        <w:rFonts w:ascii="Wingdings" w:hAnsi="Wingdings" w:hint="default"/>
      </w:rPr>
    </w:lvl>
    <w:lvl w:ilvl="6" w:tplc="8BB88B5C">
      <w:start w:val="1"/>
      <w:numFmt w:val="bullet"/>
      <w:lvlText w:val=""/>
      <w:lvlJc w:val="left"/>
      <w:pPr>
        <w:ind w:left="5040" w:hanging="360"/>
      </w:pPr>
      <w:rPr>
        <w:rFonts w:ascii="Symbol" w:hAnsi="Symbol" w:hint="default"/>
      </w:rPr>
    </w:lvl>
    <w:lvl w:ilvl="7" w:tplc="C3DE9168">
      <w:start w:val="1"/>
      <w:numFmt w:val="bullet"/>
      <w:lvlText w:val="o"/>
      <w:lvlJc w:val="left"/>
      <w:pPr>
        <w:ind w:left="5760" w:hanging="360"/>
      </w:pPr>
      <w:rPr>
        <w:rFonts w:ascii="Courier New" w:hAnsi="Courier New" w:hint="default"/>
      </w:rPr>
    </w:lvl>
    <w:lvl w:ilvl="8" w:tplc="CEE831A4">
      <w:start w:val="1"/>
      <w:numFmt w:val="bullet"/>
      <w:lvlText w:val=""/>
      <w:lvlJc w:val="left"/>
      <w:pPr>
        <w:ind w:left="6480" w:hanging="360"/>
      </w:pPr>
      <w:rPr>
        <w:rFonts w:ascii="Wingdings" w:hAnsi="Wingdings" w:hint="default"/>
      </w:rPr>
    </w:lvl>
  </w:abstractNum>
  <w:abstractNum w:abstractNumId="15" w15:restartNumberingAfterBreak="0">
    <w:nsid w:val="0C990D6D"/>
    <w:multiLevelType w:val="hybridMultilevel"/>
    <w:tmpl w:val="9AE27DC0"/>
    <w:lvl w:ilvl="0" w:tplc="18090001">
      <w:start w:val="1"/>
      <w:numFmt w:val="bullet"/>
      <w:lvlText w:val=""/>
      <w:lvlJc w:val="left"/>
      <w:pPr>
        <w:ind w:left="720" w:hanging="360"/>
      </w:pPr>
      <w:rPr>
        <w:rFonts w:ascii="Times New Roman félkövér" w:hAnsi="Times New Roman félkövér" w:hint="default"/>
      </w:rPr>
    </w:lvl>
    <w:lvl w:ilvl="1" w:tplc="18090003" w:tentative="1">
      <w:start w:val="1"/>
      <w:numFmt w:val="bullet"/>
      <w:lvlText w:val="o"/>
      <w:lvlJc w:val="left"/>
      <w:pPr>
        <w:ind w:left="1440" w:hanging="360"/>
      </w:pPr>
      <w:rPr>
        <w:rFonts w:ascii="@MS Mincho" w:hAnsi="@MS Mincho" w:cs="@MS Mincho" w:hint="default"/>
      </w:rPr>
    </w:lvl>
    <w:lvl w:ilvl="2" w:tplc="18090005" w:tentative="1">
      <w:start w:val="1"/>
      <w:numFmt w:val="bullet"/>
      <w:lvlText w:val=""/>
      <w:lvlJc w:val="left"/>
      <w:pPr>
        <w:ind w:left="2160" w:hanging="360"/>
      </w:pPr>
      <w:rPr>
        <w:rFonts w:ascii="MS Mincho" w:hAnsi="MS Mincho" w:hint="default"/>
      </w:rPr>
    </w:lvl>
    <w:lvl w:ilvl="3" w:tplc="18090001" w:tentative="1">
      <w:start w:val="1"/>
      <w:numFmt w:val="bullet"/>
      <w:lvlText w:val=""/>
      <w:lvlJc w:val="left"/>
      <w:pPr>
        <w:ind w:left="2880" w:hanging="360"/>
      </w:pPr>
      <w:rPr>
        <w:rFonts w:ascii="Times New Roman félkövér" w:hAnsi="Times New Roman félkövér" w:hint="default"/>
      </w:rPr>
    </w:lvl>
    <w:lvl w:ilvl="4" w:tplc="18090003" w:tentative="1">
      <w:start w:val="1"/>
      <w:numFmt w:val="bullet"/>
      <w:lvlText w:val="o"/>
      <w:lvlJc w:val="left"/>
      <w:pPr>
        <w:ind w:left="3600" w:hanging="360"/>
      </w:pPr>
      <w:rPr>
        <w:rFonts w:ascii="@MS Mincho" w:hAnsi="@MS Mincho" w:cs="@MS Mincho" w:hint="default"/>
      </w:rPr>
    </w:lvl>
    <w:lvl w:ilvl="5" w:tplc="18090005" w:tentative="1">
      <w:start w:val="1"/>
      <w:numFmt w:val="bullet"/>
      <w:lvlText w:val=""/>
      <w:lvlJc w:val="left"/>
      <w:pPr>
        <w:ind w:left="4320" w:hanging="360"/>
      </w:pPr>
      <w:rPr>
        <w:rFonts w:ascii="MS Mincho" w:hAnsi="MS Mincho" w:hint="default"/>
      </w:rPr>
    </w:lvl>
    <w:lvl w:ilvl="6" w:tplc="18090001" w:tentative="1">
      <w:start w:val="1"/>
      <w:numFmt w:val="bullet"/>
      <w:lvlText w:val=""/>
      <w:lvlJc w:val="left"/>
      <w:pPr>
        <w:ind w:left="5040" w:hanging="360"/>
      </w:pPr>
      <w:rPr>
        <w:rFonts w:ascii="Times New Roman félkövér" w:hAnsi="Times New Roman félkövér" w:hint="default"/>
      </w:rPr>
    </w:lvl>
    <w:lvl w:ilvl="7" w:tplc="18090003" w:tentative="1">
      <w:start w:val="1"/>
      <w:numFmt w:val="bullet"/>
      <w:lvlText w:val="o"/>
      <w:lvlJc w:val="left"/>
      <w:pPr>
        <w:ind w:left="5760" w:hanging="360"/>
      </w:pPr>
      <w:rPr>
        <w:rFonts w:ascii="@MS Mincho" w:hAnsi="@MS Mincho" w:cs="@MS Mincho" w:hint="default"/>
      </w:rPr>
    </w:lvl>
    <w:lvl w:ilvl="8" w:tplc="18090005" w:tentative="1">
      <w:start w:val="1"/>
      <w:numFmt w:val="bullet"/>
      <w:lvlText w:val=""/>
      <w:lvlJc w:val="left"/>
      <w:pPr>
        <w:ind w:left="6480" w:hanging="360"/>
      </w:pPr>
      <w:rPr>
        <w:rFonts w:ascii="MS Mincho" w:hAnsi="MS Mincho" w:hint="default"/>
      </w:rPr>
    </w:lvl>
  </w:abstractNum>
  <w:abstractNum w:abstractNumId="16" w15:restartNumberingAfterBreak="0">
    <w:nsid w:val="0DFD6381"/>
    <w:multiLevelType w:val="hybridMultilevel"/>
    <w:tmpl w:val="5FA6E936"/>
    <w:lvl w:ilvl="0" w:tplc="B2AC25C2">
      <w:numFmt w:val="bullet"/>
      <w:lvlText w:val=""/>
      <w:lvlJc w:val="left"/>
      <w:pPr>
        <w:ind w:left="1080" w:hanging="360"/>
      </w:pPr>
      <w:rPr>
        <w:rFonts w:ascii="Symbol" w:eastAsiaTheme="minorEastAsia" w:hAnsi="Symbol" w:cs="Times New Roman" w:hint="default"/>
      </w:rPr>
    </w:lvl>
    <w:lvl w:ilvl="1" w:tplc="FFFFFFFF" w:tentative="1">
      <w:start w:val="1"/>
      <w:numFmt w:val="bullet"/>
      <w:lvlText w:val="o"/>
      <w:lvlJc w:val="left"/>
      <w:pPr>
        <w:ind w:left="1800" w:hanging="360"/>
      </w:pPr>
      <w:rPr>
        <w:rFonts w:ascii="@MS Mincho" w:hAnsi="@MS Mincho" w:cs="@MS Mincho" w:hint="default"/>
      </w:rPr>
    </w:lvl>
    <w:lvl w:ilvl="2" w:tplc="FFFFFFFF" w:tentative="1">
      <w:start w:val="1"/>
      <w:numFmt w:val="bullet"/>
      <w:lvlText w:val=""/>
      <w:lvlJc w:val="left"/>
      <w:pPr>
        <w:ind w:left="2520" w:hanging="360"/>
      </w:pPr>
      <w:rPr>
        <w:rFonts w:ascii="MS Mincho" w:hAnsi="MS Mincho" w:hint="default"/>
      </w:rPr>
    </w:lvl>
    <w:lvl w:ilvl="3" w:tplc="FFFFFFFF" w:tentative="1">
      <w:start w:val="1"/>
      <w:numFmt w:val="bullet"/>
      <w:lvlText w:val=""/>
      <w:lvlJc w:val="left"/>
      <w:pPr>
        <w:ind w:left="3240" w:hanging="360"/>
      </w:pPr>
      <w:rPr>
        <w:rFonts w:ascii="Times New Roman félkövér" w:hAnsi="Times New Roman félkövér" w:hint="default"/>
      </w:rPr>
    </w:lvl>
    <w:lvl w:ilvl="4" w:tplc="FFFFFFFF" w:tentative="1">
      <w:start w:val="1"/>
      <w:numFmt w:val="bullet"/>
      <w:lvlText w:val="o"/>
      <w:lvlJc w:val="left"/>
      <w:pPr>
        <w:ind w:left="3960" w:hanging="360"/>
      </w:pPr>
      <w:rPr>
        <w:rFonts w:ascii="@MS Mincho" w:hAnsi="@MS Mincho" w:cs="@MS Mincho" w:hint="default"/>
      </w:rPr>
    </w:lvl>
    <w:lvl w:ilvl="5" w:tplc="FFFFFFFF" w:tentative="1">
      <w:start w:val="1"/>
      <w:numFmt w:val="bullet"/>
      <w:lvlText w:val=""/>
      <w:lvlJc w:val="left"/>
      <w:pPr>
        <w:ind w:left="4680" w:hanging="360"/>
      </w:pPr>
      <w:rPr>
        <w:rFonts w:ascii="MS Mincho" w:hAnsi="MS Mincho" w:hint="default"/>
      </w:rPr>
    </w:lvl>
    <w:lvl w:ilvl="6" w:tplc="FFFFFFFF" w:tentative="1">
      <w:start w:val="1"/>
      <w:numFmt w:val="bullet"/>
      <w:lvlText w:val=""/>
      <w:lvlJc w:val="left"/>
      <w:pPr>
        <w:ind w:left="5400" w:hanging="360"/>
      </w:pPr>
      <w:rPr>
        <w:rFonts w:ascii="Times New Roman félkövér" w:hAnsi="Times New Roman félkövér" w:hint="default"/>
      </w:rPr>
    </w:lvl>
    <w:lvl w:ilvl="7" w:tplc="FFFFFFFF" w:tentative="1">
      <w:start w:val="1"/>
      <w:numFmt w:val="bullet"/>
      <w:lvlText w:val="o"/>
      <w:lvlJc w:val="left"/>
      <w:pPr>
        <w:ind w:left="6120" w:hanging="360"/>
      </w:pPr>
      <w:rPr>
        <w:rFonts w:ascii="@MS Mincho" w:hAnsi="@MS Mincho" w:cs="@MS Mincho" w:hint="default"/>
      </w:rPr>
    </w:lvl>
    <w:lvl w:ilvl="8" w:tplc="FFFFFFFF" w:tentative="1">
      <w:start w:val="1"/>
      <w:numFmt w:val="bullet"/>
      <w:lvlText w:val=""/>
      <w:lvlJc w:val="left"/>
      <w:pPr>
        <w:ind w:left="6840" w:hanging="360"/>
      </w:pPr>
      <w:rPr>
        <w:rFonts w:ascii="MS Mincho" w:hAnsi="MS Mincho" w:hint="default"/>
      </w:rPr>
    </w:lvl>
  </w:abstractNum>
  <w:abstractNum w:abstractNumId="17" w15:restartNumberingAfterBreak="0">
    <w:nsid w:val="0E686556"/>
    <w:multiLevelType w:val="hybridMultilevel"/>
    <w:tmpl w:val="C554E2BA"/>
    <w:lvl w:ilvl="0" w:tplc="FFFFFFFF">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B2AC25C2">
      <w:numFmt w:val="bullet"/>
      <w:lvlText w:val=""/>
      <w:lvlJc w:val="left"/>
      <w:pPr>
        <w:ind w:left="3600" w:hanging="720"/>
      </w:pPr>
      <w:rPr>
        <w:rFonts w:ascii="Symbol" w:eastAsiaTheme="minorEastAsia" w:hAnsi="Symbol" w:cs="Times New Roman"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09FECC5"/>
    <w:multiLevelType w:val="hybridMultilevel"/>
    <w:tmpl w:val="FFFFFFFF"/>
    <w:lvl w:ilvl="0" w:tplc="2DBC04E0">
      <w:start w:val="2"/>
      <w:numFmt w:val="decimal"/>
      <w:lvlText w:val="%1."/>
      <w:lvlJc w:val="left"/>
      <w:pPr>
        <w:ind w:left="720" w:hanging="360"/>
      </w:pPr>
      <w:rPr>
        <w:rFonts w:ascii="Arial" w:hAnsi="Arial" w:hint="default"/>
      </w:rPr>
    </w:lvl>
    <w:lvl w:ilvl="1" w:tplc="66E873C6">
      <w:start w:val="1"/>
      <w:numFmt w:val="lowerLetter"/>
      <w:lvlText w:val="%2."/>
      <w:lvlJc w:val="left"/>
      <w:pPr>
        <w:ind w:left="1440" w:hanging="360"/>
      </w:pPr>
    </w:lvl>
    <w:lvl w:ilvl="2" w:tplc="E3A4A870">
      <w:start w:val="1"/>
      <w:numFmt w:val="lowerRoman"/>
      <w:lvlText w:val="%3."/>
      <w:lvlJc w:val="right"/>
      <w:pPr>
        <w:ind w:left="2160" w:hanging="180"/>
      </w:pPr>
    </w:lvl>
    <w:lvl w:ilvl="3" w:tplc="827099A4">
      <w:start w:val="1"/>
      <w:numFmt w:val="decimal"/>
      <w:lvlText w:val="%4."/>
      <w:lvlJc w:val="left"/>
      <w:pPr>
        <w:ind w:left="2880" w:hanging="360"/>
      </w:pPr>
    </w:lvl>
    <w:lvl w:ilvl="4" w:tplc="8D2EC904">
      <w:start w:val="1"/>
      <w:numFmt w:val="lowerLetter"/>
      <w:lvlText w:val="%5."/>
      <w:lvlJc w:val="left"/>
      <w:pPr>
        <w:ind w:left="3600" w:hanging="360"/>
      </w:pPr>
    </w:lvl>
    <w:lvl w:ilvl="5" w:tplc="291C5CEC">
      <w:start w:val="1"/>
      <w:numFmt w:val="lowerRoman"/>
      <w:lvlText w:val="%6."/>
      <w:lvlJc w:val="right"/>
      <w:pPr>
        <w:ind w:left="4320" w:hanging="180"/>
      </w:pPr>
    </w:lvl>
    <w:lvl w:ilvl="6" w:tplc="3E3E39AA">
      <w:start w:val="1"/>
      <w:numFmt w:val="decimal"/>
      <w:lvlText w:val="%7."/>
      <w:lvlJc w:val="left"/>
      <w:pPr>
        <w:ind w:left="5040" w:hanging="360"/>
      </w:pPr>
    </w:lvl>
    <w:lvl w:ilvl="7" w:tplc="AED002D2">
      <w:start w:val="1"/>
      <w:numFmt w:val="lowerLetter"/>
      <w:lvlText w:val="%8."/>
      <w:lvlJc w:val="left"/>
      <w:pPr>
        <w:ind w:left="5760" w:hanging="360"/>
      </w:pPr>
    </w:lvl>
    <w:lvl w:ilvl="8" w:tplc="896C89B0">
      <w:start w:val="1"/>
      <w:numFmt w:val="lowerRoman"/>
      <w:lvlText w:val="%9."/>
      <w:lvlJc w:val="right"/>
      <w:pPr>
        <w:ind w:left="6480" w:hanging="180"/>
      </w:pPr>
    </w:lvl>
  </w:abstractNum>
  <w:abstractNum w:abstractNumId="19" w15:restartNumberingAfterBreak="0">
    <w:nsid w:val="10B46BD6"/>
    <w:multiLevelType w:val="hybridMultilevel"/>
    <w:tmpl w:val="8FF4FAA2"/>
    <w:lvl w:ilvl="0" w:tplc="991C3E1E">
      <w:start w:val="1"/>
      <w:numFmt w:val="bullet"/>
      <w:lvlText w:val="-"/>
      <w:lvlJc w:val="left"/>
      <w:pPr>
        <w:ind w:left="720" w:hanging="360"/>
      </w:pPr>
      <w:rPr>
        <w:rFonts w:ascii="Calibri" w:hAnsi="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12242160"/>
    <w:multiLevelType w:val="hybridMultilevel"/>
    <w:tmpl w:val="D43A42EE"/>
    <w:lvl w:ilvl="0" w:tplc="37B223E2">
      <w:start w:val="1"/>
      <w:numFmt w:val="bullet"/>
      <w:lvlText w:val=""/>
      <w:lvlJc w:val="left"/>
      <w:pPr>
        <w:ind w:left="1004" w:hanging="360"/>
      </w:pPr>
      <w:rPr>
        <w:rFonts w:ascii="Times New Roman félkövér" w:hAnsi="Times New Roman félkövér" w:hint="default"/>
      </w:rPr>
    </w:lvl>
    <w:lvl w:ilvl="1" w:tplc="FFFFFFFF" w:tentative="1">
      <w:start w:val="1"/>
      <w:numFmt w:val="bullet"/>
      <w:lvlText w:val="o"/>
      <w:lvlJc w:val="left"/>
      <w:pPr>
        <w:ind w:left="1724" w:hanging="360"/>
      </w:pPr>
      <w:rPr>
        <w:rFonts w:ascii="Yu Mincho Light" w:hAnsi="Yu Mincho Light" w:cs="Yu Mincho Light" w:hint="default"/>
      </w:rPr>
    </w:lvl>
    <w:lvl w:ilvl="2" w:tplc="FFFFFFFF" w:tentative="1">
      <w:start w:val="1"/>
      <w:numFmt w:val="bullet"/>
      <w:lvlText w:val=""/>
      <w:lvlJc w:val="left"/>
      <w:pPr>
        <w:ind w:left="2444" w:hanging="360"/>
      </w:pPr>
      <w:rPr>
        <w:rFonts w:ascii="MS Mincho" w:hAnsi="MS Mincho" w:hint="default"/>
      </w:rPr>
    </w:lvl>
    <w:lvl w:ilvl="3" w:tplc="FFFFFFFF" w:tentative="1">
      <w:start w:val="1"/>
      <w:numFmt w:val="bullet"/>
      <w:lvlText w:val=""/>
      <w:lvlJc w:val="left"/>
      <w:pPr>
        <w:ind w:left="3164" w:hanging="360"/>
      </w:pPr>
      <w:rPr>
        <w:rFonts w:ascii="MS Mincho" w:hAnsi="MS Mincho" w:hint="default"/>
      </w:rPr>
    </w:lvl>
    <w:lvl w:ilvl="4" w:tplc="FFFFFFFF" w:tentative="1">
      <w:start w:val="1"/>
      <w:numFmt w:val="bullet"/>
      <w:lvlText w:val="o"/>
      <w:lvlJc w:val="left"/>
      <w:pPr>
        <w:ind w:left="3884" w:hanging="360"/>
      </w:pPr>
      <w:rPr>
        <w:rFonts w:ascii="Yu Mincho Light" w:hAnsi="Yu Mincho Light" w:cs="Yu Mincho Light" w:hint="default"/>
      </w:rPr>
    </w:lvl>
    <w:lvl w:ilvl="5" w:tplc="FFFFFFFF" w:tentative="1">
      <w:start w:val="1"/>
      <w:numFmt w:val="bullet"/>
      <w:lvlText w:val=""/>
      <w:lvlJc w:val="left"/>
      <w:pPr>
        <w:ind w:left="4604" w:hanging="360"/>
      </w:pPr>
      <w:rPr>
        <w:rFonts w:ascii="MS Mincho" w:hAnsi="MS Mincho" w:hint="default"/>
      </w:rPr>
    </w:lvl>
    <w:lvl w:ilvl="6" w:tplc="FFFFFFFF" w:tentative="1">
      <w:start w:val="1"/>
      <w:numFmt w:val="bullet"/>
      <w:lvlText w:val=""/>
      <w:lvlJc w:val="left"/>
      <w:pPr>
        <w:ind w:left="5324" w:hanging="360"/>
      </w:pPr>
      <w:rPr>
        <w:rFonts w:ascii="MS Mincho" w:hAnsi="MS Mincho" w:hint="default"/>
      </w:rPr>
    </w:lvl>
    <w:lvl w:ilvl="7" w:tplc="FFFFFFFF" w:tentative="1">
      <w:start w:val="1"/>
      <w:numFmt w:val="bullet"/>
      <w:lvlText w:val="o"/>
      <w:lvlJc w:val="left"/>
      <w:pPr>
        <w:ind w:left="6044" w:hanging="360"/>
      </w:pPr>
      <w:rPr>
        <w:rFonts w:ascii="Yu Mincho Light" w:hAnsi="Yu Mincho Light" w:cs="Yu Mincho Light" w:hint="default"/>
      </w:rPr>
    </w:lvl>
    <w:lvl w:ilvl="8" w:tplc="FFFFFFFF" w:tentative="1">
      <w:start w:val="1"/>
      <w:numFmt w:val="bullet"/>
      <w:lvlText w:val=""/>
      <w:lvlJc w:val="left"/>
      <w:pPr>
        <w:ind w:left="6764" w:hanging="360"/>
      </w:pPr>
      <w:rPr>
        <w:rFonts w:ascii="MS Mincho" w:hAnsi="MS Mincho" w:hint="default"/>
      </w:rPr>
    </w:lvl>
  </w:abstractNum>
  <w:abstractNum w:abstractNumId="21" w15:restartNumberingAfterBreak="0">
    <w:nsid w:val="14BC9304"/>
    <w:multiLevelType w:val="hybridMultilevel"/>
    <w:tmpl w:val="FFFFFFFF"/>
    <w:lvl w:ilvl="0" w:tplc="946A4DA8">
      <w:start w:val="9"/>
      <w:numFmt w:val="decimal"/>
      <w:lvlText w:val="%1."/>
      <w:lvlJc w:val="left"/>
      <w:pPr>
        <w:ind w:left="720" w:hanging="360"/>
      </w:pPr>
      <w:rPr>
        <w:rFonts w:ascii="Calibri" w:hAnsi="Calibri" w:hint="default"/>
      </w:rPr>
    </w:lvl>
    <w:lvl w:ilvl="1" w:tplc="BE925662">
      <w:start w:val="1"/>
      <w:numFmt w:val="lowerLetter"/>
      <w:lvlText w:val="%2."/>
      <w:lvlJc w:val="left"/>
      <w:pPr>
        <w:ind w:left="1440" w:hanging="360"/>
      </w:pPr>
    </w:lvl>
    <w:lvl w:ilvl="2" w:tplc="6972B792">
      <w:start w:val="1"/>
      <w:numFmt w:val="lowerRoman"/>
      <w:lvlText w:val="%3."/>
      <w:lvlJc w:val="right"/>
      <w:pPr>
        <w:ind w:left="2160" w:hanging="180"/>
      </w:pPr>
    </w:lvl>
    <w:lvl w:ilvl="3" w:tplc="D96C8D54">
      <w:start w:val="1"/>
      <w:numFmt w:val="decimal"/>
      <w:lvlText w:val="%4."/>
      <w:lvlJc w:val="left"/>
      <w:pPr>
        <w:ind w:left="2880" w:hanging="360"/>
      </w:pPr>
    </w:lvl>
    <w:lvl w:ilvl="4" w:tplc="7038816E">
      <w:start w:val="1"/>
      <w:numFmt w:val="lowerLetter"/>
      <w:lvlText w:val="%5."/>
      <w:lvlJc w:val="left"/>
      <w:pPr>
        <w:ind w:left="3600" w:hanging="360"/>
      </w:pPr>
    </w:lvl>
    <w:lvl w:ilvl="5" w:tplc="FBFA4DAA">
      <w:start w:val="1"/>
      <w:numFmt w:val="lowerRoman"/>
      <w:lvlText w:val="%6."/>
      <w:lvlJc w:val="right"/>
      <w:pPr>
        <w:ind w:left="4320" w:hanging="180"/>
      </w:pPr>
    </w:lvl>
    <w:lvl w:ilvl="6" w:tplc="F1FE5F90">
      <w:start w:val="1"/>
      <w:numFmt w:val="decimal"/>
      <w:lvlText w:val="%7."/>
      <w:lvlJc w:val="left"/>
      <w:pPr>
        <w:ind w:left="5040" w:hanging="360"/>
      </w:pPr>
    </w:lvl>
    <w:lvl w:ilvl="7" w:tplc="93C44108">
      <w:start w:val="1"/>
      <w:numFmt w:val="lowerLetter"/>
      <w:lvlText w:val="%8."/>
      <w:lvlJc w:val="left"/>
      <w:pPr>
        <w:ind w:left="5760" w:hanging="360"/>
      </w:pPr>
    </w:lvl>
    <w:lvl w:ilvl="8" w:tplc="2AC07D90">
      <w:start w:val="1"/>
      <w:numFmt w:val="lowerRoman"/>
      <w:lvlText w:val="%9."/>
      <w:lvlJc w:val="right"/>
      <w:pPr>
        <w:ind w:left="6480" w:hanging="180"/>
      </w:pPr>
    </w:lvl>
  </w:abstractNum>
  <w:abstractNum w:abstractNumId="22" w15:restartNumberingAfterBreak="0">
    <w:nsid w:val="157F6626"/>
    <w:multiLevelType w:val="hybridMultilevel"/>
    <w:tmpl w:val="3502EB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613FA9"/>
    <w:multiLevelType w:val="hybridMultilevel"/>
    <w:tmpl w:val="D0B64B60"/>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2F08CF"/>
    <w:multiLevelType w:val="hybridMultilevel"/>
    <w:tmpl w:val="0054108A"/>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MS Mincho" w:hAnsi="@MS Mincho" w:cs="@MS Mincho" w:hint="default"/>
      </w:rPr>
    </w:lvl>
    <w:lvl w:ilvl="2" w:tplc="FFFFFFFF" w:tentative="1">
      <w:start w:val="1"/>
      <w:numFmt w:val="bullet"/>
      <w:lvlText w:val=""/>
      <w:lvlJc w:val="left"/>
      <w:pPr>
        <w:ind w:left="2160" w:hanging="360"/>
      </w:pPr>
      <w:rPr>
        <w:rFonts w:ascii="MS Mincho" w:hAnsi="MS Mincho" w:hint="default"/>
      </w:rPr>
    </w:lvl>
    <w:lvl w:ilvl="3" w:tplc="FFFFFFFF" w:tentative="1">
      <w:start w:val="1"/>
      <w:numFmt w:val="bullet"/>
      <w:lvlText w:val=""/>
      <w:lvlJc w:val="left"/>
      <w:pPr>
        <w:ind w:left="2880" w:hanging="360"/>
      </w:pPr>
      <w:rPr>
        <w:rFonts w:ascii="Times New Roman félkövér" w:hAnsi="Times New Roman félkövér" w:hint="default"/>
      </w:rPr>
    </w:lvl>
    <w:lvl w:ilvl="4" w:tplc="FFFFFFFF" w:tentative="1">
      <w:start w:val="1"/>
      <w:numFmt w:val="bullet"/>
      <w:lvlText w:val="o"/>
      <w:lvlJc w:val="left"/>
      <w:pPr>
        <w:ind w:left="3600" w:hanging="360"/>
      </w:pPr>
      <w:rPr>
        <w:rFonts w:ascii="@MS Mincho" w:hAnsi="@MS Mincho" w:cs="@MS Mincho" w:hint="default"/>
      </w:rPr>
    </w:lvl>
    <w:lvl w:ilvl="5" w:tplc="FFFFFFFF" w:tentative="1">
      <w:start w:val="1"/>
      <w:numFmt w:val="bullet"/>
      <w:lvlText w:val=""/>
      <w:lvlJc w:val="left"/>
      <w:pPr>
        <w:ind w:left="4320" w:hanging="360"/>
      </w:pPr>
      <w:rPr>
        <w:rFonts w:ascii="MS Mincho" w:hAnsi="MS Mincho" w:hint="default"/>
      </w:rPr>
    </w:lvl>
    <w:lvl w:ilvl="6" w:tplc="FFFFFFFF" w:tentative="1">
      <w:start w:val="1"/>
      <w:numFmt w:val="bullet"/>
      <w:lvlText w:val=""/>
      <w:lvlJc w:val="left"/>
      <w:pPr>
        <w:ind w:left="5040" w:hanging="360"/>
      </w:pPr>
      <w:rPr>
        <w:rFonts w:ascii="Times New Roman félkövér" w:hAnsi="Times New Roman félkövér" w:hint="default"/>
      </w:rPr>
    </w:lvl>
    <w:lvl w:ilvl="7" w:tplc="FFFFFFFF" w:tentative="1">
      <w:start w:val="1"/>
      <w:numFmt w:val="bullet"/>
      <w:lvlText w:val="o"/>
      <w:lvlJc w:val="left"/>
      <w:pPr>
        <w:ind w:left="5760" w:hanging="360"/>
      </w:pPr>
      <w:rPr>
        <w:rFonts w:ascii="@MS Mincho" w:hAnsi="@MS Mincho" w:cs="@MS Mincho" w:hint="default"/>
      </w:rPr>
    </w:lvl>
    <w:lvl w:ilvl="8" w:tplc="FFFFFFFF" w:tentative="1">
      <w:start w:val="1"/>
      <w:numFmt w:val="bullet"/>
      <w:lvlText w:val=""/>
      <w:lvlJc w:val="left"/>
      <w:pPr>
        <w:ind w:left="6480" w:hanging="360"/>
      </w:pPr>
      <w:rPr>
        <w:rFonts w:ascii="MS Mincho" w:hAnsi="MS Mincho" w:hint="default"/>
      </w:rPr>
    </w:lvl>
  </w:abstractNum>
  <w:abstractNum w:abstractNumId="25" w15:restartNumberingAfterBreak="0">
    <w:nsid w:val="1AB43499"/>
    <w:multiLevelType w:val="hybridMultilevel"/>
    <w:tmpl w:val="229035EE"/>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7" w15:restartNumberingAfterBreak="0">
    <w:nsid w:val="2081216A"/>
    <w:multiLevelType w:val="hybridMultilevel"/>
    <w:tmpl w:val="4B021F8C"/>
    <w:lvl w:ilvl="0" w:tplc="1430B29A">
      <w:start w:val="1"/>
      <w:numFmt w:val="bullet"/>
      <w:lvlText w:val="-"/>
      <w:lvlJc w:val="left"/>
      <w:pPr>
        <w:ind w:left="720" w:hanging="360"/>
      </w:pPr>
      <w:rPr>
        <w:rFonts w:ascii="Times New Roman" w:eastAsiaTheme="minorEastAsia"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22624070"/>
    <w:multiLevelType w:val="hybridMultilevel"/>
    <w:tmpl w:val="8E7008C4"/>
    <w:lvl w:ilvl="0" w:tplc="991C3E1E">
      <w:start w:val="1"/>
      <w:numFmt w:val="bullet"/>
      <w:lvlText w:val="-"/>
      <w:lvlJc w:val="left"/>
      <w:pPr>
        <w:ind w:left="776" w:hanging="360"/>
      </w:pPr>
      <w:rPr>
        <w:rFonts w:ascii="Calibri" w:hAnsi="Calibri"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9"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4009700"/>
    <w:multiLevelType w:val="hybridMultilevel"/>
    <w:tmpl w:val="FFFFFFFF"/>
    <w:lvl w:ilvl="0" w:tplc="99B43E64">
      <w:start w:val="1"/>
      <w:numFmt w:val="decimal"/>
      <w:lvlText w:val="%1."/>
      <w:lvlJc w:val="left"/>
      <w:pPr>
        <w:ind w:left="720" w:hanging="360"/>
      </w:pPr>
    </w:lvl>
    <w:lvl w:ilvl="1" w:tplc="CCEE7EBA">
      <w:start w:val="1"/>
      <w:numFmt w:val="lowerLetter"/>
      <w:lvlText w:val="%2."/>
      <w:lvlJc w:val="left"/>
      <w:pPr>
        <w:ind w:left="1440" w:hanging="360"/>
      </w:pPr>
    </w:lvl>
    <w:lvl w:ilvl="2" w:tplc="05B68F20">
      <w:start w:val="1"/>
      <w:numFmt w:val="lowerRoman"/>
      <w:lvlText w:val="%3."/>
      <w:lvlJc w:val="right"/>
      <w:pPr>
        <w:ind w:left="2160" w:hanging="180"/>
      </w:pPr>
    </w:lvl>
    <w:lvl w:ilvl="3" w:tplc="4ED244CE">
      <w:start w:val="1"/>
      <w:numFmt w:val="decimal"/>
      <w:lvlText w:val="%4."/>
      <w:lvlJc w:val="left"/>
      <w:pPr>
        <w:ind w:left="2880" w:hanging="360"/>
      </w:pPr>
    </w:lvl>
    <w:lvl w:ilvl="4" w:tplc="EB8266EA">
      <w:start w:val="1"/>
      <w:numFmt w:val="lowerLetter"/>
      <w:lvlText w:val="%5."/>
      <w:lvlJc w:val="left"/>
      <w:pPr>
        <w:ind w:left="3600" w:hanging="360"/>
      </w:pPr>
    </w:lvl>
    <w:lvl w:ilvl="5" w:tplc="BF6ABFE8">
      <w:start w:val="1"/>
      <w:numFmt w:val="lowerRoman"/>
      <w:lvlText w:val="%6."/>
      <w:lvlJc w:val="right"/>
      <w:pPr>
        <w:ind w:left="4320" w:hanging="180"/>
      </w:pPr>
    </w:lvl>
    <w:lvl w:ilvl="6" w:tplc="CD3E4BBE">
      <w:start w:val="1"/>
      <w:numFmt w:val="decimal"/>
      <w:lvlText w:val="%7."/>
      <w:lvlJc w:val="left"/>
      <w:pPr>
        <w:ind w:left="5040" w:hanging="360"/>
      </w:pPr>
    </w:lvl>
    <w:lvl w:ilvl="7" w:tplc="24F2CCC0">
      <w:start w:val="1"/>
      <w:numFmt w:val="lowerLetter"/>
      <w:lvlText w:val="%8."/>
      <w:lvlJc w:val="left"/>
      <w:pPr>
        <w:ind w:left="5760" w:hanging="360"/>
      </w:pPr>
    </w:lvl>
    <w:lvl w:ilvl="8" w:tplc="82AC6408">
      <w:start w:val="1"/>
      <w:numFmt w:val="lowerRoman"/>
      <w:lvlText w:val="%9."/>
      <w:lvlJc w:val="right"/>
      <w:pPr>
        <w:ind w:left="6480" w:hanging="180"/>
      </w:pPr>
    </w:lvl>
  </w:abstractNum>
  <w:abstractNum w:abstractNumId="31" w15:restartNumberingAfterBreak="0">
    <w:nsid w:val="252E0C0D"/>
    <w:multiLevelType w:val="hybridMultilevel"/>
    <w:tmpl w:val="E09411D6"/>
    <w:lvl w:ilvl="0" w:tplc="991C3E1E">
      <w:start w:val="1"/>
      <w:numFmt w:val="bullet"/>
      <w:lvlText w:val="-"/>
      <w:lvlJc w:val="left"/>
      <w:pPr>
        <w:ind w:left="1080" w:hanging="720"/>
      </w:pPr>
      <w:rPr>
        <w:rFonts w:ascii="Calibri" w:hAnsi="Calibri"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253BC87E"/>
    <w:multiLevelType w:val="hybridMultilevel"/>
    <w:tmpl w:val="FFFFFFFF"/>
    <w:lvl w:ilvl="0" w:tplc="DFC40566">
      <w:start w:val="1"/>
      <w:numFmt w:val="bullet"/>
      <w:lvlText w:val="-"/>
      <w:lvlJc w:val="left"/>
      <w:pPr>
        <w:ind w:left="720" w:hanging="360"/>
      </w:pPr>
      <w:rPr>
        <w:rFonts w:ascii="Calibri" w:hAnsi="Calibri" w:hint="default"/>
      </w:rPr>
    </w:lvl>
    <w:lvl w:ilvl="1" w:tplc="605AC882">
      <w:start w:val="1"/>
      <w:numFmt w:val="bullet"/>
      <w:lvlText w:val="o"/>
      <w:lvlJc w:val="left"/>
      <w:pPr>
        <w:ind w:left="1440" w:hanging="360"/>
      </w:pPr>
      <w:rPr>
        <w:rFonts w:ascii="Courier New" w:hAnsi="Courier New" w:hint="default"/>
      </w:rPr>
    </w:lvl>
    <w:lvl w:ilvl="2" w:tplc="B2CCB334">
      <w:start w:val="1"/>
      <w:numFmt w:val="bullet"/>
      <w:lvlText w:val=""/>
      <w:lvlJc w:val="left"/>
      <w:pPr>
        <w:ind w:left="2160" w:hanging="360"/>
      </w:pPr>
      <w:rPr>
        <w:rFonts w:ascii="Wingdings" w:hAnsi="Wingdings" w:hint="default"/>
      </w:rPr>
    </w:lvl>
    <w:lvl w:ilvl="3" w:tplc="62502F0C">
      <w:start w:val="1"/>
      <w:numFmt w:val="bullet"/>
      <w:lvlText w:val=""/>
      <w:lvlJc w:val="left"/>
      <w:pPr>
        <w:ind w:left="2880" w:hanging="360"/>
      </w:pPr>
      <w:rPr>
        <w:rFonts w:ascii="Symbol" w:hAnsi="Symbol" w:hint="default"/>
      </w:rPr>
    </w:lvl>
    <w:lvl w:ilvl="4" w:tplc="6652CB26">
      <w:start w:val="1"/>
      <w:numFmt w:val="bullet"/>
      <w:lvlText w:val="o"/>
      <w:lvlJc w:val="left"/>
      <w:pPr>
        <w:ind w:left="3600" w:hanging="360"/>
      </w:pPr>
      <w:rPr>
        <w:rFonts w:ascii="Courier New" w:hAnsi="Courier New" w:hint="default"/>
      </w:rPr>
    </w:lvl>
    <w:lvl w:ilvl="5" w:tplc="E4E83CC2">
      <w:start w:val="1"/>
      <w:numFmt w:val="bullet"/>
      <w:lvlText w:val=""/>
      <w:lvlJc w:val="left"/>
      <w:pPr>
        <w:ind w:left="4320" w:hanging="360"/>
      </w:pPr>
      <w:rPr>
        <w:rFonts w:ascii="Wingdings" w:hAnsi="Wingdings" w:hint="default"/>
      </w:rPr>
    </w:lvl>
    <w:lvl w:ilvl="6" w:tplc="61C2AD16">
      <w:start w:val="1"/>
      <w:numFmt w:val="bullet"/>
      <w:lvlText w:val=""/>
      <w:lvlJc w:val="left"/>
      <w:pPr>
        <w:ind w:left="5040" w:hanging="360"/>
      </w:pPr>
      <w:rPr>
        <w:rFonts w:ascii="Symbol" w:hAnsi="Symbol" w:hint="default"/>
      </w:rPr>
    </w:lvl>
    <w:lvl w:ilvl="7" w:tplc="D716F0BA">
      <w:start w:val="1"/>
      <w:numFmt w:val="bullet"/>
      <w:lvlText w:val="o"/>
      <w:lvlJc w:val="left"/>
      <w:pPr>
        <w:ind w:left="5760" w:hanging="360"/>
      </w:pPr>
      <w:rPr>
        <w:rFonts w:ascii="Courier New" w:hAnsi="Courier New" w:hint="default"/>
      </w:rPr>
    </w:lvl>
    <w:lvl w:ilvl="8" w:tplc="A27AAE5C">
      <w:start w:val="1"/>
      <w:numFmt w:val="bullet"/>
      <w:lvlText w:val=""/>
      <w:lvlJc w:val="left"/>
      <w:pPr>
        <w:ind w:left="6480" w:hanging="360"/>
      </w:pPr>
      <w:rPr>
        <w:rFonts w:ascii="Wingdings" w:hAnsi="Wingdings" w:hint="default"/>
      </w:rPr>
    </w:lvl>
  </w:abstractNum>
  <w:abstractNum w:abstractNumId="33" w15:restartNumberingAfterBreak="0">
    <w:nsid w:val="25F7EFAC"/>
    <w:multiLevelType w:val="hybridMultilevel"/>
    <w:tmpl w:val="FFFFFFFF"/>
    <w:lvl w:ilvl="0" w:tplc="B4944A2A">
      <w:start w:val="1"/>
      <w:numFmt w:val="bullet"/>
      <w:lvlText w:val=""/>
      <w:lvlJc w:val="left"/>
      <w:pPr>
        <w:ind w:left="720" w:hanging="360"/>
      </w:pPr>
      <w:rPr>
        <w:rFonts w:ascii="Symbol" w:hAnsi="Symbol" w:hint="default"/>
      </w:rPr>
    </w:lvl>
    <w:lvl w:ilvl="1" w:tplc="B386AABC">
      <w:start w:val="1"/>
      <w:numFmt w:val="bullet"/>
      <w:lvlText w:val="o"/>
      <w:lvlJc w:val="left"/>
      <w:pPr>
        <w:ind w:left="1440" w:hanging="360"/>
      </w:pPr>
      <w:rPr>
        <w:rFonts w:ascii="Courier New" w:hAnsi="Courier New" w:hint="default"/>
      </w:rPr>
    </w:lvl>
    <w:lvl w:ilvl="2" w:tplc="88083F64">
      <w:start w:val="1"/>
      <w:numFmt w:val="bullet"/>
      <w:lvlText w:val=""/>
      <w:lvlJc w:val="left"/>
      <w:pPr>
        <w:ind w:left="2160" w:hanging="360"/>
      </w:pPr>
      <w:rPr>
        <w:rFonts w:ascii="Wingdings" w:hAnsi="Wingdings" w:hint="default"/>
      </w:rPr>
    </w:lvl>
    <w:lvl w:ilvl="3" w:tplc="3314D7D4">
      <w:start w:val="1"/>
      <w:numFmt w:val="bullet"/>
      <w:lvlText w:val=""/>
      <w:lvlJc w:val="left"/>
      <w:pPr>
        <w:ind w:left="2880" w:hanging="360"/>
      </w:pPr>
      <w:rPr>
        <w:rFonts w:ascii="Symbol" w:hAnsi="Symbol" w:hint="default"/>
      </w:rPr>
    </w:lvl>
    <w:lvl w:ilvl="4" w:tplc="86B8C04C">
      <w:start w:val="1"/>
      <w:numFmt w:val="bullet"/>
      <w:lvlText w:val="o"/>
      <w:lvlJc w:val="left"/>
      <w:pPr>
        <w:ind w:left="3600" w:hanging="360"/>
      </w:pPr>
      <w:rPr>
        <w:rFonts w:ascii="Courier New" w:hAnsi="Courier New" w:hint="default"/>
      </w:rPr>
    </w:lvl>
    <w:lvl w:ilvl="5" w:tplc="D1F069F0">
      <w:start w:val="1"/>
      <w:numFmt w:val="bullet"/>
      <w:lvlText w:val=""/>
      <w:lvlJc w:val="left"/>
      <w:pPr>
        <w:ind w:left="4320" w:hanging="360"/>
      </w:pPr>
      <w:rPr>
        <w:rFonts w:ascii="Wingdings" w:hAnsi="Wingdings" w:hint="default"/>
      </w:rPr>
    </w:lvl>
    <w:lvl w:ilvl="6" w:tplc="80A26088">
      <w:start w:val="1"/>
      <w:numFmt w:val="bullet"/>
      <w:lvlText w:val=""/>
      <w:lvlJc w:val="left"/>
      <w:pPr>
        <w:ind w:left="5040" w:hanging="360"/>
      </w:pPr>
      <w:rPr>
        <w:rFonts w:ascii="Symbol" w:hAnsi="Symbol" w:hint="default"/>
      </w:rPr>
    </w:lvl>
    <w:lvl w:ilvl="7" w:tplc="A8E01994">
      <w:start w:val="1"/>
      <w:numFmt w:val="bullet"/>
      <w:lvlText w:val="o"/>
      <w:lvlJc w:val="left"/>
      <w:pPr>
        <w:ind w:left="5760" w:hanging="360"/>
      </w:pPr>
      <w:rPr>
        <w:rFonts w:ascii="Courier New" w:hAnsi="Courier New" w:hint="default"/>
      </w:rPr>
    </w:lvl>
    <w:lvl w:ilvl="8" w:tplc="C6124E5A">
      <w:start w:val="1"/>
      <w:numFmt w:val="bullet"/>
      <w:lvlText w:val=""/>
      <w:lvlJc w:val="left"/>
      <w:pPr>
        <w:ind w:left="6480" w:hanging="360"/>
      </w:pPr>
      <w:rPr>
        <w:rFonts w:ascii="Wingdings" w:hAnsi="Wingdings" w:hint="default"/>
      </w:rPr>
    </w:lvl>
  </w:abstractNum>
  <w:abstractNum w:abstractNumId="34" w15:restartNumberingAfterBreak="0">
    <w:nsid w:val="27174F45"/>
    <w:multiLevelType w:val="hybridMultilevel"/>
    <w:tmpl w:val="B30C8676"/>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B8B227E"/>
    <w:multiLevelType w:val="hybridMultilevel"/>
    <w:tmpl w:val="ED3E031E"/>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CAE5023"/>
    <w:multiLevelType w:val="hybridMultilevel"/>
    <w:tmpl w:val="44E8D442"/>
    <w:lvl w:ilvl="0" w:tplc="3F16C13A">
      <w:start w:val="1"/>
      <w:numFmt w:val="decimal"/>
      <w:lvlText w:val="%1."/>
      <w:lvlJc w:val="left"/>
      <w:pPr>
        <w:ind w:left="720" w:hanging="360"/>
      </w:pPr>
      <w:rPr>
        <w:rFonts w:ascii="Segoe UI Emoji" w:eastAsiaTheme="minorHAnsi" w:hAnsi="Segoe UI Emoji" w:cs="Segoe UI Emoj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9" w15:restartNumberingAfterBreak="0">
    <w:nsid w:val="2D27ABB0"/>
    <w:multiLevelType w:val="hybridMultilevel"/>
    <w:tmpl w:val="1348036C"/>
    <w:lvl w:ilvl="0" w:tplc="18090001">
      <w:start w:val="1"/>
      <w:numFmt w:val="bullet"/>
      <w:lvlText w:val=""/>
      <w:lvlJc w:val="left"/>
      <w:pPr>
        <w:ind w:left="720" w:hanging="360"/>
      </w:pPr>
      <w:rPr>
        <w:rFonts w:ascii="Segoe UI Emoji" w:hAnsi="Segoe UI Emoji" w:hint="default"/>
      </w:rPr>
    </w:lvl>
    <w:lvl w:ilvl="1" w:tplc="1CC29F7A">
      <w:start w:val="1"/>
      <w:numFmt w:val="bullet"/>
      <w:lvlText w:val="o"/>
      <w:lvlJc w:val="left"/>
      <w:pPr>
        <w:ind w:left="1440" w:hanging="360"/>
      </w:pPr>
      <w:rPr>
        <w:rFonts w:ascii="Segoe UI Emoji" w:hAnsi="Segoe UI Emoji" w:hint="default"/>
      </w:rPr>
    </w:lvl>
    <w:lvl w:ilvl="2" w:tplc="AF805360">
      <w:start w:val="1"/>
      <w:numFmt w:val="bullet"/>
      <w:lvlText w:val=""/>
      <w:lvlJc w:val="left"/>
      <w:pPr>
        <w:ind w:left="2160" w:hanging="360"/>
      </w:pPr>
      <w:rPr>
        <w:rFonts w:ascii="@MS Mincho" w:hAnsi="@MS Mincho" w:hint="default"/>
      </w:rPr>
    </w:lvl>
    <w:lvl w:ilvl="3" w:tplc="DE9C8254">
      <w:start w:val="1"/>
      <w:numFmt w:val="bullet"/>
      <w:lvlText w:val=""/>
      <w:lvlJc w:val="left"/>
      <w:pPr>
        <w:ind w:left="2880" w:hanging="360"/>
      </w:pPr>
      <w:rPr>
        <w:rFonts w:ascii="Times New Roman félkövér" w:hAnsi="Times New Roman félkövér" w:hint="default"/>
      </w:rPr>
    </w:lvl>
    <w:lvl w:ilvl="4" w:tplc="6A00F8A0">
      <w:start w:val="1"/>
      <w:numFmt w:val="bullet"/>
      <w:lvlText w:val="o"/>
      <w:lvlJc w:val="left"/>
      <w:pPr>
        <w:ind w:left="3600" w:hanging="360"/>
      </w:pPr>
      <w:rPr>
        <w:rFonts w:ascii="Segoe UI Emoji" w:hAnsi="Segoe UI Emoji" w:hint="default"/>
      </w:rPr>
    </w:lvl>
    <w:lvl w:ilvl="5" w:tplc="AA06549C">
      <w:start w:val="1"/>
      <w:numFmt w:val="bullet"/>
      <w:lvlText w:val=""/>
      <w:lvlJc w:val="left"/>
      <w:pPr>
        <w:ind w:left="4320" w:hanging="360"/>
      </w:pPr>
      <w:rPr>
        <w:rFonts w:ascii="@MS Mincho" w:hAnsi="@MS Mincho" w:hint="default"/>
      </w:rPr>
    </w:lvl>
    <w:lvl w:ilvl="6" w:tplc="763448EE">
      <w:start w:val="1"/>
      <w:numFmt w:val="bullet"/>
      <w:lvlText w:val=""/>
      <w:lvlJc w:val="left"/>
      <w:pPr>
        <w:ind w:left="5040" w:hanging="360"/>
      </w:pPr>
      <w:rPr>
        <w:rFonts w:ascii="Times New Roman félkövér" w:hAnsi="Times New Roman félkövér" w:hint="default"/>
      </w:rPr>
    </w:lvl>
    <w:lvl w:ilvl="7" w:tplc="6ADE6886">
      <w:start w:val="1"/>
      <w:numFmt w:val="bullet"/>
      <w:lvlText w:val="o"/>
      <w:lvlJc w:val="left"/>
      <w:pPr>
        <w:ind w:left="5760" w:hanging="360"/>
      </w:pPr>
      <w:rPr>
        <w:rFonts w:ascii="Segoe UI Emoji" w:hAnsi="Segoe UI Emoji" w:hint="default"/>
      </w:rPr>
    </w:lvl>
    <w:lvl w:ilvl="8" w:tplc="68446ED0">
      <w:start w:val="1"/>
      <w:numFmt w:val="bullet"/>
      <w:lvlText w:val=""/>
      <w:lvlJc w:val="left"/>
      <w:pPr>
        <w:ind w:left="6480" w:hanging="360"/>
      </w:pPr>
      <w:rPr>
        <w:rFonts w:ascii="@MS Mincho" w:hAnsi="@MS Mincho" w:hint="default"/>
      </w:rPr>
    </w:lvl>
  </w:abstractNum>
  <w:abstractNum w:abstractNumId="40" w15:restartNumberingAfterBreak="0">
    <w:nsid w:val="2D560457"/>
    <w:multiLevelType w:val="hybridMultilevel"/>
    <w:tmpl w:val="41DE5612"/>
    <w:lvl w:ilvl="0" w:tplc="F9B0982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AB5CF0"/>
    <w:multiLevelType w:val="hybridMultilevel"/>
    <w:tmpl w:val="4C7238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20A6796"/>
    <w:multiLevelType w:val="hybridMultilevel"/>
    <w:tmpl w:val="7C288002"/>
    <w:lvl w:ilvl="0" w:tplc="991C3E1E">
      <w:start w:val="1"/>
      <w:numFmt w:val="bullet"/>
      <w:lvlText w:val="-"/>
      <w:lvlJc w:val="left"/>
      <w:pPr>
        <w:ind w:left="1080" w:hanging="72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3" w15:restartNumberingAfterBreak="0">
    <w:nsid w:val="32E83EEB"/>
    <w:multiLevelType w:val="hybridMultilevel"/>
    <w:tmpl w:val="DBDC485E"/>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4374D93"/>
    <w:multiLevelType w:val="hybridMultilevel"/>
    <w:tmpl w:val="1ADE3B4A"/>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egoe UI Emoji" w:hAnsi="Segoe UI Emoji" w:hint="default"/>
      </w:rPr>
    </w:lvl>
    <w:lvl w:ilvl="2" w:tplc="FFFFFFFF">
      <w:start w:val="1"/>
      <w:numFmt w:val="bullet"/>
      <w:lvlText w:val=""/>
      <w:lvlJc w:val="left"/>
      <w:pPr>
        <w:ind w:left="2160" w:hanging="360"/>
      </w:pPr>
      <w:rPr>
        <w:rFonts w:ascii="@MS Mincho" w:hAnsi="@MS Mincho" w:hint="default"/>
      </w:rPr>
    </w:lvl>
    <w:lvl w:ilvl="3" w:tplc="FFFFFFFF">
      <w:start w:val="1"/>
      <w:numFmt w:val="bullet"/>
      <w:lvlText w:val=""/>
      <w:lvlJc w:val="left"/>
      <w:pPr>
        <w:ind w:left="2880" w:hanging="360"/>
      </w:pPr>
      <w:rPr>
        <w:rFonts w:ascii="Times New Roman félkövér" w:hAnsi="Times New Roman félkövér" w:hint="default"/>
      </w:rPr>
    </w:lvl>
    <w:lvl w:ilvl="4" w:tplc="FFFFFFFF">
      <w:start w:val="1"/>
      <w:numFmt w:val="bullet"/>
      <w:lvlText w:val="o"/>
      <w:lvlJc w:val="left"/>
      <w:pPr>
        <w:ind w:left="3600" w:hanging="360"/>
      </w:pPr>
      <w:rPr>
        <w:rFonts w:ascii="Segoe UI Emoji" w:hAnsi="Segoe UI Emoji" w:hint="default"/>
      </w:rPr>
    </w:lvl>
    <w:lvl w:ilvl="5" w:tplc="FFFFFFFF">
      <w:start w:val="1"/>
      <w:numFmt w:val="bullet"/>
      <w:lvlText w:val=""/>
      <w:lvlJc w:val="left"/>
      <w:pPr>
        <w:ind w:left="4320" w:hanging="360"/>
      </w:pPr>
      <w:rPr>
        <w:rFonts w:ascii="@MS Mincho" w:hAnsi="@MS Mincho" w:hint="default"/>
      </w:rPr>
    </w:lvl>
    <w:lvl w:ilvl="6" w:tplc="FFFFFFFF">
      <w:start w:val="1"/>
      <w:numFmt w:val="bullet"/>
      <w:lvlText w:val=""/>
      <w:lvlJc w:val="left"/>
      <w:pPr>
        <w:ind w:left="5040" w:hanging="360"/>
      </w:pPr>
      <w:rPr>
        <w:rFonts w:ascii="Times New Roman félkövér" w:hAnsi="Times New Roman félkövér" w:hint="default"/>
      </w:rPr>
    </w:lvl>
    <w:lvl w:ilvl="7" w:tplc="FFFFFFFF">
      <w:start w:val="1"/>
      <w:numFmt w:val="bullet"/>
      <w:lvlText w:val="o"/>
      <w:lvlJc w:val="left"/>
      <w:pPr>
        <w:ind w:left="5760" w:hanging="360"/>
      </w:pPr>
      <w:rPr>
        <w:rFonts w:ascii="Segoe UI Emoji" w:hAnsi="Segoe UI Emoji" w:hint="default"/>
      </w:rPr>
    </w:lvl>
    <w:lvl w:ilvl="8" w:tplc="FFFFFFFF">
      <w:start w:val="1"/>
      <w:numFmt w:val="bullet"/>
      <w:lvlText w:val=""/>
      <w:lvlJc w:val="left"/>
      <w:pPr>
        <w:ind w:left="6480" w:hanging="360"/>
      </w:pPr>
      <w:rPr>
        <w:rFonts w:ascii="@MS Mincho" w:hAnsi="@MS Mincho" w:hint="default"/>
      </w:rPr>
    </w:lvl>
  </w:abstractNum>
  <w:abstractNum w:abstractNumId="45" w15:restartNumberingAfterBreak="0">
    <w:nsid w:val="39A060BB"/>
    <w:multiLevelType w:val="hybridMultilevel"/>
    <w:tmpl w:val="6F161914"/>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6423A5"/>
    <w:multiLevelType w:val="hybridMultilevel"/>
    <w:tmpl w:val="604E2C64"/>
    <w:lvl w:ilvl="0" w:tplc="991C3E1E">
      <w:start w:val="1"/>
      <w:numFmt w:val="bullet"/>
      <w:lvlText w:val="-"/>
      <w:lvlJc w:val="left"/>
      <w:pPr>
        <w:ind w:left="1080" w:hanging="720"/>
      </w:pPr>
      <w:rPr>
        <w:rFonts w:ascii="Calibri" w:hAnsi="Calibr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7" w15:restartNumberingAfterBreak="0">
    <w:nsid w:val="3C1FBB88"/>
    <w:multiLevelType w:val="hybridMultilevel"/>
    <w:tmpl w:val="FFFFFFFF"/>
    <w:lvl w:ilvl="0" w:tplc="D6EEFA86">
      <w:start w:val="1"/>
      <w:numFmt w:val="bullet"/>
      <w:lvlText w:val=""/>
      <w:lvlJc w:val="left"/>
      <w:pPr>
        <w:ind w:left="720" w:hanging="360"/>
      </w:pPr>
      <w:rPr>
        <w:rFonts w:ascii="Symbol" w:hAnsi="Symbol" w:hint="default"/>
      </w:rPr>
    </w:lvl>
    <w:lvl w:ilvl="1" w:tplc="9A541C76">
      <w:start w:val="1"/>
      <w:numFmt w:val="bullet"/>
      <w:lvlText w:val="o"/>
      <w:lvlJc w:val="left"/>
      <w:pPr>
        <w:ind w:left="1440" w:hanging="360"/>
      </w:pPr>
      <w:rPr>
        <w:rFonts w:ascii="Courier New" w:hAnsi="Courier New" w:hint="default"/>
      </w:rPr>
    </w:lvl>
    <w:lvl w:ilvl="2" w:tplc="4B103328">
      <w:start w:val="1"/>
      <w:numFmt w:val="bullet"/>
      <w:lvlText w:val=""/>
      <w:lvlJc w:val="left"/>
      <w:pPr>
        <w:ind w:left="2160" w:hanging="360"/>
      </w:pPr>
      <w:rPr>
        <w:rFonts w:ascii="Wingdings" w:hAnsi="Wingdings" w:hint="default"/>
      </w:rPr>
    </w:lvl>
    <w:lvl w:ilvl="3" w:tplc="CEEE1B2E">
      <w:start w:val="1"/>
      <w:numFmt w:val="bullet"/>
      <w:lvlText w:val=""/>
      <w:lvlJc w:val="left"/>
      <w:pPr>
        <w:ind w:left="2880" w:hanging="360"/>
      </w:pPr>
      <w:rPr>
        <w:rFonts w:ascii="Symbol" w:hAnsi="Symbol" w:hint="default"/>
      </w:rPr>
    </w:lvl>
    <w:lvl w:ilvl="4" w:tplc="37C0319C">
      <w:start w:val="1"/>
      <w:numFmt w:val="bullet"/>
      <w:lvlText w:val="o"/>
      <w:lvlJc w:val="left"/>
      <w:pPr>
        <w:ind w:left="3600" w:hanging="360"/>
      </w:pPr>
      <w:rPr>
        <w:rFonts w:ascii="Courier New" w:hAnsi="Courier New" w:hint="default"/>
      </w:rPr>
    </w:lvl>
    <w:lvl w:ilvl="5" w:tplc="81704DB0">
      <w:start w:val="1"/>
      <w:numFmt w:val="bullet"/>
      <w:lvlText w:val=""/>
      <w:lvlJc w:val="left"/>
      <w:pPr>
        <w:ind w:left="4320" w:hanging="360"/>
      </w:pPr>
      <w:rPr>
        <w:rFonts w:ascii="Wingdings" w:hAnsi="Wingdings" w:hint="default"/>
      </w:rPr>
    </w:lvl>
    <w:lvl w:ilvl="6" w:tplc="CE0C449A">
      <w:start w:val="1"/>
      <w:numFmt w:val="bullet"/>
      <w:lvlText w:val=""/>
      <w:lvlJc w:val="left"/>
      <w:pPr>
        <w:ind w:left="5040" w:hanging="360"/>
      </w:pPr>
      <w:rPr>
        <w:rFonts w:ascii="Symbol" w:hAnsi="Symbol" w:hint="default"/>
      </w:rPr>
    </w:lvl>
    <w:lvl w:ilvl="7" w:tplc="567E876E">
      <w:start w:val="1"/>
      <w:numFmt w:val="bullet"/>
      <w:lvlText w:val="o"/>
      <w:lvlJc w:val="left"/>
      <w:pPr>
        <w:ind w:left="5760" w:hanging="360"/>
      </w:pPr>
      <w:rPr>
        <w:rFonts w:ascii="Courier New" w:hAnsi="Courier New" w:hint="default"/>
      </w:rPr>
    </w:lvl>
    <w:lvl w:ilvl="8" w:tplc="26F00DEC">
      <w:start w:val="1"/>
      <w:numFmt w:val="bullet"/>
      <w:lvlText w:val=""/>
      <w:lvlJc w:val="left"/>
      <w:pPr>
        <w:ind w:left="6480" w:hanging="360"/>
      </w:pPr>
      <w:rPr>
        <w:rFonts w:ascii="Wingdings" w:hAnsi="Wingdings" w:hint="default"/>
      </w:rPr>
    </w:lvl>
  </w:abstractNum>
  <w:abstractNum w:abstractNumId="48" w15:restartNumberingAfterBreak="0">
    <w:nsid w:val="3CFD68E5"/>
    <w:multiLevelType w:val="hybridMultilevel"/>
    <w:tmpl w:val="B650A786"/>
    <w:lvl w:ilvl="0" w:tplc="1809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Yu Mincho Light" w:hAnsi="Yu Mincho Light" w:cs="Yu Mincho Light" w:hint="default"/>
      </w:rPr>
    </w:lvl>
    <w:lvl w:ilvl="2" w:tplc="FFFFFFFF" w:tentative="1">
      <w:start w:val="1"/>
      <w:numFmt w:val="bullet"/>
      <w:lvlText w:val=""/>
      <w:lvlJc w:val="left"/>
      <w:pPr>
        <w:ind w:left="2444" w:hanging="360"/>
      </w:pPr>
      <w:rPr>
        <w:rFonts w:ascii="MS Mincho" w:hAnsi="MS Mincho" w:hint="default"/>
      </w:rPr>
    </w:lvl>
    <w:lvl w:ilvl="3" w:tplc="FFFFFFFF" w:tentative="1">
      <w:start w:val="1"/>
      <w:numFmt w:val="bullet"/>
      <w:lvlText w:val=""/>
      <w:lvlJc w:val="left"/>
      <w:pPr>
        <w:ind w:left="3164" w:hanging="360"/>
      </w:pPr>
      <w:rPr>
        <w:rFonts w:ascii="MS Mincho" w:hAnsi="MS Mincho" w:hint="default"/>
      </w:rPr>
    </w:lvl>
    <w:lvl w:ilvl="4" w:tplc="FFFFFFFF" w:tentative="1">
      <w:start w:val="1"/>
      <w:numFmt w:val="bullet"/>
      <w:lvlText w:val="o"/>
      <w:lvlJc w:val="left"/>
      <w:pPr>
        <w:ind w:left="3884" w:hanging="360"/>
      </w:pPr>
      <w:rPr>
        <w:rFonts w:ascii="Yu Mincho Light" w:hAnsi="Yu Mincho Light" w:cs="Yu Mincho Light" w:hint="default"/>
      </w:rPr>
    </w:lvl>
    <w:lvl w:ilvl="5" w:tplc="FFFFFFFF" w:tentative="1">
      <w:start w:val="1"/>
      <w:numFmt w:val="bullet"/>
      <w:lvlText w:val=""/>
      <w:lvlJc w:val="left"/>
      <w:pPr>
        <w:ind w:left="4604" w:hanging="360"/>
      </w:pPr>
      <w:rPr>
        <w:rFonts w:ascii="MS Mincho" w:hAnsi="MS Mincho" w:hint="default"/>
      </w:rPr>
    </w:lvl>
    <w:lvl w:ilvl="6" w:tplc="FFFFFFFF" w:tentative="1">
      <w:start w:val="1"/>
      <w:numFmt w:val="bullet"/>
      <w:lvlText w:val=""/>
      <w:lvlJc w:val="left"/>
      <w:pPr>
        <w:ind w:left="5324" w:hanging="360"/>
      </w:pPr>
      <w:rPr>
        <w:rFonts w:ascii="MS Mincho" w:hAnsi="MS Mincho" w:hint="default"/>
      </w:rPr>
    </w:lvl>
    <w:lvl w:ilvl="7" w:tplc="FFFFFFFF" w:tentative="1">
      <w:start w:val="1"/>
      <w:numFmt w:val="bullet"/>
      <w:lvlText w:val="o"/>
      <w:lvlJc w:val="left"/>
      <w:pPr>
        <w:ind w:left="6044" w:hanging="360"/>
      </w:pPr>
      <w:rPr>
        <w:rFonts w:ascii="Yu Mincho Light" w:hAnsi="Yu Mincho Light" w:cs="Yu Mincho Light" w:hint="default"/>
      </w:rPr>
    </w:lvl>
    <w:lvl w:ilvl="8" w:tplc="FFFFFFFF" w:tentative="1">
      <w:start w:val="1"/>
      <w:numFmt w:val="bullet"/>
      <w:lvlText w:val=""/>
      <w:lvlJc w:val="left"/>
      <w:pPr>
        <w:ind w:left="6764" w:hanging="360"/>
      </w:pPr>
      <w:rPr>
        <w:rFonts w:ascii="MS Mincho" w:hAnsi="MS Mincho" w:hint="default"/>
      </w:rPr>
    </w:lvl>
  </w:abstractNum>
  <w:abstractNum w:abstractNumId="49" w15:restartNumberingAfterBreak="0">
    <w:nsid w:val="400A7B18"/>
    <w:multiLevelType w:val="multilevel"/>
    <w:tmpl w:val="2F7AC3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021A52"/>
    <w:multiLevelType w:val="hybridMultilevel"/>
    <w:tmpl w:val="D736BEAE"/>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1E4070A"/>
    <w:multiLevelType w:val="hybridMultilevel"/>
    <w:tmpl w:val="59AC8B4E"/>
    <w:lvl w:ilvl="0" w:tplc="1430B29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54" w15:restartNumberingAfterBreak="0">
    <w:nsid w:val="432C32C9"/>
    <w:multiLevelType w:val="multilevel"/>
    <w:tmpl w:val="6136D4B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3A30E35"/>
    <w:multiLevelType w:val="hybridMultilevel"/>
    <w:tmpl w:val="541044B2"/>
    <w:lvl w:ilvl="0" w:tplc="991C3E1E">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3A72B3A"/>
    <w:multiLevelType w:val="hybridMultilevel"/>
    <w:tmpl w:val="AFCC9634"/>
    <w:lvl w:ilvl="0" w:tplc="991C3E1E">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3B1786A"/>
    <w:multiLevelType w:val="hybridMultilevel"/>
    <w:tmpl w:val="0AA84568"/>
    <w:lvl w:ilvl="0" w:tplc="18090001">
      <w:start w:val="1"/>
      <w:numFmt w:val="bullet"/>
      <w:lvlText w:val=""/>
      <w:lvlJc w:val="left"/>
      <w:pPr>
        <w:ind w:left="720" w:hanging="360"/>
      </w:pPr>
      <w:rPr>
        <w:rFonts w:ascii="Symbol" w:hAnsi="Symbol" w:hint="default"/>
        <w:sz w:val="20"/>
        <w:szCs w:val="20"/>
      </w:rPr>
    </w:lvl>
    <w:lvl w:ilvl="1" w:tplc="260E68B2">
      <w:start w:val="1"/>
      <w:numFmt w:val="bullet"/>
      <w:lvlText w:val="o"/>
      <w:lvlJc w:val="left"/>
      <w:pPr>
        <w:ind w:left="1440" w:hanging="360"/>
      </w:pPr>
      <w:rPr>
        <w:rFonts w:ascii="Segoe UI Emoji" w:hAnsi="Segoe UI Emoji" w:hint="default"/>
      </w:rPr>
    </w:lvl>
    <w:lvl w:ilvl="2" w:tplc="E0024634">
      <w:start w:val="1"/>
      <w:numFmt w:val="bullet"/>
      <w:lvlText w:val=""/>
      <w:lvlJc w:val="left"/>
      <w:pPr>
        <w:ind w:left="2160" w:hanging="360"/>
      </w:pPr>
      <w:rPr>
        <w:rFonts w:ascii="@MS Mincho" w:hAnsi="@MS Mincho" w:hint="default"/>
      </w:rPr>
    </w:lvl>
    <w:lvl w:ilvl="3" w:tplc="92FC7814">
      <w:start w:val="1"/>
      <w:numFmt w:val="bullet"/>
      <w:lvlText w:val=""/>
      <w:lvlJc w:val="left"/>
      <w:pPr>
        <w:ind w:left="2880" w:hanging="360"/>
      </w:pPr>
      <w:rPr>
        <w:rFonts w:ascii="Times New Roman félkövér" w:hAnsi="Times New Roman félkövér" w:hint="default"/>
      </w:rPr>
    </w:lvl>
    <w:lvl w:ilvl="4" w:tplc="0D4A42B8">
      <w:start w:val="1"/>
      <w:numFmt w:val="bullet"/>
      <w:lvlText w:val="o"/>
      <w:lvlJc w:val="left"/>
      <w:pPr>
        <w:ind w:left="3600" w:hanging="360"/>
      </w:pPr>
      <w:rPr>
        <w:rFonts w:ascii="Segoe UI Emoji" w:hAnsi="Segoe UI Emoji" w:hint="default"/>
      </w:rPr>
    </w:lvl>
    <w:lvl w:ilvl="5" w:tplc="E1DAE3B8">
      <w:start w:val="1"/>
      <w:numFmt w:val="bullet"/>
      <w:lvlText w:val=""/>
      <w:lvlJc w:val="left"/>
      <w:pPr>
        <w:ind w:left="4320" w:hanging="360"/>
      </w:pPr>
      <w:rPr>
        <w:rFonts w:ascii="@MS Mincho" w:hAnsi="@MS Mincho" w:hint="default"/>
      </w:rPr>
    </w:lvl>
    <w:lvl w:ilvl="6" w:tplc="8DB4CBD2">
      <w:start w:val="1"/>
      <w:numFmt w:val="bullet"/>
      <w:lvlText w:val=""/>
      <w:lvlJc w:val="left"/>
      <w:pPr>
        <w:ind w:left="5040" w:hanging="360"/>
      </w:pPr>
      <w:rPr>
        <w:rFonts w:ascii="Times New Roman félkövér" w:hAnsi="Times New Roman félkövér" w:hint="default"/>
      </w:rPr>
    </w:lvl>
    <w:lvl w:ilvl="7" w:tplc="BDBA31D6">
      <w:start w:val="1"/>
      <w:numFmt w:val="bullet"/>
      <w:lvlText w:val="o"/>
      <w:lvlJc w:val="left"/>
      <w:pPr>
        <w:ind w:left="5760" w:hanging="360"/>
      </w:pPr>
      <w:rPr>
        <w:rFonts w:ascii="Segoe UI Emoji" w:hAnsi="Segoe UI Emoji" w:hint="default"/>
      </w:rPr>
    </w:lvl>
    <w:lvl w:ilvl="8" w:tplc="270C7E80">
      <w:start w:val="1"/>
      <w:numFmt w:val="bullet"/>
      <w:lvlText w:val=""/>
      <w:lvlJc w:val="left"/>
      <w:pPr>
        <w:ind w:left="6480" w:hanging="360"/>
      </w:pPr>
      <w:rPr>
        <w:rFonts w:ascii="@MS Mincho" w:hAnsi="@MS Mincho" w:hint="default"/>
      </w:rPr>
    </w:lvl>
  </w:abstractNum>
  <w:abstractNum w:abstractNumId="58" w15:restartNumberingAfterBreak="0">
    <w:nsid w:val="44136177"/>
    <w:multiLevelType w:val="hybridMultilevel"/>
    <w:tmpl w:val="D31ECAFC"/>
    <w:lvl w:ilvl="0" w:tplc="991C3E1E">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60" w15:restartNumberingAfterBreak="0">
    <w:nsid w:val="456A440E"/>
    <w:multiLevelType w:val="hybridMultilevel"/>
    <w:tmpl w:val="193469B6"/>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66A236D"/>
    <w:multiLevelType w:val="hybridMultilevel"/>
    <w:tmpl w:val="DC487180"/>
    <w:lvl w:ilvl="0" w:tplc="991C3E1E">
      <w:start w:val="1"/>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48477D5B"/>
    <w:multiLevelType w:val="hybridMultilevel"/>
    <w:tmpl w:val="A41A2424"/>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85C3822"/>
    <w:multiLevelType w:val="hybridMultilevel"/>
    <w:tmpl w:val="4BB007BE"/>
    <w:lvl w:ilvl="0" w:tplc="08160001">
      <w:start w:val="1"/>
      <w:numFmt w:val="bullet"/>
      <w:lvlText w:val=""/>
      <w:lvlJc w:val="left"/>
      <w:pPr>
        <w:ind w:left="6881" w:hanging="360"/>
      </w:pPr>
      <w:rPr>
        <w:rFonts w:ascii="Symbol" w:hAnsi="Symbol" w:hint="default"/>
      </w:rPr>
    </w:lvl>
    <w:lvl w:ilvl="1" w:tplc="08160003">
      <w:start w:val="1"/>
      <w:numFmt w:val="bullet"/>
      <w:lvlText w:val="o"/>
      <w:lvlJc w:val="left"/>
      <w:pPr>
        <w:ind w:left="1080" w:hanging="360"/>
      </w:pPr>
      <w:rPr>
        <w:rFonts w:ascii="Courier New" w:hAnsi="Courier New" w:cs="Courier New" w:hint="default"/>
      </w:rPr>
    </w:lvl>
    <w:lvl w:ilvl="2" w:tplc="08160005">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4" w15:restartNumberingAfterBreak="0">
    <w:nsid w:val="4A1837DC"/>
    <w:multiLevelType w:val="multilevel"/>
    <w:tmpl w:val="5ED821E4"/>
    <w:lvl w:ilvl="0">
      <w:start w:val="1"/>
      <w:numFmt w:val="bullet"/>
      <w:lvlText w:val="-"/>
      <w:lvlJc w:val="left"/>
      <w:rPr>
        <w:rFonts w:ascii="Calibri" w:hAnsi="Calibri" w:hint="default"/>
        <w:b w:val="0"/>
        <w:bCs w:val="0"/>
        <w:i w:val="0"/>
        <w:iCs w:val="0"/>
        <w:smallCaps w:val="0"/>
        <w:strike w:val="0"/>
        <w:color w:val="000000"/>
        <w:spacing w:val="0"/>
        <w:w w:val="100"/>
        <w:position w:val="0"/>
        <w:sz w:val="21"/>
        <w:szCs w:val="21"/>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ABB3D79"/>
    <w:multiLevelType w:val="hybridMultilevel"/>
    <w:tmpl w:val="C06EC8F2"/>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MS Mincho" w:hAnsi="@MS Mincho" w:hint="default"/>
      </w:rPr>
    </w:lvl>
    <w:lvl w:ilvl="2" w:tplc="FFFFFFFF">
      <w:start w:val="1"/>
      <w:numFmt w:val="bullet"/>
      <w:lvlText w:val=""/>
      <w:lvlJc w:val="left"/>
      <w:pPr>
        <w:ind w:left="2160" w:hanging="360"/>
      </w:pPr>
      <w:rPr>
        <w:rFonts w:ascii="MS Mincho" w:hAnsi="MS Mincho" w:hint="default"/>
      </w:rPr>
    </w:lvl>
    <w:lvl w:ilvl="3" w:tplc="FFFFFFFF">
      <w:start w:val="1"/>
      <w:numFmt w:val="bullet"/>
      <w:lvlText w:val=""/>
      <w:lvlJc w:val="left"/>
      <w:pPr>
        <w:ind w:left="2880" w:hanging="360"/>
      </w:pPr>
      <w:rPr>
        <w:rFonts w:ascii="Times New Roman félkövér" w:hAnsi="Times New Roman félkövér" w:hint="default"/>
      </w:rPr>
    </w:lvl>
    <w:lvl w:ilvl="4" w:tplc="FFFFFFFF">
      <w:start w:val="1"/>
      <w:numFmt w:val="bullet"/>
      <w:lvlText w:val="o"/>
      <w:lvlJc w:val="left"/>
      <w:pPr>
        <w:ind w:left="3600" w:hanging="360"/>
      </w:pPr>
      <w:rPr>
        <w:rFonts w:ascii="@MS Mincho" w:hAnsi="@MS Mincho" w:hint="default"/>
      </w:rPr>
    </w:lvl>
    <w:lvl w:ilvl="5" w:tplc="FFFFFFFF">
      <w:start w:val="1"/>
      <w:numFmt w:val="bullet"/>
      <w:lvlText w:val=""/>
      <w:lvlJc w:val="left"/>
      <w:pPr>
        <w:ind w:left="4320" w:hanging="360"/>
      </w:pPr>
      <w:rPr>
        <w:rFonts w:ascii="MS Mincho" w:hAnsi="MS Mincho" w:hint="default"/>
      </w:rPr>
    </w:lvl>
    <w:lvl w:ilvl="6" w:tplc="FFFFFFFF">
      <w:start w:val="1"/>
      <w:numFmt w:val="bullet"/>
      <w:lvlText w:val=""/>
      <w:lvlJc w:val="left"/>
      <w:pPr>
        <w:ind w:left="5040" w:hanging="360"/>
      </w:pPr>
      <w:rPr>
        <w:rFonts w:ascii="Times New Roman félkövér" w:hAnsi="Times New Roman félkövér" w:hint="default"/>
      </w:rPr>
    </w:lvl>
    <w:lvl w:ilvl="7" w:tplc="FFFFFFFF">
      <w:start w:val="1"/>
      <w:numFmt w:val="bullet"/>
      <w:lvlText w:val="o"/>
      <w:lvlJc w:val="left"/>
      <w:pPr>
        <w:ind w:left="5760" w:hanging="360"/>
      </w:pPr>
      <w:rPr>
        <w:rFonts w:ascii="@MS Mincho" w:hAnsi="@MS Mincho" w:hint="default"/>
      </w:rPr>
    </w:lvl>
    <w:lvl w:ilvl="8" w:tplc="FFFFFFFF">
      <w:start w:val="1"/>
      <w:numFmt w:val="bullet"/>
      <w:lvlText w:val=""/>
      <w:lvlJc w:val="left"/>
      <w:pPr>
        <w:ind w:left="6480" w:hanging="360"/>
      </w:pPr>
      <w:rPr>
        <w:rFonts w:ascii="MS Mincho" w:hAnsi="MS Mincho" w:hint="default"/>
      </w:rPr>
    </w:lvl>
  </w:abstractNum>
  <w:abstractNum w:abstractNumId="66" w15:restartNumberingAfterBreak="0">
    <w:nsid w:val="4B1B1BD9"/>
    <w:multiLevelType w:val="hybridMultilevel"/>
    <w:tmpl w:val="30E29848"/>
    <w:lvl w:ilvl="0" w:tplc="B8D40F1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C9818A8"/>
    <w:multiLevelType w:val="hybridMultilevel"/>
    <w:tmpl w:val="2FD8C976"/>
    <w:lvl w:ilvl="0" w:tplc="991C3E1E">
      <w:start w:val="1"/>
      <w:numFmt w:val="bullet"/>
      <w:lvlText w:val="-"/>
      <w:lvlJc w:val="left"/>
      <w:pPr>
        <w:ind w:left="720" w:hanging="360"/>
      </w:pPr>
      <w:rPr>
        <w:rFonts w:ascii="Calibri" w:hAnsi="Calibri" w:hint="default"/>
      </w:rPr>
    </w:lvl>
    <w:lvl w:ilvl="1" w:tplc="991C3E1E">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DB12C54"/>
    <w:multiLevelType w:val="hybridMultilevel"/>
    <w:tmpl w:val="FFFFFFFF"/>
    <w:lvl w:ilvl="0" w:tplc="67BE596E">
      <w:start w:val="1"/>
      <w:numFmt w:val="bullet"/>
      <w:lvlText w:val="-"/>
      <w:lvlJc w:val="left"/>
      <w:pPr>
        <w:ind w:left="720" w:hanging="360"/>
      </w:pPr>
      <w:rPr>
        <w:rFonts w:ascii="Calibri" w:hAnsi="Calibri" w:hint="default"/>
      </w:rPr>
    </w:lvl>
    <w:lvl w:ilvl="1" w:tplc="39DCF4AA">
      <w:start w:val="1"/>
      <w:numFmt w:val="bullet"/>
      <w:lvlText w:val="o"/>
      <w:lvlJc w:val="left"/>
      <w:pPr>
        <w:ind w:left="1440" w:hanging="360"/>
      </w:pPr>
      <w:rPr>
        <w:rFonts w:ascii="Courier New" w:hAnsi="Courier New" w:hint="default"/>
      </w:rPr>
    </w:lvl>
    <w:lvl w:ilvl="2" w:tplc="E71A66AE">
      <w:start w:val="1"/>
      <w:numFmt w:val="bullet"/>
      <w:lvlText w:val=""/>
      <w:lvlJc w:val="left"/>
      <w:pPr>
        <w:ind w:left="2160" w:hanging="360"/>
      </w:pPr>
      <w:rPr>
        <w:rFonts w:ascii="Wingdings" w:hAnsi="Wingdings" w:hint="default"/>
      </w:rPr>
    </w:lvl>
    <w:lvl w:ilvl="3" w:tplc="7D04A362">
      <w:start w:val="1"/>
      <w:numFmt w:val="bullet"/>
      <w:lvlText w:val=""/>
      <w:lvlJc w:val="left"/>
      <w:pPr>
        <w:ind w:left="2880" w:hanging="360"/>
      </w:pPr>
      <w:rPr>
        <w:rFonts w:ascii="Symbol" w:hAnsi="Symbol" w:hint="default"/>
      </w:rPr>
    </w:lvl>
    <w:lvl w:ilvl="4" w:tplc="6DBC2DA6">
      <w:start w:val="1"/>
      <w:numFmt w:val="bullet"/>
      <w:lvlText w:val="o"/>
      <w:lvlJc w:val="left"/>
      <w:pPr>
        <w:ind w:left="3600" w:hanging="360"/>
      </w:pPr>
      <w:rPr>
        <w:rFonts w:ascii="Courier New" w:hAnsi="Courier New" w:hint="default"/>
      </w:rPr>
    </w:lvl>
    <w:lvl w:ilvl="5" w:tplc="A5CCEC06">
      <w:start w:val="1"/>
      <w:numFmt w:val="bullet"/>
      <w:lvlText w:val=""/>
      <w:lvlJc w:val="left"/>
      <w:pPr>
        <w:ind w:left="4320" w:hanging="360"/>
      </w:pPr>
      <w:rPr>
        <w:rFonts w:ascii="Wingdings" w:hAnsi="Wingdings" w:hint="default"/>
      </w:rPr>
    </w:lvl>
    <w:lvl w:ilvl="6" w:tplc="2BEEA494">
      <w:start w:val="1"/>
      <w:numFmt w:val="bullet"/>
      <w:lvlText w:val=""/>
      <w:lvlJc w:val="left"/>
      <w:pPr>
        <w:ind w:left="5040" w:hanging="360"/>
      </w:pPr>
      <w:rPr>
        <w:rFonts w:ascii="Symbol" w:hAnsi="Symbol" w:hint="default"/>
      </w:rPr>
    </w:lvl>
    <w:lvl w:ilvl="7" w:tplc="5B7C1BD2">
      <w:start w:val="1"/>
      <w:numFmt w:val="bullet"/>
      <w:lvlText w:val="o"/>
      <w:lvlJc w:val="left"/>
      <w:pPr>
        <w:ind w:left="5760" w:hanging="360"/>
      </w:pPr>
      <w:rPr>
        <w:rFonts w:ascii="Courier New" w:hAnsi="Courier New" w:hint="default"/>
      </w:rPr>
    </w:lvl>
    <w:lvl w:ilvl="8" w:tplc="BE265C54">
      <w:start w:val="1"/>
      <w:numFmt w:val="bullet"/>
      <w:lvlText w:val=""/>
      <w:lvlJc w:val="left"/>
      <w:pPr>
        <w:ind w:left="6480" w:hanging="360"/>
      </w:pPr>
      <w:rPr>
        <w:rFonts w:ascii="Wingdings" w:hAnsi="Wingdings" w:hint="default"/>
      </w:rPr>
    </w:lvl>
  </w:abstractNum>
  <w:abstractNum w:abstractNumId="69" w15:restartNumberingAfterBreak="0">
    <w:nsid w:val="4ED0C028"/>
    <w:multiLevelType w:val="hybridMultilevel"/>
    <w:tmpl w:val="FFFFFFFF"/>
    <w:lvl w:ilvl="0" w:tplc="70B664EC">
      <w:start w:val="1"/>
      <w:numFmt w:val="bullet"/>
      <w:lvlText w:val=""/>
      <w:lvlJc w:val="left"/>
      <w:pPr>
        <w:ind w:left="720" w:hanging="360"/>
      </w:pPr>
      <w:rPr>
        <w:rFonts w:ascii="Symbol" w:hAnsi="Symbol" w:hint="default"/>
      </w:rPr>
    </w:lvl>
    <w:lvl w:ilvl="1" w:tplc="229C186A">
      <w:start w:val="1"/>
      <w:numFmt w:val="bullet"/>
      <w:lvlText w:val="o"/>
      <w:lvlJc w:val="left"/>
      <w:pPr>
        <w:ind w:left="1440" w:hanging="360"/>
      </w:pPr>
      <w:rPr>
        <w:rFonts w:ascii="Courier New" w:hAnsi="Courier New" w:hint="default"/>
      </w:rPr>
    </w:lvl>
    <w:lvl w:ilvl="2" w:tplc="DEAAE380">
      <w:start w:val="1"/>
      <w:numFmt w:val="bullet"/>
      <w:lvlText w:val=""/>
      <w:lvlJc w:val="left"/>
      <w:pPr>
        <w:ind w:left="2160" w:hanging="360"/>
      </w:pPr>
      <w:rPr>
        <w:rFonts w:ascii="Wingdings" w:hAnsi="Wingdings" w:hint="default"/>
      </w:rPr>
    </w:lvl>
    <w:lvl w:ilvl="3" w:tplc="3A6A8586">
      <w:start w:val="1"/>
      <w:numFmt w:val="bullet"/>
      <w:lvlText w:val=""/>
      <w:lvlJc w:val="left"/>
      <w:pPr>
        <w:ind w:left="2880" w:hanging="360"/>
      </w:pPr>
      <w:rPr>
        <w:rFonts w:ascii="Symbol" w:hAnsi="Symbol" w:hint="default"/>
      </w:rPr>
    </w:lvl>
    <w:lvl w:ilvl="4" w:tplc="0652EBEC">
      <w:start w:val="1"/>
      <w:numFmt w:val="bullet"/>
      <w:lvlText w:val="o"/>
      <w:lvlJc w:val="left"/>
      <w:pPr>
        <w:ind w:left="3600" w:hanging="360"/>
      </w:pPr>
      <w:rPr>
        <w:rFonts w:ascii="Courier New" w:hAnsi="Courier New" w:hint="default"/>
      </w:rPr>
    </w:lvl>
    <w:lvl w:ilvl="5" w:tplc="61A2DDD2">
      <w:start w:val="1"/>
      <w:numFmt w:val="bullet"/>
      <w:lvlText w:val=""/>
      <w:lvlJc w:val="left"/>
      <w:pPr>
        <w:ind w:left="4320" w:hanging="360"/>
      </w:pPr>
      <w:rPr>
        <w:rFonts w:ascii="Wingdings" w:hAnsi="Wingdings" w:hint="default"/>
      </w:rPr>
    </w:lvl>
    <w:lvl w:ilvl="6" w:tplc="53E013E6">
      <w:start w:val="1"/>
      <w:numFmt w:val="bullet"/>
      <w:lvlText w:val=""/>
      <w:lvlJc w:val="left"/>
      <w:pPr>
        <w:ind w:left="5040" w:hanging="360"/>
      </w:pPr>
      <w:rPr>
        <w:rFonts w:ascii="Symbol" w:hAnsi="Symbol" w:hint="default"/>
      </w:rPr>
    </w:lvl>
    <w:lvl w:ilvl="7" w:tplc="E646C87C">
      <w:start w:val="1"/>
      <w:numFmt w:val="bullet"/>
      <w:lvlText w:val="o"/>
      <w:lvlJc w:val="left"/>
      <w:pPr>
        <w:ind w:left="5760" w:hanging="360"/>
      </w:pPr>
      <w:rPr>
        <w:rFonts w:ascii="Courier New" w:hAnsi="Courier New" w:hint="default"/>
      </w:rPr>
    </w:lvl>
    <w:lvl w:ilvl="8" w:tplc="D16C9752">
      <w:start w:val="1"/>
      <w:numFmt w:val="bullet"/>
      <w:lvlText w:val=""/>
      <w:lvlJc w:val="left"/>
      <w:pPr>
        <w:ind w:left="6480" w:hanging="360"/>
      </w:pPr>
      <w:rPr>
        <w:rFonts w:ascii="Wingdings" w:hAnsi="Wingdings" w:hint="default"/>
      </w:rPr>
    </w:lvl>
  </w:abstractNum>
  <w:abstractNum w:abstractNumId="70" w15:restartNumberingAfterBreak="0">
    <w:nsid w:val="5193D5D3"/>
    <w:multiLevelType w:val="hybridMultilevel"/>
    <w:tmpl w:val="FFFFFFFF"/>
    <w:lvl w:ilvl="0" w:tplc="D2221486">
      <w:start w:val="1"/>
      <w:numFmt w:val="bullet"/>
      <w:lvlText w:val="-"/>
      <w:lvlJc w:val="left"/>
      <w:pPr>
        <w:ind w:left="720" w:hanging="360"/>
      </w:pPr>
      <w:rPr>
        <w:rFonts w:ascii="Calibri" w:hAnsi="Calibri" w:hint="default"/>
      </w:rPr>
    </w:lvl>
    <w:lvl w:ilvl="1" w:tplc="CB146F18">
      <w:start w:val="1"/>
      <w:numFmt w:val="bullet"/>
      <w:lvlText w:val="o"/>
      <w:lvlJc w:val="left"/>
      <w:pPr>
        <w:ind w:left="1440" w:hanging="360"/>
      </w:pPr>
      <w:rPr>
        <w:rFonts w:ascii="Courier New" w:hAnsi="Courier New" w:hint="default"/>
      </w:rPr>
    </w:lvl>
    <w:lvl w:ilvl="2" w:tplc="51661310">
      <w:start w:val="1"/>
      <w:numFmt w:val="bullet"/>
      <w:lvlText w:val=""/>
      <w:lvlJc w:val="left"/>
      <w:pPr>
        <w:ind w:left="2160" w:hanging="360"/>
      </w:pPr>
      <w:rPr>
        <w:rFonts w:ascii="Wingdings" w:hAnsi="Wingdings" w:hint="default"/>
      </w:rPr>
    </w:lvl>
    <w:lvl w:ilvl="3" w:tplc="906C137C">
      <w:start w:val="1"/>
      <w:numFmt w:val="bullet"/>
      <w:lvlText w:val=""/>
      <w:lvlJc w:val="left"/>
      <w:pPr>
        <w:ind w:left="2880" w:hanging="360"/>
      </w:pPr>
      <w:rPr>
        <w:rFonts w:ascii="Symbol" w:hAnsi="Symbol" w:hint="default"/>
      </w:rPr>
    </w:lvl>
    <w:lvl w:ilvl="4" w:tplc="EB9A1A44">
      <w:start w:val="1"/>
      <w:numFmt w:val="bullet"/>
      <w:lvlText w:val="o"/>
      <w:lvlJc w:val="left"/>
      <w:pPr>
        <w:ind w:left="3600" w:hanging="360"/>
      </w:pPr>
      <w:rPr>
        <w:rFonts w:ascii="Courier New" w:hAnsi="Courier New" w:hint="default"/>
      </w:rPr>
    </w:lvl>
    <w:lvl w:ilvl="5" w:tplc="F35E1ABE">
      <w:start w:val="1"/>
      <w:numFmt w:val="bullet"/>
      <w:lvlText w:val=""/>
      <w:lvlJc w:val="left"/>
      <w:pPr>
        <w:ind w:left="4320" w:hanging="360"/>
      </w:pPr>
      <w:rPr>
        <w:rFonts w:ascii="Wingdings" w:hAnsi="Wingdings" w:hint="default"/>
      </w:rPr>
    </w:lvl>
    <w:lvl w:ilvl="6" w:tplc="2EFE484C">
      <w:start w:val="1"/>
      <w:numFmt w:val="bullet"/>
      <w:lvlText w:val=""/>
      <w:lvlJc w:val="left"/>
      <w:pPr>
        <w:ind w:left="5040" w:hanging="360"/>
      </w:pPr>
      <w:rPr>
        <w:rFonts w:ascii="Symbol" w:hAnsi="Symbol" w:hint="default"/>
      </w:rPr>
    </w:lvl>
    <w:lvl w:ilvl="7" w:tplc="FC420202">
      <w:start w:val="1"/>
      <w:numFmt w:val="bullet"/>
      <w:lvlText w:val="o"/>
      <w:lvlJc w:val="left"/>
      <w:pPr>
        <w:ind w:left="5760" w:hanging="360"/>
      </w:pPr>
      <w:rPr>
        <w:rFonts w:ascii="Courier New" w:hAnsi="Courier New" w:hint="default"/>
      </w:rPr>
    </w:lvl>
    <w:lvl w:ilvl="8" w:tplc="4B182AFA">
      <w:start w:val="1"/>
      <w:numFmt w:val="bullet"/>
      <w:lvlText w:val=""/>
      <w:lvlJc w:val="left"/>
      <w:pPr>
        <w:ind w:left="6480" w:hanging="360"/>
      </w:pPr>
      <w:rPr>
        <w:rFonts w:ascii="Wingdings" w:hAnsi="Wingdings" w:hint="default"/>
      </w:rPr>
    </w:lvl>
  </w:abstractNum>
  <w:abstractNum w:abstractNumId="71" w15:restartNumberingAfterBreak="0">
    <w:nsid w:val="546F43D9"/>
    <w:multiLevelType w:val="hybridMultilevel"/>
    <w:tmpl w:val="FFFFFFFF"/>
    <w:lvl w:ilvl="0" w:tplc="601C9C88">
      <w:start w:val="6"/>
      <w:numFmt w:val="decimal"/>
      <w:lvlText w:val="%1."/>
      <w:lvlJc w:val="left"/>
      <w:pPr>
        <w:ind w:left="720" w:hanging="360"/>
      </w:pPr>
      <w:rPr>
        <w:rFonts w:ascii="Arial" w:hAnsi="Arial" w:hint="default"/>
      </w:rPr>
    </w:lvl>
    <w:lvl w:ilvl="1" w:tplc="BC4A186E">
      <w:start w:val="1"/>
      <w:numFmt w:val="lowerLetter"/>
      <w:lvlText w:val="%2."/>
      <w:lvlJc w:val="left"/>
      <w:pPr>
        <w:ind w:left="1440" w:hanging="360"/>
      </w:pPr>
    </w:lvl>
    <w:lvl w:ilvl="2" w:tplc="98BA893C">
      <w:start w:val="1"/>
      <w:numFmt w:val="lowerRoman"/>
      <w:lvlText w:val="%3."/>
      <w:lvlJc w:val="right"/>
      <w:pPr>
        <w:ind w:left="2160" w:hanging="180"/>
      </w:pPr>
    </w:lvl>
    <w:lvl w:ilvl="3" w:tplc="6484B7FA">
      <w:start w:val="1"/>
      <w:numFmt w:val="decimal"/>
      <w:lvlText w:val="%4."/>
      <w:lvlJc w:val="left"/>
      <w:pPr>
        <w:ind w:left="2880" w:hanging="360"/>
      </w:pPr>
    </w:lvl>
    <w:lvl w:ilvl="4" w:tplc="7374820E">
      <w:start w:val="1"/>
      <w:numFmt w:val="lowerLetter"/>
      <w:lvlText w:val="%5."/>
      <w:lvlJc w:val="left"/>
      <w:pPr>
        <w:ind w:left="3600" w:hanging="360"/>
      </w:pPr>
    </w:lvl>
    <w:lvl w:ilvl="5" w:tplc="CEC29C34">
      <w:start w:val="1"/>
      <w:numFmt w:val="lowerRoman"/>
      <w:lvlText w:val="%6."/>
      <w:lvlJc w:val="right"/>
      <w:pPr>
        <w:ind w:left="4320" w:hanging="180"/>
      </w:pPr>
    </w:lvl>
    <w:lvl w:ilvl="6" w:tplc="23CA4A52">
      <w:start w:val="1"/>
      <w:numFmt w:val="decimal"/>
      <w:lvlText w:val="%7."/>
      <w:lvlJc w:val="left"/>
      <w:pPr>
        <w:ind w:left="5040" w:hanging="360"/>
      </w:pPr>
    </w:lvl>
    <w:lvl w:ilvl="7" w:tplc="B5A617FE">
      <w:start w:val="1"/>
      <w:numFmt w:val="lowerLetter"/>
      <w:lvlText w:val="%8."/>
      <w:lvlJc w:val="left"/>
      <w:pPr>
        <w:ind w:left="5760" w:hanging="360"/>
      </w:pPr>
    </w:lvl>
    <w:lvl w:ilvl="8" w:tplc="EF2CE8C4">
      <w:start w:val="1"/>
      <w:numFmt w:val="lowerRoman"/>
      <w:lvlText w:val="%9."/>
      <w:lvlJc w:val="right"/>
      <w:pPr>
        <w:ind w:left="6480" w:hanging="180"/>
      </w:pPr>
    </w:lvl>
  </w:abstractNum>
  <w:abstractNum w:abstractNumId="72" w15:restartNumberingAfterBreak="0">
    <w:nsid w:val="5562828A"/>
    <w:multiLevelType w:val="hybridMultilevel"/>
    <w:tmpl w:val="FFFFFFFF"/>
    <w:lvl w:ilvl="0" w:tplc="98AED4AE">
      <w:start w:val="1"/>
      <w:numFmt w:val="bullet"/>
      <w:lvlText w:val="-"/>
      <w:lvlJc w:val="left"/>
      <w:pPr>
        <w:ind w:left="720" w:hanging="360"/>
      </w:pPr>
      <w:rPr>
        <w:rFonts w:ascii="Calibri" w:hAnsi="Calibri" w:hint="default"/>
      </w:rPr>
    </w:lvl>
    <w:lvl w:ilvl="1" w:tplc="9184ECD6">
      <w:start w:val="1"/>
      <w:numFmt w:val="bullet"/>
      <w:lvlText w:val="o"/>
      <w:lvlJc w:val="left"/>
      <w:pPr>
        <w:ind w:left="1440" w:hanging="360"/>
      </w:pPr>
      <w:rPr>
        <w:rFonts w:ascii="Courier New" w:hAnsi="Courier New" w:hint="default"/>
      </w:rPr>
    </w:lvl>
    <w:lvl w:ilvl="2" w:tplc="5F6E988E">
      <w:start w:val="1"/>
      <w:numFmt w:val="bullet"/>
      <w:lvlText w:val=""/>
      <w:lvlJc w:val="left"/>
      <w:pPr>
        <w:ind w:left="2160" w:hanging="360"/>
      </w:pPr>
      <w:rPr>
        <w:rFonts w:ascii="Wingdings" w:hAnsi="Wingdings" w:hint="default"/>
      </w:rPr>
    </w:lvl>
    <w:lvl w:ilvl="3" w:tplc="180828B2">
      <w:start w:val="1"/>
      <w:numFmt w:val="bullet"/>
      <w:lvlText w:val=""/>
      <w:lvlJc w:val="left"/>
      <w:pPr>
        <w:ind w:left="2880" w:hanging="360"/>
      </w:pPr>
      <w:rPr>
        <w:rFonts w:ascii="Symbol" w:hAnsi="Symbol" w:hint="default"/>
      </w:rPr>
    </w:lvl>
    <w:lvl w:ilvl="4" w:tplc="90082408">
      <w:start w:val="1"/>
      <w:numFmt w:val="bullet"/>
      <w:lvlText w:val="o"/>
      <w:lvlJc w:val="left"/>
      <w:pPr>
        <w:ind w:left="3600" w:hanging="360"/>
      </w:pPr>
      <w:rPr>
        <w:rFonts w:ascii="Courier New" w:hAnsi="Courier New" w:hint="default"/>
      </w:rPr>
    </w:lvl>
    <w:lvl w:ilvl="5" w:tplc="BCE087CA">
      <w:start w:val="1"/>
      <w:numFmt w:val="bullet"/>
      <w:lvlText w:val=""/>
      <w:lvlJc w:val="left"/>
      <w:pPr>
        <w:ind w:left="4320" w:hanging="360"/>
      </w:pPr>
      <w:rPr>
        <w:rFonts w:ascii="Wingdings" w:hAnsi="Wingdings" w:hint="default"/>
      </w:rPr>
    </w:lvl>
    <w:lvl w:ilvl="6" w:tplc="EEC8FCD8">
      <w:start w:val="1"/>
      <w:numFmt w:val="bullet"/>
      <w:lvlText w:val=""/>
      <w:lvlJc w:val="left"/>
      <w:pPr>
        <w:ind w:left="5040" w:hanging="360"/>
      </w:pPr>
      <w:rPr>
        <w:rFonts w:ascii="Symbol" w:hAnsi="Symbol" w:hint="default"/>
      </w:rPr>
    </w:lvl>
    <w:lvl w:ilvl="7" w:tplc="A46C5D0E">
      <w:start w:val="1"/>
      <w:numFmt w:val="bullet"/>
      <w:lvlText w:val="o"/>
      <w:lvlJc w:val="left"/>
      <w:pPr>
        <w:ind w:left="5760" w:hanging="360"/>
      </w:pPr>
      <w:rPr>
        <w:rFonts w:ascii="Courier New" w:hAnsi="Courier New" w:hint="default"/>
      </w:rPr>
    </w:lvl>
    <w:lvl w:ilvl="8" w:tplc="3E50D7EC">
      <w:start w:val="1"/>
      <w:numFmt w:val="bullet"/>
      <w:lvlText w:val=""/>
      <w:lvlJc w:val="left"/>
      <w:pPr>
        <w:ind w:left="6480" w:hanging="360"/>
      </w:pPr>
      <w:rPr>
        <w:rFonts w:ascii="Wingdings" w:hAnsi="Wingdings" w:hint="default"/>
      </w:rPr>
    </w:lvl>
  </w:abstractNum>
  <w:abstractNum w:abstractNumId="7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74" w15:restartNumberingAfterBreak="0">
    <w:nsid w:val="55722B6B"/>
    <w:multiLevelType w:val="hybridMultilevel"/>
    <w:tmpl w:val="B8C4C9B2"/>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6C806B2"/>
    <w:multiLevelType w:val="hybridMultilevel"/>
    <w:tmpl w:val="29FE3B06"/>
    <w:lvl w:ilvl="0" w:tplc="FFFFFFFF">
      <w:start w:val="1"/>
      <w:numFmt w:val="bullet"/>
      <w:lvlText w:val="-"/>
      <w:lvlJc w:val="left"/>
      <w:pPr>
        <w:ind w:left="720" w:hanging="360"/>
      </w:pPr>
      <w:rPr>
        <w:rFonts w:ascii="Times New Roman" w:hAnsi="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77" w15:restartNumberingAfterBreak="0">
    <w:nsid w:val="5B61650C"/>
    <w:multiLevelType w:val="hybridMultilevel"/>
    <w:tmpl w:val="3BAED582"/>
    <w:lvl w:ilvl="0" w:tplc="18090001">
      <w:start w:val="1"/>
      <w:numFmt w:val="bullet"/>
      <w:lvlText w:val=""/>
      <w:lvlJc w:val="left"/>
      <w:pPr>
        <w:ind w:left="720" w:hanging="360"/>
      </w:pPr>
      <w:rPr>
        <w:rFonts w:ascii="MS Mincho" w:hAnsi="MS Mincho" w:hint="default"/>
      </w:rPr>
    </w:lvl>
    <w:lvl w:ilvl="1" w:tplc="FFFFFFFF">
      <w:start w:val="1"/>
      <w:numFmt w:val="bullet"/>
      <w:lvlText w:val="o"/>
      <w:lvlJc w:val="left"/>
      <w:pPr>
        <w:ind w:left="1440" w:hanging="360"/>
      </w:pPr>
      <w:rPr>
        <w:rFonts w:ascii="Segoe UI Emoji" w:hAnsi="Segoe UI Emoji" w:hint="default"/>
      </w:rPr>
    </w:lvl>
    <w:lvl w:ilvl="2" w:tplc="FFFFFFFF">
      <w:start w:val="1"/>
      <w:numFmt w:val="bullet"/>
      <w:lvlText w:val=""/>
      <w:lvlJc w:val="left"/>
      <w:pPr>
        <w:ind w:left="2160" w:hanging="360"/>
      </w:pPr>
      <w:rPr>
        <w:rFonts w:ascii="@MS Mincho" w:hAnsi="@MS Mincho" w:hint="default"/>
      </w:rPr>
    </w:lvl>
    <w:lvl w:ilvl="3" w:tplc="FFFFFFFF">
      <w:start w:val="1"/>
      <w:numFmt w:val="bullet"/>
      <w:lvlText w:val=""/>
      <w:lvlJc w:val="left"/>
      <w:pPr>
        <w:ind w:left="2880" w:hanging="360"/>
      </w:pPr>
      <w:rPr>
        <w:rFonts w:ascii="Times New Roman félkövér" w:hAnsi="Times New Roman félkövér" w:hint="default"/>
      </w:rPr>
    </w:lvl>
    <w:lvl w:ilvl="4" w:tplc="FFFFFFFF">
      <w:start w:val="1"/>
      <w:numFmt w:val="bullet"/>
      <w:lvlText w:val="o"/>
      <w:lvlJc w:val="left"/>
      <w:pPr>
        <w:ind w:left="3600" w:hanging="360"/>
      </w:pPr>
      <w:rPr>
        <w:rFonts w:ascii="Segoe UI Emoji" w:hAnsi="Segoe UI Emoji" w:hint="default"/>
      </w:rPr>
    </w:lvl>
    <w:lvl w:ilvl="5" w:tplc="FFFFFFFF">
      <w:start w:val="1"/>
      <w:numFmt w:val="bullet"/>
      <w:lvlText w:val=""/>
      <w:lvlJc w:val="left"/>
      <w:pPr>
        <w:ind w:left="4320" w:hanging="360"/>
      </w:pPr>
      <w:rPr>
        <w:rFonts w:ascii="@MS Mincho" w:hAnsi="@MS Mincho" w:hint="default"/>
      </w:rPr>
    </w:lvl>
    <w:lvl w:ilvl="6" w:tplc="FFFFFFFF">
      <w:start w:val="1"/>
      <w:numFmt w:val="bullet"/>
      <w:lvlText w:val=""/>
      <w:lvlJc w:val="left"/>
      <w:pPr>
        <w:ind w:left="5040" w:hanging="360"/>
      </w:pPr>
      <w:rPr>
        <w:rFonts w:ascii="Times New Roman félkövér" w:hAnsi="Times New Roman félkövér" w:hint="default"/>
      </w:rPr>
    </w:lvl>
    <w:lvl w:ilvl="7" w:tplc="FFFFFFFF">
      <w:start w:val="1"/>
      <w:numFmt w:val="bullet"/>
      <w:lvlText w:val="o"/>
      <w:lvlJc w:val="left"/>
      <w:pPr>
        <w:ind w:left="5760" w:hanging="360"/>
      </w:pPr>
      <w:rPr>
        <w:rFonts w:ascii="Segoe UI Emoji" w:hAnsi="Segoe UI Emoji" w:hint="default"/>
      </w:rPr>
    </w:lvl>
    <w:lvl w:ilvl="8" w:tplc="FFFFFFFF">
      <w:start w:val="1"/>
      <w:numFmt w:val="bullet"/>
      <w:lvlText w:val=""/>
      <w:lvlJc w:val="left"/>
      <w:pPr>
        <w:ind w:left="6480" w:hanging="360"/>
      </w:pPr>
      <w:rPr>
        <w:rFonts w:ascii="@MS Mincho" w:hAnsi="@MS Mincho" w:hint="default"/>
      </w:rPr>
    </w:lvl>
  </w:abstractNum>
  <w:abstractNum w:abstractNumId="78" w15:restartNumberingAfterBreak="0">
    <w:nsid w:val="5B7B4212"/>
    <w:multiLevelType w:val="hybridMultilevel"/>
    <w:tmpl w:val="FFFFFFFF"/>
    <w:lvl w:ilvl="0" w:tplc="5584427E">
      <w:start w:val="1"/>
      <w:numFmt w:val="bullet"/>
      <w:lvlText w:val="-"/>
      <w:lvlJc w:val="left"/>
      <w:pPr>
        <w:ind w:left="720" w:hanging="360"/>
      </w:pPr>
      <w:rPr>
        <w:rFonts w:ascii="Yu Mincho Light" w:hAnsi="Yu Mincho Light" w:hint="default"/>
      </w:rPr>
    </w:lvl>
    <w:lvl w:ilvl="1" w:tplc="70109100">
      <w:start w:val="1"/>
      <w:numFmt w:val="bullet"/>
      <w:lvlText w:val="o"/>
      <w:lvlJc w:val="left"/>
      <w:pPr>
        <w:ind w:left="1440" w:hanging="360"/>
      </w:pPr>
      <w:rPr>
        <w:rFonts w:ascii="@MS Mincho" w:hAnsi="@MS Mincho" w:hint="default"/>
      </w:rPr>
    </w:lvl>
    <w:lvl w:ilvl="2" w:tplc="530A15BE">
      <w:start w:val="1"/>
      <w:numFmt w:val="bullet"/>
      <w:lvlText w:val=""/>
      <w:lvlJc w:val="left"/>
      <w:pPr>
        <w:ind w:left="2160" w:hanging="360"/>
      </w:pPr>
      <w:rPr>
        <w:rFonts w:ascii="MS Mincho" w:hAnsi="MS Mincho" w:hint="default"/>
      </w:rPr>
    </w:lvl>
    <w:lvl w:ilvl="3" w:tplc="9E56B07C">
      <w:start w:val="1"/>
      <w:numFmt w:val="bullet"/>
      <w:lvlText w:val=""/>
      <w:lvlJc w:val="left"/>
      <w:pPr>
        <w:ind w:left="2880" w:hanging="360"/>
      </w:pPr>
      <w:rPr>
        <w:rFonts w:ascii="Times New Roman félkövér" w:hAnsi="Times New Roman félkövér" w:hint="default"/>
      </w:rPr>
    </w:lvl>
    <w:lvl w:ilvl="4" w:tplc="0D1AF1FA">
      <w:start w:val="1"/>
      <w:numFmt w:val="bullet"/>
      <w:lvlText w:val="o"/>
      <w:lvlJc w:val="left"/>
      <w:pPr>
        <w:ind w:left="3600" w:hanging="360"/>
      </w:pPr>
      <w:rPr>
        <w:rFonts w:ascii="@MS Mincho" w:hAnsi="@MS Mincho" w:hint="default"/>
      </w:rPr>
    </w:lvl>
    <w:lvl w:ilvl="5" w:tplc="ADC02602">
      <w:start w:val="1"/>
      <w:numFmt w:val="bullet"/>
      <w:lvlText w:val=""/>
      <w:lvlJc w:val="left"/>
      <w:pPr>
        <w:ind w:left="4320" w:hanging="360"/>
      </w:pPr>
      <w:rPr>
        <w:rFonts w:ascii="MS Mincho" w:hAnsi="MS Mincho" w:hint="default"/>
      </w:rPr>
    </w:lvl>
    <w:lvl w:ilvl="6" w:tplc="5EB4AE94">
      <w:start w:val="1"/>
      <w:numFmt w:val="bullet"/>
      <w:lvlText w:val=""/>
      <w:lvlJc w:val="left"/>
      <w:pPr>
        <w:ind w:left="5040" w:hanging="360"/>
      </w:pPr>
      <w:rPr>
        <w:rFonts w:ascii="Times New Roman félkövér" w:hAnsi="Times New Roman félkövér" w:hint="default"/>
      </w:rPr>
    </w:lvl>
    <w:lvl w:ilvl="7" w:tplc="02AAB518">
      <w:start w:val="1"/>
      <w:numFmt w:val="bullet"/>
      <w:lvlText w:val="o"/>
      <w:lvlJc w:val="left"/>
      <w:pPr>
        <w:ind w:left="5760" w:hanging="360"/>
      </w:pPr>
      <w:rPr>
        <w:rFonts w:ascii="@MS Mincho" w:hAnsi="@MS Mincho" w:hint="default"/>
      </w:rPr>
    </w:lvl>
    <w:lvl w:ilvl="8" w:tplc="F31AB2AC">
      <w:start w:val="1"/>
      <w:numFmt w:val="bullet"/>
      <w:lvlText w:val=""/>
      <w:lvlJc w:val="left"/>
      <w:pPr>
        <w:ind w:left="6480" w:hanging="360"/>
      </w:pPr>
      <w:rPr>
        <w:rFonts w:ascii="MS Mincho" w:hAnsi="MS Mincho" w:hint="default"/>
      </w:rPr>
    </w:lvl>
  </w:abstractNum>
  <w:abstractNum w:abstractNumId="7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15:restartNumberingAfterBreak="0">
    <w:nsid w:val="5D5670C0"/>
    <w:multiLevelType w:val="hybridMultilevel"/>
    <w:tmpl w:val="0B3074BC"/>
    <w:lvl w:ilvl="0" w:tplc="B2AC25C2">
      <w:numFmt w:val="bullet"/>
      <w:lvlText w:val=""/>
      <w:lvlJc w:val="left"/>
      <w:pPr>
        <w:ind w:left="787" w:hanging="360"/>
      </w:pPr>
      <w:rPr>
        <w:rFonts w:ascii="Symbol" w:eastAsiaTheme="minorEastAsia" w:hAnsi="Symbol" w:cs="Times New Roman" w:hint="default"/>
      </w:rPr>
    </w:lvl>
    <w:lvl w:ilvl="1" w:tplc="FFFFFFFF">
      <w:start w:val="1"/>
      <w:numFmt w:val="bullet"/>
      <w:lvlText w:val="o"/>
      <w:lvlJc w:val="left"/>
      <w:pPr>
        <w:ind w:left="1507" w:hanging="360"/>
      </w:pPr>
      <w:rPr>
        <w:rFonts w:ascii="@MS Mincho" w:eastAsia="Times New Roman" w:hAnsi="@MS Mincho" w:cs="@MS Mincho" w:hint="eastAsia"/>
      </w:rPr>
    </w:lvl>
    <w:lvl w:ilvl="2" w:tplc="FFFFFFFF">
      <w:start w:val="1"/>
      <w:numFmt w:val="bullet"/>
      <w:lvlText w:val=""/>
      <w:lvlJc w:val="left"/>
      <w:pPr>
        <w:ind w:left="2227" w:hanging="360"/>
      </w:pPr>
      <w:rPr>
        <w:rFonts w:ascii="MS Mincho" w:eastAsia="Times New Roman" w:hAnsi="MS Mincho" w:hint="eastAsia"/>
      </w:rPr>
    </w:lvl>
    <w:lvl w:ilvl="3" w:tplc="FFFFFFFF">
      <w:start w:val="1"/>
      <w:numFmt w:val="bullet"/>
      <w:lvlText w:val=""/>
      <w:lvlJc w:val="left"/>
      <w:pPr>
        <w:ind w:left="2947" w:hanging="360"/>
      </w:pPr>
      <w:rPr>
        <w:rFonts w:ascii="Times New Roman félkövér" w:hAnsi="Times New Roman félkövér" w:hint="default"/>
      </w:rPr>
    </w:lvl>
    <w:lvl w:ilvl="4" w:tplc="FFFFFFFF">
      <w:start w:val="1"/>
      <w:numFmt w:val="bullet"/>
      <w:lvlText w:val="o"/>
      <w:lvlJc w:val="left"/>
      <w:pPr>
        <w:ind w:left="3667" w:hanging="360"/>
      </w:pPr>
      <w:rPr>
        <w:rFonts w:ascii="@MS Mincho" w:eastAsia="Times New Roman" w:hAnsi="@MS Mincho" w:cs="@MS Mincho" w:hint="eastAsia"/>
      </w:rPr>
    </w:lvl>
    <w:lvl w:ilvl="5" w:tplc="FFFFFFFF">
      <w:start w:val="1"/>
      <w:numFmt w:val="bullet"/>
      <w:lvlText w:val=""/>
      <w:lvlJc w:val="left"/>
      <w:pPr>
        <w:ind w:left="4387" w:hanging="360"/>
      </w:pPr>
      <w:rPr>
        <w:rFonts w:ascii="MS Mincho" w:eastAsia="Times New Roman" w:hAnsi="MS Mincho" w:hint="eastAsia"/>
      </w:rPr>
    </w:lvl>
    <w:lvl w:ilvl="6" w:tplc="FFFFFFFF">
      <w:start w:val="1"/>
      <w:numFmt w:val="bullet"/>
      <w:lvlText w:val=""/>
      <w:lvlJc w:val="left"/>
      <w:pPr>
        <w:ind w:left="5107" w:hanging="360"/>
      </w:pPr>
      <w:rPr>
        <w:rFonts w:ascii="Times New Roman félkövér" w:hAnsi="Times New Roman félkövér" w:hint="default"/>
      </w:rPr>
    </w:lvl>
    <w:lvl w:ilvl="7" w:tplc="FFFFFFFF">
      <w:start w:val="1"/>
      <w:numFmt w:val="bullet"/>
      <w:lvlText w:val="o"/>
      <w:lvlJc w:val="left"/>
      <w:pPr>
        <w:ind w:left="5827" w:hanging="360"/>
      </w:pPr>
      <w:rPr>
        <w:rFonts w:ascii="@MS Mincho" w:eastAsia="Times New Roman" w:hAnsi="@MS Mincho" w:cs="@MS Mincho" w:hint="eastAsia"/>
      </w:rPr>
    </w:lvl>
    <w:lvl w:ilvl="8" w:tplc="FFFFFFFF">
      <w:start w:val="1"/>
      <w:numFmt w:val="bullet"/>
      <w:lvlText w:val=""/>
      <w:lvlJc w:val="left"/>
      <w:pPr>
        <w:ind w:left="6547" w:hanging="360"/>
      </w:pPr>
      <w:rPr>
        <w:rFonts w:ascii="MS Mincho" w:eastAsia="Times New Roman" w:hAnsi="MS Mincho" w:hint="eastAsia"/>
      </w:rPr>
    </w:lvl>
  </w:abstractNum>
  <w:abstractNum w:abstractNumId="82" w15:restartNumberingAfterBreak="0">
    <w:nsid w:val="5F42C4D7"/>
    <w:multiLevelType w:val="hybridMultilevel"/>
    <w:tmpl w:val="FFFFFFFF"/>
    <w:lvl w:ilvl="0" w:tplc="85908E40">
      <w:start w:val="5"/>
      <w:numFmt w:val="decimal"/>
      <w:lvlText w:val="%1."/>
      <w:lvlJc w:val="left"/>
      <w:pPr>
        <w:ind w:left="720" w:hanging="360"/>
      </w:pPr>
      <w:rPr>
        <w:rFonts w:ascii="Arial" w:hAnsi="Arial" w:hint="default"/>
      </w:rPr>
    </w:lvl>
    <w:lvl w:ilvl="1" w:tplc="9E30FE2E">
      <w:start w:val="1"/>
      <w:numFmt w:val="lowerLetter"/>
      <w:lvlText w:val="%2."/>
      <w:lvlJc w:val="left"/>
      <w:pPr>
        <w:ind w:left="1440" w:hanging="360"/>
      </w:pPr>
    </w:lvl>
    <w:lvl w:ilvl="2" w:tplc="CDF60808">
      <w:start w:val="1"/>
      <w:numFmt w:val="lowerRoman"/>
      <w:lvlText w:val="%3."/>
      <w:lvlJc w:val="right"/>
      <w:pPr>
        <w:ind w:left="2160" w:hanging="180"/>
      </w:pPr>
    </w:lvl>
    <w:lvl w:ilvl="3" w:tplc="570274F8">
      <w:start w:val="1"/>
      <w:numFmt w:val="decimal"/>
      <w:lvlText w:val="%4."/>
      <w:lvlJc w:val="left"/>
      <w:pPr>
        <w:ind w:left="2880" w:hanging="360"/>
      </w:pPr>
    </w:lvl>
    <w:lvl w:ilvl="4" w:tplc="BAE6A98E">
      <w:start w:val="1"/>
      <w:numFmt w:val="lowerLetter"/>
      <w:lvlText w:val="%5."/>
      <w:lvlJc w:val="left"/>
      <w:pPr>
        <w:ind w:left="3600" w:hanging="360"/>
      </w:pPr>
    </w:lvl>
    <w:lvl w:ilvl="5" w:tplc="3DB267C0">
      <w:start w:val="1"/>
      <w:numFmt w:val="lowerRoman"/>
      <w:lvlText w:val="%6."/>
      <w:lvlJc w:val="right"/>
      <w:pPr>
        <w:ind w:left="4320" w:hanging="180"/>
      </w:pPr>
    </w:lvl>
    <w:lvl w:ilvl="6" w:tplc="90FA4D30">
      <w:start w:val="1"/>
      <w:numFmt w:val="decimal"/>
      <w:lvlText w:val="%7."/>
      <w:lvlJc w:val="left"/>
      <w:pPr>
        <w:ind w:left="5040" w:hanging="360"/>
      </w:pPr>
    </w:lvl>
    <w:lvl w:ilvl="7" w:tplc="B61CC490">
      <w:start w:val="1"/>
      <w:numFmt w:val="lowerLetter"/>
      <w:lvlText w:val="%8."/>
      <w:lvlJc w:val="left"/>
      <w:pPr>
        <w:ind w:left="5760" w:hanging="360"/>
      </w:pPr>
    </w:lvl>
    <w:lvl w:ilvl="8" w:tplc="4BE2B3D2">
      <w:start w:val="1"/>
      <w:numFmt w:val="lowerRoman"/>
      <w:lvlText w:val="%9."/>
      <w:lvlJc w:val="right"/>
      <w:pPr>
        <w:ind w:left="6480" w:hanging="180"/>
      </w:pPr>
    </w:lvl>
  </w:abstractNum>
  <w:abstractNum w:abstractNumId="83" w15:restartNumberingAfterBreak="0">
    <w:nsid w:val="63FA6C6C"/>
    <w:multiLevelType w:val="hybridMultilevel"/>
    <w:tmpl w:val="FFFFFFFF"/>
    <w:lvl w:ilvl="0" w:tplc="BFE443FC">
      <w:start w:val="1"/>
      <w:numFmt w:val="decimal"/>
      <w:lvlText w:val="%1."/>
      <w:lvlJc w:val="left"/>
      <w:pPr>
        <w:ind w:left="720" w:hanging="360"/>
      </w:pPr>
      <w:rPr>
        <w:rFonts w:ascii="Arial" w:hAnsi="Arial" w:hint="default"/>
      </w:rPr>
    </w:lvl>
    <w:lvl w:ilvl="1" w:tplc="78AAB50E">
      <w:start w:val="1"/>
      <w:numFmt w:val="lowerLetter"/>
      <w:lvlText w:val="%2."/>
      <w:lvlJc w:val="left"/>
      <w:pPr>
        <w:ind w:left="1440" w:hanging="360"/>
      </w:pPr>
    </w:lvl>
    <w:lvl w:ilvl="2" w:tplc="4874DBE6">
      <w:start w:val="1"/>
      <w:numFmt w:val="lowerRoman"/>
      <w:lvlText w:val="%3."/>
      <w:lvlJc w:val="right"/>
      <w:pPr>
        <w:ind w:left="2160" w:hanging="180"/>
      </w:pPr>
    </w:lvl>
    <w:lvl w:ilvl="3" w:tplc="9C58804C">
      <w:start w:val="1"/>
      <w:numFmt w:val="decimal"/>
      <w:lvlText w:val="%4."/>
      <w:lvlJc w:val="left"/>
      <w:pPr>
        <w:ind w:left="2880" w:hanging="360"/>
      </w:pPr>
    </w:lvl>
    <w:lvl w:ilvl="4" w:tplc="54A484DA">
      <w:start w:val="1"/>
      <w:numFmt w:val="lowerLetter"/>
      <w:lvlText w:val="%5."/>
      <w:lvlJc w:val="left"/>
      <w:pPr>
        <w:ind w:left="3600" w:hanging="360"/>
      </w:pPr>
    </w:lvl>
    <w:lvl w:ilvl="5" w:tplc="3A1A5CD2">
      <w:start w:val="1"/>
      <w:numFmt w:val="lowerRoman"/>
      <w:lvlText w:val="%6."/>
      <w:lvlJc w:val="right"/>
      <w:pPr>
        <w:ind w:left="4320" w:hanging="180"/>
      </w:pPr>
    </w:lvl>
    <w:lvl w:ilvl="6" w:tplc="5FF49A50">
      <w:start w:val="1"/>
      <w:numFmt w:val="decimal"/>
      <w:lvlText w:val="%7."/>
      <w:lvlJc w:val="left"/>
      <w:pPr>
        <w:ind w:left="5040" w:hanging="360"/>
      </w:pPr>
    </w:lvl>
    <w:lvl w:ilvl="7" w:tplc="7E62052A">
      <w:start w:val="1"/>
      <w:numFmt w:val="lowerLetter"/>
      <w:lvlText w:val="%8."/>
      <w:lvlJc w:val="left"/>
      <w:pPr>
        <w:ind w:left="5760" w:hanging="360"/>
      </w:pPr>
    </w:lvl>
    <w:lvl w:ilvl="8" w:tplc="5AB6589C">
      <w:start w:val="1"/>
      <w:numFmt w:val="lowerRoman"/>
      <w:lvlText w:val="%9."/>
      <w:lvlJc w:val="right"/>
      <w:pPr>
        <w:ind w:left="6480" w:hanging="180"/>
      </w:pPr>
    </w:lvl>
  </w:abstractNum>
  <w:abstractNum w:abstractNumId="84" w15:restartNumberingAfterBreak="0">
    <w:nsid w:val="647B00E9"/>
    <w:multiLevelType w:val="hybridMultilevel"/>
    <w:tmpl w:val="4E965456"/>
    <w:lvl w:ilvl="0" w:tplc="1430B29A">
      <w:start w:val="1"/>
      <w:numFmt w:val="bullet"/>
      <w:lvlText w:val="-"/>
      <w:lvlJc w:val="left"/>
      <w:pPr>
        <w:ind w:left="720" w:hanging="360"/>
      </w:pPr>
      <w:rPr>
        <w:rFonts w:ascii="Times New Roman" w:eastAsiaTheme="minorEastAsia"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5" w15:restartNumberingAfterBreak="0">
    <w:nsid w:val="64A12FA4"/>
    <w:multiLevelType w:val="multilevel"/>
    <w:tmpl w:val="BC1C158C"/>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65F29AB7"/>
    <w:multiLevelType w:val="hybridMultilevel"/>
    <w:tmpl w:val="FFFFFFFF"/>
    <w:lvl w:ilvl="0" w:tplc="58201CB0">
      <w:start w:val="1"/>
      <w:numFmt w:val="bullet"/>
      <w:lvlText w:val="·"/>
      <w:lvlJc w:val="left"/>
      <w:pPr>
        <w:ind w:left="720" w:hanging="360"/>
      </w:pPr>
      <w:rPr>
        <w:rFonts w:ascii="Symbol" w:hAnsi="Symbol" w:hint="default"/>
      </w:rPr>
    </w:lvl>
    <w:lvl w:ilvl="1" w:tplc="F21CCB48">
      <w:start w:val="1"/>
      <w:numFmt w:val="bullet"/>
      <w:lvlText w:val="o"/>
      <w:lvlJc w:val="left"/>
      <w:pPr>
        <w:ind w:left="1440" w:hanging="360"/>
      </w:pPr>
      <w:rPr>
        <w:rFonts w:ascii="Courier New" w:hAnsi="Courier New" w:hint="default"/>
      </w:rPr>
    </w:lvl>
    <w:lvl w:ilvl="2" w:tplc="FFCE4578">
      <w:start w:val="1"/>
      <w:numFmt w:val="bullet"/>
      <w:lvlText w:val=""/>
      <w:lvlJc w:val="left"/>
      <w:pPr>
        <w:ind w:left="2160" w:hanging="360"/>
      </w:pPr>
      <w:rPr>
        <w:rFonts w:ascii="Wingdings" w:hAnsi="Wingdings" w:hint="default"/>
      </w:rPr>
    </w:lvl>
    <w:lvl w:ilvl="3" w:tplc="7CAA1FD6">
      <w:start w:val="1"/>
      <w:numFmt w:val="bullet"/>
      <w:lvlText w:val=""/>
      <w:lvlJc w:val="left"/>
      <w:pPr>
        <w:ind w:left="2880" w:hanging="360"/>
      </w:pPr>
      <w:rPr>
        <w:rFonts w:ascii="Symbol" w:hAnsi="Symbol" w:hint="default"/>
      </w:rPr>
    </w:lvl>
    <w:lvl w:ilvl="4" w:tplc="AF8E51E4">
      <w:start w:val="1"/>
      <w:numFmt w:val="bullet"/>
      <w:lvlText w:val="o"/>
      <w:lvlJc w:val="left"/>
      <w:pPr>
        <w:ind w:left="3600" w:hanging="360"/>
      </w:pPr>
      <w:rPr>
        <w:rFonts w:ascii="Courier New" w:hAnsi="Courier New" w:hint="default"/>
      </w:rPr>
    </w:lvl>
    <w:lvl w:ilvl="5" w:tplc="EFFE6B0C">
      <w:start w:val="1"/>
      <w:numFmt w:val="bullet"/>
      <w:lvlText w:val=""/>
      <w:lvlJc w:val="left"/>
      <w:pPr>
        <w:ind w:left="4320" w:hanging="360"/>
      </w:pPr>
      <w:rPr>
        <w:rFonts w:ascii="Wingdings" w:hAnsi="Wingdings" w:hint="default"/>
      </w:rPr>
    </w:lvl>
    <w:lvl w:ilvl="6" w:tplc="29447762">
      <w:start w:val="1"/>
      <w:numFmt w:val="bullet"/>
      <w:lvlText w:val=""/>
      <w:lvlJc w:val="left"/>
      <w:pPr>
        <w:ind w:left="5040" w:hanging="360"/>
      </w:pPr>
      <w:rPr>
        <w:rFonts w:ascii="Symbol" w:hAnsi="Symbol" w:hint="default"/>
      </w:rPr>
    </w:lvl>
    <w:lvl w:ilvl="7" w:tplc="6E262278">
      <w:start w:val="1"/>
      <w:numFmt w:val="bullet"/>
      <w:lvlText w:val="o"/>
      <w:lvlJc w:val="left"/>
      <w:pPr>
        <w:ind w:left="5760" w:hanging="360"/>
      </w:pPr>
      <w:rPr>
        <w:rFonts w:ascii="Courier New" w:hAnsi="Courier New" w:hint="default"/>
      </w:rPr>
    </w:lvl>
    <w:lvl w:ilvl="8" w:tplc="DAA0A588">
      <w:start w:val="1"/>
      <w:numFmt w:val="bullet"/>
      <w:lvlText w:val=""/>
      <w:lvlJc w:val="left"/>
      <w:pPr>
        <w:ind w:left="6480" w:hanging="360"/>
      </w:pPr>
      <w:rPr>
        <w:rFonts w:ascii="Wingdings" w:hAnsi="Wingdings" w:hint="default"/>
      </w:rPr>
    </w:lvl>
  </w:abstractNum>
  <w:abstractNum w:abstractNumId="87" w15:restartNumberingAfterBreak="0">
    <w:nsid w:val="6611570F"/>
    <w:multiLevelType w:val="hybridMultilevel"/>
    <w:tmpl w:val="3EA0F09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88" w15:restartNumberingAfterBreak="0">
    <w:nsid w:val="664D70F5"/>
    <w:multiLevelType w:val="hybridMultilevel"/>
    <w:tmpl w:val="7926427E"/>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74E5F2B"/>
    <w:multiLevelType w:val="hybridMultilevel"/>
    <w:tmpl w:val="A07C5026"/>
    <w:lvl w:ilvl="0" w:tplc="1430B29A">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91" w15:restartNumberingAfterBreak="0">
    <w:nsid w:val="693606FA"/>
    <w:multiLevelType w:val="hybridMultilevel"/>
    <w:tmpl w:val="8D6280A4"/>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9B46E49"/>
    <w:multiLevelType w:val="hybridMultilevel"/>
    <w:tmpl w:val="71CE6D68"/>
    <w:lvl w:ilvl="0" w:tplc="991C3E1E">
      <w:start w:val="1"/>
      <w:numFmt w:val="bullet"/>
      <w:lvlText w:val="-"/>
      <w:lvlJc w:val="left"/>
      <w:pPr>
        <w:ind w:left="776" w:hanging="360"/>
      </w:pPr>
      <w:rPr>
        <w:rFonts w:ascii="Calibri" w:hAnsi="Calibri"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93" w15:restartNumberingAfterBreak="0">
    <w:nsid w:val="6A9F1F71"/>
    <w:multiLevelType w:val="hybridMultilevel"/>
    <w:tmpl w:val="BBD8C89C"/>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B65415B"/>
    <w:multiLevelType w:val="hybridMultilevel"/>
    <w:tmpl w:val="E76CD6BE"/>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B7957C5"/>
    <w:multiLevelType w:val="hybridMultilevel"/>
    <w:tmpl w:val="CB48133E"/>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BA97145"/>
    <w:multiLevelType w:val="hybridMultilevel"/>
    <w:tmpl w:val="4A84F69C"/>
    <w:lvl w:ilvl="0" w:tplc="B8D40F1C">
      <w:start w:val="1"/>
      <w:numFmt w:val="bullet"/>
      <w:lvlText w:val="-"/>
      <w:lvlJc w:val="left"/>
      <w:pPr>
        <w:ind w:left="1080" w:hanging="72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DCD3309"/>
    <w:multiLevelType w:val="hybridMultilevel"/>
    <w:tmpl w:val="4A983824"/>
    <w:lvl w:ilvl="0" w:tplc="991C3E1E">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6E050C4A"/>
    <w:multiLevelType w:val="hybridMultilevel"/>
    <w:tmpl w:val="505EAFF8"/>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E5E64AD"/>
    <w:multiLevelType w:val="hybridMultilevel"/>
    <w:tmpl w:val="300A349C"/>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21726FF"/>
    <w:multiLevelType w:val="hybridMultilevel"/>
    <w:tmpl w:val="FFFFFFFF"/>
    <w:lvl w:ilvl="0" w:tplc="98380C30">
      <w:start w:val="3"/>
      <w:numFmt w:val="decimal"/>
      <w:lvlText w:val="%1."/>
      <w:lvlJc w:val="left"/>
      <w:pPr>
        <w:ind w:left="720" w:hanging="360"/>
      </w:pPr>
      <w:rPr>
        <w:rFonts w:ascii="Arial" w:hAnsi="Arial" w:hint="default"/>
      </w:rPr>
    </w:lvl>
    <w:lvl w:ilvl="1" w:tplc="DD021EF2">
      <w:start w:val="1"/>
      <w:numFmt w:val="lowerLetter"/>
      <w:lvlText w:val="%2."/>
      <w:lvlJc w:val="left"/>
      <w:pPr>
        <w:ind w:left="1440" w:hanging="360"/>
      </w:pPr>
    </w:lvl>
    <w:lvl w:ilvl="2" w:tplc="AC98F804">
      <w:start w:val="1"/>
      <w:numFmt w:val="lowerRoman"/>
      <w:lvlText w:val="%3."/>
      <w:lvlJc w:val="right"/>
      <w:pPr>
        <w:ind w:left="2160" w:hanging="180"/>
      </w:pPr>
    </w:lvl>
    <w:lvl w:ilvl="3" w:tplc="389E5DE2">
      <w:start w:val="1"/>
      <w:numFmt w:val="decimal"/>
      <w:lvlText w:val="%4."/>
      <w:lvlJc w:val="left"/>
      <w:pPr>
        <w:ind w:left="2880" w:hanging="360"/>
      </w:pPr>
    </w:lvl>
    <w:lvl w:ilvl="4" w:tplc="365EFD8C">
      <w:start w:val="1"/>
      <w:numFmt w:val="lowerLetter"/>
      <w:lvlText w:val="%5."/>
      <w:lvlJc w:val="left"/>
      <w:pPr>
        <w:ind w:left="3600" w:hanging="360"/>
      </w:pPr>
    </w:lvl>
    <w:lvl w:ilvl="5" w:tplc="A1AE07A0">
      <w:start w:val="1"/>
      <w:numFmt w:val="lowerRoman"/>
      <w:lvlText w:val="%6."/>
      <w:lvlJc w:val="right"/>
      <w:pPr>
        <w:ind w:left="4320" w:hanging="180"/>
      </w:pPr>
    </w:lvl>
    <w:lvl w:ilvl="6" w:tplc="D096CB8E">
      <w:start w:val="1"/>
      <w:numFmt w:val="decimal"/>
      <w:lvlText w:val="%7."/>
      <w:lvlJc w:val="left"/>
      <w:pPr>
        <w:ind w:left="5040" w:hanging="360"/>
      </w:pPr>
    </w:lvl>
    <w:lvl w:ilvl="7" w:tplc="9BDCC560">
      <w:start w:val="1"/>
      <w:numFmt w:val="lowerLetter"/>
      <w:lvlText w:val="%8."/>
      <w:lvlJc w:val="left"/>
      <w:pPr>
        <w:ind w:left="5760" w:hanging="360"/>
      </w:pPr>
    </w:lvl>
    <w:lvl w:ilvl="8" w:tplc="8C92628C">
      <w:start w:val="1"/>
      <w:numFmt w:val="lowerRoman"/>
      <w:lvlText w:val="%9."/>
      <w:lvlJc w:val="right"/>
      <w:pPr>
        <w:ind w:left="6480" w:hanging="180"/>
      </w:pPr>
    </w:lvl>
  </w:abstractNum>
  <w:abstractNum w:abstractNumId="101" w15:restartNumberingAfterBreak="0">
    <w:nsid w:val="72770BB9"/>
    <w:multiLevelType w:val="hybridMultilevel"/>
    <w:tmpl w:val="B61263DC"/>
    <w:lvl w:ilvl="0" w:tplc="CDB2D0AC">
      <w:start w:val="1"/>
      <w:numFmt w:val="lowerRoman"/>
      <w:lvlText w:val="%1)"/>
      <w:lvlJc w:val="left"/>
      <w:pPr>
        <w:ind w:left="720" w:hanging="360"/>
      </w:pPr>
      <w:rPr>
        <w:rFont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2" w15:restartNumberingAfterBreak="0">
    <w:nsid w:val="72AE595F"/>
    <w:multiLevelType w:val="hybridMultilevel"/>
    <w:tmpl w:val="11FA201C"/>
    <w:lvl w:ilvl="0" w:tplc="3B1621C6">
      <w:numFmt w:val="bullet"/>
      <w:lvlText w:val="-"/>
      <w:lvlJc w:val="left"/>
      <w:pPr>
        <w:ind w:left="720" w:hanging="360"/>
      </w:pPr>
      <w:rPr>
        <w:rFonts w:ascii="Times New Roman" w:eastAsiaTheme="minorEastAsi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3" w15:restartNumberingAfterBreak="0">
    <w:nsid w:val="73DE680C"/>
    <w:multiLevelType w:val="hybridMultilevel"/>
    <w:tmpl w:val="E2D254FE"/>
    <w:lvl w:ilvl="0" w:tplc="786419CC">
      <w:start w:val="1"/>
      <w:numFmt w:val="bullet"/>
      <w:lvlText w:val="-"/>
      <w:lvlJc w:val="left"/>
      <w:pPr>
        <w:ind w:left="720" w:hanging="360"/>
      </w:pPr>
      <w:rPr>
        <w:rFonts w:ascii="MS Mincho" w:eastAsiaTheme="minorHAnsi" w:hAnsi="MS Mincho" w:cs="MS Mincho" w:hint="default"/>
      </w:rPr>
    </w:lvl>
    <w:lvl w:ilvl="1" w:tplc="18090003">
      <w:start w:val="1"/>
      <w:numFmt w:val="bullet"/>
      <w:lvlText w:val="o"/>
      <w:lvlJc w:val="left"/>
      <w:pPr>
        <w:ind w:left="1440" w:hanging="360"/>
      </w:pPr>
      <w:rPr>
        <w:rFonts w:ascii="Segoe UI Emoji" w:hAnsi="Segoe UI Emoji" w:cs="Segoe UI Emoji" w:hint="default"/>
      </w:rPr>
    </w:lvl>
    <w:lvl w:ilvl="2" w:tplc="18090005" w:tentative="1">
      <w:start w:val="1"/>
      <w:numFmt w:val="bullet"/>
      <w:lvlText w:val=""/>
      <w:lvlJc w:val="left"/>
      <w:pPr>
        <w:ind w:left="2160" w:hanging="360"/>
      </w:pPr>
      <w:rPr>
        <w:rFonts w:ascii="@MS Mincho" w:hAnsi="@MS Mincho" w:hint="default"/>
      </w:rPr>
    </w:lvl>
    <w:lvl w:ilvl="3" w:tplc="18090001" w:tentative="1">
      <w:start w:val="1"/>
      <w:numFmt w:val="bullet"/>
      <w:lvlText w:val=""/>
      <w:lvlJc w:val="left"/>
      <w:pPr>
        <w:ind w:left="2880" w:hanging="360"/>
      </w:pPr>
      <w:rPr>
        <w:rFonts w:ascii="Times New Roman félkövér" w:hAnsi="Times New Roman félkövér" w:hint="default"/>
      </w:rPr>
    </w:lvl>
    <w:lvl w:ilvl="4" w:tplc="18090003" w:tentative="1">
      <w:start w:val="1"/>
      <w:numFmt w:val="bullet"/>
      <w:lvlText w:val="o"/>
      <w:lvlJc w:val="left"/>
      <w:pPr>
        <w:ind w:left="3600" w:hanging="360"/>
      </w:pPr>
      <w:rPr>
        <w:rFonts w:ascii="Segoe UI Emoji" w:hAnsi="Segoe UI Emoji" w:cs="Segoe UI Emoji" w:hint="default"/>
      </w:rPr>
    </w:lvl>
    <w:lvl w:ilvl="5" w:tplc="18090005" w:tentative="1">
      <w:start w:val="1"/>
      <w:numFmt w:val="bullet"/>
      <w:lvlText w:val=""/>
      <w:lvlJc w:val="left"/>
      <w:pPr>
        <w:ind w:left="4320" w:hanging="360"/>
      </w:pPr>
      <w:rPr>
        <w:rFonts w:ascii="@MS Mincho" w:hAnsi="@MS Mincho" w:hint="default"/>
      </w:rPr>
    </w:lvl>
    <w:lvl w:ilvl="6" w:tplc="18090001" w:tentative="1">
      <w:start w:val="1"/>
      <w:numFmt w:val="bullet"/>
      <w:lvlText w:val=""/>
      <w:lvlJc w:val="left"/>
      <w:pPr>
        <w:ind w:left="5040" w:hanging="360"/>
      </w:pPr>
      <w:rPr>
        <w:rFonts w:ascii="Times New Roman félkövér" w:hAnsi="Times New Roman félkövér" w:hint="default"/>
      </w:rPr>
    </w:lvl>
    <w:lvl w:ilvl="7" w:tplc="18090003" w:tentative="1">
      <w:start w:val="1"/>
      <w:numFmt w:val="bullet"/>
      <w:lvlText w:val="o"/>
      <w:lvlJc w:val="left"/>
      <w:pPr>
        <w:ind w:left="5760" w:hanging="360"/>
      </w:pPr>
      <w:rPr>
        <w:rFonts w:ascii="Segoe UI Emoji" w:hAnsi="Segoe UI Emoji" w:cs="Segoe UI Emoji" w:hint="default"/>
      </w:rPr>
    </w:lvl>
    <w:lvl w:ilvl="8" w:tplc="18090005" w:tentative="1">
      <w:start w:val="1"/>
      <w:numFmt w:val="bullet"/>
      <w:lvlText w:val=""/>
      <w:lvlJc w:val="left"/>
      <w:pPr>
        <w:ind w:left="6480" w:hanging="360"/>
      </w:pPr>
      <w:rPr>
        <w:rFonts w:ascii="@MS Mincho" w:hAnsi="@MS Mincho" w:hint="default"/>
      </w:rPr>
    </w:lvl>
  </w:abstractNum>
  <w:abstractNum w:abstractNumId="104" w15:restartNumberingAfterBreak="0">
    <w:nsid w:val="743FC4E8"/>
    <w:multiLevelType w:val="hybridMultilevel"/>
    <w:tmpl w:val="FFFFFFFF"/>
    <w:lvl w:ilvl="0" w:tplc="68E0B802">
      <w:start w:val="7"/>
      <w:numFmt w:val="decimal"/>
      <w:lvlText w:val="%1."/>
      <w:lvlJc w:val="left"/>
      <w:pPr>
        <w:ind w:left="720" w:hanging="360"/>
      </w:pPr>
      <w:rPr>
        <w:rFonts w:ascii="Arial" w:hAnsi="Arial" w:hint="default"/>
      </w:rPr>
    </w:lvl>
    <w:lvl w:ilvl="1" w:tplc="95AEC662">
      <w:start w:val="1"/>
      <w:numFmt w:val="lowerLetter"/>
      <w:lvlText w:val="%2."/>
      <w:lvlJc w:val="left"/>
      <w:pPr>
        <w:ind w:left="1440" w:hanging="360"/>
      </w:pPr>
    </w:lvl>
    <w:lvl w:ilvl="2" w:tplc="298A1246">
      <w:start w:val="1"/>
      <w:numFmt w:val="lowerRoman"/>
      <w:lvlText w:val="%3."/>
      <w:lvlJc w:val="right"/>
      <w:pPr>
        <w:ind w:left="2160" w:hanging="180"/>
      </w:pPr>
    </w:lvl>
    <w:lvl w:ilvl="3" w:tplc="73F03BEA">
      <w:start w:val="1"/>
      <w:numFmt w:val="decimal"/>
      <w:lvlText w:val="%4."/>
      <w:lvlJc w:val="left"/>
      <w:pPr>
        <w:ind w:left="2880" w:hanging="360"/>
      </w:pPr>
    </w:lvl>
    <w:lvl w:ilvl="4" w:tplc="0FE29DB2">
      <w:start w:val="1"/>
      <w:numFmt w:val="lowerLetter"/>
      <w:lvlText w:val="%5."/>
      <w:lvlJc w:val="left"/>
      <w:pPr>
        <w:ind w:left="3600" w:hanging="360"/>
      </w:pPr>
    </w:lvl>
    <w:lvl w:ilvl="5" w:tplc="5A98CA7C">
      <w:start w:val="1"/>
      <w:numFmt w:val="lowerRoman"/>
      <w:lvlText w:val="%6."/>
      <w:lvlJc w:val="right"/>
      <w:pPr>
        <w:ind w:left="4320" w:hanging="180"/>
      </w:pPr>
    </w:lvl>
    <w:lvl w:ilvl="6" w:tplc="A2B0AE06">
      <w:start w:val="1"/>
      <w:numFmt w:val="decimal"/>
      <w:lvlText w:val="%7."/>
      <w:lvlJc w:val="left"/>
      <w:pPr>
        <w:ind w:left="5040" w:hanging="360"/>
      </w:pPr>
    </w:lvl>
    <w:lvl w:ilvl="7" w:tplc="94F03984">
      <w:start w:val="1"/>
      <w:numFmt w:val="lowerLetter"/>
      <w:lvlText w:val="%8."/>
      <w:lvlJc w:val="left"/>
      <w:pPr>
        <w:ind w:left="5760" w:hanging="360"/>
      </w:pPr>
    </w:lvl>
    <w:lvl w:ilvl="8" w:tplc="F01E3496">
      <w:start w:val="1"/>
      <w:numFmt w:val="lowerRoman"/>
      <w:lvlText w:val="%9."/>
      <w:lvlJc w:val="right"/>
      <w:pPr>
        <w:ind w:left="6480" w:hanging="180"/>
      </w:pPr>
    </w:lvl>
  </w:abstractNum>
  <w:abstractNum w:abstractNumId="105" w15:restartNumberingAfterBreak="0">
    <w:nsid w:val="74C36343"/>
    <w:multiLevelType w:val="hybridMultilevel"/>
    <w:tmpl w:val="FFFFFFFF"/>
    <w:lvl w:ilvl="0" w:tplc="18FE0878">
      <w:start w:val="1"/>
      <w:numFmt w:val="decimal"/>
      <w:lvlText w:val="%1."/>
      <w:lvlJc w:val="left"/>
      <w:pPr>
        <w:ind w:left="720" w:hanging="360"/>
      </w:pPr>
    </w:lvl>
    <w:lvl w:ilvl="1" w:tplc="30F481D2">
      <w:start w:val="1"/>
      <w:numFmt w:val="lowerLetter"/>
      <w:lvlText w:val="%2."/>
      <w:lvlJc w:val="left"/>
      <w:pPr>
        <w:ind w:left="1440" w:hanging="360"/>
      </w:pPr>
    </w:lvl>
    <w:lvl w:ilvl="2" w:tplc="BC2A330E">
      <w:start w:val="1"/>
      <w:numFmt w:val="lowerRoman"/>
      <w:lvlText w:val="%3."/>
      <w:lvlJc w:val="right"/>
      <w:pPr>
        <w:ind w:left="2160" w:hanging="180"/>
      </w:pPr>
    </w:lvl>
    <w:lvl w:ilvl="3" w:tplc="0AD85EA2">
      <w:start w:val="1"/>
      <w:numFmt w:val="decimal"/>
      <w:lvlText w:val="%4."/>
      <w:lvlJc w:val="left"/>
      <w:pPr>
        <w:ind w:left="2880" w:hanging="360"/>
      </w:pPr>
    </w:lvl>
    <w:lvl w:ilvl="4" w:tplc="EFE821FA">
      <w:start w:val="1"/>
      <w:numFmt w:val="lowerLetter"/>
      <w:lvlText w:val="%5."/>
      <w:lvlJc w:val="left"/>
      <w:pPr>
        <w:ind w:left="3600" w:hanging="360"/>
      </w:pPr>
    </w:lvl>
    <w:lvl w:ilvl="5" w:tplc="EF6A7952">
      <w:start w:val="1"/>
      <w:numFmt w:val="lowerRoman"/>
      <w:lvlText w:val="%6."/>
      <w:lvlJc w:val="right"/>
      <w:pPr>
        <w:ind w:left="4320" w:hanging="180"/>
      </w:pPr>
    </w:lvl>
    <w:lvl w:ilvl="6" w:tplc="AA54EB3A">
      <w:start w:val="1"/>
      <w:numFmt w:val="decimal"/>
      <w:lvlText w:val="%7."/>
      <w:lvlJc w:val="left"/>
      <w:pPr>
        <w:ind w:left="5040" w:hanging="360"/>
      </w:pPr>
    </w:lvl>
    <w:lvl w:ilvl="7" w:tplc="A3E27F76">
      <w:start w:val="1"/>
      <w:numFmt w:val="lowerLetter"/>
      <w:lvlText w:val="%8."/>
      <w:lvlJc w:val="left"/>
      <w:pPr>
        <w:ind w:left="5760" w:hanging="360"/>
      </w:pPr>
    </w:lvl>
    <w:lvl w:ilvl="8" w:tplc="715AFDE4">
      <w:start w:val="1"/>
      <w:numFmt w:val="lowerRoman"/>
      <w:lvlText w:val="%9."/>
      <w:lvlJc w:val="right"/>
      <w:pPr>
        <w:ind w:left="6480" w:hanging="180"/>
      </w:pPr>
    </w:lvl>
  </w:abstractNum>
  <w:abstractNum w:abstractNumId="106" w15:restartNumberingAfterBreak="0">
    <w:nsid w:val="74EFE3A3"/>
    <w:multiLevelType w:val="hybridMultilevel"/>
    <w:tmpl w:val="FFFFFFFF"/>
    <w:lvl w:ilvl="0" w:tplc="D40AFDD8">
      <w:start w:val="1"/>
      <w:numFmt w:val="bullet"/>
      <w:lvlText w:val="-"/>
      <w:lvlJc w:val="left"/>
      <w:pPr>
        <w:ind w:left="720" w:hanging="360"/>
      </w:pPr>
      <w:rPr>
        <w:rFonts w:ascii="Calibri" w:hAnsi="Calibri" w:hint="default"/>
      </w:rPr>
    </w:lvl>
    <w:lvl w:ilvl="1" w:tplc="D1B00D96">
      <w:start w:val="1"/>
      <w:numFmt w:val="bullet"/>
      <w:lvlText w:val="o"/>
      <w:lvlJc w:val="left"/>
      <w:pPr>
        <w:ind w:left="1440" w:hanging="360"/>
      </w:pPr>
      <w:rPr>
        <w:rFonts w:ascii="Courier New" w:hAnsi="Courier New" w:hint="default"/>
      </w:rPr>
    </w:lvl>
    <w:lvl w:ilvl="2" w:tplc="A9468258">
      <w:start w:val="1"/>
      <w:numFmt w:val="bullet"/>
      <w:lvlText w:val=""/>
      <w:lvlJc w:val="left"/>
      <w:pPr>
        <w:ind w:left="2160" w:hanging="360"/>
      </w:pPr>
      <w:rPr>
        <w:rFonts w:ascii="Wingdings" w:hAnsi="Wingdings" w:hint="default"/>
      </w:rPr>
    </w:lvl>
    <w:lvl w:ilvl="3" w:tplc="017AF1BE">
      <w:start w:val="1"/>
      <w:numFmt w:val="bullet"/>
      <w:lvlText w:val=""/>
      <w:lvlJc w:val="left"/>
      <w:pPr>
        <w:ind w:left="2880" w:hanging="360"/>
      </w:pPr>
      <w:rPr>
        <w:rFonts w:ascii="Symbol" w:hAnsi="Symbol" w:hint="default"/>
      </w:rPr>
    </w:lvl>
    <w:lvl w:ilvl="4" w:tplc="C460106C">
      <w:start w:val="1"/>
      <w:numFmt w:val="bullet"/>
      <w:lvlText w:val="o"/>
      <w:lvlJc w:val="left"/>
      <w:pPr>
        <w:ind w:left="3600" w:hanging="360"/>
      </w:pPr>
      <w:rPr>
        <w:rFonts w:ascii="Courier New" w:hAnsi="Courier New" w:hint="default"/>
      </w:rPr>
    </w:lvl>
    <w:lvl w:ilvl="5" w:tplc="7AF2F49E">
      <w:start w:val="1"/>
      <w:numFmt w:val="bullet"/>
      <w:lvlText w:val=""/>
      <w:lvlJc w:val="left"/>
      <w:pPr>
        <w:ind w:left="4320" w:hanging="360"/>
      </w:pPr>
      <w:rPr>
        <w:rFonts w:ascii="Wingdings" w:hAnsi="Wingdings" w:hint="default"/>
      </w:rPr>
    </w:lvl>
    <w:lvl w:ilvl="6" w:tplc="0A64F4B2">
      <w:start w:val="1"/>
      <w:numFmt w:val="bullet"/>
      <w:lvlText w:val=""/>
      <w:lvlJc w:val="left"/>
      <w:pPr>
        <w:ind w:left="5040" w:hanging="360"/>
      </w:pPr>
      <w:rPr>
        <w:rFonts w:ascii="Symbol" w:hAnsi="Symbol" w:hint="default"/>
      </w:rPr>
    </w:lvl>
    <w:lvl w:ilvl="7" w:tplc="1B526E5E">
      <w:start w:val="1"/>
      <w:numFmt w:val="bullet"/>
      <w:lvlText w:val="o"/>
      <w:lvlJc w:val="left"/>
      <w:pPr>
        <w:ind w:left="5760" w:hanging="360"/>
      </w:pPr>
      <w:rPr>
        <w:rFonts w:ascii="Courier New" w:hAnsi="Courier New" w:hint="default"/>
      </w:rPr>
    </w:lvl>
    <w:lvl w:ilvl="8" w:tplc="A08E0D68">
      <w:start w:val="1"/>
      <w:numFmt w:val="bullet"/>
      <w:lvlText w:val=""/>
      <w:lvlJc w:val="left"/>
      <w:pPr>
        <w:ind w:left="6480" w:hanging="360"/>
      </w:pPr>
      <w:rPr>
        <w:rFonts w:ascii="Wingdings" w:hAnsi="Wingdings" w:hint="default"/>
      </w:rPr>
    </w:lvl>
  </w:abstractNum>
  <w:abstractNum w:abstractNumId="107" w15:restartNumberingAfterBreak="0">
    <w:nsid w:val="760233E5"/>
    <w:multiLevelType w:val="hybridMultilevel"/>
    <w:tmpl w:val="FFFFFFFF"/>
    <w:lvl w:ilvl="0" w:tplc="7C04136C">
      <w:start w:val="4"/>
      <w:numFmt w:val="decimal"/>
      <w:lvlText w:val="%1."/>
      <w:lvlJc w:val="left"/>
      <w:pPr>
        <w:ind w:left="720" w:hanging="360"/>
      </w:pPr>
      <w:rPr>
        <w:rFonts w:ascii="Arial" w:hAnsi="Arial" w:hint="default"/>
      </w:rPr>
    </w:lvl>
    <w:lvl w:ilvl="1" w:tplc="62AA8E5E">
      <w:start w:val="1"/>
      <w:numFmt w:val="lowerLetter"/>
      <w:lvlText w:val="%2."/>
      <w:lvlJc w:val="left"/>
      <w:pPr>
        <w:ind w:left="1440" w:hanging="360"/>
      </w:pPr>
    </w:lvl>
    <w:lvl w:ilvl="2" w:tplc="1632CA88">
      <w:start w:val="1"/>
      <w:numFmt w:val="lowerRoman"/>
      <w:lvlText w:val="%3."/>
      <w:lvlJc w:val="right"/>
      <w:pPr>
        <w:ind w:left="2160" w:hanging="180"/>
      </w:pPr>
    </w:lvl>
    <w:lvl w:ilvl="3" w:tplc="5394B2C6">
      <w:start w:val="1"/>
      <w:numFmt w:val="decimal"/>
      <w:lvlText w:val="%4."/>
      <w:lvlJc w:val="left"/>
      <w:pPr>
        <w:ind w:left="2880" w:hanging="360"/>
      </w:pPr>
    </w:lvl>
    <w:lvl w:ilvl="4" w:tplc="C2E20A78">
      <w:start w:val="1"/>
      <w:numFmt w:val="lowerLetter"/>
      <w:lvlText w:val="%5."/>
      <w:lvlJc w:val="left"/>
      <w:pPr>
        <w:ind w:left="3600" w:hanging="360"/>
      </w:pPr>
    </w:lvl>
    <w:lvl w:ilvl="5" w:tplc="EEDE72C8">
      <w:start w:val="1"/>
      <w:numFmt w:val="lowerRoman"/>
      <w:lvlText w:val="%6."/>
      <w:lvlJc w:val="right"/>
      <w:pPr>
        <w:ind w:left="4320" w:hanging="180"/>
      </w:pPr>
    </w:lvl>
    <w:lvl w:ilvl="6" w:tplc="F2F8A98C">
      <w:start w:val="1"/>
      <w:numFmt w:val="decimal"/>
      <w:lvlText w:val="%7."/>
      <w:lvlJc w:val="left"/>
      <w:pPr>
        <w:ind w:left="5040" w:hanging="360"/>
      </w:pPr>
    </w:lvl>
    <w:lvl w:ilvl="7" w:tplc="015C6054">
      <w:start w:val="1"/>
      <w:numFmt w:val="lowerLetter"/>
      <w:lvlText w:val="%8."/>
      <w:lvlJc w:val="left"/>
      <w:pPr>
        <w:ind w:left="5760" w:hanging="360"/>
      </w:pPr>
    </w:lvl>
    <w:lvl w:ilvl="8" w:tplc="E7A68F56">
      <w:start w:val="1"/>
      <w:numFmt w:val="lowerRoman"/>
      <w:lvlText w:val="%9."/>
      <w:lvlJc w:val="right"/>
      <w:pPr>
        <w:ind w:left="6480" w:hanging="180"/>
      </w:pPr>
    </w:lvl>
  </w:abstractNum>
  <w:abstractNum w:abstractNumId="108" w15:restartNumberingAfterBreak="0">
    <w:nsid w:val="76D06977"/>
    <w:multiLevelType w:val="hybridMultilevel"/>
    <w:tmpl w:val="42E4798A"/>
    <w:lvl w:ilvl="0" w:tplc="991C3E1E">
      <w:start w:val="1"/>
      <w:numFmt w:val="bullet"/>
      <w:lvlText w:val="-"/>
      <w:lvlJc w:val="left"/>
      <w:pPr>
        <w:ind w:left="1080" w:hanging="720"/>
      </w:pPr>
      <w:rPr>
        <w:rFonts w:ascii="Calibri" w:hAnsi="Calibri" w:hint="default"/>
      </w:rPr>
    </w:lvl>
    <w:lvl w:ilvl="1" w:tplc="548ABFEE">
      <w:start w:val="1"/>
      <w:numFmt w:val="decimal"/>
      <w:lvlText w:val="%2."/>
      <w:lvlJc w:val="left"/>
      <w:pPr>
        <w:ind w:left="1440" w:hanging="360"/>
      </w:pPr>
      <w:rPr>
        <w:rFonts w:hint="default"/>
      </w:rPr>
    </w:lvl>
    <w:lvl w:ilvl="2" w:tplc="450EA25E">
      <w:start w:val="1"/>
      <w:numFmt w:val="lowerRoman"/>
      <w:lvlText w:val="(%3)"/>
      <w:lvlJc w:val="left"/>
      <w:pPr>
        <w:ind w:left="2700" w:hanging="720"/>
      </w:pPr>
      <w:rPr>
        <w:rFonts w:hint="default"/>
      </w:r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9" w15:restartNumberingAfterBreak="0">
    <w:nsid w:val="775F47F8"/>
    <w:multiLevelType w:val="hybridMultilevel"/>
    <w:tmpl w:val="6E3A0784"/>
    <w:lvl w:ilvl="0" w:tplc="991C3E1E">
      <w:start w:val="1"/>
      <w:numFmt w:val="bullet"/>
      <w:lvlText w:val="-"/>
      <w:lvlJc w:val="left"/>
      <w:pPr>
        <w:ind w:left="720" w:hanging="360"/>
      </w:pPr>
      <w:rPr>
        <w:rFonts w:ascii="Calibri" w:hAnsi="Calibri"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0" w15:restartNumberingAfterBreak="0">
    <w:nsid w:val="779C80A7"/>
    <w:multiLevelType w:val="hybridMultilevel"/>
    <w:tmpl w:val="FFFFFFFF"/>
    <w:lvl w:ilvl="0" w:tplc="54163D2E">
      <w:start w:val="1"/>
      <w:numFmt w:val="bullet"/>
      <w:lvlText w:val=""/>
      <w:lvlJc w:val="left"/>
      <w:pPr>
        <w:ind w:left="720" w:hanging="360"/>
      </w:pPr>
      <w:rPr>
        <w:rFonts w:ascii="Times New Roman félkövér" w:hAnsi="Times New Roman félkövér" w:hint="default"/>
      </w:rPr>
    </w:lvl>
    <w:lvl w:ilvl="1" w:tplc="59C8D084">
      <w:start w:val="1"/>
      <w:numFmt w:val="bullet"/>
      <w:lvlText w:val="o"/>
      <w:lvlJc w:val="left"/>
      <w:pPr>
        <w:ind w:left="1440" w:hanging="360"/>
      </w:pPr>
      <w:rPr>
        <w:rFonts w:ascii="@MS Mincho" w:hAnsi="@MS Mincho" w:hint="default"/>
      </w:rPr>
    </w:lvl>
    <w:lvl w:ilvl="2" w:tplc="F878DE84">
      <w:start w:val="1"/>
      <w:numFmt w:val="bullet"/>
      <w:lvlText w:val=""/>
      <w:lvlJc w:val="left"/>
      <w:pPr>
        <w:ind w:left="2160" w:hanging="360"/>
      </w:pPr>
      <w:rPr>
        <w:rFonts w:ascii="MS Mincho" w:hAnsi="MS Mincho" w:hint="default"/>
      </w:rPr>
    </w:lvl>
    <w:lvl w:ilvl="3" w:tplc="02A253C2">
      <w:start w:val="1"/>
      <w:numFmt w:val="bullet"/>
      <w:lvlText w:val=""/>
      <w:lvlJc w:val="left"/>
      <w:pPr>
        <w:ind w:left="2880" w:hanging="360"/>
      </w:pPr>
      <w:rPr>
        <w:rFonts w:ascii="Times New Roman félkövér" w:hAnsi="Times New Roman félkövér" w:hint="default"/>
      </w:rPr>
    </w:lvl>
    <w:lvl w:ilvl="4" w:tplc="9AFC300C">
      <w:start w:val="1"/>
      <w:numFmt w:val="bullet"/>
      <w:lvlText w:val="o"/>
      <w:lvlJc w:val="left"/>
      <w:pPr>
        <w:ind w:left="3600" w:hanging="360"/>
      </w:pPr>
      <w:rPr>
        <w:rFonts w:ascii="@MS Mincho" w:hAnsi="@MS Mincho" w:hint="default"/>
      </w:rPr>
    </w:lvl>
    <w:lvl w:ilvl="5" w:tplc="C7EC5E7C">
      <w:start w:val="1"/>
      <w:numFmt w:val="bullet"/>
      <w:lvlText w:val=""/>
      <w:lvlJc w:val="left"/>
      <w:pPr>
        <w:ind w:left="4320" w:hanging="360"/>
      </w:pPr>
      <w:rPr>
        <w:rFonts w:ascii="MS Mincho" w:hAnsi="MS Mincho" w:hint="default"/>
      </w:rPr>
    </w:lvl>
    <w:lvl w:ilvl="6" w:tplc="3A4CF30A">
      <w:start w:val="1"/>
      <w:numFmt w:val="bullet"/>
      <w:lvlText w:val=""/>
      <w:lvlJc w:val="left"/>
      <w:pPr>
        <w:ind w:left="5040" w:hanging="360"/>
      </w:pPr>
      <w:rPr>
        <w:rFonts w:ascii="Times New Roman félkövér" w:hAnsi="Times New Roman félkövér" w:hint="default"/>
      </w:rPr>
    </w:lvl>
    <w:lvl w:ilvl="7" w:tplc="541E8A4E">
      <w:start w:val="1"/>
      <w:numFmt w:val="bullet"/>
      <w:lvlText w:val="o"/>
      <w:lvlJc w:val="left"/>
      <w:pPr>
        <w:ind w:left="5760" w:hanging="360"/>
      </w:pPr>
      <w:rPr>
        <w:rFonts w:ascii="@MS Mincho" w:hAnsi="@MS Mincho" w:hint="default"/>
      </w:rPr>
    </w:lvl>
    <w:lvl w:ilvl="8" w:tplc="4D926666">
      <w:start w:val="1"/>
      <w:numFmt w:val="bullet"/>
      <w:lvlText w:val=""/>
      <w:lvlJc w:val="left"/>
      <w:pPr>
        <w:ind w:left="6480" w:hanging="360"/>
      </w:pPr>
      <w:rPr>
        <w:rFonts w:ascii="MS Mincho" w:hAnsi="MS Mincho" w:hint="default"/>
      </w:rPr>
    </w:lvl>
  </w:abstractNum>
  <w:abstractNum w:abstractNumId="111" w15:restartNumberingAfterBreak="0">
    <w:nsid w:val="78262A7E"/>
    <w:multiLevelType w:val="hybridMultilevel"/>
    <w:tmpl w:val="9CA2A382"/>
    <w:lvl w:ilvl="0" w:tplc="991C3E1E">
      <w:start w:val="1"/>
      <w:numFmt w:val="bullet"/>
      <w:lvlText w:val="-"/>
      <w:lvlJc w:val="left"/>
      <w:pPr>
        <w:ind w:left="720" w:hanging="360"/>
      </w:pPr>
      <w:rPr>
        <w:rFonts w:ascii="Calibri" w:hAnsi="Calibri"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2" w15:restartNumberingAfterBreak="0">
    <w:nsid w:val="793F767C"/>
    <w:multiLevelType w:val="hybridMultilevel"/>
    <w:tmpl w:val="FFFFFFFF"/>
    <w:lvl w:ilvl="0" w:tplc="B324EFFE">
      <w:start w:val="1"/>
      <w:numFmt w:val="bullet"/>
      <w:lvlText w:val=""/>
      <w:lvlJc w:val="left"/>
      <w:pPr>
        <w:ind w:left="720" w:hanging="360"/>
      </w:pPr>
      <w:rPr>
        <w:rFonts w:ascii="Symbol" w:hAnsi="Symbol" w:hint="default"/>
      </w:rPr>
    </w:lvl>
    <w:lvl w:ilvl="1" w:tplc="756C3CEE">
      <w:start w:val="1"/>
      <w:numFmt w:val="bullet"/>
      <w:lvlText w:val="o"/>
      <w:lvlJc w:val="left"/>
      <w:pPr>
        <w:ind w:left="1440" w:hanging="360"/>
      </w:pPr>
      <w:rPr>
        <w:rFonts w:ascii="Courier New" w:hAnsi="Courier New" w:hint="default"/>
      </w:rPr>
    </w:lvl>
    <w:lvl w:ilvl="2" w:tplc="01FEDD98">
      <w:start w:val="1"/>
      <w:numFmt w:val="bullet"/>
      <w:lvlText w:val=""/>
      <w:lvlJc w:val="left"/>
      <w:pPr>
        <w:ind w:left="2160" w:hanging="360"/>
      </w:pPr>
      <w:rPr>
        <w:rFonts w:ascii="Wingdings" w:hAnsi="Wingdings" w:hint="default"/>
      </w:rPr>
    </w:lvl>
    <w:lvl w:ilvl="3" w:tplc="A0069A78">
      <w:start w:val="1"/>
      <w:numFmt w:val="bullet"/>
      <w:lvlText w:val=""/>
      <w:lvlJc w:val="left"/>
      <w:pPr>
        <w:ind w:left="2880" w:hanging="360"/>
      </w:pPr>
      <w:rPr>
        <w:rFonts w:ascii="Symbol" w:hAnsi="Symbol" w:hint="default"/>
      </w:rPr>
    </w:lvl>
    <w:lvl w:ilvl="4" w:tplc="732A6CD8">
      <w:start w:val="1"/>
      <w:numFmt w:val="bullet"/>
      <w:lvlText w:val="o"/>
      <w:lvlJc w:val="left"/>
      <w:pPr>
        <w:ind w:left="3600" w:hanging="360"/>
      </w:pPr>
      <w:rPr>
        <w:rFonts w:ascii="Courier New" w:hAnsi="Courier New" w:hint="default"/>
      </w:rPr>
    </w:lvl>
    <w:lvl w:ilvl="5" w:tplc="113801C8">
      <w:start w:val="1"/>
      <w:numFmt w:val="bullet"/>
      <w:lvlText w:val=""/>
      <w:lvlJc w:val="left"/>
      <w:pPr>
        <w:ind w:left="4320" w:hanging="360"/>
      </w:pPr>
      <w:rPr>
        <w:rFonts w:ascii="Wingdings" w:hAnsi="Wingdings" w:hint="default"/>
      </w:rPr>
    </w:lvl>
    <w:lvl w:ilvl="6" w:tplc="A3DEF026">
      <w:start w:val="1"/>
      <w:numFmt w:val="bullet"/>
      <w:lvlText w:val=""/>
      <w:lvlJc w:val="left"/>
      <w:pPr>
        <w:ind w:left="5040" w:hanging="360"/>
      </w:pPr>
      <w:rPr>
        <w:rFonts w:ascii="Symbol" w:hAnsi="Symbol" w:hint="default"/>
      </w:rPr>
    </w:lvl>
    <w:lvl w:ilvl="7" w:tplc="71180BE6">
      <w:start w:val="1"/>
      <w:numFmt w:val="bullet"/>
      <w:lvlText w:val="o"/>
      <w:lvlJc w:val="left"/>
      <w:pPr>
        <w:ind w:left="5760" w:hanging="360"/>
      </w:pPr>
      <w:rPr>
        <w:rFonts w:ascii="Courier New" w:hAnsi="Courier New" w:hint="default"/>
      </w:rPr>
    </w:lvl>
    <w:lvl w:ilvl="8" w:tplc="D84EC670">
      <w:start w:val="1"/>
      <w:numFmt w:val="bullet"/>
      <w:lvlText w:val=""/>
      <w:lvlJc w:val="left"/>
      <w:pPr>
        <w:ind w:left="6480" w:hanging="360"/>
      </w:pPr>
      <w:rPr>
        <w:rFonts w:ascii="Wingdings" w:hAnsi="Wingdings" w:hint="default"/>
      </w:rPr>
    </w:lvl>
  </w:abstractNum>
  <w:abstractNum w:abstractNumId="113" w15:restartNumberingAfterBreak="0">
    <w:nsid w:val="7AE7528F"/>
    <w:multiLevelType w:val="hybridMultilevel"/>
    <w:tmpl w:val="DE7489B4"/>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egoe UI Emoji" w:hAnsi="Segoe UI Emoji" w:hint="default"/>
      </w:rPr>
    </w:lvl>
    <w:lvl w:ilvl="2" w:tplc="FFFFFFFF">
      <w:start w:val="1"/>
      <w:numFmt w:val="bullet"/>
      <w:lvlText w:val=""/>
      <w:lvlJc w:val="left"/>
      <w:pPr>
        <w:ind w:left="2160" w:hanging="360"/>
      </w:pPr>
      <w:rPr>
        <w:rFonts w:ascii="@MS Mincho" w:hAnsi="@MS Mincho" w:hint="default"/>
      </w:rPr>
    </w:lvl>
    <w:lvl w:ilvl="3" w:tplc="FFFFFFFF">
      <w:start w:val="1"/>
      <w:numFmt w:val="bullet"/>
      <w:lvlText w:val=""/>
      <w:lvlJc w:val="left"/>
      <w:pPr>
        <w:ind w:left="2880" w:hanging="360"/>
      </w:pPr>
      <w:rPr>
        <w:rFonts w:ascii="Times New Roman félkövér" w:hAnsi="Times New Roman félkövér" w:hint="default"/>
      </w:rPr>
    </w:lvl>
    <w:lvl w:ilvl="4" w:tplc="FFFFFFFF">
      <w:start w:val="1"/>
      <w:numFmt w:val="bullet"/>
      <w:lvlText w:val="o"/>
      <w:lvlJc w:val="left"/>
      <w:pPr>
        <w:ind w:left="3600" w:hanging="360"/>
      </w:pPr>
      <w:rPr>
        <w:rFonts w:ascii="Segoe UI Emoji" w:hAnsi="Segoe UI Emoji" w:hint="default"/>
      </w:rPr>
    </w:lvl>
    <w:lvl w:ilvl="5" w:tplc="FFFFFFFF">
      <w:start w:val="1"/>
      <w:numFmt w:val="bullet"/>
      <w:lvlText w:val=""/>
      <w:lvlJc w:val="left"/>
      <w:pPr>
        <w:ind w:left="4320" w:hanging="360"/>
      </w:pPr>
      <w:rPr>
        <w:rFonts w:ascii="@MS Mincho" w:hAnsi="@MS Mincho" w:hint="default"/>
      </w:rPr>
    </w:lvl>
    <w:lvl w:ilvl="6" w:tplc="FFFFFFFF">
      <w:start w:val="1"/>
      <w:numFmt w:val="bullet"/>
      <w:lvlText w:val=""/>
      <w:lvlJc w:val="left"/>
      <w:pPr>
        <w:ind w:left="5040" w:hanging="360"/>
      </w:pPr>
      <w:rPr>
        <w:rFonts w:ascii="Times New Roman félkövér" w:hAnsi="Times New Roman félkövér" w:hint="default"/>
      </w:rPr>
    </w:lvl>
    <w:lvl w:ilvl="7" w:tplc="FFFFFFFF">
      <w:start w:val="1"/>
      <w:numFmt w:val="bullet"/>
      <w:lvlText w:val="o"/>
      <w:lvlJc w:val="left"/>
      <w:pPr>
        <w:ind w:left="5760" w:hanging="360"/>
      </w:pPr>
      <w:rPr>
        <w:rFonts w:ascii="Segoe UI Emoji" w:hAnsi="Segoe UI Emoji" w:hint="default"/>
      </w:rPr>
    </w:lvl>
    <w:lvl w:ilvl="8" w:tplc="FFFFFFFF">
      <w:start w:val="1"/>
      <w:numFmt w:val="bullet"/>
      <w:lvlText w:val=""/>
      <w:lvlJc w:val="left"/>
      <w:pPr>
        <w:ind w:left="6480" w:hanging="360"/>
      </w:pPr>
      <w:rPr>
        <w:rFonts w:ascii="@MS Mincho" w:hAnsi="@MS Mincho" w:hint="default"/>
      </w:rPr>
    </w:lvl>
  </w:abstractNum>
  <w:abstractNum w:abstractNumId="11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15" w15:restartNumberingAfterBreak="0">
    <w:nsid w:val="7E3501D0"/>
    <w:multiLevelType w:val="hybridMultilevel"/>
    <w:tmpl w:val="6ADE2398"/>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E5E2960"/>
    <w:multiLevelType w:val="hybridMultilevel"/>
    <w:tmpl w:val="071658B8"/>
    <w:lvl w:ilvl="0" w:tplc="18090001">
      <w:start w:val="1"/>
      <w:numFmt w:val="bullet"/>
      <w:lvlText w:val=""/>
      <w:lvlJc w:val="left"/>
      <w:pPr>
        <w:ind w:left="1004" w:hanging="360"/>
      </w:pPr>
      <w:rPr>
        <w:rFonts w:ascii="Symbol" w:hAnsi="Symbol" w:hint="default"/>
      </w:rPr>
    </w:lvl>
    <w:lvl w:ilvl="1" w:tplc="18090003">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17" w15:restartNumberingAfterBreak="0">
    <w:nsid w:val="7EC4DE57"/>
    <w:multiLevelType w:val="hybridMultilevel"/>
    <w:tmpl w:val="FFFFFFFF"/>
    <w:lvl w:ilvl="0" w:tplc="D4F209E8">
      <w:start w:val="1"/>
      <w:numFmt w:val="decimal"/>
      <w:lvlText w:val="%1."/>
      <w:lvlJc w:val="left"/>
      <w:pPr>
        <w:ind w:left="720" w:hanging="360"/>
      </w:pPr>
    </w:lvl>
    <w:lvl w:ilvl="1" w:tplc="62467640">
      <w:start w:val="1"/>
      <w:numFmt w:val="lowerLetter"/>
      <w:lvlText w:val="%2."/>
      <w:lvlJc w:val="left"/>
      <w:pPr>
        <w:ind w:left="1440" w:hanging="360"/>
      </w:pPr>
    </w:lvl>
    <w:lvl w:ilvl="2" w:tplc="F086DE0E">
      <w:start w:val="1"/>
      <w:numFmt w:val="lowerRoman"/>
      <w:lvlText w:val="%3."/>
      <w:lvlJc w:val="right"/>
      <w:pPr>
        <w:ind w:left="2160" w:hanging="180"/>
      </w:pPr>
    </w:lvl>
    <w:lvl w:ilvl="3" w:tplc="7512D428">
      <w:start w:val="1"/>
      <w:numFmt w:val="decimal"/>
      <w:lvlText w:val="%4."/>
      <w:lvlJc w:val="left"/>
      <w:pPr>
        <w:ind w:left="2880" w:hanging="360"/>
      </w:pPr>
    </w:lvl>
    <w:lvl w:ilvl="4" w:tplc="A4003B70">
      <w:start w:val="1"/>
      <w:numFmt w:val="lowerLetter"/>
      <w:lvlText w:val="%5."/>
      <w:lvlJc w:val="left"/>
      <w:pPr>
        <w:ind w:left="3600" w:hanging="360"/>
      </w:pPr>
    </w:lvl>
    <w:lvl w:ilvl="5" w:tplc="ADD0A6B6">
      <w:start w:val="1"/>
      <w:numFmt w:val="lowerRoman"/>
      <w:lvlText w:val="%6."/>
      <w:lvlJc w:val="right"/>
      <w:pPr>
        <w:ind w:left="4320" w:hanging="180"/>
      </w:pPr>
    </w:lvl>
    <w:lvl w:ilvl="6" w:tplc="3F4220BC">
      <w:start w:val="1"/>
      <w:numFmt w:val="decimal"/>
      <w:lvlText w:val="%7."/>
      <w:lvlJc w:val="left"/>
      <w:pPr>
        <w:ind w:left="5040" w:hanging="360"/>
      </w:pPr>
    </w:lvl>
    <w:lvl w:ilvl="7" w:tplc="1968FFC4">
      <w:start w:val="1"/>
      <w:numFmt w:val="lowerLetter"/>
      <w:lvlText w:val="%8."/>
      <w:lvlJc w:val="left"/>
      <w:pPr>
        <w:ind w:left="5760" w:hanging="360"/>
      </w:pPr>
    </w:lvl>
    <w:lvl w:ilvl="8" w:tplc="9730985E">
      <w:start w:val="1"/>
      <w:numFmt w:val="lowerRoman"/>
      <w:lvlText w:val="%9."/>
      <w:lvlJc w:val="right"/>
      <w:pPr>
        <w:ind w:left="6480" w:hanging="180"/>
      </w:pPr>
    </w:lvl>
  </w:abstractNum>
  <w:num w:numId="1">
    <w:abstractNumId w:val="80"/>
  </w:num>
  <w:num w:numId="2">
    <w:abstractNumId w:val="52"/>
  </w:num>
  <w:num w:numId="3">
    <w:abstractNumId w:val="90"/>
  </w:num>
  <w:num w:numId="4">
    <w:abstractNumId w:val="38"/>
  </w:num>
  <w:num w:numId="5">
    <w:abstractNumId w:val="53"/>
  </w:num>
  <w:num w:numId="6">
    <w:abstractNumId w:val="29"/>
  </w:num>
  <w:num w:numId="7">
    <w:abstractNumId w:val="85"/>
  </w:num>
  <w:num w:numId="8">
    <w:abstractNumId w:val="26"/>
  </w:num>
  <w:num w:numId="9">
    <w:abstractNumId w:val="59"/>
  </w:num>
  <w:num w:numId="10">
    <w:abstractNumId w:val="76"/>
  </w:num>
  <w:num w:numId="11">
    <w:abstractNumId w:val="79"/>
  </w:num>
  <w:num w:numId="12">
    <w:abstractNumId w:val="37"/>
  </w:num>
  <w:num w:numId="13">
    <w:abstractNumId w:val="73"/>
  </w:num>
  <w:num w:numId="14">
    <w:abstractNumId w:val="114"/>
  </w:num>
  <w:num w:numId="15">
    <w:abstractNumId w:val="3"/>
  </w:num>
  <w:num w:numId="16">
    <w:abstractNumId w:val="2"/>
  </w:num>
  <w:num w:numId="17">
    <w:abstractNumId w:val="1"/>
  </w:num>
  <w:num w:numId="18">
    <w:abstractNumId w:val="0"/>
  </w:num>
  <w:num w:numId="19">
    <w:abstractNumId w:val="49"/>
  </w:num>
  <w:num w:numId="20">
    <w:abstractNumId w:val="13"/>
  </w:num>
  <w:num w:numId="21">
    <w:abstractNumId w:val="51"/>
  </w:num>
  <w:num w:numId="22">
    <w:abstractNumId w:val="11"/>
  </w:num>
  <w:num w:numId="23">
    <w:abstractNumId w:val="27"/>
  </w:num>
  <w:num w:numId="24">
    <w:abstractNumId w:val="84"/>
  </w:num>
  <w:num w:numId="25">
    <w:abstractNumId w:val="89"/>
  </w:num>
  <w:num w:numId="26">
    <w:abstractNumId w:val="45"/>
  </w:num>
  <w:num w:numId="27">
    <w:abstractNumId w:val="28"/>
  </w:num>
  <w:num w:numId="28">
    <w:abstractNumId w:val="115"/>
  </w:num>
  <w:num w:numId="29">
    <w:abstractNumId w:val="25"/>
  </w:num>
  <w:num w:numId="30">
    <w:abstractNumId w:val="64"/>
  </w:num>
  <w:num w:numId="31">
    <w:abstractNumId w:val="99"/>
  </w:num>
  <w:num w:numId="32">
    <w:abstractNumId w:val="5"/>
  </w:num>
  <w:num w:numId="33">
    <w:abstractNumId w:val="95"/>
  </w:num>
  <w:num w:numId="34">
    <w:abstractNumId w:val="92"/>
  </w:num>
  <w:num w:numId="35">
    <w:abstractNumId w:val="91"/>
  </w:num>
  <w:num w:numId="36">
    <w:abstractNumId w:val="88"/>
  </w:num>
  <w:num w:numId="37">
    <w:abstractNumId w:val="43"/>
  </w:num>
  <w:num w:numId="38">
    <w:abstractNumId w:val="34"/>
  </w:num>
  <w:num w:numId="39">
    <w:abstractNumId w:val="93"/>
  </w:num>
  <w:num w:numId="40">
    <w:abstractNumId w:val="62"/>
  </w:num>
  <w:num w:numId="41">
    <w:abstractNumId w:val="111"/>
  </w:num>
  <w:num w:numId="42">
    <w:abstractNumId w:val="101"/>
  </w:num>
  <w:num w:numId="43">
    <w:abstractNumId w:val="19"/>
  </w:num>
  <w:num w:numId="44">
    <w:abstractNumId w:val="109"/>
  </w:num>
  <w:num w:numId="45">
    <w:abstractNumId w:val="10"/>
  </w:num>
  <w:num w:numId="46">
    <w:abstractNumId w:val="108"/>
  </w:num>
  <w:num w:numId="47">
    <w:abstractNumId w:val="46"/>
  </w:num>
  <w:num w:numId="48">
    <w:abstractNumId w:val="50"/>
  </w:num>
  <w:num w:numId="49">
    <w:abstractNumId w:val="54"/>
  </w:num>
  <w:num w:numId="50">
    <w:abstractNumId w:val="60"/>
  </w:num>
  <w:num w:numId="51">
    <w:abstractNumId w:val="75"/>
  </w:num>
  <w:num w:numId="52">
    <w:abstractNumId w:val="6"/>
  </w:num>
  <w:num w:numId="53">
    <w:abstractNumId w:val="4"/>
  </w:num>
  <w:num w:numId="54">
    <w:abstractNumId w:val="22"/>
  </w:num>
  <w:num w:numId="55">
    <w:abstractNumId w:val="98"/>
  </w:num>
  <w:num w:numId="56">
    <w:abstractNumId w:val="97"/>
  </w:num>
  <w:num w:numId="57">
    <w:abstractNumId w:val="55"/>
  </w:num>
  <w:num w:numId="58">
    <w:abstractNumId w:val="58"/>
  </w:num>
  <w:num w:numId="59">
    <w:abstractNumId w:val="35"/>
  </w:num>
  <w:num w:numId="60">
    <w:abstractNumId w:val="41"/>
  </w:num>
  <w:num w:numId="61">
    <w:abstractNumId w:val="74"/>
  </w:num>
  <w:num w:numId="62">
    <w:abstractNumId w:val="96"/>
  </w:num>
  <w:num w:numId="63">
    <w:abstractNumId w:val="66"/>
  </w:num>
  <w:num w:numId="64">
    <w:abstractNumId w:val="67"/>
  </w:num>
  <w:num w:numId="65">
    <w:abstractNumId w:val="56"/>
  </w:num>
  <w:num w:numId="66">
    <w:abstractNumId w:val="42"/>
  </w:num>
  <w:num w:numId="67">
    <w:abstractNumId w:val="40"/>
  </w:num>
  <w:num w:numId="68">
    <w:abstractNumId w:val="23"/>
  </w:num>
  <w:num w:numId="69">
    <w:abstractNumId w:val="94"/>
  </w:num>
  <w:num w:numId="70">
    <w:abstractNumId w:val="17"/>
  </w:num>
  <w:num w:numId="71">
    <w:abstractNumId w:val="33"/>
  </w:num>
  <w:num w:numId="72">
    <w:abstractNumId w:val="87"/>
  </w:num>
  <w:num w:numId="73">
    <w:abstractNumId w:val="16"/>
  </w:num>
  <w:num w:numId="74">
    <w:abstractNumId w:val="103"/>
  </w:num>
  <w:num w:numId="75">
    <w:abstractNumId w:val="81"/>
  </w:num>
  <w:num w:numId="76">
    <w:abstractNumId w:val="12"/>
  </w:num>
  <w:num w:numId="77">
    <w:abstractNumId w:val="36"/>
  </w:num>
  <w:num w:numId="78">
    <w:abstractNumId w:val="15"/>
  </w:num>
  <w:num w:numId="79">
    <w:abstractNumId w:val="24"/>
  </w:num>
  <w:num w:numId="80">
    <w:abstractNumId w:val="20"/>
  </w:num>
  <w:num w:numId="81">
    <w:abstractNumId w:val="48"/>
  </w:num>
  <w:num w:numId="82">
    <w:abstractNumId w:val="8"/>
  </w:num>
  <w:num w:numId="83">
    <w:abstractNumId w:val="39"/>
  </w:num>
  <w:num w:numId="84">
    <w:abstractNumId w:val="116"/>
  </w:num>
  <w:num w:numId="85">
    <w:abstractNumId w:val="77"/>
  </w:num>
  <w:num w:numId="86">
    <w:abstractNumId w:val="44"/>
  </w:num>
  <w:num w:numId="87">
    <w:abstractNumId w:val="113"/>
  </w:num>
  <w:num w:numId="88">
    <w:abstractNumId w:val="9"/>
  </w:num>
  <w:num w:numId="89">
    <w:abstractNumId w:val="57"/>
  </w:num>
  <w:num w:numId="90">
    <w:abstractNumId w:val="110"/>
  </w:num>
  <w:num w:numId="91">
    <w:abstractNumId w:val="78"/>
  </w:num>
  <w:num w:numId="92">
    <w:abstractNumId w:val="65"/>
  </w:num>
  <w:num w:numId="93">
    <w:abstractNumId w:val="31"/>
  </w:num>
  <w:num w:numId="94">
    <w:abstractNumId w:val="63"/>
  </w:num>
  <w:num w:numId="95">
    <w:abstractNumId w:val="102"/>
  </w:num>
  <w:num w:numId="96">
    <w:abstractNumId w:val="30"/>
  </w:num>
  <w:num w:numId="97">
    <w:abstractNumId w:val="117"/>
  </w:num>
  <w:num w:numId="98">
    <w:abstractNumId w:val="86"/>
  </w:num>
  <w:num w:numId="99">
    <w:abstractNumId w:val="21"/>
  </w:num>
  <w:num w:numId="100">
    <w:abstractNumId w:val="7"/>
  </w:num>
  <w:num w:numId="101">
    <w:abstractNumId w:val="104"/>
  </w:num>
  <w:num w:numId="102">
    <w:abstractNumId w:val="71"/>
  </w:num>
  <w:num w:numId="103">
    <w:abstractNumId w:val="82"/>
  </w:num>
  <w:num w:numId="104">
    <w:abstractNumId w:val="107"/>
  </w:num>
  <w:num w:numId="105">
    <w:abstractNumId w:val="100"/>
  </w:num>
  <w:num w:numId="106">
    <w:abstractNumId w:val="18"/>
  </w:num>
  <w:num w:numId="107">
    <w:abstractNumId w:val="83"/>
  </w:num>
  <w:num w:numId="108">
    <w:abstractNumId w:val="70"/>
  </w:num>
  <w:num w:numId="109">
    <w:abstractNumId w:val="106"/>
  </w:num>
  <w:num w:numId="110">
    <w:abstractNumId w:val="32"/>
  </w:num>
  <w:num w:numId="111">
    <w:abstractNumId w:val="68"/>
  </w:num>
  <w:num w:numId="112">
    <w:abstractNumId w:val="72"/>
  </w:num>
  <w:num w:numId="113">
    <w:abstractNumId w:val="112"/>
  </w:num>
  <w:num w:numId="114">
    <w:abstractNumId w:val="47"/>
  </w:num>
  <w:num w:numId="115">
    <w:abstractNumId w:val="14"/>
  </w:num>
  <w:num w:numId="116">
    <w:abstractNumId w:val="69"/>
  </w:num>
  <w:num w:numId="117">
    <w:abstractNumId w:val="105"/>
  </w:num>
  <w:num w:numId="118">
    <w:abstractNumId w:val="6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oNotTrackFormatting/>
  <w:documentProtection w:edit="trackedChanges" w:enforcement="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uncil" w:val="true"/>
    <w:docVar w:name="CoverPageOnWordDoc" w:val="true"/>
    <w:docVar w:name="DocStatus" w:val="Green"/>
    <w:docVar w:name="DocuWriteMetaData" w:val="&lt;metadataset docuwriteversion=&quot;4.5.2&quot; technicalblockguid=&quot;4655436941348792004&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1-07-07&lt;/text&gt;_x000d__x000a_  &lt;/metadata&gt;_x000d__x000a_  &lt;metadata key=&quot;md_Prefix&quot;&gt;_x000d__x000a_    &lt;text&gt;&lt;/text&gt;_x000d__x000a_  &lt;/metadata&gt;_x000d__x000a_  &lt;metadata key=&quot;md_DocumentNumber&quot;&gt;_x000d__x000a_    &lt;text&gt;10149&lt;/text&gt;_x000d__x000a_  &lt;/metadata&gt;_x000d__x000a_  &lt;metadata key=&quot;md_YearDocumentNumber&quot;&gt;_x000d__x000a_    &lt;text&gt;2021&lt;/text&gt;_x000d__x000a_  &lt;/metadata&gt;_x000d__x000a_  &lt;metadata key=&quot;md_Suffixes&quot;&gt;_x000d__x000a_    &lt;text&gt;ADD 1 REV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COFIN 636&lt;/text&gt;_x000d__x000a_      &lt;text&gt;CADREFIN 331&lt;/text&gt;_x000d__x000a_      &lt;text&gt;UEM 171&lt;/text&gt;_x000d__x000a_      &lt;text&gt;FIN 51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1/0154 (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07&quot; text=&quot;Delegations&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VISED ANNEX to the Council Implementing Decision on the approval of the assessment of the recovery and resilience plan for Portugal&quot;&gt;&amp;lt;FlowDocument FontFamily=&quot;Segoe UI&quot; FontSize=&quot;12&quot; LineHeight=&quot;6&quot; PageWidth=&quot;329&quot; PagePadding=&quot;2,2,2,2&quot; AllowDrop=&quot;False&quot; xmlns=&quot;http://schemas.microsoft.com/winfx/2006/xaml/presentation&quot; xmlns:x=&quot;http://schemas.microsoft.com/winfx/2006/xaml&quot;&amp;gt;&amp;lt;Paragraph&amp;gt;&amp;lt;Run xml:lang=&quot;fr-be&quot; xml:space=&quot;preserve&quot;&amp;gt;REVISED &amp;lt;/Run&amp;gt;ANNEX to the Council Implementing Decision on the approval of the assessment of the recovery and resilience plan for &amp;lt;Run xml:lang=&quot;fr-be&quot;&amp;gt;Portugal&amp;lt;/Run&amp;gt;&amp;lt;/Paragraph&amp;gt;&amp;lt;/FlowDocument&amp;gt;&lt;/xaml&gt;_x000d__x000a_  &lt;/metadata&gt;_x000d__x000a_  &lt;metadata key=&quot;md_SubjectFootnote&quot; /&gt;_x000d__x000a_  &lt;metadata key=&quot;md_DG&quot;&gt;_x000d__x000a_    &lt;text&gt;ECOMP 1A&lt;/text&gt;_x000d__x000a_  &lt;/metadata&gt;_x000d__x000a_  &lt;metadata key=&quot;md_Initials&quot;&gt;_x000d__x000a_    &lt;text&gt;FDC/sr&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1&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true&lt;/text&gt;_x000d__x000a_  &lt;/metadata&gt;_x000d__x000a_  &lt;metadata key=&quot;md_SourceDocLanguage&quot;&gt;_x000d__x000a_    &lt;text&gt;EN&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CustomNB&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No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DocType" w:val="Normal"/>
    <w:docVar w:name="LW_ACCOMPAGNANT.CP" w:val="της"/>
    <w:docVar w:name="LW_ANNEX_NBR_FIRST" w:val="1"/>
    <w:docVar w:name="LW_ANNEX_NBR_LAST" w:val="1"/>
    <w:docVar w:name="LW_ANNEX_UNIQUE" w:val="1"/>
    <w:docVar w:name="LW_CORRIGENDUM" w:val="&lt;UNUSED&gt;"/>
    <w:docVar w:name="LW_COVERPAGE_EXISTS" w:val="True"/>
    <w:docVar w:name="LW_COVERPAGE_GUID" w:val="1BFAFDD7-8914-4CBF-AE89-B714937F8B97"/>
    <w:docVar w:name="LW_COVERPAGE_TYPE" w:val="1"/>
    <w:docVar w:name="LW_CROSSREFERENCE" w:val="{SWD(2023) 318 final}"/>
    <w:docVar w:name="LW_DocType" w:val="NORMAL"/>
    <w:docVar w:name="LW_EMISSION" w:val="22.9.2023"/>
    <w:docVar w:name="LW_EMISSION_ISODATE" w:val="2023-09-22"/>
    <w:docVar w:name="LW_EMISSION_LOCATION" w:val="BRX"/>
    <w:docVar w:name="LW_EMISSION_PREFIX" w:val="\u914?\u961?\u965?\u958?\u941?\u955?\u955?\u949?\u962?, "/>
    <w:docVar w:name="LW_EMISSION_SUFFIX" w:val=" "/>
    <w:docVar w:name="LW_ID_DOCTYPE_NONLW" w:val="CP-036"/>
    <w:docVar w:name="LW_LANGUE" w:val="EL"/>
    <w:docVar w:name="LW_LEVEL_OF_SENSITIVITY" w:val="Standard treatment"/>
    <w:docVar w:name="LW_NOM.INST" w:val="\u917?\u933?\u929?\u937?\u928?\u913?\u938?\u922?\u919? \u917?\u928?\u921?\u932?\u929?\u927?\u928?\u919?"/>
    <w:docVar w:name="LW_NOM.INST_JOINTDOC" w:val="&lt;EMPTY&gt;"/>
    <w:docVar w:name="LW_OBJETACTEPRINCIPAL.CP" w:val="&lt;FMT:Bold&gt;για την τροποποίηση της εκτελεστικής απόφασης (ΕΕ) ST 10149/2021 και ST 10149/2021 ADD 1, της 6ης Ιουλίου 2021, για την έγκριση της αξιολόγησης του σχεδίου ανάκαμψης και ανθεκτικότητας της Πορτογαλίας&lt;/FMT&gt;_x000b_"/>
    <w:docVar w:name="LW_PART_NBR" w:val="1"/>
    <w:docVar w:name="LW_PART_NBR_TOTAL" w:val="1"/>
    <w:docVar w:name="LW_REF.INST.NEW" w:val="COM"/>
    <w:docVar w:name="LW_REF.INST.NEW_ADOPTED" w:val="final"/>
    <w:docVar w:name="LW_REF.INST.NEW_TEXT" w:val="(2023) 5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ΠΑΡΑΡΤΗΜΑ_x000b_"/>
    <w:docVar w:name="LW_TYPEACTEPRINCIPAL.CP" w:val="πρότασης ΕΚΤΕΛΕΣΤΙΚΗΣ ΑΠΟΦΑΣΗΣ ΤΟΥ ΣΥΜΒΟΥΛΙΟΥ"/>
    <w:docVar w:name="LwApiVersions" w:val="LW4CoDe 1.23.2.0; LW 8.0, Build 20211117"/>
  </w:docVars>
  <w:rsids>
    <w:rsidRoot w:val="007C40E9"/>
    <w:rsid w:val="0000008D"/>
    <w:rsid w:val="000000F3"/>
    <w:rsid w:val="00000323"/>
    <w:rsid w:val="00000529"/>
    <w:rsid w:val="00000576"/>
    <w:rsid w:val="000005FF"/>
    <w:rsid w:val="0000064E"/>
    <w:rsid w:val="0000080C"/>
    <w:rsid w:val="00000B7F"/>
    <w:rsid w:val="00000CCC"/>
    <w:rsid w:val="00000F6D"/>
    <w:rsid w:val="00001142"/>
    <w:rsid w:val="0000116B"/>
    <w:rsid w:val="00001258"/>
    <w:rsid w:val="000012F4"/>
    <w:rsid w:val="000013F2"/>
    <w:rsid w:val="000017E6"/>
    <w:rsid w:val="000018CD"/>
    <w:rsid w:val="00001A21"/>
    <w:rsid w:val="00001A89"/>
    <w:rsid w:val="00001CE9"/>
    <w:rsid w:val="00001FC9"/>
    <w:rsid w:val="000022F5"/>
    <w:rsid w:val="00002316"/>
    <w:rsid w:val="00002337"/>
    <w:rsid w:val="00002741"/>
    <w:rsid w:val="000028A2"/>
    <w:rsid w:val="000028FF"/>
    <w:rsid w:val="00002959"/>
    <w:rsid w:val="00002AB9"/>
    <w:rsid w:val="00002C7B"/>
    <w:rsid w:val="00002C97"/>
    <w:rsid w:val="00002E5B"/>
    <w:rsid w:val="00002F2C"/>
    <w:rsid w:val="00002F5B"/>
    <w:rsid w:val="000032C5"/>
    <w:rsid w:val="00003796"/>
    <w:rsid w:val="00003874"/>
    <w:rsid w:val="00003B17"/>
    <w:rsid w:val="00003B4B"/>
    <w:rsid w:val="00003C25"/>
    <w:rsid w:val="00003F3B"/>
    <w:rsid w:val="00003FE2"/>
    <w:rsid w:val="00003FFC"/>
    <w:rsid w:val="000042A7"/>
    <w:rsid w:val="0000438B"/>
    <w:rsid w:val="00004412"/>
    <w:rsid w:val="000044DE"/>
    <w:rsid w:val="0000482A"/>
    <w:rsid w:val="00004B18"/>
    <w:rsid w:val="00004FD8"/>
    <w:rsid w:val="000050B9"/>
    <w:rsid w:val="000052CD"/>
    <w:rsid w:val="000053ED"/>
    <w:rsid w:val="000054BD"/>
    <w:rsid w:val="0000568D"/>
    <w:rsid w:val="00005986"/>
    <w:rsid w:val="00005999"/>
    <w:rsid w:val="00005A0C"/>
    <w:rsid w:val="00005D5F"/>
    <w:rsid w:val="00005F39"/>
    <w:rsid w:val="00005FB6"/>
    <w:rsid w:val="00006158"/>
    <w:rsid w:val="000062DE"/>
    <w:rsid w:val="000062DF"/>
    <w:rsid w:val="000065B4"/>
    <w:rsid w:val="0000698A"/>
    <w:rsid w:val="00006C1A"/>
    <w:rsid w:val="00006E3C"/>
    <w:rsid w:val="00006F8A"/>
    <w:rsid w:val="00007332"/>
    <w:rsid w:val="00007373"/>
    <w:rsid w:val="000073D5"/>
    <w:rsid w:val="0000755D"/>
    <w:rsid w:val="00007596"/>
    <w:rsid w:val="0000780B"/>
    <w:rsid w:val="00007C47"/>
    <w:rsid w:val="00007C62"/>
    <w:rsid w:val="00007F4E"/>
    <w:rsid w:val="00007FCE"/>
    <w:rsid w:val="00010248"/>
    <w:rsid w:val="000102FE"/>
    <w:rsid w:val="000103B1"/>
    <w:rsid w:val="000104AF"/>
    <w:rsid w:val="00010611"/>
    <w:rsid w:val="00010933"/>
    <w:rsid w:val="00010A55"/>
    <w:rsid w:val="00010F64"/>
    <w:rsid w:val="00010F99"/>
    <w:rsid w:val="00011021"/>
    <w:rsid w:val="00011253"/>
    <w:rsid w:val="0001160D"/>
    <w:rsid w:val="000116CA"/>
    <w:rsid w:val="00011BDB"/>
    <w:rsid w:val="00011F18"/>
    <w:rsid w:val="00011F94"/>
    <w:rsid w:val="000120CC"/>
    <w:rsid w:val="000126BC"/>
    <w:rsid w:val="0001273B"/>
    <w:rsid w:val="0001279B"/>
    <w:rsid w:val="000129ED"/>
    <w:rsid w:val="00012A6B"/>
    <w:rsid w:val="00012A7E"/>
    <w:rsid w:val="00012BF1"/>
    <w:rsid w:val="00012D15"/>
    <w:rsid w:val="00012DAD"/>
    <w:rsid w:val="00012DBA"/>
    <w:rsid w:val="00012E77"/>
    <w:rsid w:val="000139A8"/>
    <w:rsid w:val="00013BEA"/>
    <w:rsid w:val="00013DDC"/>
    <w:rsid w:val="00013FC3"/>
    <w:rsid w:val="000141A4"/>
    <w:rsid w:val="000142FD"/>
    <w:rsid w:val="0001434E"/>
    <w:rsid w:val="000143B3"/>
    <w:rsid w:val="000143D8"/>
    <w:rsid w:val="00014454"/>
    <w:rsid w:val="00014B22"/>
    <w:rsid w:val="00014E11"/>
    <w:rsid w:val="000150DC"/>
    <w:rsid w:val="000151C2"/>
    <w:rsid w:val="0001520F"/>
    <w:rsid w:val="00015504"/>
    <w:rsid w:val="000155EB"/>
    <w:rsid w:val="000156C2"/>
    <w:rsid w:val="00015848"/>
    <w:rsid w:val="000159B2"/>
    <w:rsid w:val="00015B23"/>
    <w:rsid w:val="00015F0B"/>
    <w:rsid w:val="00015F77"/>
    <w:rsid w:val="0001602C"/>
    <w:rsid w:val="00016058"/>
    <w:rsid w:val="000161D9"/>
    <w:rsid w:val="00016237"/>
    <w:rsid w:val="000162B9"/>
    <w:rsid w:val="000162BA"/>
    <w:rsid w:val="000163A1"/>
    <w:rsid w:val="000165A4"/>
    <w:rsid w:val="000166C7"/>
    <w:rsid w:val="0001684A"/>
    <w:rsid w:val="00016A1C"/>
    <w:rsid w:val="00016BD5"/>
    <w:rsid w:val="00016E25"/>
    <w:rsid w:val="00016E8B"/>
    <w:rsid w:val="00017178"/>
    <w:rsid w:val="00017186"/>
    <w:rsid w:val="000174C2"/>
    <w:rsid w:val="00017531"/>
    <w:rsid w:val="000175AB"/>
    <w:rsid w:val="000176AD"/>
    <w:rsid w:val="000177CB"/>
    <w:rsid w:val="0001782F"/>
    <w:rsid w:val="00017831"/>
    <w:rsid w:val="00017A10"/>
    <w:rsid w:val="00017E46"/>
    <w:rsid w:val="00020052"/>
    <w:rsid w:val="0002037E"/>
    <w:rsid w:val="00020594"/>
    <w:rsid w:val="000206B9"/>
    <w:rsid w:val="0002082E"/>
    <w:rsid w:val="000209A5"/>
    <w:rsid w:val="000209B0"/>
    <w:rsid w:val="00020A61"/>
    <w:rsid w:val="00020A8F"/>
    <w:rsid w:val="00020B0F"/>
    <w:rsid w:val="00020EBA"/>
    <w:rsid w:val="00021016"/>
    <w:rsid w:val="0002101C"/>
    <w:rsid w:val="0002134D"/>
    <w:rsid w:val="00021A62"/>
    <w:rsid w:val="00021BE8"/>
    <w:rsid w:val="00021F53"/>
    <w:rsid w:val="0002235D"/>
    <w:rsid w:val="00022425"/>
    <w:rsid w:val="0002274E"/>
    <w:rsid w:val="0002276F"/>
    <w:rsid w:val="0002294E"/>
    <w:rsid w:val="0002296D"/>
    <w:rsid w:val="000229DA"/>
    <w:rsid w:val="00022B95"/>
    <w:rsid w:val="00022CED"/>
    <w:rsid w:val="00022EAA"/>
    <w:rsid w:val="00023183"/>
    <w:rsid w:val="000239E6"/>
    <w:rsid w:val="00023DE2"/>
    <w:rsid w:val="00024228"/>
    <w:rsid w:val="000244AC"/>
    <w:rsid w:val="000245BC"/>
    <w:rsid w:val="000245D1"/>
    <w:rsid w:val="000247EC"/>
    <w:rsid w:val="000248C2"/>
    <w:rsid w:val="00024AC2"/>
    <w:rsid w:val="00024C45"/>
    <w:rsid w:val="00024CFC"/>
    <w:rsid w:val="0002515F"/>
    <w:rsid w:val="000252D5"/>
    <w:rsid w:val="0002561B"/>
    <w:rsid w:val="00025657"/>
    <w:rsid w:val="0002590D"/>
    <w:rsid w:val="0002592B"/>
    <w:rsid w:val="00025A76"/>
    <w:rsid w:val="00025BD0"/>
    <w:rsid w:val="00025F02"/>
    <w:rsid w:val="00025F3C"/>
    <w:rsid w:val="0002636A"/>
    <w:rsid w:val="00026389"/>
    <w:rsid w:val="000263C6"/>
    <w:rsid w:val="000265CF"/>
    <w:rsid w:val="00026A33"/>
    <w:rsid w:val="00026C22"/>
    <w:rsid w:val="00026C64"/>
    <w:rsid w:val="00026C9A"/>
    <w:rsid w:val="0002712C"/>
    <w:rsid w:val="00027334"/>
    <w:rsid w:val="000273F4"/>
    <w:rsid w:val="00027476"/>
    <w:rsid w:val="0002754A"/>
    <w:rsid w:val="0002783C"/>
    <w:rsid w:val="000278F2"/>
    <w:rsid w:val="00027A5D"/>
    <w:rsid w:val="00027CAF"/>
    <w:rsid w:val="00027E1A"/>
    <w:rsid w:val="00027F14"/>
    <w:rsid w:val="000300AA"/>
    <w:rsid w:val="00030797"/>
    <w:rsid w:val="00030830"/>
    <w:rsid w:val="00030993"/>
    <w:rsid w:val="000309C1"/>
    <w:rsid w:val="00030A32"/>
    <w:rsid w:val="00030DA3"/>
    <w:rsid w:val="00031175"/>
    <w:rsid w:val="0003127E"/>
    <w:rsid w:val="000312CA"/>
    <w:rsid w:val="00031472"/>
    <w:rsid w:val="0003164A"/>
    <w:rsid w:val="0003191A"/>
    <w:rsid w:val="00031962"/>
    <w:rsid w:val="00031B5A"/>
    <w:rsid w:val="00031C47"/>
    <w:rsid w:val="00031D07"/>
    <w:rsid w:val="00032124"/>
    <w:rsid w:val="0003225D"/>
    <w:rsid w:val="00032335"/>
    <w:rsid w:val="00032B36"/>
    <w:rsid w:val="00032CA7"/>
    <w:rsid w:val="00032DB5"/>
    <w:rsid w:val="00032E9D"/>
    <w:rsid w:val="00032EE4"/>
    <w:rsid w:val="0003306E"/>
    <w:rsid w:val="00033234"/>
    <w:rsid w:val="0003335C"/>
    <w:rsid w:val="00033373"/>
    <w:rsid w:val="000335CA"/>
    <w:rsid w:val="000336B3"/>
    <w:rsid w:val="00033A00"/>
    <w:rsid w:val="00033A0D"/>
    <w:rsid w:val="00033DB2"/>
    <w:rsid w:val="00033EE3"/>
    <w:rsid w:val="0003449C"/>
    <w:rsid w:val="000344B0"/>
    <w:rsid w:val="000345DC"/>
    <w:rsid w:val="00034AE0"/>
    <w:rsid w:val="00034C14"/>
    <w:rsid w:val="00035116"/>
    <w:rsid w:val="00035230"/>
    <w:rsid w:val="00035587"/>
    <w:rsid w:val="00035940"/>
    <w:rsid w:val="00035B66"/>
    <w:rsid w:val="00035C66"/>
    <w:rsid w:val="00035FA6"/>
    <w:rsid w:val="0003601E"/>
    <w:rsid w:val="000365E2"/>
    <w:rsid w:val="00036893"/>
    <w:rsid w:val="00036C14"/>
    <w:rsid w:val="00037239"/>
    <w:rsid w:val="00037286"/>
    <w:rsid w:val="00037322"/>
    <w:rsid w:val="0003775E"/>
    <w:rsid w:val="000378E7"/>
    <w:rsid w:val="00037D94"/>
    <w:rsid w:val="00037E65"/>
    <w:rsid w:val="000401F5"/>
    <w:rsid w:val="0004034C"/>
    <w:rsid w:val="000404C8"/>
    <w:rsid w:val="000404E1"/>
    <w:rsid w:val="00040500"/>
    <w:rsid w:val="000405A6"/>
    <w:rsid w:val="000409CB"/>
    <w:rsid w:val="00040A25"/>
    <w:rsid w:val="00041384"/>
    <w:rsid w:val="000419FF"/>
    <w:rsid w:val="00041D91"/>
    <w:rsid w:val="00041DE6"/>
    <w:rsid w:val="000421E6"/>
    <w:rsid w:val="0004235E"/>
    <w:rsid w:val="000423D9"/>
    <w:rsid w:val="00042D28"/>
    <w:rsid w:val="00043129"/>
    <w:rsid w:val="000432C2"/>
    <w:rsid w:val="00043783"/>
    <w:rsid w:val="00043BF1"/>
    <w:rsid w:val="00043E76"/>
    <w:rsid w:val="00043EE0"/>
    <w:rsid w:val="00043F66"/>
    <w:rsid w:val="0004409A"/>
    <w:rsid w:val="0004425F"/>
    <w:rsid w:val="00044841"/>
    <w:rsid w:val="0004486D"/>
    <w:rsid w:val="00044AAF"/>
    <w:rsid w:val="00044ABA"/>
    <w:rsid w:val="00044C45"/>
    <w:rsid w:val="00044CF5"/>
    <w:rsid w:val="00044F87"/>
    <w:rsid w:val="0004511C"/>
    <w:rsid w:val="00045136"/>
    <w:rsid w:val="00045359"/>
    <w:rsid w:val="0004552F"/>
    <w:rsid w:val="000455CD"/>
    <w:rsid w:val="000459BC"/>
    <w:rsid w:val="00045E5C"/>
    <w:rsid w:val="000462AC"/>
    <w:rsid w:val="000466F4"/>
    <w:rsid w:val="00046806"/>
    <w:rsid w:val="00046929"/>
    <w:rsid w:val="000469FA"/>
    <w:rsid w:val="00046AAC"/>
    <w:rsid w:val="00046B3F"/>
    <w:rsid w:val="00046BBE"/>
    <w:rsid w:val="00046CF0"/>
    <w:rsid w:val="00046DB4"/>
    <w:rsid w:val="00046E7B"/>
    <w:rsid w:val="000476E1"/>
    <w:rsid w:val="00047C3A"/>
    <w:rsid w:val="00047CF7"/>
    <w:rsid w:val="0005027F"/>
    <w:rsid w:val="00050287"/>
    <w:rsid w:val="00050546"/>
    <w:rsid w:val="000506CE"/>
    <w:rsid w:val="00050705"/>
    <w:rsid w:val="00050712"/>
    <w:rsid w:val="00050935"/>
    <w:rsid w:val="00050B2A"/>
    <w:rsid w:val="00050B5C"/>
    <w:rsid w:val="00050CAD"/>
    <w:rsid w:val="00050E8B"/>
    <w:rsid w:val="000512F2"/>
    <w:rsid w:val="00051544"/>
    <w:rsid w:val="0005160B"/>
    <w:rsid w:val="00051A70"/>
    <w:rsid w:val="00051B2F"/>
    <w:rsid w:val="00051B5A"/>
    <w:rsid w:val="00051C0A"/>
    <w:rsid w:val="00051D8D"/>
    <w:rsid w:val="00051E2D"/>
    <w:rsid w:val="00051F8A"/>
    <w:rsid w:val="00051FE3"/>
    <w:rsid w:val="00052752"/>
    <w:rsid w:val="00052867"/>
    <w:rsid w:val="00052898"/>
    <w:rsid w:val="00052CBF"/>
    <w:rsid w:val="00052F48"/>
    <w:rsid w:val="000531BD"/>
    <w:rsid w:val="000531DB"/>
    <w:rsid w:val="0005329F"/>
    <w:rsid w:val="00053646"/>
    <w:rsid w:val="00053725"/>
    <w:rsid w:val="000538CE"/>
    <w:rsid w:val="00053A55"/>
    <w:rsid w:val="00053AB3"/>
    <w:rsid w:val="00053AC9"/>
    <w:rsid w:val="00053C04"/>
    <w:rsid w:val="00053F51"/>
    <w:rsid w:val="00054067"/>
    <w:rsid w:val="00054186"/>
    <w:rsid w:val="00054320"/>
    <w:rsid w:val="000543D1"/>
    <w:rsid w:val="000543EE"/>
    <w:rsid w:val="000545ED"/>
    <w:rsid w:val="00054682"/>
    <w:rsid w:val="0005476B"/>
    <w:rsid w:val="00054AD7"/>
    <w:rsid w:val="00054BC9"/>
    <w:rsid w:val="00054D49"/>
    <w:rsid w:val="00054D5F"/>
    <w:rsid w:val="00054EBF"/>
    <w:rsid w:val="00054FDB"/>
    <w:rsid w:val="0005503B"/>
    <w:rsid w:val="00055834"/>
    <w:rsid w:val="00055E73"/>
    <w:rsid w:val="000564B1"/>
    <w:rsid w:val="000565BB"/>
    <w:rsid w:val="00056771"/>
    <w:rsid w:val="000568E5"/>
    <w:rsid w:val="00056CFC"/>
    <w:rsid w:val="00056DB8"/>
    <w:rsid w:val="00056E01"/>
    <w:rsid w:val="00056E8F"/>
    <w:rsid w:val="00056FA2"/>
    <w:rsid w:val="00057027"/>
    <w:rsid w:val="00057069"/>
    <w:rsid w:val="000570D7"/>
    <w:rsid w:val="00057161"/>
    <w:rsid w:val="000575C1"/>
    <w:rsid w:val="00057683"/>
    <w:rsid w:val="000578EA"/>
    <w:rsid w:val="000578EF"/>
    <w:rsid w:val="00057D64"/>
    <w:rsid w:val="00057DF4"/>
    <w:rsid w:val="000600AC"/>
    <w:rsid w:val="000600BE"/>
    <w:rsid w:val="0006027B"/>
    <w:rsid w:val="000603A3"/>
    <w:rsid w:val="000605EC"/>
    <w:rsid w:val="000605FB"/>
    <w:rsid w:val="00060610"/>
    <w:rsid w:val="00060682"/>
    <w:rsid w:val="000606D8"/>
    <w:rsid w:val="00060AB3"/>
    <w:rsid w:val="00060ADF"/>
    <w:rsid w:val="00060DD8"/>
    <w:rsid w:val="00060DDD"/>
    <w:rsid w:val="000614A6"/>
    <w:rsid w:val="00061621"/>
    <w:rsid w:val="0006171B"/>
    <w:rsid w:val="00061922"/>
    <w:rsid w:val="00061AF4"/>
    <w:rsid w:val="00061C49"/>
    <w:rsid w:val="00061CA2"/>
    <w:rsid w:val="0006201A"/>
    <w:rsid w:val="000620D0"/>
    <w:rsid w:val="000623C6"/>
    <w:rsid w:val="000624DF"/>
    <w:rsid w:val="00062845"/>
    <w:rsid w:val="00062A35"/>
    <w:rsid w:val="00062B47"/>
    <w:rsid w:val="00062DF0"/>
    <w:rsid w:val="00062F37"/>
    <w:rsid w:val="00062F89"/>
    <w:rsid w:val="00062F9C"/>
    <w:rsid w:val="0006301D"/>
    <w:rsid w:val="000631FE"/>
    <w:rsid w:val="00063572"/>
    <w:rsid w:val="0006361B"/>
    <w:rsid w:val="000637D1"/>
    <w:rsid w:val="00063ECB"/>
    <w:rsid w:val="00064078"/>
    <w:rsid w:val="00064098"/>
    <w:rsid w:val="00064269"/>
    <w:rsid w:val="0006443D"/>
    <w:rsid w:val="00064557"/>
    <w:rsid w:val="0006461E"/>
    <w:rsid w:val="00064829"/>
    <w:rsid w:val="000648FB"/>
    <w:rsid w:val="00064BBA"/>
    <w:rsid w:val="00064E24"/>
    <w:rsid w:val="00064F9F"/>
    <w:rsid w:val="000651B6"/>
    <w:rsid w:val="000653CE"/>
    <w:rsid w:val="000654C9"/>
    <w:rsid w:val="00065710"/>
    <w:rsid w:val="00065C38"/>
    <w:rsid w:val="000661A4"/>
    <w:rsid w:val="00066501"/>
    <w:rsid w:val="00066574"/>
    <w:rsid w:val="00066998"/>
    <w:rsid w:val="00066B30"/>
    <w:rsid w:val="00066BBC"/>
    <w:rsid w:val="00066C0E"/>
    <w:rsid w:val="00066ECD"/>
    <w:rsid w:val="00066ED3"/>
    <w:rsid w:val="00067180"/>
    <w:rsid w:val="000673B3"/>
    <w:rsid w:val="0006750F"/>
    <w:rsid w:val="00067597"/>
    <w:rsid w:val="00067EA8"/>
    <w:rsid w:val="00067F71"/>
    <w:rsid w:val="00070447"/>
    <w:rsid w:val="00070C41"/>
    <w:rsid w:val="00070C75"/>
    <w:rsid w:val="00070C76"/>
    <w:rsid w:val="000710EB"/>
    <w:rsid w:val="0007125B"/>
    <w:rsid w:val="00071539"/>
    <w:rsid w:val="000715B5"/>
    <w:rsid w:val="00071806"/>
    <w:rsid w:val="0007191E"/>
    <w:rsid w:val="0007198C"/>
    <w:rsid w:val="000719B3"/>
    <w:rsid w:val="000719BC"/>
    <w:rsid w:val="000719DD"/>
    <w:rsid w:val="00071B8E"/>
    <w:rsid w:val="00071BBF"/>
    <w:rsid w:val="00071C48"/>
    <w:rsid w:val="00072405"/>
    <w:rsid w:val="000724C1"/>
    <w:rsid w:val="0007259E"/>
    <w:rsid w:val="000727CC"/>
    <w:rsid w:val="0007293A"/>
    <w:rsid w:val="00072AAD"/>
    <w:rsid w:val="00072B01"/>
    <w:rsid w:val="00072D67"/>
    <w:rsid w:val="00072DEE"/>
    <w:rsid w:val="00072E4A"/>
    <w:rsid w:val="0007330F"/>
    <w:rsid w:val="00073C88"/>
    <w:rsid w:val="00073D1E"/>
    <w:rsid w:val="00073E34"/>
    <w:rsid w:val="00073F5A"/>
    <w:rsid w:val="00073F62"/>
    <w:rsid w:val="00073FA7"/>
    <w:rsid w:val="0007437F"/>
    <w:rsid w:val="00074444"/>
    <w:rsid w:val="000747D7"/>
    <w:rsid w:val="00074E9A"/>
    <w:rsid w:val="00074F29"/>
    <w:rsid w:val="00074F6A"/>
    <w:rsid w:val="00074F8E"/>
    <w:rsid w:val="00075040"/>
    <w:rsid w:val="0007535B"/>
    <w:rsid w:val="0007591D"/>
    <w:rsid w:val="00075D71"/>
    <w:rsid w:val="00076018"/>
    <w:rsid w:val="000760F3"/>
    <w:rsid w:val="00076316"/>
    <w:rsid w:val="00076378"/>
    <w:rsid w:val="00076409"/>
    <w:rsid w:val="00076486"/>
    <w:rsid w:val="00076728"/>
    <w:rsid w:val="00076B57"/>
    <w:rsid w:val="00076C54"/>
    <w:rsid w:val="00076F37"/>
    <w:rsid w:val="00077411"/>
    <w:rsid w:val="000776D0"/>
    <w:rsid w:val="00077A66"/>
    <w:rsid w:val="00077B54"/>
    <w:rsid w:val="00077C0F"/>
    <w:rsid w:val="00077D82"/>
    <w:rsid w:val="00077DCB"/>
    <w:rsid w:val="00077FBC"/>
    <w:rsid w:val="000801DF"/>
    <w:rsid w:val="00080639"/>
    <w:rsid w:val="0008063A"/>
    <w:rsid w:val="00080959"/>
    <w:rsid w:val="00080C21"/>
    <w:rsid w:val="00080EF9"/>
    <w:rsid w:val="00081170"/>
    <w:rsid w:val="00081398"/>
    <w:rsid w:val="00081695"/>
    <w:rsid w:val="000818F7"/>
    <w:rsid w:val="00081D8E"/>
    <w:rsid w:val="000820B9"/>
    <w:rsid w:val="0008241F"/>
    <w:rsid w:val="00082469"/>
    <w:rsid w:val="00082679"/>
    <w:rsid w:val="0008277E"/>
    <w:rsid w:val="00082816"/>
    <w:rsid w:val="00082A44"/>
    <w:rsid w:val="00082B45"/>
    <w:rsid w:val="00082B4A"/>
    <w:rsid w:val="00082C33"/>
    <w:rsid w:val="000832C9"/>
    <w:rsid w:val="000832FD"/>
    <w:rsid w:val="000833E3"/>
    <w:rsid w:val="00083486"/>
    <w:rsid w:val="000834C3"/>
    <w:rsid w:val="00083602"/>
    <w:rsid w:val="0008361A"/>
    <w:rsid w:val="0008392A"/>
    <w:rsid w:val="00083A9A"/>
    <w:rsid w:val="00083E05"/>
    <w:rsid w:val="00084028"/>
    <w:rsid w:val="00084115"/>
    <w:rsid w:val="00084459"/>
    <w:rsid w:val="000844DF"/>
    <w:rsid w:val="000844F1"/>
    <w:rsid w:val="00084551"/>
    <w:rsid w:val="0008469D"/>
    <w:rsid w:val="0008471E"/>
    <w:rsid w:val="00084962"/>
    <w:rsid w:val="00084C26"/>
    <w:rsid w:val="00084C9F"/>
    <w:rsid w:val="00084FFA"/>
    <w:rsid w:val="00085053"/>
    <w:rsid w:val="0008509A"/>
    <w:rsid w:val="0008534D"/>
    <w:rsid w:val="000853B1"/>
    <w:rsid w:val="00085495"/>
    <w:rsid w:val="00085844"/>
    <w:rsid w:val="0008590A"/>
    <w:rsid w:val="000860AE"/>
    <w:rsid w:val="000864BE"/>
    <w:rsid w:val="00086630"/>
    <w:rsid w:val="000866A8"/>
    <w:rsid w:val="0008691F"/>
    <w:rsid w:val="00086D26"/>
    <w:rsid w:val="00086E2D"/>
    <w:rsid w:val="00086EED"/>
    <w:rsid w:val="00086FFD"/>
    <w:rsid w:val="000874F1"/>
    <w:rsid w:val="000876A8"/>
    <w:rsid w:val="00087B08"/>
    <w:rsid w:val="00087B54"/>
    <w:rsid w:val="00087FF2"/>
    <w:rsid w:val="000903E5"/>
    <w:rsid w:val="0009053D"/>
    <w:rsid w:val="000905CA"/>
    <w:rsid w:val="00090906"/>
    <w:rsid w:val="00090ED6"/>
    <w:rsid w:val="00091024"/>
    <w:rsid w:val="00091456"/>
    <w:rsid w:val="00091503"/>
    <w:rsid w:val="00091AC8"/>
    <w:rsid w:val="00091B62"/>
    <w:rsid w:val="00091B84"/>
    <w:rsid w:val="00091C05"/>
    <w:rsid w:val="00091F1C"/>
    <w:rsid w:val="00091FEE"/>
    <w:rsid w:val="000925E6"/>
    <w:rsid w:val="000928CE"/>
    <w:rsid w:val="00092ADF"/>
    <w:rsid w:val="00092BF5"/>
    <w:rsid w:val="00092C29"/>
    <w:rsid w:val="0009305B"/>
    <w:rsid w:val="00093130"/>
    <w:rsid w:val="00093219"/>
    <w:rsid w:val="0009322E"/>
    <w:rsid w:val="0009355C"/>
    <w:rsid w:val="000935D7"/>
    <w:rsid w:val="000936EC"/>
    <w:rsid w:val="000937C2"/>
    <w:rsid w:val="000938FC"/>
    <w:rsid w:val="0009395E"/>
    <w:rsid w:val="00093B66"/>
    <w:rsid w:val="00093BC0"/>
    <w:rsid w:val="00093C08"/>
    <w:rsid w:val="00093D01"/>
    <w:rsid w:val="000940D1"/>
    <w:rsid w:val="0009444F"/>
    <w:rsid w:val="00094616"/>
    <w:rsid w:val="00094C75"/>
    <w:rsid w:val="00094F14"/>
    <w:rsid w:val="00094FAD"/>
    <w:rsid w:val="00094FD9"/>
    <w:rsid w:val="00095003"/>
    <w:rsid w:val="000952E9"/>
    <w:rsid w:val="00095304"/>
    <w:rsid w:val="00095536"/>
    <w:rsid w:val="000959BF"/>
    <w:rsid w:val="00095A22"/>
    <w:rsid w:val="00095B44"/>
    <w:rsid w:val="00095BF7"/>
    <w:rsid w:val="00095D00"/>
    <w:rsid w:val="00096105"/>
    <w:rsid w:val="0009678E"/>
    <w:rsid w:val="0009681E"/>
    <w:rsid w:val="00096A6F"/>
    <w:rsid w:val="00096CA7"/>
    <w:rsid w:val="00096E63"/>
    <w:rsid w:val="00096F5E"/>
    <w:rsid w:val="00096F60"/>
    <w:rsid w:val="0009799D"/>
    <w:rsid w:val="00097A12"/>
    <w:rsid w:val="00097C91"/>
    <w:rsid w:val="00097DD2"/>
    <w:rsid w:val="00097FDA"/>
    <w:rsid w:val="000A0565"/>
    <w:rsid w:val="000A0810"/>
    <w:rsid w:val="000A092D"/>
    <w:rsid w:val="000A0ECE"/>
    <w:rsid w:val="000A0F8A"/>
    <w:rsid w:val="000A114E"/>
    <w:rsid w:val="000A1278"/>
    <w:rsid w:val="000A1841"/>
    <w:rsid w:val="000A19CA"/>
    <w:rsid w:val="000A1A2D"/>
    <w:rsid w:val="000A1B9A"/>
    <w:rsid w:val="000A1D84"/>
    <w:rsid w:val="000A1E0A"/>
    <w:rsid w:val="000A1E79"/>
    <w:rsid w:val="000A1ED0"/>
    <w:rsid w:val="000A201A"/>
    <w:rsid w:val="000A2200"/>
    <w:rsid w:val="000A2379"/>
    <w:rsid w:val="000A23A2"/>
    <w:rsid w:val="000A2751"/>
    <w:rsid w:val="000A2A07"/>
    <w:rsid w:val="000A2B7E"/>
    <w:rsid w:val="000A2BB7"/>
    <w:rsid w:val="000A2BF5"/>
    <w:rsid w:val="000A2C41"/>
    <w:rsid w:val="000A2CB3"/>
    <w:rsid w:val="000A2CBB"/>
    <w:rsid w:val="000A2DB2"/>
    <w:rsid w:val="000A3285"/>
    <w:rsid w:val="000A358B"/>
    <w:rsid w:val="000A37EB"/>
    <w:rsid w:val="000A3DD0"/>
    <w:rsid w:val="000A3F07"/>
    <w:rsid w:val="000A4094"/>
    <w:rsid w:val="000A40E2"/>
    <w:rsid w:val="000A4137"/>
    <w:rsid w:val="000A4182"/>
    <w:rsid w:val="000A42B8"/>
    <w:rsid w:val="000A445C"/>
    <w:rsid w:val="000A45B1"/>
    <w:rsid w:val="000A45EB"/>
    <w:rsid w:val="000A4654"/>
    <w:rsid w:val="000A4690"/>
    <w:rsid w:val="000A493B"/>
    <w:rsid w:val="000A4E90"/>
    <w:rsid w:val="000A50E5"/>
    <w:rsid w:val="000A5130"/>
    <w:rsid w:val="000A5500"/>
    <w:rsid w:val="000A5586"/>
    <w:rsid w:val="000A5745"/>
    <w:rsid w:val="000A5861"/>
    <w:rsid w:val="000A5DF4"/>
    <w:rsid w:val="000A5E45"/>
    <w:rsid w:val="000A5E57"/>
    <w:rsid w:val="000A6110"/>
    <w:rsid w:val="000A63C8"/>
    <w:rsid w:val="000A6513"/>
    <w:rsid w:val="000A66D2"/>
    <w:rsid w:val="000A692E"/>
    <w:rsid w:val="000A6C57"/>
    <w:rsid w:val="000A6CCF"/>
    <w:rsid w:val="000A6D10"/>
    <w:rsid w:val="000A6D92"/>
    <w:rsid w:val="000A6FFE"/>
    <w:rsid w:val="000A707B"/>
    <w:rsid w:val="000A7165"/>
    <w:rsid w:val="000A734B"/>
    <w:rsid w:val="000A7757"/>
    <w:rsid w:val="000A77B4"/>
    <w:rsid w:val="000A77F5"/>
    <w:rsid w:val="000A7BD6"/>
    <w:rsid w:val="000A7E75"/>
    <w:rsid w:val="000A7E84"/>
    <w:rsid w:val="000A7EC7"/>
    <w:rsid w:val="000B0089"/>
    <w:rsid w:val="000B0254"/>
    <w:rsid w:val="000B0328"/>
    <w:rsid w:val="000B0516"/>
    <w:rsid w:val="000B06AC"/>
    <w:rsid w:val="000B06AF"/>
    <w:rsid w:val="000B09CE"/>
    <w:rsid w:val="000B0A73"/>
    <w:rsid w:val="000B0BDD"/>
    <w:rsid w:val="000B0CAD"/>
    <w:rsid w:val="000B1030"/>
    <w:rsid w:val="000B123B"/>
    <w:rsid w:val="000B13A3"/>
    <w:rsid w:val="000B13CA"/>
    <w:rsid w:val="000B14BA"/>
    <w:rsid w:val="000B179A"/>
    <w:rsid w:val="000B1988"/>
    <w:rsid w:val="000B1B59"/>
    <w:rsid w:val="000B1D80"/>
    <w:rsid w:val="000B1EBB"/>
    <w:rsid w:val="000B204C"/>
    <w:rsid w:val="000B2266"/>
    <w:rsid w:val="000B242D"/>
    <w:rsid w:val="000B26E2"/>
    <w:rsid w:val="000B2828"/>
    <w:rsid w:val="000B28DA"/>
    <w:rsid w:val="000B2A7D"/>
    <w:rsid w:val="000B30F9"/>
    <w:rsid w:val="000B314B"/>
    <w:rsid w:val="000B3279"/>
    <w:rsid w:val="000B34AC"/>
    <w:rsid w:val="000B379B"/>
    <w:rsid w:val="000B37A3"/>
    <w:rsid w:val="000B37EB"/>
    <w:rsid w:val="000B38D1"/>
    <w:rsid w:val="000B3B7D"/>
    <w:rsid w:val="000B3C5D"/>
    <w:rsid w:val="000B3EC7"/>
    <w:rsid w:val="000B3FE8"/>
    <w:rsid w:val="000B4077"/>
    <w:rsid w:val="000B43FB"/>
    <w:rsid w:val="000B454F"/>
    <w:rsid w:val="000B45A4"/>
    <w:rsid w:val="000B45C2"/>
    <w:rsid w:val="000B4707"/>
    <w:rsid w:val="000B4875"/>
    <w:rsid w:val="000B48C8"/>
    <w:rsid w:val="000B4937"/>
    <w:rsid w:val="000B4ACF"/>
    <w:rsid w:val="000B4D66"/>
    <w:rsid w:val="000B5093"/>
    <w:rsid w:val="000B514A"/>
    <w:rsid w:val="000B5189"/>
    <w:rsid w:val="000B51D6"/>
    <w:rsid w:val="000B52D9"/>
    <w:rsid w:val="000B5488"/>
    <w:rsid w:val="000B54B0"/>
    <w:rsid w:val="000B54C0"/>
    <w:rsid w:val="000B56CE"/>
    <w:rsid w:val="000B5719"/>
    <w:rsid w:val="000B5B13"/>
    <w:rsid w:val="000B5E37"/>
    <w:rsid w:val="000B5E5B"/>
    <w:rsid w:val="000B5EEC"/>
    <w:rsid w:val="000B636D"/>
    <w:rsid w:val="000B643D"/>
    <w:rsid w:val="000B653E"/>
    <w:rsid w:val="000B657D"/>
    <w:rsid w:val="000B65F3"/>
    <w:rsid w:val="000B68AC"/>
    <w:rsid w:val="000B6A9D"/>
    <w:rsid w:val="000B7258"/>
    <w:rsid w:val="000B73EF"/>
    <w:rsid w:val="000B7485"/>
    <w:rsid w:val="000B79C4"/>
    <w:rsid w:val="000B7BDF"/>
    <w:rsid w:val="000C02A1"/>
    <w:rsid w:val="000C0558"/>
    <w:rsid w:val="000C0786"/>
    <w:rsid w:val="000C0A6F"/>
    <w:rsid w:val="000C0BD4"/>
    <w:rsid w:val="000C10F3"/>
    <w:rsid w:val="000C1117"/>
    <w:rsid w:val="000C1211"/>
    <w:rsid w:val="000C1261"/>
    <w:rsid w:val="000C1285"/>
    <w:rsid w:val="000C1F5D"/>
    <w:rsid w:val="000C211E"/>
    <w:rsid w:val="000C232A"/>
    <w:rsid w:val="000C239B"/>
    <w:rsid w:val="000C2626"/>
    <w:rsid w:val="000C26FA"/>
    <w:rsid w:val="000C2A2D"/>
    <w:rsid w:val="000C2D8B"/>
    <w:rsid w:val="000C2DCB"/>
    <w:rsid w:val="000C2E33"/>
    <w:rsid w:val="000C2E88"/>
    <w:rsid w:val="000C2EB7"/>
    <w:rsid w:val="000C300C"/>
    <w:rsid w:val="000C300E"/>
    <w:rsid w:val="000C30BE"/>
    <w:rsid w:val="000C326A"/>
    <w:rsid w:val="000C34A5"/>
    <w:rsid w:val="000C3794"/>
    <w:rsid w:val="000C3A19"/>
    <w:rsid w:val="000C3CE5"/>
    <w:rsid w:val="000C3D21"/>
    <w:rsid w:val="000C3D5B"/>
    <w:rsid w:val="000C4089"/>
    <w:rsid w:val="000C4095"/>
    <w:rsid w:val="000C449E"/>
    <w:rsid w:val="000C457B"/>
    <w:rsid w:val="000C46D4"/>
    <w:rsid w:val="000C4831"/>
    <w:rsid w:val="000C496E"/>
    <w:rsid w:val="000C49B7"/>
    <w:rsid w:val="000C4A41"/>
    <w:rsid w:val="000C4A6E"/>
    <w:rsid w:val="000C4BF5"/>
    <w:rsid w:val="000C50F4"/>
    <w:rsid w:val="000C5245"/>
    <w:rsid w:val="000C52D4"/>
    <w:rsid w:val="000C531D"/>
    <w:rsid w:val="000C5350"/>
    <w:rsid w:val="000C54D5"/>
    <w:rsid w:val="000C54DC"/>
    <w:rsid w:val="000C5504"/>
    <w:rsid w:val="000C55C5"/>
    <w:rsid w:val="000C56A4"/>
    <w:rsid w:val="000C585E"/>
    <w:rsid w:val="000C5A45"/>
    <w:rsid w:val="000C5A79"/>
    <w:rsid w:val="000C5ADA"/>
    <w:rsid w:val="000C5B23"/>
    <w:rsid w:val="000C5DBB"/>
    <w:rsid w:val="000C61AC"/>
    <w:rsid w:val="000C6203"/>
    <w:rsid w:val="000C6220"/>
    <w:rsid w:val="000C63A6"/>
    <w:rsid w:val="000C6C86"/>
    <w:rsid w:val="000C735F"/>
    <w:rsid w:val="000C73EA"/>
    <w:rsid w:val="000C7420"/>
    <w:rsid w:val="000C74D4"/>
    <w:rsid w:val="000C76E0"/>
    <w:rsid w:val="000C7B7B"/>
    <w:rsid w:val="000C7BDB"/>
    <w:rsid w:val="000D024B"/>
    <w:rsid w:val="000D054F"/>
    <w:rsid w:val="000D05C9"/>
    <w:rsid w:val="000D0BC0"/>
    <w:rsid w:val="000D117B"/>
    <w:rsid w:val="000D15AA"/>
    <w:rsid w:val="000D16CA"/>
    <w:rsid w:val="000D176C"/>
    <w:rsid w:val="000D1BC5"/>
    <w:rsid w:val="000D1C28"/>
    <w:rsid w:val="000D1E5E"/>
    <w:rsid w:val="000D2040"/>
    <w:rsid w:val="000D2063"/>
    <w:rsid w:val="000D20F8"/>
    <w:rsid w:val="000D228B"/>
    <w:rsid w:val="000D290A"/>
    <w:rsid w:val="000D2AC8"/>
    <w:rsid w:val="000D2B3B"/>
    <w:rsid w:val="000D2D81"/>
    <w:rsid w:val="000D2D9E"/>
    <w:rsid w:val="000D2E69"/>
    <w:rsid w:val="000D2FCA"/>
    <w:rsid w:val="000D30C9"/>
    <w:rsid w:val="000D32A8"/>
    <w:rsid w:val="000D3EC8"/>
    <w:rsid w:val="000D400B"/>
    <w:rsid w:val="000D44A1"/>
    <w:rsid w:val="000D46B1"/>
    <w:rsid w:val="000D477C"/>
    <w:rsid w:val="000D49A0"/>
    <w:rsid w:val="000D4A6B"/>
    <w:rsid w:val="000D4B6F"/>
    <w:rsid w:val="000D4B95"/>
    <w:rsid w:val="000D4DE9"/>
    <w:rsid w:val="000D4F77"/>
    <w:rsid w:val="000D5129"/>
    <w:rsid w:val="000D5214"/>
    <w:rsid w:val="000D5353"/>
    <w:rsid w:val="000D53CF"/>
    <w:rsid w:val="000D54AD"/>
    <w:rsid w:val="000D55D6"/>
    <w:rsid w:val="000D5602"/>
    <w:rsid w:val="000D5A01"/>
    <w:rsid w:val="000D5AA2"/>
    <w:rsid w:val="000D5C65"/>
    <w:rsid w:val="000D5C9D"/>
    <w:rsid w:val="000D5F96"/>
    <w:rsid w:val="000D66AB"/>
    <w:rsid w:val="000D697B"/>
    <w:rsid w:val="000D69C7"/>
    <w:rsid w:val="000D6F90"/>
    <w:rsid w:val="000D71F1"/>
    <w:rsid w:val="000D7321"/>
    <w:rsid w:val="000D7518"/>
    <w:rsid w:val="000D7595"/>
    <w:rsid w:val="000D77B0"/>
    <w:rsid w:val="000D77EF"/>
    <w:rsid w:val="000D780B"/>
    <w:rsid w:val="000D785C"/>
    <w:rsid w:val="000D7929"/>
    <w:rsid w:val="000D79C5"/>
    <w:rsid w:val="000D7ACC"/>
    <w:rsid w:val="000D7CEB"/>
    <w:rsid w:val="000D7FE9"/>
    <w:rsid w:val="000E01D5"/>
    <w:rsid w:val="000E026F"/>
    <w:rsid w:val="000E0674"/>
    <w:rsid w:val="000E0945"/>
    <w:rsid w:val="000E0A40"/>
    <w:rsid w:val="000E0BA9"/>
    <w:rsid w:val="000E0EE0"/>
    <w:rsid w:val="000E0F7A"/>
    <w:rsid w:val="000E1233"/>
    <w:rsid w:val="000E1329"/>
    <w:rsid w:val="000E13B8"/>
    <w:rsid w:val="000E15BA"/>
    <w:rsid w:val="000E1863"/>
    <w:rsid w:val="000E195B"/>
    <w:rsid w:val="000E1A10"/>
    <w:rsid w:val="000E1E9D"/>
    <w:rsid w:val="000E226F"/>
    <w:rsid w:val="000E233C"/>
    <w:rsid w:val="000E2400"/>
    <w:rsid w:val="000E2F42"/>
    <w:rsid w:val="000E3267"/>
    <w:rsid w:val="000E32F8"/>
    <w:rsid w:val="000E331A"/>
    <w:rsid w:val="000E35AE"/>
    <w:rsid w:val="000E3FAA"/>
    <w:rsid w:val="000E41C8"/>
    <w:rsid w:val="000E43B6"/>
    <w:rsid w:val="000E43BF"/>
    <w:rsid w:val="000E43C1"/>
    <w:rsid w:val="000E448A"/>
    <w:rsid w:val="000E45E5"/>
    <w:rsid w:val="000E46C0"/>
    <w:rsid w:val="000E47BA"/>
    <w:rsid w:val="000E4802"/>
    <w:rsid w:val="000E4817"/>
    <w:rsid w:val="000E4B3C"/>
    <w:rsid w:val="000E4BEA"/>
    <w:rsid w:val="000E4EB6"/>
    <w:rsid w:val="000E5120"/>
    <w:rsid w:val="000E52E2"/>
    <w:rsid w:val="000E5345"/>
    <w:rsid w:val="000E5412"/>
    <w:rsid w:val="000E541D"/>
    <w:rsid w:val="000E5476"/>
    <w:rsid w:val="000E5644"/>
    <w:rsid w:val="000E5907"/>
    <w:rsid w:val="000E5C1B"/>
    <w:rsid w:val="000E5CBE"/>
    <w:rsid w:val="000E6006"/>
    <w:rsid w:val="000E62EE"/>
    <w:rsid w:val="000E678D"/>
    <w:rsid w:val="000E6844"/>
    <w:rsid w:val="000E695F"/>
    <w:rsid w:val="000E69F2"/>
    <w:rsid w:val="000E6BC5"/>
    <w:rsid w:val="000E6F44"/>
    <w:rsid w:val="000E6F5C"/>
    <w:rsid w:val="000E7025"/>
    <w:rsid w:val="000E7066"/>
    <w:rsid w:val="000E7387"/>
    <w:rsid w:val="000E7445"/>
    <w:rsid w:val="000E749E"/>
    <w:rsid w:val="000E7868"/>
    <w:rsid w:val="000E7970"/>
    <w:rsid w:val="000E7CCA"/>
    <w:rsid w:val="000E7F59"/>
    <w:rsid w:val="000E7F7F"/>
    <w:rsid w:val="000E7FCB"/>
    <w:rsid w:val="000F0466"/>
    <w:rsid w:val="000F0681"/>
    <w:rsid w:val="000F09AF"/>
    <w:rsid w:val="000F0C95"/>
    <w:rsid w:val="000F0DAB"/>
    <w:rsid w:val="000F0DC7"/>
    <w:rsid w:val="000F11DF"/>
    <w:rsid w:val="000F1409"/>
    <w:rsid w:val="000F174E"/>
    <w:rsid w:val="000F1821"/>
    <w:rsid w:val="000F1BA0"/>
    <w:rsid w:val="000F1D84"/>
    <w:rsid w:val="000F1E9E"/>
    <w:rsid w:val="000F2069"/>
    <w:rsid w:val="000F2210"/>
    <w:rsid w:val="000F228C"/>
    <w:rsid w:val="000F24B0"/>
    <w:rsid w:val="000F2B2C"/>
    <w:rsid w:val="000F2B78"/>
    <w:rsid w:val="000F2C34"/>
    <w:rsid w:val="000F2ECB"/>
    <w:rsid w:val="000F33CE"/>
    <w:rsid w:val="000F349A"/>
    <w:rsid w:val="000F3515"/>
    <w:rsid w:val="000F35BA"/>
    <w:rsid w:val="000F3613"/>
    <w:rsid w:val="000F387B"/>
    <w:rsid w:val="000F3C48"/>
    <w:rsid w:val="000F3CC8"/>
    <w:rsid w:val="000F3DA8"/>
    <w:rsid w:val="000F3F93"/>
    <w:rsid w:val="000F4055"/>
    <w:rsid w:val="000F4312"/>
    <w:rsid w:val="000F45AD"/>
    <w:rsid w:val="000F464F"/>
    <w:rsid w:val="000F49A6"/>
    <w:rsid w:val="000F513C"/>
    <w:rsid w:val="000F530A"/>
    <w:rsid w:val="000F56A7"/>
    <w:rsid w:val="000F5A19"/>
    <w:rsid w:val="000F5C0B"/>
    <w:rsid w:val="000F60A6"/>
    <w:rsid w:val="000F61BB"/>
    <w:rsid w:val="000F64D6"/>
    <w:rsid w:val="000F65EE"/>
    <w:rsid w:val="000F66B1"/>
    <w:rsid w:val="000F676F"/>
    <w:rsid w:val="000F6951"/>
    <w:rsid w:val="000F6D23"/>
    <w:rsid w:val="000F6F5B"/>
    <w:rsid w:val="000F708C"/>
    <w:rsid w:val="000F717B"/>
    <w:rsid w:val="000F74CC"/>
    <w:rsid w:val="000F7743"/>
    <w:rsid w:val="000F788C"/>
    <w:rsid w:val="000F78CC"/>
    <w:rsid w:val="000F79D5"/>
    <w:rsid w:val="000F7FC8"/>
    <w:rsid w:val="0010014F"/>
    <w:rsid w:val="0010016F"/>
    <w:rsid w:val="00100303"/>
    <w:rsid w:val="001003EE"/>
    <w:rsid w:val="001003F7"/>
    <w:rsid w:val="00100592"/>
    <w:rsid w:val="00100630"/>
    <w:rsid w:val="001006E4"/>
    <w:rsid w:val="001008A2"/>
    <w:rsid w:val="00100BFD"/>
    <w:rsid w:val="00100C79"/>
    <w:rsid w:val="00100DBB"/>
    <w:rsid w:val="00100F6B"/>
    <w:rsid w:val="00101142"/>
    <w:rsid w:val="001012D5"/>
    <w:rsid w:val="00101324"/>
    <w:rsid w:val="0010147F"/>
    <w:rsid w:val="0010194F"/>
    <w:rsid w:val="001019F4"/>
    <w:rsid w:val="00101A7B"/>
    <w:rsid w:val="00101D60"/>
    <w:rsid w:val="00101FFA"/>
    <w:rsid w:val="00102163"/>
    <w:rsid w:val="001021B7"/>
    <w:rsid w:val="0010224E"/>
    <w:rsid w:val="001023C1"/>
    <w:rsid w:val="001025FE"/>
    <w:rsid w:val="001028A4"/>
    <w:rsid w:val="00102A3E"/>
    <w:rsid w:val="00102AF1"/>
    <w:rsid w:val="00102B7D"/>
    <w:rsid w:val="00102BCC"/>
    <w:rsid w:val="00102D3C"/>
    <w:rsid w:val="00102F62"/>
    <w:rsid w:val="001033C9"/>
    <w:rsid w:val="00103481"/>
    <w:rsid w:val="001034C4"/>
    <w:rsid w:val="00103510"/>
    <w:rsid w:val="00103567"/>
    <w:rsid w:val="00103583"/>
    <w:rsid w:val="00103609"/>
    <w:rsid w:val="00103614"/>
    <w:rsid w:val="001036C0"/>
    <w:rsid w:val="0010398C"/>
    <w:rsid w:val="00103A74"/>
    <w:rsid w:val="00103C10"/>
    <w:rsid w:val="00103D36"/>
    <w:rsid w:val="00103ED5"/>
    <w:rsid w:val="00104372"/>
    <w:rsid w:val="001044DD"/>
    <w:rsid w:val="001045F3"/>
    <w:rsid w:val="0010469B"/>
    <w:rsid w:val="001048AA"/>
    <w:rsid w:val="00104B39"/>
    <w:rsid w:val="00104BC2"/>
    <w:rsid w:val="00104D8D"/>
    <w:rsid w:val="00104DAB"/>
    <w:rsid w:val="0010500C"/>
    <w:rsid w:val="001051A5"/>
    <w:rsid w:val="001053D4"/>
    <w:rsid w:val="0010543D"/>
    <w:rsid w:val="0010569D"/>
    <w:rsid w:val="001057D0"/>
    <w:rsid w:val="00105948"/>
    <w:rsid w:val="00105B33"/>
    <w:rsid w:val="00105F4D"/>
    <w:rsid w:val="00105F5F"/>
    <w:rsid w:val="00105FB9"/>
    <w:rsid w:val="00106113"/>
    <w:rsid w:val="00106164"/>
    <w:rsid w:val="00106176"/>
    <w:rsid w:val="001061BD"/>
    <w:rsid w:val="001064DF"/>
    <w:rsid w:val="001068CB"/>
    <w:rsid w:val="00106AAA"/>
    <w:rsid w:val="00106B22"/>
    <w:rsid w:val="00106D68"/>
    <w:rsid w:val="00107916"/>
    <w:rsid w:val="00107D39"/>
    <w:rsid w:val="00107EA0"/>
    <w:rsid w:val="00110096"/>
    <w:rsid w:val="001100FA"/>
    <w:rsid w:val="001101EB"/>
    <w:rsid w:val="0011034E"/>
    <w:rsid w:val="001109FF"/>
    <w:rsid w:val="00110C5C"/>
    <w:rsid w:val="00110C77"/>
    <w:rsid w:val="00110D17"/>
    <w:rsid w:val="00110F39"/>
    <w:rsid w:val="0011104A"/>
    <w:rsid w:val="0011119F"/>
    <w:rsid w:val="00111285"/>
    <w:rsid w:val="001113EE"/>
    <w:rsid w:val="001114D1"/>
    <w:rsid w:val="001117EC"/>
    <w:rsid w:val="00111A73"/>
    <w:rsid w:val="00112130"/>
    <w:rsid w:val="00112285"/>
    <w:rsid w:val="001124E5"/>
    <w:rsid w:val="00112625"/>
    <w:rsid w:val="0011266D"/>
    <w:rsid w:val="001126D7"/>
    <w:rsid w:val="001128FA"/>
    <w:rsid w:val="00112A3C"/>
    <w:rsid w:val="00112A46"/>
    <w:rsid w:val="00112AD2"/>
    <w:rsid w:val="00112D72"/>
    <w:rsid w:val="00112DCA"/>
    <w:rsid w:val="00112E6E"/>
    <w:rsid w:val="001131A9"/>
    <w:rsid w:val="001132CB"/>
    <w:rsid w:val="00113618"/>
    <w:rsid w:val="00113636"/>
    <w:rsid w:val="0011381B"/>
    <w:rsid w:val="00113ABB"/>
    <w:rsid w:val="00113B08"/>
    <w:rsid w:val="00113E72"/>
    <w:rsid w:val="00113F64"/>
    <w:rsid w:val="00114403"/>
    <w:rsid w:val="00114410"/>
    <w:rsid w:val="001149A3"/>
    <w:rsid w:val="00114E15"/>
    <w:rsid w:val="00115104"/>
    <w:rsid w:val="001151AB"/>
    <w:rsid w:val="00115491"/>
    <w:rsid w:val="00115676"/>
    <w:rsid w:val="001156BE"/>
    <w:rsid w:val="001156F0"/>
    <w:rsid w:val="00115839"/>
    <w:rsid w:val="001158A5"/>
    <w:rsid w:val="0011592B"/>
    <w:rsid w:val="001159AB"/>
    <w:rsid w:val="00115A9B"/>
    <w:rsid w:val="00115DE6"/>
    <w:rsid w:val="00115DF6"/>
    <w:rsid w:val="001163F5"/>
    <w:rsid w:val="001164ED"/>
    <w:rsid w:val="001166AE"/>
    <w:rsid w:val="00116CA0"/>
    <w:rsid w:val="00116E2B"/>
    <w:rsid w:val="00116FAF"/>
    <w:rsid w:val="0011725E"/>
    <w:rsid w:val="0011769F"/>
    <w:rsid w:val="001176D9"/>
    <w:rsid w:val="001178FD"/>
    <w:rsid w:val="00117B32"/>
    <w:rsid w:val="00117C75"/>
    <w:rsid w:val="00117FB9"/>
    <w:rsid w:val="00117FD2"/>
    <w:rsid w:val="001201DC"/>
    <w:rsid w:val="00120200"/>
    <w:rsid w:val="001203E4"/>
    <w:rsid w:val="00120496"/>
    <w:rsid w:val="00120924"/>
    <w:rsid w:val="0012094D"/>
    <w:rsid w:val="0012097E"/>
    <w:rsid w:val="00120BCB"/>
    <w:rsid w:val="00120CF7"/>
    <w:rsid w:val="00120E81"/>
    <w:rsid w:val="00120EA0"/>
    <w:rsid w:val="0012106B"/>
    <w:rsid w:val="00121383"/>
    <w:rsid w:val="001218BA"/>
    <w:rsid w:val="001218E3"/>
    <w:rsid w:val="00121F05"/>
    <w:rsid w:val="001220D5"/>
    <w:rsid w:val="0012210E"/>
    <w:rsid w:val="0012212F"/>
    <w:rsid w:val="00122621"/>
    <w:rsid w:val="00122720"/>
    <w:rsid w:val="00122976"/>
    <w:rsid w:val="00122C43"/>
    <w:rsid w:val="00122DA3"/>
    <w:rsid w:val="00122E66"/>
    <w:rsid w:val="00122E7A"/>
    <w:rsid w:val="00122EAA"/>
    <w:rsid w:val="0012331D"/>
    <w:rsid w:val="0012335A"/>
    <w:rsid w:val="0012340D"/>
    <w:rsid w:val="001234B4"/>
    <w:rsid w:val="00123513"/>
    <w:rsid w:val="00123572"/>
    <w:rsid w:val="0012360B"/>
    <w:rsid w:val="001236F1"/>
    <w:rsid w:val="0012377D"/>
    <w:rsid w:val="00123984"/>
    <w:rsid w:val="00123B1A"/>
    <w:rsid w:val="00123CAE"/>
    <w:rsid w:val="00123CB5"/>
    <w:rsid w:val="00123F80"/>
    <w:rsid w:val="001241B5"/>
    <w:rsid w:val="00124233"/>
    <w:rsid w:val="0012424A"/>
    <w:rsid w:val="0012466D"/>
    <w:rsid w:val="00124A5B"/>
    <w:rsid w:val="00124AB1"/>
    <w:rsid w:val="00124ED5"/>
    <w:rsid w:val="001250EF"/>
    <w:rsid w:val="00125436"/>
    <w:rsid w:val="00125560"/>
    <w:rsid w:val="0012564F"/>
    <w:rsid w:val="00125871"/>
    <w:rsid w:val="00125987"/>
    <w:rsid w:val="001259FB"/>
    <w:rsid w:val="00125ADE"/>
    <w:rsid w:val="00125D7C"/>
    <w:rsid w:val="00125F15"/>
    <w:rsid w:val="00126092"/>
    <w:rsid w:val="00126155"/>
    <w:rsid w:val="001264FA"/>
    <w:rsid w:val="001266A7"/>
    <w:rsid w:val="0012679E"/>
    <w:rsid w:val="00126863"/>
    <w:rsid w:val="0012692A"/>
    <w:rsid w:val="00126A2E"/>
    <w:rsid w:val="00126C95"/>
    <w:rsid w:val="00126CEB"/>
    <w:rsid w:val="00126D8C"/>
    <w:rsid w:val="00126E15"/>
    <w:rsid w:val="00126EC5"/>
    <w:rsid w:val="001270BD"/>
    <w:rsid w:val="0012719F"/>
    <w:rsid w:val="00127226"/>
    <w:rsid w:val="001273EA"/>
    <w:rsid w:val="0012790D"/>
    <w:rsid w:val="00127981"/>
    <w:rsid w:val="00127B2C"/>
    <w:rsid w:val="001306B1"/>
    <w:rsid w:val="00130773"/>
    <w:rsid w:val="001307CC"/>
    <w:rsid w:val="0013107C"/>
    <w:rsid w:val="0013126A"/>
    <w:rsid w:val="00131546"/>
    <w:rsid w:val="00131646"/>
    <w:rsid w:val="00131875"/>
    <w:rsid w:val="00131A90"/>
    <w:rsid w:val="00131C63"/>
    <w:rsid w:val="001320FE"/>
    <w:rsid w:val="001323A5"/>
    <w:rsid w:val="00132CDF"/>
    <w:rsid w:val="00132D61"/>
    <w:rsid w:val="001331A9"/>
    <w:rsid w:val="001331FF"/>
    <w:rsid w:val="00133275"/>
    <w:rsid w:val="001334D0"/>
    <w:rsid w:val="001335AE"/>
    <w:rsid w:val="0013367B"/>
    <w:rsid w:val="001336F9"/>
    <w:rsid w:val="00133712"/>
    <w:rsid w:val="0013380C"/>
    <w:rsid w:val="001338B6"/>
    <w:rsid w:val="00133964"/>
    <w:rsid w:val="00133A6D"/>
    <w:rsid w:val="00133CB6"/>
    <w:rsid w:val="00133D23"/>
    <w:rsid w:val="00133E45"/>
    <w:rsid w:val="0013418E"/>
    <w:rsid w:val="00134283"/>
    <w:rsid w:val="00134410"/>
    <w:rsid w:val="00134505"/>
    <w:rsid w:val="001346C2"/>
    <w:rsid w:val="00134883"/>
    <w:rsid w:val="00134953"/>
    <w:rsid w:val="001349D8"/>
    <w:rsid w:val="00134FC9"/>
    <w:rsid w:val="00135345"/>
    <w:rsid w:val="0013542F"/>
    <w:rsid w:val="00135532"/>
    <w:rsid w:val="001355C1"/>
    <w:rsid w:val="00135776"/>
    <w:rsid w:val="001357D2"/>
    <w:rsid w:val="00135993"/>
    <w:rsid w:val="00135A2E"/>
    <w:rsid w:val="00135AAF"/>
    <w:rsid w:val="00135C23"/>
    <w:rsid w:val="00135D99"/>
    <w:rsid w:val="00136391"/>
    <w:rsid w:val="001367AB"/>
    <w:rsid w:val="0013689E"/>
    <w:rsid w:val="001368A3"/>
    <w:rsid w:val="00136B9D"/>
    <w:rsid w:val="00136DC1"/>
    <w:rsid w:val="00136EF5"/>
    <w:rsid w:val="00136FE5"/>
    <w:rsid w:val="001370D4"/>
    <w:rsid w:val="0013727D"/>
    <w:rsid w:val="0013757D"/>
    <w:rsid w:val="0013764E"/>
    <w:rsid w:val="0013785E"/>
    <w:rsid w:val="00137ADB"/>
    <w:rsid w:val="00137B36"/>
    <w:rsid w:val="00137B85"/>
    <w:rsid w:val="00140094"/>
    <w:rsid w:val="001402C9"/>
    <w:rsid w:val="001402D6"/>
    <w:rsid w:val="001407BE"/>
    <w:rsid w:val="001407C0"/>
    <w:rsid w:val="001408C4"/>
    <w:rsid w:val="00140933"/>
    <w:rsid w:val="00140D79"/>
    <w:rsid w:val="00140E0F"/>
    <w:rsid w:val="00140F2E"/>
    <w:rsid w:val="0014110A"/>
    <w:rsid w:val="0014113E"/>
    <w:rsid w:val="00141661"/>
    <w:rsid w:val="00141673"/>
    <w:rsid w:val="0014179D"/>
    <w:rsid w:val="00141842"/>
    <w:rsid w:val="00141E65"/>
    <w:rsid w:val="00141F91"/>
    <w:rsid w:val="00142100"/>
    <w:rsid w:val="00142306"/>
    <w:rsid w:val="001423FC"/>
    <w:rsid w:val="00142AE8"/>
    <w:rsid w:val="00142C1B"/>
    <w:rsid w:val="00142C3F"/>
    <w:rsid w:val="00142CB7"/>
    <w:rsid w:val="00142D02"/>
    <w:rsid w:val="00142E09"/>
    <w:rsid w:val="00142FCD"/>
    <w:rsid w:val="0014344C"/>
    <w:rsid w:val="0014353F"/>
    <w:rsid w:val="001435E3"/>
    <w:rsid w:val="00143AF8"/>
    <w:rsid w:val="00144047"/>
    <w:rsid w:val="00144523"/>
    <w:rsid w:val="00144835"/>
    <w:rsid w:val="00144A57"/>
    <w:rsid w:val="00144C2A"/>
    <w:rsid w:val="00144E67"/>
    <w:rsid w:val="00145088"/>
    <w:rsid w:val="0014510D"/>
    <w:rsid w:val="00145249"/>
    <w:rsid w:val="00145331"/>
    <w:rsid w:val="001456DF"/>
    <w:rsid w:val="001457FA"/>
    <w:rsid w:val="001459D0"/>
    <w:rsid w:val="0014600F"/>
    <w:rsid w:val="00146062"/>
    <w:rsid w:val="00146086"/>
    <w:rsid w:val="001460CC"/>
    <w:rsid w:val="00146110"/>
    <w:rsid w:val="001464C9"/>
    <w:rsid w:val="001465FF"/>
    <w:rsid w:val="00146AED"/>
    <w:rsid w:val="00146BEF"/>
    <w:rsid w:val="00146E1B"/>
    <w:rsid w:val="001473C1"/>
    <w:rsid w:val="0014780E"/>
    <w:rsid w:val="00147B60"/>
    <w:rsid w:val="00147DD8"/>
    <w:rsid w:val="00147ECC"/>
    <w:rsid w:val="0015023C"/>
    <w:rsid w:val="001505EB"/>
    <w:rsid w:val="001507DE"/>
    <w:rsid w:val="0015089D"/>
    <w:rsid w:val="00150D09"/>
    <w:rsid w:val="00150E56"/>
    <w:rsid w:val="00150E93"/>
    <w:rsid w:val="00150F8A"/>
    <w:rsid w:val="00150FF0"/>
    <w:rsid w:val="00151328"/>
    <w:rsid w:val="001513AE"/>
    <w:rsid w:val="001513E2"/>
    <w:rsid w:val="001514CC"/>
    <w:rsid w:val="00151562"/>
    <w:rsid w:val="00151861"/>
    <w:rsid w:val="0015188A"/>
    <w:rsid w:val="001519B0"/>
    <w:rsid w:val="00151B37"/>
    <w:rsid w:val="00151CC6"/>
    <w:rsid w:val="0015205C"/>
    <w:rsid w:val="00152063"/>
    <w:rsid w:val="0015228C"/>
    <w:rsid w:val="001522FA"/>
    <w:rsid w:val="001524CE"/>
    <w:rsid w:val="0015253F"/>
    <w:rsid w:val="001525BC"/>
    <w:rsid w:val="001525C3"/>
    <w:rsid w:val="00152604"/>
    <w:rsid w:val="001526CD"/>
    <w:rsid w:val="00152D74"/>
    <w:rsid w:val="00152D8C"/>
    <w:rsid w:val="00152E18"/>
    <w:rsid w:val="001530BA"/>
    <w:rsid w:val="00153340"/>
    <w:rsid w:val="00153816"/>
    <w:rsid w:val="00153A31"/>
    <w:rsid w:val="00153AA0"/>
    <w:rsid w:val="00153D43"/>
    <w:rsid w:val="0015410A"/>
    <w:rsid w:val="0015419B"/>
    <w:rsid w:val="001546DB"/>
    <w:rsid w:val="001547C5"/>
    <w:rsid w:val="001548C1"/>
    <w:rsid w:val="00154909"/>
    <w:rsid w:val="001549E5"/>
    <w:rsid w:val="00154A75"/>
    <w:rsid w:val="00154AD2"/>
    <w:rsid w:val="00154AF1"/>
    <w:rsid w:val="00154E38"/>
    <w:rsid w:val="00154ED5"/>
    <w:rsid w:val="0015514E"/>
    <w:rsid w:val="00155226"/>
    <w:rsid w:val="001552EE"/>
    <w:rsid w:val="001552F0"/>
    <w:rsid w:val="00155385"/>
    <w:rsid w:val="001555C5"/>
    <w:rsid w:val="0015593D"/>
    <w:rsid w:val="00155AD1"/>
    <w:rsid w:val="00155B9C"/>
    <w:rsid w:val="00155F87"/>
    <w:rsid w:val="001563AC"/>
    <w:rsid w:val="00156469"/>
    <w:rsid w:val="00156606"/>
    <w:rsid w:val="00156896"/>
    <w:rsid w:val="00156988"/>
    <w:rsid w:val="00156D18"/>
    <w:rsid w:val="00156F9D"/>
    <w:rsid w:val="001573F9"/>
    <w:rsid w:val="0015740C"/>
    <w:rsid w:val="00157615"/>
    <w:rsid w:val="00157C6C"/>
    <w:rsid w:val="0016073E"/>
    <w:rsid w:val="00160802"/>
    <w:rsid w:val="00160A0F"/>
    <w:rsid w:val="00160B31"/>
    <w:rsid w:val="00160C4C"/>
    <w:rsid w:val="00160C8E"/>
    <w:rsid w:val="00160C97"/>
    <w:rsid w:val="00160C9E"/>
    <w:rsid w:val="00160CBB"/>
    <w:rsid w:val="001610BE"/>
    <w:rsid w:val="001610FB"/>
    <w:rsid w:val="001611DE"/>
    <w:rsid w:val="001613FB"/>
    <w:rsid w:val="0016147F"/>
    <w:rsid w:val="00161488"/>
    <w:rsid w:val="001614E1"/>
    <w:rsid w:val="0016163B"/>
    <w:rsid w:val="0016164D"/>
    <w:rsid w:val="0016167F"/>
    <w:rsid w:val="0016191F"/>
    <w:rsid w:val="0016195A"/>
    <w:rsid w:val="00161AD2"/>
    <w:rsid w:val="001621E0"/>
    <w:rsid w:val="0016237B"/>
    <w:rsid w:val="001626B7"/>
    <w:rsid w:val="001627A9"/>
    <w:rsid w:val="001627D5"/>
    <w:rsid w:val="001629E0"/>
    <w:rsid w:val="00162EE0"/>
    <w:rsid w:val="00163138"/>
    <w:rsid w:val="0016324A"/>
    <w:rsid w:val="001635C5"/>
    <w:rsid w:val="00163639"/>
    <w:rsid w:val="0016369C"/>
    <w:rsid w:val="001637CA"/>
    <w:rsid w:val="001638DD"/>
    <w:rsid w:val="001638F7"/>
    <w:rsid w:val="00163C88"/>
    <w:rsid w:val="00163FD4"/>
    <w:rsid w:val="0016411F"/>
    <w:rsid w:val="00164697"/>
    <w:rsid w:val="001647D0"/>
    <w:rsid w:val="00164BCE"/>
    <w:rsid w:val="00164D4F"/>
    <w:rsid w:val="00164EA4"/>
    <w:rsid w:val="00164EC1"/>
    <w:rsid w:val="00165784"/>
    <w:rsid w:val="001658BC"/>
    <w:rsid w:val="001658FC"/>
    <w:rsid w:val="001659C2"/>
    <w:rsid w:val="00165BBF"/>
    <w:rsid w:val="00165BED"/>
    <w:rsid w:val="00165C5C"/>
    <w:rsid w:val="00165CD1"/>
    <w:rsid w:val="0016619C"/>
    <w:rsid w:val="0016629F"/>
    <w:rsid w:val="00166456"/>
    <w:rsid w:val="001666B9"/>
    <w:rsid w:val="00166803"/>
    <w:rsid w:val="0016681C"/>
    <w:rsid w:val="00166BBF"/>
    <w:rsid w:val="001670C5"/>
    <w:rsid w:val="0016766F"/>
    <w:rsid w:val="001676B2"/>
    <w:rsid w:val="00167EDA"/>
    <w:rsid w:val="00170061"/>
    <w:rsid w:val="00170494"/>
    <w:rsid w:val="0017060D"/>
    <w:rsid w:val="001707B2"/>
    <w:rsid w:val="001707D4"/>
    <w:rsid w:val="001709E6"/>
    <w:rsid w:val="00170A30"/>
    <w:rsid w:val="00170B0F"/>
    <w:rsid w:val="00170E70"/>
    <w:rsid w:val="001710C0"/>
    <w:rsid w:val="00171242"/>
    <w:rsid w:val="00171380"/>
    <w:rsid w:val="001714DE"/>
    <w:rsid w:val="0017170C"/>
    <w:rsid w:val="001717F9"/>
    <w:rsid w:val="00171A12"/>
    <w:rsid w:val="00171C06"/>
    <w:rsid w:val="00171C71"/>
    <w:rsid w:val="00171E47"/>
    <w:rsid w:val="0017207C"/>
    <w:rsid w:val="001729F1"/>
    <w:rsid w:val="00172BBE"/>
    <w:rsid w:val="00172C04"/>
    <w:rsid w:val="00172CA3"/>
    <w:rsid w:val="00172CF6"/>
    <w:rsid w:val="00172D14"/>
    <w:rsid w:val="00172D64"/>
    <w:rsid w:val="00172EAD"/>
    <w:rsid w:val="00172F0E"/>
    <w:rsid w:val="00172F62"/>
    <w:rsid w:val="00173130"/>
    <w:rsid w:val="00173480"/>
    <w:rsid w:val="0017359A"/>
    <w:rsid w:val="001736AD"/>
    <w:rsid w:val="00173906"/>
    <w:rsid w:val="00173EC4"/>
    <w:rsid w:val="001740CB"/>
    <w:rsid w:val="0017463A"/>
    <w:rsid w:val="001747BA"/>
    <w:rsid w:val="00174A2F"/>
    <w:rsid w:val="00174D72"/>
    <w:rsid w:val="00174D8E"/>
    <w:rsid w:val="00175341"/>
    <w:rsid w:val="001757BE"/>
    <w:rsid w:val="001757D8"/>
    <w:rsid w:val="001758A1"/>
    <w:rsid w:val="00175AB4"/>
    <w:rsid w:val="00175D63"/>
    <w:rsid w:val="00175DE2"/>
    <w:rsid w:val="00176329"/>
    <w:rsid w:val="0017635D"/>
    <w:rsid w:val="00176437"/>
    <w:rsid w:val="0017678A"/>
    <w:rsid w:val="00176B5C"/>
    <w:rsid w:val="00176BCC"/>
    <w:rsid w:val="00176BFC"/>
    <w:rsid w:val="00176D5C"/>
    <w:rsid w:val="00177119"/>
    <w:rsid w:val="0017716C"/>
    <w:rsid w:val="00177362"/>
    <w:rsid w:val="0017737A"/>
    <w:rsid w:val="001773BF"/>
    <w:rsid w:val="00177434"/>
    <w:rsid w:val="001778F2"/>
    <w:rsid w:val="00177BB7"/>
    <w:rsid w:val="00177D47"/>
    <w:rsid w:val="00177E76"/>
    <w:rsid w:val="00177F4A"/>
    <w:rsid w:val="001800E3"/>
    <w:rsid w:val="001801DC"/>
    <w:rsid w:val="001804F7"/>
    <w:rsid w:val="00180808"/>
    <w:rsid w:val="00180876"/>
    <w:rsid w:val="00180A88"/>
    <w:rsid w:val="00180BEA"/>
    <w:rsid w:val="00180CD6"/>
    <w:rsid w:val="00180CF4"/>
    <w:rsid w:val="00180EB3"/>
    <w:rsid w:val="00180F2B"/>
    <w:rsid w:val="00181249"/>
    <w:rsid w:val="00181397"/>
    <w:rsid w:val="0018146E"/>
    <w:rsid w:val="00181633"/>
    <w:rsid w:val="00181828"/>
    <w:rsid w:val="00181C2F"/>
    <w:rsid w:val="00181F2D"/>
    <w:rsid w:val="00181F4C"/>
    <w:rsid w:val="0018254E"/>
    <w:rsid w:val="0018258D"/>
    <w:rsid w:val="00182677"/>
    <w:rsid w:val="001828E4"/>
    <w:rsid w:val="00182B15"/>
    <w:rsid w:val="00182CF9"/>
    <w:rsid w:val="001832B5"/>
    <w:rsid w:val="00183323"/>
    <w:rsid w:val="001833E9"/>
    <w:rsid w:val="001833EF"/>
    <w:rsid w:val="0018356D"/>
    <w:rsid w:val="001835BB"/>
    <w:rsid w:val="00183682"/>
    <w:rsid w:val="001836E2"/>
    <w:rsid w:val="0018373D"/>
    <w:rsid w:val="00183859"/>
    <w:rsid w:val="001839F0"/>
    <w:rsid w:val="00183A15"/>
    <w:rsid w:val="00183A48"/>
    <w:rsid w:val="00183A78"/>
    <w:rsid w:val="00183B40"/>
    <w:rsid w:val="00183BA9"/>
    <w:rsid w:val="00183D30"/>
    <w:rsid w:val="00183D58"/>
    <w:rsid w:val="00183DEA"/>
    <w:rsid w:val="00183E5D"/>
    <w:rsid w:val="00184373"/>
    <w:rsid w:val="001846D5"/>
    <w:rsid w:val="0018477B"/>
    <w:rsid w:val="00184AB8"/>
    <w:rsid w:val="00184BF9"/>
    <w:rsid w:val="00184D52"/>
    <w:rsid w:val="0018504E"/>
    <w:rsid w:val="001854DC"/>
    <w:rsid w:val="00185684"/>
    <w:rsid w:val="00185F02"/>
    <w:rsid w:val="001864C8"/>
    <w:rsid w:val="00186537"/>
    <w:rsid w:val="001865C7"/>
    <w:rsid w:val="00186BCB"/>
    <w:rsid w:val="00186DC4"/>
    <w:rsid w:val="00186F22"/>
    <w:rsid w:val="001870D8"/>
    <w:rsid w:val="0018715E"/>
    <w:rsid w:val="0018723F"/>
    <w:rsid w:val="0018782A"/>
    <w:rsid w:val="00187A5C"/>
    <w:rsid w:val="00187CB8"/>
    <w:rsid w:val="00187D0D"/>
    <w:rsid w:val="00187F20"/>
    <w:rsid w:val="00190001"/>
    <w:rsid w:val="0019008C"/>
    <w:rsid w:val="00190127"/>
    <w:rsid w:val="001904D2"/>
    <w:rsid w:val="00190770"/>
    <w:rsid w:val="0019088B"/>
    <w:rsid w:val="00190C35"/>
    <w:rsid w:val="00190C5F"/>
    <w:rsid w:val="00190CAF"/>
    <w:rsid w:val="00190CBF"/>
    <w:rsid w:val="00190FA2"/>
    <w:rsid w:val="00191020"/>
    <w:rsid w:val="0019111F"/>
    <w:rsid w:val="00191294"/>
    <w:rsid w:val="001913B2"/>
    <w:rsid w:val="001916DD"/>
    <w:rsid w:val="00191A2C"/>
    <w:rsid w:val="00191B69"/>
    <w:rsid w:val="00191D86"/>
    <w:rsid w:val="00191D88"/>
    <w:rsid w:val="001920E3"/>
    <w:rsid w:val="001922C8"/>
    <w:rsid w:val="001925DE"/>
    <w:rsid w:val="0019269A"/>
    <w:rsid w:val="00192826"/>
    <w:rsid w:val="001929A7"/>
    <w:rsid w:val="001929CF"/>
    <w:rsid w:val="00192B7B"/>
    <w:rsid w:val="00192D31"/>
    <w:rsid w:val="00192D38"/>
    <w:rsid w:val="0019300E"/>
    <w:rsid w:val="001931BB"/>
    <w:rsid w:val="00193280"/>
    <w:rsid w:val="001932A3"/>
    <w:rsid w:val="00193327"/>
    <w:rsid w:val="001936A8"/>
    <w:rsid w:val="001936E7"/>
    <w:rsid w:val="00193889"/>
    <w:rsid w:val="00193980"/>
    <w:rsid w:val="00193B20"/>
    <w:rsid w:val="00193C0E"/>
    <w:rsid w:val="00193C1E"/>
    <w:rsid w:val="00193C5D"/>
    <w:rsid w:val="00193D30"/>
    <w:rsid w:val="00193EE6"/>
    <w:rsid w:val="00193F44"/>
    <w:rsid w:val="001943E3"/>
    <w:rsid w:val="0019441A"/>
    <w:rsid w:val="0019441F"/>
    <w:rsid w:val="00194566"/>
    <w:rsid w:val="00194860"/>
    <w:rsid w:val="00194E57"/>
    <w:rsid w:val="00194FD1"/>
    <w:rsid w:val="00195114"/>
    <w:rsid w:val="00195205"/>
    <w:rsid w:val="00195317"/>
    <w:rsid w:val="001954F7"/>
    <w:rsid w:val="001955AE"/>
    <w:rsid w:val="0019566D"/>
    <w:rsid w:val="001956CB"/>
    <w:rsid w:val="00195CCF"/>
    <w:rsid w:val="00195FB5"/>
    <w:rsid w:val="001960C8"/>
    <w:rsid w:val="0019616E"/>
    <w:rsid w:val="001963DB"/>
    <w:rsid w:val="001963F4"/>
    <w:rsid w:val="00196570"/>
    <w:rsid w:val="00196689"/>
    <w:rsid w:val="00196ADB"/>
    <w:rsid w:val="00196C33"/>
    <w:rsid w:val="00196D36"/>
    <w:rsid w:val="00196F75"/>
    <w:rsid w:val="0019713C"/>
    <w:rsid w:val="00197309"/>
    <w:rsid w:val="001974D1"/>
    <w:rsid w:val="0019790F"/>
    <w:rsid w:val="00197AF2"/>
    <w:rsid w:val="001A008D"/>
    <w:rsid w:val="001A02D2"/>
    <w:rsid w:val="001A064C"/>
    <w:rsid w:val="001A07A4"/>
    <w:rsid w:val="001A07AB"/>
    <w:rsid w:val="001A07F6"/>
    <w:rsid w:val="001A089B"/>
    <w:rsid w:val="001A095D"/>
    <w:rsid w:val="001A0AD4"/>
    <w:rsid w:val="001A0D26"/>
    <w:rsid w:val="001A130F"/>
    <w:rsid w:val="001A136A"/>
    <w:rsid w:val="001A137A"/>
    <w:rsid w:val="001A1380"/>
    <w:rsid w:val="001A13FC"/>
    <w:rsid w:val="001A14A1"/>
    <w:rsid w:val="001A17B2"/>
    <w:rsid w:val="001A1835"/>
    <w:rsid w:val="001A18C7"/>
    <w:rsid w:val="001A19DC"/>
    <w:rsid w:val="001A1F33"/>
    <w:rsid w:val="001A1FB7"/>
    <w:rsid w:val="001A2077"/>
    <w:rsid w:val="001A214E"/>
    <w:rsid w:val="001A21E8"/>
    <w:rsid w:val="001A2223"/>
    <w:rsid w:val="001A2263"/>
    <w:rsid w:val="001A23AC"/>
    <w:rsid w:val="001A246F"/>
    <w:rsid w:val="001A259B"/>
    <w:rsid w:val="001A2611"/>
    <w:rsid w:val="001A28CF"/>
    <w:rsid w:val="001A28D7"/>
    <w:rsid w:val="001A2D2E"/>
    <w:rsid w:val="001A2E3D"/>
    <w:rsid w:val="001A3148"/>
    <w:rsid w:val="001A3497"/>
    <w:rsid w:val="001A35F8"/>
    <w:rsid w:val="001A374F"/>
    <w:rsid w:val="001A3986"/>
    <w:rsid w:val="001A3C7F"/>
    <w:rsid w:val="001A418D"/>
    <w:rsid w:val="001A41C7"/>
    <w:rsid w:val="001A4259"/>
    <w:rsid w:val="001A4307"/>
    <w:rsid w:val="001A4426"/>
    <w:rsid w:val="001A468E"/>
    <w:rsid w:val="001A478D"/>
    <w:rsid w:val="001A489B"/>
    <w:rsid w:val="001A4A29"/>
    <w:rsid w:val="001A4A9A"/>
    <w:rsid w:val="001A4CC9"/>
    <w:rsid w:val="001A4DB2"/>
    <w:rsid w:val="001A4FF3"/>
    <w:rsid w:val="001A504E"/>
    <w:rsid w:val="001A5137"/>
    <w:rsid w:val="001A51F8"/>
    <w:rsid w:val="001A5366"/>
    <w:rsid w:val="001A55A8"/>
    <w:rsid w:val="001A56DB"/>
    <w:rsid w:val="001A5B86"/>
    <w:rsid w:val="001A5C2F"/>
    <w:rsid w:val="001A5D50"/>
    <w:rsid w:val="001A5F4D"/>
    <w:rsid w:val="001A615F"/>
    <w:rsid w:val="001A641C"/>
    <w:rsid w:val="001A65AC"/>
    <w:rsid w:val="001A68D2"/>
    <w:rsid w:val="001A6A44"/>
    <w:rsid w:val="001A6AFA"/>
    <w:rsid w:val="001A6DA9"/>
    <w:rsid w:val="001A7198"/>
    <w:rsid w:val="001A71CA"/>
    <w:rsid w:val="001A7211"/>
    <w:rsid w:val="001A7232"/>
    <w:rsid w:val="001A7488"/>
    <w:rsid w:val="001A77D2"/>
    <w:rsid w:val="001A79E8"/>
    <w:rsid w:val="001A7B3A"/>
    <w:rsid w:val="001A7C06"/>
    <w:rsid w:val="001A7C6A"/>
    <w:rsid w:val="001B016F"/>
    <w:rsid w:val="001B035D"/>
    <w:rsid w:val="001B04DC"/>
    <w:rsid w:val="001B051A"/>
    <w:rsid w:val="001B0556"/>
    <w:rsid w:val="001B0830"/>
    <w:rsid w:val="001B087B"/>
    <w:rsid w:val="001B0A3F"/>
    <w:rsid w:val="001B0B1F"/>
    <w:rsid w:val="001B0C8F"/>
    <w:rsid w:val="001B0D67"/>
    <w:rsid w:val="001B0DE3"/>
    <w:rsid w:val="001B1106"/>
    <w:rsid w:val="001B1842"/>
    <w:rsid w:val="001B1A79"/>
    <w:rsid w:val="001B1C40"/>
    <w:rsid w:val="001B1DDF"/>
    <w:rsid w:val="001B2061"/>
    <w:rsid w:val="001B2194"/>
    <w:rsid w:val="001B2362"/>
    <w:rsid w:val="001B23B4"/>
    <w:rsid w:val="001B23E7"/>
    <w:rsid w:val="001B244B"/>
    <w:rsid w:val="001B2953"/>
    <w:rsid w:val="001B29B6"/>
    <w:rsid w:val="001B2AAA"/>
    <w:rsid w:val="001B2AFE"/>
    <w:rsid w:val="001B2DBF"/>
    <w:rsid w:val="001B2E9D"/>
    <w:rsid w:val="001B320F"/>
    <w:rsid w:val="001B32D2"/>
    <w:rsid w:val="001B33E1"/>
    <w:rsid w:val="001B3584"/>
    <w:rsid w:val="001B37CF"/>
    <w:rsid w:val="001B3AE3"/>
    <w:rsid w:val="001B3EF2"/>
    <w:rsid w:val="001B426C"/>
    <w:rsid w:val="001B428E"/>
    <w:rsid w:val="001B46B8"/>
    <w:rsid w:val="001B4C56"/>
    <w:rsid w:val="001B4DD7"/>
    <w:rsid w:val="001B4F21"/>
    <w:rsid w:val="001B507C"/>
    <w:rsid w:val="001B50B5"/>
    <w:rsid w:val="001B50C6"/>
    <w:rsid w:val="001B50F3"/>
    <w:rsid w:val="001B584C"/>
    <w:rsid w:val="001B6071"/>
    <w:rsid w:val="001B621A"/>
    <w:rsid w:val="001B657D"/>
    <w:rsid w:val="001B65D7"/>
    <w:rsid w:val="001B71CF"/>
    <w:rsid w:val="001B749D"/>
    <w:rsid w:val="001B76CD"/>
    <w:rsid w:val="001B777E"/>
    <w:rsid w:val="001B77AD"/>
    <w:rsid w:val="001B7B32"/>
    <w:rsid w:val="001B7D69"/>
    <w:rsid w:val="001B7D95"/>
    <w:rsid w:val="001C0181"/>
    <w:rsid w:val="001C02E2"/>
    <w:rsid w:val="001C03FB"/>
    <w:rsid w:val="001C1298"/>
    <w:rsid w:val="001C13A9"/>
    <w:rsid w:val="001C178F"/>
    <w:rsid w:val="001C1A09"/>
    <w:rsid w:val="001C1B5E"/>
    <w:rsid w:val="001C1C72"/>
    <w:rsid w:val="001C1CBD"/>
    <w:rsid w:val="001C1FF2"/>
    <w:rsid w:val="001C21E2"/>
    <w:rsid w:val="001C2723"/>
    <w:rsid w:val="001C2A19"/>
    <w:rsid w:val="001C2B95"/>
    <w:rsid w:val="001C2CAC"/>
    <w:rsid w:val="001C2E25"/>
    <w:rsid w:val="001C2EA3"/>
    <w:rsid w:val="001C2F28"/>
    <w:rsid w:val="001C329C"/>
    <w:rsid w:val="001C330D"/>
    <w:rsid w:val="001C3645"/>
    <w:rsid w:val="001C36D8"/>
    <w:rsid w:val="001C3DCE"/>
    <w:rsid w:val="001C3ECD"/>
    <w:rsid w:val="001C417F"/>
    <w:rsid w:val="001C4476"/>
    <w:rsid w:val="001C44A7"/>
    <w:rsid w:val="001C45EA"/>
    <w:rsid w:val="001C466B"/>
    <w:rsid w:val="001C48E5"/>
    <w:rsid w:val="001C4B7F"/>
    <w:rsid w:val="001C4FB5"/>
    <w:rsid w:val="001C4FD4"/>
    <w:rsid w:val="001C516D"/>
    <w:rsid w:val="001C53C9"/>
    <w:rsid w:val="001C548F"/>
    <w:rsid w:val="001C5588"/>
    <w:rsid w:val="001C59DF"/>
    <w:rsid w:val="001C5A48"/>
    <w:rsid w:val="001C5D02"/>
    <w:rsid w:val="001C5E08"/>
    <w:rsid w:val="001C5FCA"/>
    <w:rsid w:val="001C615F"/>
    <w:rsid w:val="001C6196"/>
    <w:rsid w:val="001C61F0"/>
    <w:rsid w:val="001C62A0"/>
    <w:rsid w:val="001C635B"/>
    <w:rsid w:val="001C6ADA"/>
    <w:rsid w:val="001C70B4"/>
    <w:rsid w:val="001C712A"/>
    <w:rsid w:val="001C73DB"/>
    <w:rsid w:val="001C7404"/>
    <w:rsid w:val="001C789B"/>
    <w:rsid w:val="001C791B"/>
    <w:rsid w:val="001C79A6"/>
    <w:rsid w:val="001C7C44"/>
    <w:rsid w:val="001C7EE4"/>
    <w:rsid w:val="001D01DC"/>
    <w:rsid w:val="001D025E"/>
    <w:rsid w:val="001D02B8"/>
    <w:rsid w:val="001D05AF"/>
    <w:rsid w:val="001D06C1"/>
    <w:rsid w:val="001D0897"/>
    <w:rsid w:val="001D08B0"/>
    <w:rsid w:val="001D08ED"/>
    <w:rsid w:val="001D0ACF"/>
    <w:rsid w:val="001D0B7E"/>
    <w:rsid w:val="001D10C8"/>
    <w:rsid w:val="001D135B"/>
    <w:rsid w:val="001D1691"/>
    <w:rsid w:val="001D193F"/>
    <w:rsid w:val="001D1A2C"/>
    <w:rsid w:val="001D1B28"/>
    <w:rsid w:val="001D1D60"/>
    <w:rsid w:val="001D1D77"/>
    <w:rsid w:val="001D2041"/>
    <w:rsid w:val="001D23A4"/>
    <w:rsid w:val="001D2964"/>
    <w:rsid w:val="001D2A29"/>
    <w:rsid w:val="001D2A31"/>
    <w:rsid w:val="001D2C05"/>
    <w:rsid w:val="001D3383"/>
    <w:rsid w:val="001D34D5"/>
    <w:rsid w:val="001D3539"/>
    <w:rsid w:val="001D363D"/>
    <w:rsid w:val="001D3964"/>
    <w:rsid w:val="001D3CB8"/>
    <w:rsid w:val="001D3D5F"/>
    <w:rsid w:val="001D3E9C"/>
    <w:rsid w:val="001D41DE"/>
    <w:rsid w:val="001D429A"/>
    <w:rsid w:val="001D42D6"/>
    <w:rsid w:val="001D436E"/>
    <w:rsid w:val="001D4414"/>
    <w:rsid w:val="001D446B"/>
    <w:rsid w:val="001D4484"/>
    <w:rsid w:val="001D4569"/>
    <w:rsid w:val="001D4670"/>
    <w:rsid w:val="001D475C"/>
    <w:rsid w:val="001D4CCD"/>
    <w:rsid w:val="001D4F25"/>
    <w:rsid w:val="001D517E"/>
    <w:rsid w:val="001D523F"/>
    <w:rsid w:val="001D52E8"/>
    <w:rsid w:val="001D530A"/>
    <w:rsid w:val="001D5834"/>
    <w:rsid w:val="001D595A"/>
    <w:rsid w:val="001D5B62"/>
    <w:rsid w:val="001D5C4F"/>
    <w:rsid w:val="001D5CCE"/>
    <w:rsid w:val="001D605E"/>
    <w:rsid w:val="001D60E6"/>
    <w:rsid w:val="001D664B"/>
    <w:rsid w:val="001D6701"/>
    <w:rsid w:val="001D67DA"/>
    <w:rsid w:val="001D6993"/>
    <w:rsid w:val="001D6B97"/>
    <w:rsid w:val="001D6E26"/>
    <w:rsid w:val="001D6EC8"/>
    <w:rsid w:val="001D7264"/>
    <w:rsid w:val="001D7286"/>
    <w:rsid w:val="001D7584"/>
    <w:rsid w:val="001D7873"/>
    <w:rsid w:val="001D794B"/>
    <w:rsid w:val="001D7C38"/>
    <w:rsid w:val="001D7C63"/>
    <w:rsid w:val="001D7C7D"/>
    <w:rsid w:val="001D7CE7"/>
    <w:rsid w:val="001D7FC8"/>
    <w:rsid w:val="001E0216"/>
    <w:rsid w:val="001E037F"/>
    <w:rsid w:val="001E03EB"/>
    <w:rsid w:val="001E0806"/>
    <w:rsid w:val="001E0827"/>
    <w:rsid w:val="001E0926"/>
    <w:rsid w:val="001E0C83"/>
    <w:rsid w:val="001E0EB6"/>
    <w:rsid w:val="001E0EC2"/>
    <w:rsid w:val="001E1393"/>
    <w:rsid w:val="001E157C"/>
    <w:rsid w:val="001E15FF"/>
    <w:rsid w:val="001E16C5"/>
    <w:rsid w:val="001E1709"/>
    <w:rsid w:val="001E1A29"/>
    <w:rsid w:val="001E1BB4"/>
    <w:rsid w:val="001E1F13"/>
    <w:rsid w:val="001E2254"/>
    <w:rsid w:val="001E241E"/>
    <w:rsid w:val="001E243D"/>
    <w:rsid w:val="001E25E7"/>
    <w:rsid w:val="001E29E5"/>
    <w:rsid w:val="001E32A5"/>
    <w:rsid w:val="001E330C"/>
    <w:rsid w:val="001E343D"/>
    <w:rsid w:val="001E34E0"/>
    <w:rsid w:val="001E361E"/>
    <w:rsid w:val="001E3625"/>
    <w:rsid w:val="001E3F36"/>
    <w:rsid w:val="001E3F61"/>
    <w:rsid w:val="001E4404"/>
    <w:rsid w:val="001E45DC"/>
    <w:rsid w:val="001E47D1"/>
    <w:rsid w:val="001E47D9"/>
    <w:rsid w:val="001E47FA"/>
    <w:rsid w:val="001E48D7"/>
    <w:rsid w:val="001E4AE8"/>
    <w:rsid w:val="001E4C6B"/>
    <w:rsid w:val="001E5410"/>
    <w:rsid w:val="001E5479"/>
    <w:rsid w:val="001E5777"/>
    <w:rsid w:val="001E5C89"/>
    <w:rsid w:val="001E5C8F"/>
    <w:rsid w:val="001E5CAA"/>
    <w:rsid w:val="001E5E90"/>
    <w:rsid w:val="001E6276"/>
    <w:rsid w:val="001E6395"/>
    <w:rsid w:val="001E651B"/>
    <w:rsid w:val="001E69C1"/>
    <w:rsid w:val="001E6A95"/>
    <w:rsid w:val="001E6C07"/>
    <w:rsid w:val="001E6D45"/>
    <w:rsid w:val="001E70BF"/>
    <w:rsid w:val="001E70FC"/>
    <w:rsid w:val="001E73BF"/>
    <w:rsid w:val="001E7415"/>
    <w:rsid w:val="001E77C9"/>
    <w:rsid w:val="001E7AF3"/>
    <w:rsid w:val="001E7CFD"/>
    <w:rsid w:val="001E7DC9"/>
    <w:rsid w:val="001E7E77"/>
    <w:rsid w:val="001E7EDE"/>
    <w:rsid w:val="001E7FB6"/>
    <w:rsid w:val="001F04DC"/>
    <w:rsid w:val="001F0511"/>
    <w:rsid w:val="001F05B7"/>
    <w:rsid w:val="001F0809"/>
    <w:rsid w:val="001F0E2B"/>
    <w:rsid w:val="001F0E88"/>
    <w:rsid w:val="001F0F0F"/>
    <w:rsid w:val="001F10F7"/>
    <w:rsid w:val="001F1316"/>
    <w:rsid w:val="001F1750"/>
    <w:rsid w:val="001F1AD4"/>
    <w:rsid w:val="001F1D04"/>
    <w:rsid w:val="001F1D4D"/>
    <w:rsid w:val="001F1FF4"/>
    <w:rsid w:val="001F2250"/>
    <w:rsid w:val="001F23D7"/>
    <w:rsid w:val="001F250B"/>
    <w:rsid w:val="001F2987"/>
    <w:rsid w:val="001F2B19"/>
    <w:rsid w:val="001F2B8A"/>
    <w:rsid w:val="001F2C04"/>
    <w:rsid w:val="001F2F53"/>
    <w:rsid w:val="001F3070"/>
    <w:rsid w:val="001F31F8"/>
    <w:rsid w:val="001F3291"/>
    <w:rsid w:val="001F32F9"/>
    <w:rsid w:val="001F37D6"/>
    <w:rsid w:val="001F3DFD"/>
    <w:rsid w:val="001F3EF2"/>
    <w:rsid w:val="001F3F95"/>
    <w:rsid w:val="001F403E"/>
    <w:rsid w:val="001F411F"/>
    <w:rsid w:val="001F4492"/>
    <w:rsid w:val="001F470B"/>
    <w:rsid w:val="001F4723"/>
    <w:rsid w:val="001F47A6"/>
    <w:rsid w:val="001F47F1"/>
    <w:rsid w:val="001F4805"/>
    <w:rsid w:val="001F4A2A"/>
    <w:rsid w:val="001F4A3F"/>
    <w:rsid w:val="001F4E3E"/>
    <w:rsid w:val="001F5002"/>
    <w:rsid w:val="001F512E"/>
    <w:rsid w:val="001F51F8"/>
    <w:rsid w:val="001F5231"/>
    <w:rsid w:val="001F531C"/>
    <w:rsid w:val="001F570C"/>
    <w:rsid w:val="001F5CD7"/>
    <w:rsid w:val="001F5D2D"/>
    <w:rsid w:val="001F5D44"/>
    <w:rsid w:val="001F5F8D"/>
    <w:rsid w:val="001F5FA6"/>
    <w:rsid w:val="001F61DC"/>
    <w:rsid w:val="001F62DC"/>
    <w:rsid w:val="001F648B"/>
    <w:rsid w:val="001F64AE"/>
    <w:rsid w:val="001F64F9"/>
    <w:rsid w:val="001F67FA"/>
    <w:rsid w:val="001F6AFF"/>
    <w:rsid w:val="001F6C3E"/>
    <w:rsid w:val="001F6E33"/>
    <w:rsid w:val="001F6F92"/>
    <w:rsid w:val="001F73D1"/>
    <w:rsid w:val="001F76D9"/>
    <w:rsid w:val="001F78BA"/>
    <w:rsid w:val="001F7989"/>
    <w:rsid w:val="001F798F"/>
    <w:rsid w:val="001F7D5C"/>
    <w:rsid w:val="001F7E39"/>
    <w:rsid w:val="001F7E82"/>
    <w:rsid w:val="001F7FF7"/>
    <w:rsid w:val="001FC45A"/>
    <w:rsid w:val="00200173"/>
    <w:rsid w:val="00200373"/>
    <w:rsid w:val="002004C7"/>
    <w:rsid w:val="00200548"/>
    <w:rsid w:val="00200621"/>
    <w:rsid w:val="00200B02"/>
    <w:rsid w:val="00200D5E"/>
    <w:rsid w:val="00200D79"/>
    <w:rsid w:val="00201164"/>
    <w:rsid w:val="002015D1"/>
    <w:rsid w:val="0020177C"/>
    <w:rsid w:val="0020188E"/>
    <w:rsid w:val="00201900"/>
    <w:rsid w:val="00201A09"/>
    <w:rsid w:val="00201BA0"/>
    <w:rsid w:val="00201EE5"/>
    <w:rsid w:val="002021E9"/>
    <w:rsid w:val="002022D3"/>
    <w:rsid w:val="0020242D"/>
    <w:rsid w:val="002024BC"/>
    <w:rsid w:val="002029CB"/>
    <w:rsid w:val="00202A3F"/>
    <w:rsid w:val="00202A7A"/>
    <w:rsid w:val="00202D2A"/>
    <w:rsid w:val="00202E11"/>
    <w:rsid w:val="00202E45"/>
    <w:rsid w:val="0020321C"/>
    <w:rsid w:val="0020340B"/>
    <w:rsid w:val="00203414"/>
    <w:rsid w:val="00203513"/>
    <w:rsid w:val="00203639"/>
    <w:rsid w:val="002036D3"/>
    <w:rsid w:val="00203714"/>
    <w:rsid w:val="00203967"/>
    <w:rsid w:val="00203BFD"/>
    <w:rsid w:val="00203CDB"/>
    <w:rsid w:val="00203D10"/>
    <w:rsid w:val="00203EE1"/>
    <w:rsid w:val="00204062"/>
    <w:rsid w:val="0020406A"/>
    <w:rsid w:val="0020407F"/>
    <w:rsid w:val="002040CB"/>
    <w:rsid w:val="002043B8"/>
    <w:rsid w:val="002044AC"/>
    <w:rsid w:val="00204699"/>
    <w:rsid w:val="00204A7A"/>
    <w:rsid w:val="00204C39"/>
    <w:rsid w:val="00204C63"/>
    <w:rsid w:val="00204CF0"/>
    <w:rsid w:val="00204D38"/>
    <w:rsid w:val="00204DBB"/>
    <w:rsid w:val="00204FFD"/>
    <w:rsid w:val="002053BA"/>
    <w:rsid w:val="0020554D"/>
    <w:rsid w:val="00205C44"/>
    <w:rsid w:val="00205FCF"/>
    <w:rsid w:val="00206112"/>
    <w:rsid w:val="0020613A"/>
    <w:rsid w:val="00206201"/>
    <w:rsid w:val="00206506"/>
    <w:rsid w:val="00206555"/>
    <w:rsid w:val="002067D4"/>
    <w:rsid w:val="00206906"/>
    <w:rsid w:val="0020697F"/>
    <w:rsid w:val="00206C6D"/>
    <w:rsid w:val="00206D1A"/>
    <w:rsid w:val="00206DF2"/>
    <w:rsid w:val="002071C9"/>
    <w:rsid w:val="00207361"/>
    <w:rsid w:val="0020741E"/>
    <w:rsid w:val="00207561"/>
    <w:rsid w:val="00207568"/>
    <w:rsid w:val="00207633"/>
    <w:rsid w:val="00207968"/>
    <w:rsid w:val="00207E72"/>
    <w:rsid w:val="00207EA6"/>
    <w:rsid w:val="002102C1"/>
    <w:rsid w:val="00210442"/>
    <w:rsid w:val="002106FA"/>
    <w:rsid w:val="00210B97"/>
    <w:rsid w:val="00210CFA"/>
    <w:rsid w:val="00210F64"/>
    <w:rsid w:val="002110CF"/>
    <w:rsid w:val="002110F7"/>
    <w:rsid w:val="0021136F"/>
    <w:rsid w:val="00211390"/>
    <w:rsid w:val="00211787"/>
    <w:rsid w:val="00211959"/>
    <w:rsid w:val="00211D2F"/>
    <w:rsid w:val="00211D49"/>
    <w:rsid w:val="00211FAA"/>
    <w:rsid w:val="0021209F"/>
    <w:rsid w:val="00212211"/>
    <w:rsid w:val="002122DC"/>
    <w:rsid w:val="002124D1"/>
    <w:rsid w:val="002127D9"/>
    <w:rsid w:val="00212833"/>
    <w:rsid w:val="00212A68"/>
    <w:rsid w:val="00212AA8"/>
    <w:rsid w:val="002133E6"/>
    <w:rsid w:val="002134B9"/>
    <w:rsid w:val="00213560"/>
    <w:rsid w:val="002136E4"/>
    <w:rsid w:val="00213947"/>
    <w:rsid w:val="00213ED7"/>
    <w:rsid w:val="00214552"/>
    <w:rsid w:val="00214686"/>
    <w:rsid w:val="002147B8"/>
    <w:rsid w:val="00214A65"/>
    <w:rsid w:val="00214ADC"/>
    <w:rsid w:val="00214B16"/>
    <w:rsid w:val="00214C9D"/>
    <w:rsid w:val="00214DF1"/>
    <w:rsid w:val="00214FA1"/>
    <w:rsid w:val="00214FF6"/>
    <w:rsid w:val="002150F7"/>
    <w:rsid w:val="0021512C"/>
    <w:rsid w:val="0021531F"/>
    <w:rsid w:val="00215525"/>
    <w:rsid w:val="0021556B"/>
    <w:rsid w:val="0021564C"/>
    <w:rsid w:val="002156D0"/>
    <w:rsid w:val="00215BA5"/>
    <w:rsid w:val="00215E91"/>
    <w:rsid w:val="00215F86"/>
    <w:rsid w:val="00216312"/>
    <w:rsid w:val="00216407"/>
    <w:rsid w:val="0021645F"/>
    <w:rsid w:val="00216679"/>
    <w:rsid w:val="00216948"/>
    <w:rsid w:val="002169B0"/>
    <w:rsid w:val="00216C6A"/>
    <w:rsid w:val="00217100"/>
    <w:rsid w:val="00217517"/>
    <w:rsid w:val="00217743"/>
    <w:rsid w:val="00217A78"/>
    <w:rsid w:val="00217AA1"/>
    <w:rsid w:val="00217B78"/>
    <w:rsid w:val="00217CC3"/>
    <w:rsid w:val="00217D88"/>
    <w:rsid w:val="00220482"/>
    <w:rsid w:val="00220597"/>
    <w:rsid w:val="00220FB8"/>
    <w:rsid w:val="0022102C"/>
    <w:rsid w:val="0022119E"/>
    <w:rsid w:val="00221274"/>
    <w:rsid w:val="00221332"/>
    <w:rsid w:val="00221409"/>
    <w:rsid w:val="00221581"/>
    <w:rsid w:val="002215F4"/>
    <w:rsid w:val="0022167D"/>
    <w:rsid w:val="00221822"/>
    <w:rsid w:val="00221991"/>
    <w:rsid w:val="00221A66"/>
    <w:rsid w:val="00221A9A"/>
    <w:rsid w:val="00221CB7"/>
    <w:rsid w:val="00222001"/>
    <w:rsid w:val="00222130"/>
    <w:rsid w:val="002223EB"/>
    <w:rsid w:val="0022256E"/>
    <w:rsid w:val="002226D6"/>
    <w:rsid w:val="002227A6"/>
    <w:rsid w:val="0022284F"/>
    <w:rsid w:val="00222B71"/>
    <w:rsid w:val="00222BBD"/>
    <w:rsid w:val="00222C13"/>
    <w:rsid w:val="00222C66"/>
    <w:rsid w:val="00222DF5"/>
    <w:rsid w:val="00222FF4"/>
    <w:rsid w:val="002233F2"/>
    <w:rsid w:val="0022353C"/>
    <w:rsid w:val="00223639"/>
    <w:rsid w:val="002238A8"/>
    <w:rsid w:val="0022391C"/>
    <w:rsid w:val="00223B10"/>
    <w:rsid w:val="00223C10"/>
    <w:rsid w:val="00223E0D"/>
    <w:rsid w:val="00224165"/>
    <w:rsid w:val="00224181"/>
    <w:rsid w:val="0022421E"/>
    <w:rsid w:val="00224263"/>
    <w:rsid w:val="0022436F"/>
    <w:rsid w:val="002246E0"/>
    <w:rsid w:val="0022475D"/>
    <w:rsid w:val="0022485B"/>
    <w:rsid w:val="00224878"/>
    <w:rsid w:val="00224A64"/>
    <w:rsid w:val="00224EE4"/>
    <w:rsid w:val="002250CC"/>
    <w:rsid w:val="002253AA"/>
    <w:rsid w:val="0022547A"/>
    <w:rsid w:val="0022556B"/>
    <w:rsid w:val="002257D4"/>
    <w:rsid w:val="0022582E"/>
    <w:rsid w:val="00225CAF"/>
    <w:rsid w:val="00225DD4"/>
    <w:rsid w:val="00225FF8"/>
    <w:rsid w:val="002263BD"/>
    <w:rsid w:val="0022643A"/>
    <w:rsid w:val="002264AA"/>
    <w:rsid w:val="00226891"/>
    <w:rsid w:val="00226A19"/>
    <w:rsid w:val="00226C26"/>
    <w:rsid w:val="00227115"/>
    <w:rsid w:val="00227264"/>
    <w:rsid w:val="00227C23"/>
    <w:rsid w:val="00227DDF"/>
    <w:rsid w:val="00230763"/>
    <w:rsid w:val="00230978"/>
    <w:rsid w:val="00230ADB"/>
    <w:rsid w:val="00230B76"/>
    <w:rsid w:val="00230C45"/>
    <w:rsid w:val="00230CEF"/>
    <w:rsid w:val="00230F95"/>
    <w:rsid w:val="00231049"/>
    <w:rsid w:val="0023108D"/>
    <w:rsid w:val="002311ED"/>
    <w:rsid w:val="0023122A"/>
    <w:rsid w:val="002312B1"/>
    <w:rsid w:val="002312C2"/>
    <w:rsid w:val="0023140D"/>
    <w:rsid w:val="00231471"/>
    <w:rsid w:val="00231B05"/>
    <w:rsid w:val="00231FC1"/>
    <w:rsid w:val="00232185"/>
    <w:rsid w:val="002321FD"/>
    <w:rsid w:val="0023225E"/>
    <w:rsid w:val="00232428"/>
    <w:rsid w:val="0023259F"/>
    <w:rsid w:val="002325B4"/>
    <w:rsid w:val="002326E9"/>
    <w:rsid w:val="002327DD"/>
    <w:rsid w:val="00232B37"/>
    <w:rsid w:val="00232BF3"/>
    <w:rsid w:val="00232E22"/>
    <w:rsid w:val="00232F9D"/>
    <w:rsid w:val="00233154"/>
    <w:rsid w:val="0023318A"/>
    <w:rsid w:val="002332F0"/>
    <w:rsid w:val="00233384"/>
    <w:rsid w:val="00233849"/>
    <w:rsid w:val="002340E8"/>
    <w:rsid w:val="002341B4"/>
    <w:rsid w:val="002341C0"/>
    <w:rsid w:val="002341C4"/>
    <w:rsid w:val="0023445A"/>
    <w:rsid w:val="0023464E"/>
    <w:rsid w:val="00234664"/>
    <w:rsid w:val="00234720"/>
    <w:rsid w:val="0023489B"/>
    <w:rsid w:val="00234935"/>
    <w:rsid w:val="00234B3F"/>
    <w:rsid w:val="00234BD4"/>
    <w:rsid w:val="00234E86"/>
    <w:rsid w:val="00234EC0"/>
    <w:rsid w:val="00234FDC"/>
    <w:rsid w:val="002353F3"/>
    <w:rsid w:val="0023570F"/>
    <w:rsid w:val="0023595B"/>
    <w:rsid w:val="00235A09"/>
    <w:rsid w:val="00235E55"/>
    <w:rsid w:val="00235F74"/>
    <w:rsid w:val="00235FA3"/>
    <w:rsid w:val="0023601D"/>
    <w:rsid w:val="00236147"/>
    <w:rsid w:val="002362C7"/>
    <w:rsid w:val="002362E7"/>
    <w:rsid w:val="0023632F"/>
    <w:rsid w:val="0023633A"/>
    <w:rsid w:val="00236391"/>
    <w:rsid w:val="002364F4"/>
    <w:rsid w:val="00236626"/>
    <w:rsid w:val="00236650"/>
    <w:rsid w:val="0023673C"/>
    <w:rsid w:val="0023683B"/>
    <w:rsid w:val="002368AF"/>
    <w:rsid w:val="00236D90"/>
    <w:rsid w:val="0023740C"/>
    <w:rsid w:val="0023754F"/>
    <w:rsid w:val="002379D8"/>
    <w:rsid w:val="00237B38"/>
    <w:rsid w:val="00237C33"/>
    <w:rsid w:val="00237E82"/>
    <w:rsid w:val="00240296"/>
    <w:rsid w:val="002404C4"/>
    <w:rsid w:val="002407D6"/>
    <w:rsid w:val="00240B02"/>
    <w:rsid w:val="00240B0A"/>
    <w:rsid w:val="0024114E"/>
    <w:rsid w:val="00241201"/>
    <w:rsid w:val="002415F9"/>
    <w:rsid w:val="00241878"/>
    <w:rsid w:val="002418F5"/>
    <w:rsid w:val="0024197F"/>
    <w:rsid w:val="00241A6B"/>
    <w:rsid w:val="00242748"/>
    <w:rsid w:val="002427C3"/>
    <w:rsid w:val="002428B2"/>
    <w:rsid w:val="00242978"/>
    <w:rsid w:val="00242AEE"/>
    <w:rsid w:val="00242AF9"/>
    <w:rsid w:val="00242D46"/>
    <w:rsid w:val="0024300C"/>
    <w:rsid w:val="002431DF"/>
    <w:rsid w:val="002432C2"/>
    <w:rsid w:val="00243423"/>
    <w:rsid w:val="0024369E"/>
    <w:rsid w:val="002436E7"/>
    <w:rsid w:val="00243A7D"/>
    <w:rsid w:val="00243C7B"/>
    <w:rsid w:val="00243CF2"/>
    <w:rsid w:val="002440A1"/>
    <w:rsid w:val="00244215"/>
    <w:rsid w:val="002442AA"/>
    <w:rsid w:val="002446B7"/>
    <w:rsid w:val="00244796"/>
    <w:rsid w:val="00244917"/>
    <w:rsid w:val="00244960"/>
    <w:rsid w:val="00244A18"/>
    <w:rsid w:val="00244BA0"/>
    <w:rsid w:val="00244CA8"/>
    <w:rsid w:val="00245202"/>
    <w:rsid w:val="002452BC"/>
    <w:rsid w:val="00245BBE"/>
    <w:rsid w:val="00245D41"/>
    <w:rsid w:val="00245D66"/>
    <w:rsid w:val="00245E71"/>
    <w:rsid w:val="00245F15"/>
    <w:rsid w:val="00246280"/>
    <w:rsid w:val="0024629E"/>
    <w:rsid w:val="00246364"/>
    <w:rsid w:val="0024641A"/>
    <w:rsid w:val="00246507"/>
    <w:rsid w:val="00246673"/>
    <w:rsid w:val="00246869"/>
    <w:rsid w:val="00246B27"/>
    <w:rsid w:val="00246B52"/>
    <w:rsid w:val="00247102"/>
    <w:rsid w:val="0024713A"/>
    <w:rsid w:val="0024723F"/>
    <w:rsid w:val="002474BB"/>
    <w:rsid w:val="002474EE"/>
    <w:rsid w:val="002475B9"/>
    <w:rsid w:val="002476F8"/>
    <w:rsid w:val="00247783"/>
    <w:rsid w:val="0024790D"/>
    <w:rsid w:val="00247AB7"/>
    <w:rsid w:val="00247C62"/>
    <w:rsid w:val="00247CF1"/>
    <w:rsid w:val="00247D2F"/>
    <w:rsid w:val="00247D90"/>
    <w:rsid w:val="00250200"/>
    <w:rsid w:val="00250359"/>
    <w:rsid w:val="00250529"/>
    <w:rsid w:val="0025058F"/>
    <w:rsid w:val="00250638"/>
    <w:rsid w:val="00250AFB"/>
    <w:rsid w:val="00250BE3"/>
    <w:rsid w:val="00250BF7"/>
    <w:rsid w:val="002512BA"/>
    <w:rsid w:val="002513D0"/>
    <w:rsid w:val="00251614"/>
    <w:rsid w:val="00251760"/>
    <w:rsid w:val="00251939"/>
    <w:rsid w:val="00251BFB"/>
    <w:rsid w:val="00251EFC"/>
    <w:rsid w:val="00251F80"/>
    <w:rsid w:val="00252198"/>
    <w:rsid w:val="002523DA"/>
    <w:rsid w:val="00252418"/>
    <w:rsid w:val="002524AB"/>
    <w:rsid w:val="0025282E"/>
    <w:rsid w:val="00252855"/>
    <w:rsid w:val="00252903"/>
    <w:rsid w:val="00252C01"/>
    <w:rsid w:val="00252CFD"/>
    <w:rsid w:val="00252D80"/>
    <w:rsid w:val="00252EDE"/>
    <w:rsid w:val="00252FAB"/>
    <w:rsid w:val="002530D0"/>
    <w:rsid w:val="002533D8"/>
    <w:rsid w:val="00253525"/>
    <w:rsid w:val="00253688"/>
    <w:rsid w:val="002539CC"/>
    <w:rsid w:val="00253B0B"/>
    <w:rsid w:val="00253CEA"/>
    <w:rsid w:val="00253CFA"/>
    <w:rsid w:val="00253E29"/>
    <w:rsid w:val="00253EC8"/>
    <w:rsid w:val="00253FAF"/>
    <w:rsid w:val="002540C3"/>
    <w:rsid w:val="002541A0"/>
    <w:rsid w:val="00254392"/>
    <w:rsid w:val="002543B8"/>
    <w:rsid w:val="002545CE"/>
    <w:rsid w:val="002546DB"/>
    <w:rsid w:val="002548DE"/>
    <w:rsid w:val="00254A03"/>
    <w:rsid w:val="00254CE4"/>
    <w:rsid w:val="00255977"/>
    <w:rsid w:val="00255B6B"/>
    <w:rsid w:val="00255FB0"/>
    <w:rsid w:val="00256010"/>
    <w:rsid w:val="002564AF"/>
    <w:rsid w:val="00256784"/>
    <w:rsid w:val="00256DCA"/>
    <w:rsid w:val="002571B2"/>
    <w:rsid w:val="00257313"/>
    <w:rsid w:val="00257424"/>
    <w:rsid w:val="002576F7"/>
    <w:rsid w:val="002579C5"/>
    <w:rsid w:val="00257A76"/>
    <w:rsid w:val="00257B3A"/>
    <w:rsid w:val="00257CFE"/>
    <w:rsid w:val="002600DE"/>
    <w:rsid w:val="00260252"/>
    <w:rsid w:val="00260526"/>
    <w:rsid w:val="00260B0B"/>
    <w:rsid w:val="00260E01"/>
    <w:rsid w:val="00261121"/>
    <w:rsid w:val="00261231"/>
    <w:rsid w:val="002614FC"/>
    <w:rsid w:val="002616D4"/>
    <w:rsid w:val="00261E16"/>
    <w:rsid w:val="00262088"/>
    <w:rsid w:val="00262491"/>
    <w:rsid w:val="00262AB6"/>
    <w:rsid w:val="00262D03"/>
    <w:rsid w:val="00262E00"/>
    <w:rsid w:val="00262EB2"/>
    <w:rsid w:val="0026314F"/>
    <w:rsid w:val="002631C7"/>
    <w:rsid w:val="00263258"/>
    <w:rsid w:val="00263736"/>
    <w:rsid w:val="00264241"/>
    <w:rsid w:val="0026428B"/>
    <w:rsid w:val="002643C0"/>
    <w:rsid w:val="002648E5"/>
    <w:rsid w:val="00264A40"/>
    <w:rsid w:val="00264A81"/>
    <w:rsid w:val="00264B59"/>
    <w:rsid w:val="00264D2B"/>
    <w:rsid w:val="00264F2B"/>
    <w:rsid w:val="00264F4A"/>
    <w:rsid w:val="00265224"/>
    <w:rsid w:val="00265510"/>
    <w:rsid w:val="0026576B"/>
    <w:rsid w:val="002658E3"/>
    <w:rsid w:val="00265CBB"/>
    <w:rsid w:val="00265D3A"/>
    <w:rsid w:val="0026607B"/>
    <w:rsid w:val="0026611D"/>
    <w:rsid w:val="0026696E"/>
    <w:rsid w:val="00266B06"/>
    <w:rsid w:val="00266B15"/>
    <w:rsid w:val="00266CAC"/>
    <w:rsid w:val="00266E4E"/>
    <w:rsid w:val="00266EBE"/>
    <w:rsid w:val="00266F81"/>
    <w:rsid w:val="00267040"/>
    <w:rsid w:val="00267074"/>
    <w:rsid w:val="0026714A"/>
    <w:rsid w:val="002671B2"/>
    <w:rsid w:val="002671FB"/>
    <w:rsid w:val="0026782F"/>
    <w:rsid w:val="00267988"/>
    <w:rsid w:val="00267CC5"/>
    <w:rsid w:val="00267FA9"/>
    <w:rsid w:val="00270388"/>
    <w:rsid w:val="00270471"/>
    <w:rsid w:val="00270B26"/>
    <w:rsid w:val="00271130"/>
    <w:rsid w:val="00271199"/>
    <w:rsid w:val="002714DC"/>
    <w:rsid w:val="00271824"/>
    <w:rsid w:val="002718A8"/>
    <w:rsid w:val="00271926"/>
    <w:rsid w:val="00271FAE"/>
    <w:rsid w:val="00272106"/>
    <w:rsid w:val="0027220B"/>
    <w:rsid w:val="00272354"/>
    <w:rsid w:val="00272443"/>
    <w:rsid w:val="00272533"/>
    <w:rsid w:val="002726D7"/>
    <w:rsid w:val="002726F0"/>
    <w:rsid w:val="0027292F"/>
    <w:rsid w:val="00272F01"/>
    <w:rsid w:val="002730F4"/>
    <w:rsid w:val="002731A0"/>
    <w:rsid w:val="00273228"/>
    <w:rsid w:val="0027322D"/>
    <w:rsid w:val="002732D6"/>
    <w:rsid w:val="0027333D"/>
    <w:rsid w:val="0027334A"/>
    <w:rsid w:val="002735DE"/>
    <w:rsid w:val="0027368E"/>
    <w:rsid w:val="002736EF"/>
    <w:rsid w:val="002737ED"/>
    <w:rsid w:val="00273B1C"/>
    <w:rsid w:val="00273CC6"/>
    <w:rsid w:val="00273CFA"/>
    <w:rsid w:val="00273DE0"/>
    <w:rsid w:val="00274156"/>
    <w:rsid w:val="00274292"/>
    <w:rsid w:val="002743D1"/>
    <w:rsid w:val="0027444D"/>
    <w:rsid w:val="002744F8"/>
    <w:rsid w:val="0027478C"/>
    <w:rsid w:val="00274B55"/>
    <w:rsid w:val="00274B85"/>
    <w:rsid w:val="00274CA1"/>
    <w:rsid w:val="00274F47"/>
    <w:rsid w:val="00275019"/>
    <w:rsid w:val="00275021"/>
    <w:rsid w:val="0027595D"/>
    <w:rsid w:val="0027599C"/>
    <w:rsid w:val="00275A00"/>
    <w:rsid w:val="00275A3D"/>
    <w:rsid w:val="00275A57"/>
    <w:rsid w:val="00275BEB"/>
    <w:rsid w:val="00275CB4"/>
    <w:rsid w:val="00275F01"/>
    <w:rsid w:val="00276020"/>
    <w:rsid w:val="0027622F"/>
    <w:rsid w:val="00276306"/>
    <w:rsid w:val="00276330"/>
    <w:rsid w:val="00276474"/>
    <w:rsid w:val="002764B2"/>
    <w:rsid w:val="00276506"/>
    <w:rsid w:val="00276665"/>
    <w:rsid w:val="002766CC"/>
    <w:rsid w:val="002768C1"/>
    <w:rsid w:val="002768CA"/>
    <w:rsid w:val="002769FF"/>
    <w:rsid w:val="00276CB1"/>
    <w:rsid w:val="00276CF4"/>
    <w:rsid w:val="00276DF4"/>
    <w:rsid w:val="00276EA1"/>
    <w:rsid w:val="00276F15"/>
    <w:rsid w:val="00277368"/>
    <w:rsid w:val="0027749E"/>
    <w:rsid w:val="0027768E"/>
    <w:rsid w:val="0027789E"/>
    <w:rsid w:val="002800A4"/>
    <w:rsid w:val="0028070E"/>
    <w:rsid w:val="002807AA"/>
    <w:rsid w:val="00280829"/>
    <w:rsid w:val="00280948"/>
    <w:rsid w:val="00280A32"/>
    <w:rsid w:val="00280F75"/>
    <w:rsid w:val="00281159"/>
    <w:rsid w:val="002811F9"/>
    <w:rsid w:val="00281293"/>
    <w:rsid w:val="002817EF"/>
    <w:rsid w:val="0028180F"/>
    <w:rsid w:val="00281D45"/>
    <w:rsid w:val="002821C9"/>
    <w:rsid w:val="00282940"/>
    <w:rsid w:val="00282E02"/>
    <w:rsid w:val="00282F47"/>
    <w:rsid w:val="002832A4"/>
    <w:rsid w:val="0028349B"/>
    <w:rsid w:val="0028353B"/>
    <w:rsid w:val="00283741"/>
    <w:rsid w:val="00283A0F"/>
    <w:rsid w:val="00283E45"/>
    <w:rsid w:val="0028413D"/>
    <w:rsid w:val="00284405"/>
    <w:rsid w:val="00284856"/>
    <w:rsid w:val="00284F76"/>
    <w:rsid w:val="00284FCE"/>
    <w:rsid w:val="00285498"/>
    <w:rsid w:val="00285543"/>
    <w:rsid w:val="002857FA"/>
    <w:rsid w:val="00285822"/>
    <w:rsid w:val="002859B0"/>
    <w:rsid w:val="00285B80"/>
    <w:rsid w:val="00285C71"/>
    <w:rsid w:val="00286326"/>
    <w:rsid w:val="002864EF"/>
    <w:rsid w:val="0028654B"/>
    <w:rsid w:val="002866E5"/>
    <w:rsid w:val="002867D4"/>
    <w:rsid w:val="00286A88"/>
    <w:rsid w:val="00286D07"/>
    <w:rsid w:val="00286DB3"/>
    <w:rsid w:val="00286FF6"/>
    <w:rsid w:val="00287090"/>
    <w:rsid w:val="002870A0"/>
    <w:rsid w:val="00287381"/>
    <w:rsid w:val="00287ACF"/>
    <w:rsid w:val="00287C26"/>
    <w:rsid w:val="00287D67"/>
    <w:rsid w:val="00287D96"/>
    <w:rsid w:val="00287DEB"/>
    <w:rsid w:val="0029001B"/>
    <w:rsid w:val="0029002E"/>
    <w:rsid w:val="0029013C"/>
    <w:rsid w:val="00290372"/>
    <w:rsid w:val="0029080C"/>
    <w:rsid w:val="00290862"/>
    <w:rsid w:val="002908EF"/>
    <w:rsid w:val="00290AF3"/>
    <w:rsid w:val="00290B37"/>
    <w:rsid w:val="00290E1B"/>
    <w:rsid w:val="00290F35"/>
    <w:rsid w:val="00291232"/>
    <w:rsid w:val="002912AF"/>
    <w:rsid w:val="00291AB2"/>
    <w:rsid w:val="00291CC9"/>
    <w:rsid w:val="00291F90"/>
    <w:rsid w:val="00292663"/>
    <w:rsid w:val="00292822"/>
    <w:rsid w:val="00292BB1"/>
    <w:rsid w:val="00292C41"/>
    <w:rsid w:val="00292CAB"/>
    <w:rsid w:val="00292CFF"/>
    <w:rsid w:val="00292DA6"/>
    <w:rsid w:val="0029330E"/>
    <w:rsid w:val="00293384"/>
    <w:rsid w:val="00293D08"/>
    <w:rsid w:val="00293F17"/>
    <w:rsid w:val="00294175"/>
    <w:rsid w:val="00294368"/>
    <w:rsid w:val="002943AB"/>
    <w:rsid w:val="002943AD"/>
    <w:rsid w:val="0029441B"/>
    <w:rsid w:val="0029450B"/>
    <w:rsid w:val="0029454F"/>
    <w:rsid w:val="00294590"/>
    <w:rsid w:val="0029485E"/>
    <w:rsid w:val="00294898"/>
    <w:rsid w:val="00294ACD"/>
    <w:rsid w:val="00294B71"/>
    <w:rsid w:val="00294BB5"/>
    <w:rsid w:val="00294DCA"/>
    <w:rsid w:val="00294E2C"/>
    <w:rsid w:val="0029506E"/>
    <w:rsid w:val="00295336"/>
    <w:rsid w:val="0029590A"/>
    <w:rsid w:val="00295B5A"/>
    <w:rsid w:val="00295BED"/>
    <w:rsid w:val="00295E60"/>
    <w:rsid w:val="002960CC"/>
    <w:rsid w:val="002961CC"/>
    <w:rsid w:val="0029635E"/>
    <w:rsid w:val="002964D2"/>
    <w:rsid w:val="00296932"/>
    <w:rsid w:val="00296E4A"/>
    <w:rsid w:val="00297116"/>
    <w:rsid w:val="0029755D"/>
    <w:rsid w:val="002975F3"/>
    <w:rsid w:val="002977FA"/>
    <w:rsid w:val="00297830"/>
    <w:rsid w:val="0029786A"/>
    <w:rsid w:val="00297A7E"/>
    <w:rsid w:val="00297C18"/>
    <w:rsid w:val="00297D72"/>
    <w:rsid w:val="00297DA0"/>
    <w:rsid w:val="00297DC3"/>
    <w:rsid w:val="00297DDD"/>
    <w:rsid w:val="002A0131"/>
    <w:rsid w:val="002A028C"/>
    <w:rsid w:val="002A0326"/>
    <w:rsid w:val="002A0340"/>
    <w:rsid w:val="002A0544"/>
    <w:rsid w:val="002A0AE6"/>
    <w:rsid w:val="002A0D4A"/>
    <w:rsid w:val="002A0D79"/>
    <w:rsid w:val="002A116D"/>
    <w:rsid w:val="002A1199"/>
    <w:rsid w:val="002A160C"/>
    <w:rsid w:val="002A17D0"/>
    <w:rsid w:val="002A1972"/>
    <w:rsid w:val="002A19AD"/>
    <w:rsid w:val="002A1A09"/>
    <w:rsid w:val="002A1A85"/>
    <w:rsid w:val="002A1D5B"/>
    <w:rsid w:val="002A1D80"/>
    <w:rsid w:val="002A22D9"/>
    <w:rsid w:val="002A2926"/>
    <w:rsid w:val="002A2B8D"/>
    <w:rsid w:val="002A3321"/>
    <w:rsid w:val="002A3460"/>
    <w:rsid w:val="002A3667"/>
    <w:rsid w:val="002A375E"/>
    <w:rsid w:val="002A3872"/>
    <w:rsid w:val="002A389F"/>
    <w:rsid w:val="002A3AEA"/>
    <w:rsid w:val="002A3CAC"/>
    <w:rsid w:val="002A3D13"/>
    <w:rsid w:val="002A3D32"/>
    <w:rsid w:val="002A3EFC"/>
    <w:rsid w:val="002A4000"/>
    <w:rsid w:val="002A4018"/>
    <w:rsid w:val="002A41DC"/>
    <w:rsid w:val="002A4456"/>
    <w:rsid w:val="002A4633"/>
    <w:rsid w:val="002A465C"/>
    <w:rsid w:val="002A46B9"/>
    <w:rsid w:val="002A46DD"/>
    <w:rsid w:val="002A46F3"/>
    <w:rsid w:val="002A4724"/>
    <w:rsid w:val="002A4739"/>
    <w:rsid w:val="002A4C7A"/>
    <w:rsid w:val="002A4CD1"/>
    <w:rsid w:val="002A4D6D"/>
    <w:rsid w:val="002A4EE1"/>
    <w:rsid w:val="002A5100"/>
    <w:rsid w:val="002A5193"/>
    <w:rsid w:val="002A5402"/>
    <w:rsid w:val="002A56CC"/>
    <w:rsid w:val="002A5964"/>
    <w:rsid w:val="002A5975"/>
    <w:rsid w:val="002A5B49"/>
    <w:rsid w:val="002A5CC7"/>
    <w:rsid w:val="002A5D4D"/>
    <w:rsid w:val="002A60EC"/>
    <w:rsid w:val="002A6200"/>
    <w:rsid w:val="002A6215"/>
    <w:rsid w:val="002A674D"/>
    <w:rsid w:val="002A6AA4"/>
    <w:rsid w:val="002A7360"/>
    <w:rsid w:val="002A7509"/>
    <w:rsid w:val="002A76EF"/>
    <w:rsid w:val="002A7714"/>
    <w:rsid w:val="002A7DD2"/>
    <w:rsid w:val="002A7EA9"/>
    <w:rsid w:val="002A7F22"/>
    <w:rsid w:val="002A7FB9"/>
    <w:rsid w:val="002B011C"/>
    <w:rsid w:val="002B0734"/>
    <w:rsid w:val="002B0930"/>
    <w:rsid w:val="002B0951"/>
    <w:rsid w:val="002B0A50"/>
    <w:rsid w:val="002B0E78"/>
    <w:rsid w:val="002B1006"/>
    <w:rsid w:val="002B10BF"/>
    <w:rsid w:val="002B1142"/>
    <w:rsid w:val="002B116A"/>
    <w:rsid w:val="002B1429"/>
    <w:rsid w:val="002B184C"/>
    <w:rsid w:val="002B18AA"/>
    <w:rsid w:val="002B18B1"/>
    <w:rsid w:val="002B1BFB"/>
    <w:rsid w:val="002B1D5E"/>
    <w:rsid w:val="002B2117"/>
    <w:rsid w:val="002B2174"/>
    <w:rsid w:val="002B2928"/>
    <w:rsid w:val="002B2D1D"/>
    <w:rsid w:val="002B2FC3"/>
    <w:rsid w:val="002B370B"/>
    <w:rsid w:val="002B3C5B"/>
    <w:rsid w:val="002B3CC3"/>
    <w:rsid w:val="002B3F0D"/>
    <w:rsid w:val="002B3F21"/>
    <w:rsid w:val="002B40D0"/>
    <w:rsid w:val="002B4185"/>
    <w:rsid w:val="002B43A3"/>
    <w:rsid w:val="002B4572"/>
    <w:rsid w:val="002B464E"/>
    <w:rsid w:val="002B47E3"/>
    <w:rsid w:val="002B4804"/>
    <w:rsid w:val="002B4A24"/>
    <w:rsid w:val="002B4C8E"/>
    <w:rsid w:val="002B4D4A"/>
    <w:rsid w:val="002B4DA1"/>
    <w:rsid w:val="002B4DC0"/>
    <w:rsid w:val="002B4F5F"/>
    <w:rsid w:val="002B504A"/>
    <w:rsid w:val="002B504E"/>
    <w:rsid w:val="002B512B"/>
    <w:rsid w:val="002B5C17"/>
    <w:rsid w:val="002B5C60"/>
    <w:rsid w:val="002B5D9F"/>
    <w:rsid w:val="002B5DD4"/>
    <w:rsid w:val="002B5E25"/>
    <w:rsid w:val="002B6135"/>
    <w:rsid w:val="002B61C2"/>
    <w:rsid w:val="002B6502"/>
    <w:rsid w:val="002B6C25"/>
    <w:rsid w:val="002B6D44"/>
    <w:rsid w:val="002B6E92"/>
    <w:rsid w:val="002B7085"/>
    <w:rsid w:val="002B70B2"/>
    <w:rsid w:val="002B7220"/>
    <w:rsid w:val="002B731B"/>
    <w:rsid w:val="002B731C"/>
    <w:rsid w:val="002B75FE"/>
    <w:rsid w:val="002B76A2"/>
    <w:rsid w:val="002B7F3B"/>
    <w:rsid w:val="002C00AC"/>
    <w:rsid w:val="002C00BF"/>
    <w:rsid w:val="002C0375"/>
    <w:rsid w:val="002C05AE"/>
    <w:rsid w:val="002C0927"/>
    <w:rsid w:val="002C0BD0"/>
    <w:rsid w:val="002C0BFF"/>
    <w:rsid w:val="002C0CE7"/>
    <w:rsid w:val="002C0EB1"/>
    <w:rsid w:val="002C115E"/>
    <w:rsid w:val="002C12AE"/>
    <w:rsid w:val="002C12C8"/>
    <w:rsid w:val="002C1365"/>
    <w:rsid w:val="002C1477"/>
    <w:rsid w:val="002C152F"/>
    <w:rsid w:val="002C1700"/>
    <w:rsid w:val="002C1DA7"/>
    <w:rsid w:val="002C1F8A"/>
    <w:rsid w:val="002C1F90"/>
    <w:rsid w:val="002C21E7"/>
    <w:rsid w:val="002C2273"/>
    <w:rsid w:val="002C23D5"/>
    <w:rsid w:val="002C2465"/>
    <w:rsid w:val="002C2717"/>
    <w:rsid w:val="002C2893"/>
    <w:rsid w:val="002C29B2"/>
    <w:rsid w:val="002C2AFC"/>
    <w:rsid w:val="002C2E05"/>
    <w:rsid w:val="002C2E8B"/>
    <w:rsid w:val="002C30B3"/>
    <w:rsid w:val="002C31C0"/>
    <w:rsid w:val="002C3209"/>
    <w:rsid w:val="002C3289"/>
    <w:rsid w:val="002C361B"/>
    <w:rsid w:val="002C36C0"/>
    <w:rsid w:val="002C3769"/>
    <w:rsid w:val="002C37C2"/>
    <w:rsid w:val="002C3B71"/>
    <w:rsid w:val="002C3CDD"/>
    <w:rsid w:val="002C3F40"/>
    <w:rsid w:val="002C41A2"/>
    <w:rsid w:val="002C4483"/>
    <w:rsid w:val="002C4808"/>
    <w:rsid w:val="002C480C"/>
    <w:rsid w:val="002C4CBB"/>
    <w:rsid w:val="002C4D32"/>
    <w:rsid w:val="002C5156"/>
    <w:rsid w:val="002C5595"/>
    <w:rsid w:val="002C5620"/>
    <w:rsid w:val="002C58DA"/>
    <w:rsid w:val="002C5B89"/>
    <w:rsid w:val="002C5C53"/>
    <w:rsid w:val="002C5C5C"/>
    <w:rsid w:val="002C5D7D"/>
    <w:rsid w:val="002C5DA2"/>
    <w:rsid w:val="002C61CE"/>
    <w:rsid w:val="002C65EB"/>
    <w:rsid w:val="002C6832"/>
    <w:rsid w:val="002C6886"/>
    <w:rsid w:val="002C6CF6"/>
    <w:rsid w:val="002C7045"/>
    <w:rsid w:val="002C7123"/>
    <w:rsid w:val="002C7283"/>
    <w:rsid w:val="002C72A2"/>
    <w:rsid w:val="002C7356"/>
    <w:rsid w:val="002C73A4"/>
    <w:rsid w:val="002C75F5"/>
    <w:rsid w:val="002C76C2"/>
    <w:rsid w:val="002C7708"/>
    <w:rsid w:val="002C7C61"/>
    <w:rsid w:val="002C7CC0"/>
    <w:rsid w:val="002C7CC4"/>
    <w:rsid w:val="002C7E22"/>
    <w:rsid w:val="002C7E60"/>
    <w:rsid w:val="002C7E74"/>
    <w:rsid w:val="002C7F63"/>
    <w:rsid w:val="002D009B"/>
    <w:rsid w:val="002D00D2"/>
    <w:rsid w:val="002D034F"/>
    <w:rsid w:val="002D0820"/>
    <w:rsid w:val="002D0869"/>
    <w:rsid w:val="002D095C"/>
    <w:rsid w:val="002D09D4"/>
    <w:rsid w:val="002D1046"/>
    <w:rsid w:val="002D1086"/>
    <w:rsid w:val="002D122B"/>
    <w:rsid w:val="002D1AE4"/>
    <w:rsid w:val="002D1C0B"/>
    <w:rsid w:val="002D1E31"/>
    <w:rsid w:val="002D1ECD"/>
    <w:rsid w:val="002D207C"/>
    <w:rsid w:val="002D215A"/>
    <w:rsid w:val="002D2252"/>
    <w:rsid w:val="002D226C"/>
    <w:rsid w:val="002D23C8"/>
    <w:rsid w:val="002D259B"/>
    <w:rsid w:val="002D26EF"/>
    <w:rsid w:val="002D2915"/>
    <w:rsid w:val="002D29D0"/>
    <w:rsid w:val="002D2CA2"/>
    <w:rsid w:val="002D3077"/>
    <w:rsid w:val="002D3096"/>
    <w:rsid w:val="002D3398"/>
    <w:rsid w:val="002D3431"/>
    <w:rsid w:val="002D35CA"/>
    <w:rsid w:val="002D3755"/>
    <w:rsid w:val="002D3C06"/>
    <w:rsid w:val="002D3C55"/>
    <w:rsid w:val="002D407E"/>
    <w:rsid w:val="002D42A6"/>
    <w:rsid w:val="002D45EA"/>
    <w:rsid w:val="002D4826"/>
    <w:rsid w:val="002D492E"/>
    <w:rsid w:val="002D4A6D"/>
    <w:rsid w:val="002D4B0D"/>
    <w:rsid w:val="002D4C0C"/>
    <w:rsid w:val="002D4E8A"/>
    <w:rsid w:val="002D5064"/>
    <w:rsid w:val="002D50F3"/>
    <w:rsid w:val="002D533F"/>
    <w:rsid w:val="002D535C"/>
    <w:rsid w:val="002D5465"/>
    <w:rsid w:val="002D5591"/>
    <w:rsid w:val="002D57A0"/>
    <w:rsid w:val="002D5880"/>
    <w:rsid w:val="002D5A19"/>
    <w:rsid w:val="002D5AC6"/>
    <w:rsid w:val="002D5AD9"/>
    <w:rsid w:val="002D5D45"/>
    <w:rsid w:val="002D5D4A"/>
    <w:rsid w:val="002D5EFF"/>
    <w:rsid w:val="002D5F6B"/>
    <w:rsid w:val="002D61C8"/>
    <w:rsid w:val="002D61FF"/>
    <w:rsid w:val="002D621F"/>
    <w:rsid w:val="002D633C"/>
    <w:rsid w:val="002D66D1"/>
    <w:rsid w:val="002D6A02"/>
    <w:rsid w:val="002D6AB8"/>
    <w:rsid w:val="002D6AEE"/>
    <w:rsid w:val="002D6D0C"/>
    <w:rsid w:val="002D7394"/>
    <w:rsid w:val="002D7402"/>
    <w:rsid w:val="002D7492"/>
    <w:rsid w:val="002D78CD"/>
    <w:rsid w:val="002D79B2"/>
    <w:rsid w:val="002D7A70"/>
    <w:rsid w:val="002D7BC5"/>
    <w:rsid w:val="002D7C7F"/>
    <w:rsid w:val="002D7D27"/>
    <w:rsid w:val="002D7D93"/>
    <w:rsid w:val="002D7FA3"/>
    <w:rsid w:val="002E05F6"/>
    <w:rsid w:val="002E0620"/>
    <w:rsid w:val="002E0928"/>
    <w:rsid w:val="002E097B"/>
    <w:rsid w:val="002E0C5E"/>
    <w:rsid w:val="002E0E9F"/>
    <w:rsid w:val="002E1041"/>
    <w:rsid w:val="002E10E6"/>
    <w:rsid w:val="002E1102"/>
    <w:rsid w:val="002E11E5"/>
    <w:rsid w:val="002E11EA"/>
    <w:rsid w:val="002E129E"/>
    <w:rsid w:val="002E12D0"/>
    <w:rsid w:val="002E1350"/>
    <w:rsid w:val="002E171F"/>
    <w:rsid w:val="002E19BB"/>
    <w:rsid w:val="002E1A14"/>
    <w:rsid w:val="002E1A72"/>
    <w:rsid w:val="002E1C05"/>
    <w:rsid w:val="002E1EF8"/>
    <w:rsid w:val="002E2301"/>
    <w:rsid w:val="002E23A4"/>
    <w:rsid w:val="002E244C"/>
    <w:rsid w:val="002E253C"/>
    <w:rsid w:val="002E2611"/>
    <w:rsid w:val="002E2856"/>
    <w:rsid w:val="002E2AA3"/>
    <w:rsid w:val="002E2DA1"/>
    <w:rsid w:val="002E2F4F"/>
    <w:rsid w:val="002E2FCA"/>
    <w:rsid w:val="002E3001"/>
    <w:rsid w:val="002E3145"/>
    <w:rsid w:val="002E31C9"/>
    <w:rsid w:val="002E3366"/>
    <w:rsid w:val="002E3FF0"/>
    <w:rsid w:val="002E442A"/>
    <w:rsid w:val="002E448A"/>
    <w:rsid w:val="002E4786"/>
    <w:rsid w:val="002E4A39"/>
    <w:rsid w:val="002E4B99"/>
    <w:rsid w:val="002E506B"/>
    <w:rsid w:val="002E5350"/>
    <w:rsid w:val="002E5375"/>
    <w:rsid w:val="002E559D"/>
    <w:rsid w:val="002E5912"/>
    <w:rsid w:val="002E5C8F"/>
    <w:rsid w:val="002E5CD4"/>
    <w:rsid w:val="002E5D3C"/>
    <w:rsid w:val="002E60B6"/>
    <w:rsid w:val="002E64CB"/>
    <w:rsid w:val="002E6581"/>
    <w:rsid w:val="002E690E"/>
    <w:rsid w:val="002E690F"/>
    <w:rsid w:val="002E6BBA"/>
    <w:rsid w:val="002E6DE3"/>
    <w:rsid w:val="002E6EF6"/>
    <w:rsid w:val="002E6FDA"/>
    <w:rsid w:val="002E704B"/>
    <w:rsid w:val="002E712A"/>
    <w:rsid w:val="002E71D2"/>
    <w:rsid w:val="002E7637"/>
    <w:rsid w:val="002E76D6"/>
    <w:rsid w:val="002E7D29"/>
    <w:rsid w:val="002E7EA4"/>
    <w:rsid w:val="002F0072"/>
    <w:rsid w:val="002F00D1"/>
    <w:rsid w:val="002F02E8"/>
    <w:rsid w:val="002F032A"/>
    <w:rsid w:val="002F03F1"/>
    <w:rsid w:val="002F04F5"/>
    <w:rsid w:val="002F0663"/>
    <w:rsid w:val="002F09ED"/>
    <w:rsid w:val="002F0C49"/>
    <w:rsid w:val="002F0CF0"/>
    <w:rsid w:val="002F0EC9"/>
    <w:rsid w:val="002F0EF1"/>
    <w:rsid w:val="002F0F17"/>
    <w:rsid w:val="002F0F40"/>
    <w:rsid w:val="002F0FEA"/>
    <w:rsid w:val="002F10D5"/>
    <w:rsid w:val="002F1267"/>
    <w:rsid w:val="002F135D"/>
    <w:rsid w:val="002F1492"/>
    <w:rsid w:val="002F1684"/>
    <w:rsid w:val="002F179B"/>
    <w:rsid w:val="002F1DE1"/>
    <w:rsid w:val="002F1FE3"/>
    <w:rsid w:val="002F224E"/>
    <w:rsid w:val="002F2772"/>
    <w:rsid w:val="002F2815"/>
    <w:rsid w:val="002F2D38"/>
    <w:rsid w:val="002F32BB"/>
    <w:rsid w:val="002F334A"/>
    <w:rsid w:val="002F3474"/>
    <w:rsid w:val="002F3642"/>
    <w:rsid w:val="002F4535"/>
    <w:rsid w:val="002F461D"/>
    <w:rsid w:val="002F47C6"/>
    <w:rsid w:val="002F47E1"/>
    <w:rsid w:val="002F4BBD"/>
    <w:rsid w:val="002F50E7"/>
    <w:rsid w:val="002F5664"/>
    <w:rsid w:val="002F56EC"/>
    <w:rsid w:val="002F6037"/>
    <w:rsid w:val="002F63E3"/>
    <w:rsid w:val="002F65B7"/>
    <w:rsid w:val="002F6715"/>
    <w:rsid w:val="002F6762"/>
    <w:rsid w:val="002F6873"/>
    <w:rsid w:val="002F6A8A"/>
    <w:rsid w:val="002F6ABA"/>
    <w:rsid w:val="002F6B80"/>
    <w:rsid w:val="002F6BA9"/>
    <w:rsid w:val="002F6CFD"/>
    <w:rsid w:val="002F6F43"/>
    <w:rsid w:val="002F7076"/>
    <w:rsid w:val="002F7123"/>
    <w:rsid w:val="002F7374"/>
    <w:rsid w:val="002F7569"/>
    <w:rsid w:val="002F7B1C"/>
    <w:rsid w:val="002F7C10"/>
    <w:rsid w:val="0030011C"/>
    <w:rsid w:val="00300280"/>
    <w:rsid w:val="003005B0"/>
    <w:rsid w:val="0030093B"/>
    <w:rsid w:val="00300CE3"/>
    <w:rsid w:val="00300DAE"/>
    <w:rsid w:val="003011D8"/>
    <w:rsid w:val="00301223"/>
    <w:rsid w:val="00301242"/>
    <w:rsid w:val="0030124D"/>
    <w:rsid w:val="00301259"/>
    <w:rsid w:val="00301427"/>
    <w:rsid w:val="003014C6"/>
    <w:rsid w:val="003016B1"/>
    <w:rsid w:val="00301846"/>
    <w:rsid w:val="003018F7"/>
    <w:rsid w:val="00301986"/>
    <w:rsid w:val="00301BDD"/>
    <w:rsid w:val="00301C58"/>
    <w:rsid w:val="00301D66"/>
    <w:rsid w:val="00301E61"/>
    <w:rsid w:val="003022D1"/>
    <w:rsid w:val="003025A2"/>
    <w:rsid w:val="003025C0"/>
    <w:rsid w:val="00302701"/>
    <w:rsid w:val="003028A5"/>
    <w:rsid w:val="0030294C"/>
    <w:rsid w:val="003029A5"/>
    <w:rsid w:val="00302CAD"/>
    <w:rsid w:val="00302DBD"/>
    <w:rsid w:val="003030C8"/>
    <w:rsid w:val="00303126"/>
    <w:rsid w:val="0030322B"/>
    <w:rsid w:val="00303368"/>
    <w:rsid w:val="003034A7"/>
    <w:rsid w:val="00303642"/>
    <w:rsid w:val="003036F8"/>
    <w:rsid w:val="003038F1"/>
    <w:rsid w:val="00303A7D"/>
    <w:rsid w:val="00303C30"/>
    <w:rsid w:val="00303C88"/>
    <w:rsid w:val="00303D84"/>
    <w:rsid w:val="00303F0B"/>
    <w:rsid w:val="00303F0F"/>
    <w:rsid w:val="0030460E"/>
    <w:rsid w:val="0030477F"/>
    <w:rsid w:val="003048F3"/>
    <w:rsid w:val="0030498E"/>
    <w:rsid w:val="003049A2"/>
    <w:rsid w:val="00304CF7"/>
    <w:rsid w:val="003051C1"/>
    <w:rsid w:val="003053F5"/>
    <w:rsid w:val="003055D8"/>
    <w:rsid w:val="0030563D"/>
    <w:rsid w:val="00305690"/>
    <w:rsid w:val="003056F8"/>
    <w:rsid w:val="0030594D"/>
    <w:rsid w:val="00305CEC"/>
    <w:rsid w:val="00305E72"/>
    <w:rsid w:val="00305EE4"/>
    <w:rsid w:val="00306067"/>
    <w:rsid w:val="003063AC"/>
    <w:rsid w:val="00306718"/>
    <w:rsid w:val="00306953"/>
    <w:rsid w:val="00306A40"/>
    <w:rsid w:val="00306BA5"/>
    <w:rsid w:val="00306C7F"/>
    <w:rsid w:val="00306CA8"/>
    <w:rsid w:val="00307029"/>
    <w:rsid w:val="0030708F"/>
    <w:rsid w:val="00307338"/>
    <w:rsid w:val="00307BD5"/>
    <w:rsid w:val="00307C6E"/>
    <w:rsid w:val="00307F68"/>
    <w:rsid w:val="0031006A"/>
    <w:rsid w:val="00310172"/>
    <w:rsid w:val="00310386"/>
    <w:rsid w:val="00310938"/>
    <w:rsid w:val="00310A25"/>
    <w:rsid w:val="00310C40"/>
    <w:rsid w:val="00310CB9"/>
    <w:rsid w:val="00310D10"/>
    <w:rsid w:val="00310D77"/>
    <w:rsid w:val="00310DA1"/>
    <w:rsid w:val="00310FBA"/>
    <w:rsid w:val="003114F7"/>
    <w:rsid w:val="00311597"/>
    <w:rsid w:val="00311599"/>
    <w:rsid w:val="00311916"/>
    <w:rsid w:val="0031195E"/>
    <w:rsid w:val="00311C4C"/>
    <w:rsid w:val="00311D17"/>
    <w:rsid w:val="00311D3F"/>
    <w:rsid w:val="00311D63"/>
    <w:rsid w:val="0031206B"/>
    <w:rsid w:val="003120F8"/>
    <w:rsid w:val="003121F0"/>
    <w:rsid w:val="00312227"/>
    <w:rsid w:val="0031275E"/>
    <w:rsid w:val="00312C9C"/>
    <w:rsid w:val="00312E12"/>
    <w:rsid w:val="00313601"/>
    <w:rsid w:val="0031372D"/>
    <w:rsid w:val="0031372E"/>
    <w:rsid w:val="00313918"/>
    <w:rsid w:val="003140CE"/>
    <w:rsid w:val="00314735"/>
    <w:rsid w:val="00314B18"/>
    <w:rsid w:val="00314D8D"/>
    <w:rsid w:val="00314F11"/>
    <w:rsid w:val="00315114"/>
    <w:rsid w:val="003151D3"/>
    <w:rsid w:val="0031545C"/>
    <w:rsid w:val="00315BA4"/>
    <w:rsid w:val="00315CDD"/>
    <w:rsid w:val="00316151"/>
    <w:rsid w:val="00316333"/>
    <w:rsid w:val="003163DB"/>
    <w:rsid w:val="003164A3"/>
    <w:rsid w:val="003165CC"/>
    <w:rsid w:val="00316676"/>
    <w:rsid w:val="00316A55"/>
    <w:rsid w:val="00316A79"/>
    <w:rsid w:val="00316C71"/>
    <w:rsid w:val="00316F7D"/>
    <w:rsid w:val="00317404"/>
    <w:rsid w:val="00317437"/>
    <w:rsid w:val="003176AE"/>
    <w:rsid w:val="00317A41"/>
    <w:rsid w:val="00317D6E"/>
    <w:rsid w:val="00320674"/>
    <w:rsid w:val="0032070F"/>
    <w:rsid w:val="003208A1"/>
    <w:rsid w:val="00320A45"/>
    <w:rsid w:val="00320DE9"/>
    <w:rsid w:val="00321057"/>
    <w:rsid w:val="00321123"/>
    <w:rsid w:val="0032116C"/>
    <w:rsid w:val="00321426"/>
    <w:rsid w:val="0032149A"/>
    <w:rsid w:val="003218A9"/>
    <w:rsid w:val="00321A3B"/>
    <w:rsid w:val="00321A7A"/>
    <w:rsid w:val="00321AEE"/>
    <w:rsid w:val="003221A2"/>
    <w:rsid w:val="0032230F"/>
    <w:rsid w:val="00322381"/>
    <w:rsid w:val="0032254C"/>
    <w:rsid w:val="003225F6"/>
    <w:rsid w:val="0032268D"/>
    <w:rsid w:val="00322964"/>
    <w:rsid w:val="00322999"/>
    <w:rsid w:val="00322A46"/>
    <w:rsid w:val="00322F9C"/>
    <w:rsid w:val="0032312C"/>
    <w:rsid w:val="00323591"/>
    <w:rsid w:val="00323608"/>
    <w:rsid w:val="00323731"/>
    <w:rsid w:val="0032387D"/>
    <w:rsid w:val="00324164"/>
    <w:rsid w:val="003244EA"/>
    <w:rsid w:val="00324505"/>
    <w:rsid w:val="0032489D"/>
    <w:rsid w:val="003248EE"/>
    <w:rsid w:val="003249FC"/>
    <w:rsid w:val="00324A8C"/>
    <w:rsid w:val="00324DEC"/>
    <w:rsid w:val="0032501F"/>
    <w:rsid w:val="003251DE"/>
    <w:rsid w:val="003254DC"/>
    <w:rsid w:val="00325708"/>
    <w:rsid w:val="00325949"/>
    <w:rsid w:val="003259A9"/>
    <w:rsid w:val="00325A03"/>
    <w:rsid w:val="0032605D"/>
    <w:rsid w:val="003261DD"/>
    <w:rsid w:val="00326376"/>
    <w:rsid w:val="00326703"/>
    <w:rsid w:val="0032676C"/>
    <w:rsid w:val="003267DC"/>
    <w:rsid w:val="00326C38"/>
    <w:rsid w:val="00327313"/>
    <w:rsid w:val="0032735B"/>
    <w:rsid w:val="003274CA"/>
    <w:rsid w:val="00327683"/>
    <w:rsid w:val="00327732"/>
    <w:rsid w:val="00327737"/>
    <w:rsid w:val="00327740"/>
    <w:rsid w:val="003277E9"/>
    <w:rsid w:val="00327888"/>
    <w:rsid w:val="003279FA"/>
    <w:rsid w:val="00330020"/>
    <w:rsid w:val="00330183"/>
    <w:rsid w:val="00330222"/>
    <w:rsid w:val="00330235"/>
    <w:rsid w:val="003302D5"/>
    <w:rsid w:val="00330389"/>
    <w:rsid w:val="0033044B"/>
    <w:rsid w:val="0033075F"/>
    <w:rsid w:val="003308C3"/>
    <w:rsid w:val="00330983"/>
    <w:rsid w:val="00330AEF"/>
    <w:rsid w:val="00330C44"/>
    <w:rsid w:val="00330D54"/>
    <w:rsid w:val="0033104E"/>
    <w:rsid w:val="003311E3"/>
    <w:rsid w:val="0033135C"/>
    <w:rsid w:val="0033159B"/>
    <w:rsid w:val="00331729"/>
    <w:rsid w:val="0033173D"/>
    <w:rsid w:val="00331771"/>
    <w:rsid w:val="00331B4B"/>
    <w:rsid w:val="00331B63"/>
    <w:rsid w:val="00331BB5"/>
    <w:rsid w:val="00331D48"/>
    <w:rsid w:val="00331E46"/>
    <w:rsid w:val="00332268"/>
    <w:rsid w:val="00332817"/>
    <w:rsid w:val="00332922"/>
    <w:rsid w:val="00332A6E"/>
    <w:rsid w:val="00332B26"/>
    <w:rsid w:val="00332B80"/>
    <w:rsid w:val="00332DA8"/>
    <w:rsid w:val="00333135"/>
    <w:rsid w:val="003335B7"/>
    <w:rsid w:val="003336F3"/>
    <w:rsid w:val="00333773"/>
    <w:rsid w:val="00333B1D"/>
    <w:rsid w:val="00333D01"/>
    <w:rsid w:val="00333FB4"/>
    <w:rsid w:val="00334014"/>
    <w:rsid w:val="003343AE"/>
    <w:rsid w:val="00334921"/>
    <w:rsid w:val="00334D5C"/>
    <w:rsid w:val="0033503E"/>
    <w:rsid w:val="003350C5"/>
    <w:rsid w:val="003351F0"/>
    <w:rsid w:val="003353A3"/>
    <w:rsid w:val="003354A3"/>
    <w:rsid w:val="003354E9"/>
    <w:rsid w:val="00335626"/>
    <w:rsid w:val="003359FB"/>
    <w:rsid w:val="00335A27"/>
    <w:rsid w:val="00335BC5"/>
    <w:rsid w:val="00335BF2"/>
    <w:rsid w:val="00335CFD"/>
    <w:rsid w:val="00335D56"/>
    <w:rsid w:val="00335EA4"/>
    <w:rsid w:val="00335EC4"/>
    <w:rsid w:val="00335F3A"/>
    <w:rsid w:val="003364AB"/>
    <w:rsid w:val="003365C5"/>
    <w:rsid w:val="003366D1"/>
    <w:rsid w:val="00336777"/>
    <w:rsid w:val="00336C32"/>
    <w:rsid w:val="00337249"/>
    <w:rsid w:val="003375C7"/>
    <w:rsid w:val="003376FD"/>
    <w:rsid w:val="003377A2"/>
    <w:rsid w:val="00337984"/>
    <w:rsid w:val="00337EAF"/>
    <w:rsid w:val="00337F9C"/>
    <w:rsid w:val="00340017"/>
    <w:rsid w:val="003402F6"/>
    <w:rsid w:val="0034030B"/>
    <w:rsid w:val="00340494"/>
    <w:rsid w:val="0034055B"/>
    <w:rsid w:val="00340914"/>
    <w:rsid w:val="00340C67"/>
    <w:rsid w:val="00340D20"/>
    <w:rsid w:val="003411D9"/>
    <w:rsid w:val="003414D3"/>
    <w:rsid w:val="00341A13"/>
    <w:rsid w:val="00341A4D"/>
    <w:rsid w:val="00341C2E"/>
    <w:rsid w:val="00341D45"/>
    <w:rsid w:val="00341EAA"/>
    <w:rsid w:val="00341ED1"/>
    <w:rsid w:val="003420A1"/>
    <w:rsid w:val="003420D7"/>
    <w:rsid w:val="00342229"/>
    <w:rsid w:val="003422F2"/>
    <w:rsid w:val="00342616"/>
    <w:rsid w:val="0034275A"/>
    <w:rsid w:val="00342793"/>
    <w:rsid w:val="00342AA2"/>
    <w:rsid w:val="0034347C"/>
    <w:rsid w:val="003442E8"/>
    <w:rsid w:val="00344352"/>
    <w:rsid w:val="003444CB"/>
    <w:rsid w:val="003444E5"/>
    <w:rsid w:val="0034462A"/>
    <w:rsid w:val="003447E6"/>
    <w:rsid w:val="00344A37"/>
    <w:rsid w:val="00344A7C"/>
    <w:rsid w:val="00344B1D"/>
    <w:rsid w:val="00344C04"/>
    <w:rsid w:val="00344C19"/>
    <w:rsid w:val="00344D8B"/>
    <w:rsid w:val="00344E8E"/>
    <w:rsid w:val="00344EB4"/>
    <w:rsid w:val="003451FC"/>
    <w:rsid w:val="00345409"/>
    <w:rsid w:val="003454B8"/>
    <w:rsid w:val="003454D5"/>
    <w:rsid w:val="0034568E"/>
    <w:rsid w:val="003459E6"/>
    <w:rsid w:val="00345F73"/>
    <w:rsid w:val="003465F0"/>
    <w:rsid w:val="00346713"/>
    <w:rsid w:val="00346D22"/>
    <w:rsid w:val="00346F8A"/>
    <w:rsid w:val="00347299"/>
    <w:rsid w:val="003473E2"/>
    <w:rsid w:val="00347682"/>
    <w:rsid w:val="003479F6"/>
    <w:rsid w:val="00347B37"/>
    <w:rsid w:val="00347B4F"/>
    <w:rsid w:val="00347BF2"/>
    <w:rsid w:val="00347CEB"/>
    <w:rsid w:val="00347D96"/>
    <w:rsid w:val="00347DCD"/>
    <w:rsid w:val="00347E3E"/>
    <w:rsid w:val="00350173"/>
    <w:rsid w:val="00350679"/>
    <w:rsid w:val="00350741"/>
    <w:rsid w:val="003509E9"/>
    <w:rsid w:val="00350F0A"/>
    <w:rsid w:val="00350FBE"/>
    <w:rsid w:val="00351543"/>
    <w:rsid w:val="003515EA"/>
    <w:rsid w:val="003516EA"/>
    <w:rsid w:val="00351714"/>
    <w:rsid w:val="003517CC"/>
    <w:rsid w:val="00351AAF"/>
    <w:rsid w:val="00351C1E"/>
    <w:rsid w:val="00351ED4"/>
    <w:rsid w:val="00351F8F"/>
    <w:rsid w:val="003524EC"/>
    <w:rsid w:val="0035257C"/>
    <w:rsid w:val="00352B8C"/>
    <w:rsid w:val="00352D3E"/>
    <w:rsid w:val="00352D4E"/>
    <w:rsid w:val="00352E30"/>
    <w:rsid w:val="00353443"/>
    <w:rsid w:val="003534F3"/>
    <w:rsid w:val="00353625"/>
    <w:rsid w:val="00353787"/>
    <w:rsid w:val="00353F63"/>
    <w:rsid w:val="003540E3"/>
    <w:rsid w:val="0035443B"/>
    <w:rsid w:val="00354A7E"/>
    <w:rsid w:val="00354F31"/>
    <w:rsid w:val="00355199"/>
    <w:rsid w:val="0035539B"/>
    <w:rsid w:val="00355882"/>
    <w:rsid w:val="003558F8"/>
    <w:rsid w:val="0035599E"/>
    <w:rsid w:val="00355C24"/>
    <w:rsid w:val="00355CAF"/>
    <w:rsid w:val="003560BA"/>
    <w:rsid w:val="00356264"/>
    <w:rsid w:val="003562F5"/>
    <w:rsid w:val="0035639F"/>
    <w:rsid w:val="003568F9"/>
    <w:rsid w:val="00356949"/>
    <w:rsid w:val="00356ADB"/>
    <w:rsid w:val="00356B3C"/>
    <w:rsid w:val="00356C9E"/>
    <w:rsid w:val="00356CC1"/>
    <w:rsid w:val="00356D28"/>
    <w:rsid w:val="00356D7C"/>
    <w:rsid w:val="00356E4C"/>
    <w:rsid w:val="00356F50"/>
    <w:rsid w:val="00356FEF"/>
    <w:rsid w:val="0035704A"/>
    <w:rsid w:val="003570DE"/>
    <w:rsid w:val="00357137"/>
    <w:rsid w:val="00357157"/>
    <w:rsid w:val="00357261"/>
    <w:rsid w:val="00357568"/>
    <w:rsid w:val="00357635"/>
    <w:rsid w:val="0035764A"/>
    <w:rsid w:val="003579AB"/>
    <w:rsid w:val="00357CA2"/>
    <w:rsid w:val="00360064"/>
    <w:rsid w:val="003601AB"/>
    <w:rsid w:val="00360290"/>
    <w:rsid w:val="003608F8"/>
    <w:rsid w:val="00360A3F"/>
    <w:rsid w:val="00360FB4"/>
    <w:rsid w:val="00360FF9"/>
    <w:rsid w:val="00361043"/>
    <w:rsid w:val="003619C8"/>
    <w:rsid w:val="00361A4F"/>
    <w:rsid w:val="00361C12"/>
    <w:rsid w:val="00361D57"/>
    <w:rsid w:val="00361E55"/>
    <w:rsid w:val="00362261"/>
    <w:rsid w:val="00362291"/>
    <w:rsid w:val="003624EA"/>
    <w:rsid w:val="003625A8"/>
    <w:rsid w:val="0036261D"/>
    <w:rsid w:val="00362716"/>
    <w:rsid w:val="00362A27"/>
    <w:rsid w:val="00362A38"/>
    <w:rsid w:val="00362CA3"/>
    <w:rsid w:val="00362CFE"/>
    <w:rsid w:val="00362D5F"/>
    <w:rsid w:val="00363266"/>
    <w:rsid w:val="00363361"/>
    <w:rsid w:val="0036356A"/>
    <w:rsid w:val="0036374A"/>
    <w:rsid w:val="00363764"/>
    <w:rsid w:val="00363895"/>
    <w:rsid w:val="00363A01"/>
    <w:rsid w:val="00363A7F"/>
    <w:rsid w:val="00363B3E"/>
    <w:rsid w:val="00363D62"/>
    <w:rsid w:val="00363EB6"/>
    <w:rsid w:val="0036433F"/>
    <w:rsid w:val="003647B6"/>
    <w:rsid w:val="00364CA4"/>
    <w:rsid w:val="00364E3F"/>
    <w:rsid w:val="00364E50"/>
    <w:rsid w:val="00364E84"/>
    <w:rsid w:val="0036519F"/>
    <w:rsid w:val="00365200"/>
    <w:rsid w:val="00365698"/>
    <w:rsid w:val="003656B8"/>
    <w:rsid w:val="003657E4"/>
    <w:rsid w:val="00365832"/>
    <w:rsid w:val="00365921"/>
    <w:rsid w:val="003659F2"/>
    <w:rsid w:val="00365C88"/>
    <w:rsid w:val="00365CAD"/>
    <w:rsid w:val="00365CAE"/>
    <w:rsid w:val="00365DC2"/>
    <w:rsid w:val="00366312"/>
    <w:rsid w:val="0036656B"/>
    <w:rsid w:val="003665AD"/>
    <w:rsid w:val="00366601"/>
    <w:rsid w:val="003666C8"/>
    <w:rsid w:val="00366970"/>
    <w:rsid w:val="00366B37"/>
    <w:rsid w:val="00366C68"/>
    <w:rsid w:val="00366E6D"/>
    <w:rsid w:val="00366FA4"/>
    <w:rsid w:val="00366FFE"/>
    <w:rsid w:val="003670B0"/>
    <w:rsid w:val="00367126"/>
    <w:rsid w:val="0036725B"/>
    <w:rsid w:val="00367481"/>
    <w:rsid w:val="00367773"/>
    <w:rsid w:val="00367921"/>
    <w:rsid w:val="003679B0"/>
    <w:rsid w:val="00367A32"/>
    <w:rsid w:val="00367A8C"/>
    <w:rsid w:val="00367D86"/>
    <w:rsid w:val="00367F7B"/>
    <w:rsid w:val="0037021F"/>
    <w:rsid w:val="00370704"/>
    <w:rsid w:val="00370C65"/>
    <w:rsid w:val="00370CB8"/>
    <w:rsid w:val="00370E84"/>
    <w:rsid w:val="0037124C"/>
    <w:rsid w:val="003713A2"/>
    <w:rsid w:val="003713AF"/>
    <w:rsid w:val="003713CD"/>
    <w:rsid w:val="003717DD"/>
    <w:rsid w:val="00371855"/>
    <w:rsid w:val="00371CC7"/>
    <w:rsid w:val="00371FF9"/>
    <w:rsid w:val="00372530"/>
    <w:rsid w:val="003725F5"/>
    <w:rsid w:val="003727A6"/>
    <w:rsid w:val="00372BA3"/>
    <w:rsid w:val="00372DAE"/>
    <w:rsid w:val="00372DFF"/>
    <w:rsid w:val="00373423"/>
    <w:rsid w:val="0037358F"/>
    <w:rsid w:val="00373AA5"/>
    <w:rsid w:val="00373C28"/>
    <w:rsid w:val="00373D11"/>
    <w:rsid w:val="00373D70"/>
    <w:rsid w:val="00373D7C"/>
    <w:rsid w:val="00373DC0"/>
    <w:rsid w:val="0037413E"/>
    <w:rsid w:val="00374364"/>
    <w:rsid w:val="0037474E"/>
    <w:rsid w:val="00374AAC"/>
    <w:rsid w:val="00374BE5"/>
    <w:rsid w:val="00374D16"/>
    <w:rsid w:val="003750CA"/>
    <w:rsid w:val="003754D2"/>
    <w:rsid w:val="003754E2"/>
    <w:rsid w:val="0037557D"/>
    <w:rsid w:val="0037582E"/>
    <w:rsid w:val="003758A1"/>
    <w:rsid w:val="00375D12"/>
    <w:rsid w:val="00375E9E"/>
    <w:rsid w:val="00375FF0"/>
    <w:rsid w:val="003767F4"/>
    <w:rsid w:val="00376E60"/>
    <w:rsid w:val="00376F0F"/>
    <w:rsid w:val="00377077"/>
    <w:rsid w:val="0037712C"/>
    <w:rsid w:val="0037728D"/>
    <w:rsid w:val="0037787F"/>
    <w:rsid w:val="003779D8"/>
    <w:rsid w:val="00380338"/>
    <w:rsid w:val="0038066D"/>
    <w:rsid w:val="003807DB"/>
    <w:rsid w:val="003809F9"/>
    <w:rsid w:val="00380A04"/>
    <w:rsid w:val="00380A52"/>
    <w:rsid w:val="00380B4B"/>
    <w:rsid w:val="00380BEA"/>
    <w:rsid w:val="00380C75"/>
    <w:rsid w:val="00380FB5"/>
    <w:rsid w:val="0038103F"/>
    <w:rsid w:val="0038105C"/>
    <w:rsid w:val="003812F6"/>
    <w:rsid w:val="0038136A"/>
    <w:rsid w:val="0038154D"/>
    <w:rsid w:val="00381A21"/>
    <w:rsid w:val="00381E7C"/>
    <w:rsid w:val="00382423"/>
    <w:rsid w:val="003824F6"/>
    <w:rsid w:val="00382711"/>
    <w:rsid w:val="003829A8"/>
    <w:rsid w:val="00382A7F"/>
    <w:rsid w:val="00382D58"/>
    <w:rsid w:val="00382E97"/>
    <w:rsid w:val="00383002"/>
    <w:rsid w:val="0038343D"/>
    <w:rsid w:val="003835D2"/>
    <w:rsid w:val="00383C82"/>
    <w:rsid w:val="00384028"/>
    <w:rsid w:val="00384092"/>
    <w:rsid w:val="0038418C"/>
    <w:rsid w:val="00384497"/>
    <w:rsid w:val="003846D0"/>
    <w:rsid w:val="003846FB"/>
    <w:rsid w:val="00384852"/>
    <w:rsid w:val="0038486B"/>
    <w:rsid w:val="003850B8"/>
    <w:rsid w:val="00385199"/>
    <w:rsid w:val="0038591E"/>
    <w:rsid w:val="00385FC3"/>
    <w:rsid w:val="00386054"/>
    <w:rsid w:val="003860F6"/>
    <w:rsid w:val="0038634D"/>
    <w:rsid w:val="00386525"/>
    <w:rsid w:val="00386856"/>
    <w:rsid w:val="00386A22"/>
    <w:rsid w:val="00386B97"/>
    <w:rsid w:val="00386C7A"/>
    <w:rsid w:val="00386DF4"/>
    <w:rsid w:val="00387350"/>
    <w:rsid w:val="00387403"/>
    <w:rsid w:val="0038760E"/>
    <w:rsid w:val="00387714"/>
    <w:rsid w:val="003877AA"/>
    <w:rsid w:val="00387856"/>
    <w:rsid w:val="003879AF"/>
    <w:rsid w:val="00387ABD"/>
    <w:rsid w:val="00387C54"/>
    <w:rsid w:val="00387DBD"/>
    <w:rsid w:val="0039001E"/>
    <w:rsid w:val="00390033"/>
    <w:rsid w:val="00390626"/>
    <w:rsid w:val="00390BF7"/>
    <w:rsid w:val="00390CE9"/>
    <w:rsid w:val="00390DF2"/>
    <w:rsid w:val="0039126E"/>
    <w:rsid w:val="00391466"/>
    <w:rsid w:val="0039170B"/>
    <w:rsid w:val="0039174B"/>
    <w:rsid w:val="003917DF"/>
    <w:rsid w:val="00391A1B"/>
    <w:rsid w:val="00391FFD"/>
    <w:rsid w:val="00392062"/>
    <w:rsid w:val="003923BF"/>
    <w:rsid w:val="0039270E"/>
    <w:rsid w:val="003928AA"/>
    <w:rsid w:val="003929F5"/>
    <w:rsid w:val="00392E06"/>
    <w:rsid w:val="003930AF"/>
    <w:rsid w:val="0039326E"/>
    <w:rsid w:val="00393597"/>
    <w:rsid w:val="00393703"/>
    <w:rsid w:val="00393782"/>
    <w:rsid w:val="00393822"/>
    <w:rsid w:val="00393982"/>
    <w:rsid w:val="00393A89"/>
    <w:rsid w:val="00393BE7"/>
    <w:rsid w:val="00393F10"/>
    <w:rsid w:val="00393FFC"/>
    <w:rsid w:val="0039407B"/>
    <w:rsid w:val="003941C3"/>
    <w:rsid w:val="003942A4"/>
    <w:rsid w:val="00394379"/>
    <w:rsid w:val="003944A3"/>
    <w:rsid w:val="0039456F"/>
    <w:rsid w:val="0039461E"/>
    <w:rsid w:val="0039468E"/>
    <w:rsid w:val="00394A7B"/>
    <w:rsid w:val="00394C3D"/>
    <w:rsid w:val="00394F14"/>
    <w:rsid w:val="00394F37"/>
    <w:rsid w:val="00395101"/>
    <w:rsid w:val="00395183"/>
    <w:rsid w:val="003951E4"/>
    <w:rsid w:val="003952A7"/>
    <w:rsid w:val="00395416"/>
    <w:rsid w:val="00395615"/>
    <w:rsid w:val="003958CC"/>
    <w:rsid w:val="00395962"/>
    <w:rsid w:val="00395B91"/>
    <w:rsid w:val="003960A9"/>
    <w:rsid w:val="0039654A"/>
    <w:rsid w:val="00396652"/>
    <w:rsid w:val="00396809"/>
    <w:rsid w:val="00396839"/>
    <w:rsid w:val="00396B50"/>
    <w:rsid w:val="00396BD2"/>
    <w:rsid w:val="00396E92"/>
    <w:rsid w:val="003970FD"/>
    <w:rsid w:val="003975E4"/>
    <w:rsid w:val="00397775"/>
    <w:rsid w:val="00397904"/>
    <w:rsid w:val="003A0032"/>
    <w:rsid w:val="003A01CC"/>
    <w:rsid w:val="003A027B"/>
    <w:rsid w:val="003A02F9"/>
    <w:rsid w:val="003A03EF"/>
    <w:rsid w:val="003A061D"/>
    <w:rsid w:val="003A065B"/>
    <w:rsid w:val="003A07CD"/>
    <w:rsid w:val="003A08B2"/>
    <w:rsid w:val="003A1378"/>
    <w:rsid w:val="003A1402"/>
    <w:rsid w:val="003A1785"/>
    <w:rsid w:val="003A18AF"/>
    <w:rsid w:val="003A1A8D"/>
    <w:rsid w:val="003A1E7E"/>
    <w:rsid w:val="003A1ED9"/>
    <w:rsid w:val="003A25D9"/>
    <w:rsid w:val="003A2610"/>
    <w:rsid w:val="003A265A"/>
    <w:rsid w:val="003A2816"/>
    <w:rsid w:val="003A2B45"/>
    <w:rsid w:val="003A2E29"/>
    <w:rsid w:val="003A2E41"/>
    <w:rsid w:val="003A30CF"/>
    <w:rsid w:val="003A30E6"/>
    <w:rsid w:val="003A3B2F"/>
    <w:rsid w:val="003A3B52"/>
    <w:rsid w:val="003A3C64"/>
    <w:rsid w:val="003A3D01"/>
    <w:rsid w:val="003A3FF9"/>
    <w:rsid w:val="003A413A"/>
    <w:rsid w:val="003A4C1A"/>
    <w:rsid w:val="003A5036"/>
    <w:rsid w:val="003A5863"/>
    <w:rsid w:val="003A5C33"/>
    <w:rsid w:val="003A6121"/>
    <w:rsid w:val="003A6132"/>
    <w:rsid w:val="003A6237"/>
    <w:rsid w:val="003A664E"/>
    <w:rsid w:val="003A66FA"/>
    <w:rsid w:val="003A6899"/>
    <w:rsid w:val="003A69A3"/>
    <w:rsid w:val="003A6ACF"/>
    <w:rsid w:val="003A6C75"/>
    <w:rsid w:val="003A6FB1"/>
    <w:rsid w:val="003A713B"/>
    <w:rsid w:val="003A72ED"/>
    <w:rsid w:val="003A7398"/>
    <w:rsid w:val="003A7404"/>
    <w:rsid w:val="003A75AB"/>
    <w:rsid w:val="003A7618"/>
    <w:rsid w:val="003A79D0"/>
    <w:rsid w:val="003B00BD"/>
    <w:rsid w:val="003B0532"/>
    <w:rsid w:val="003B0847"/>
    <w:rsid w:val="003B09F7"/>
    <w:rsid w:val="003B0ACC"/>
    <w:rsid w:val="003B0E84"/>
    <w:rsid w:val="003B1151"/>
    <w:rsid w:val="003B123B"/>
    <w:rsid w:val="003B1294"/>
    <w:rsid w:val="003B12D2"/>
    <w:rsid w:val="003B1382"/>
    <w:rsid w:val="003B15BD"/>
    <w:rsid w:val="003B1975"/>
    <w:rsid w:val="003B1ADF"/>
    <w:rsid w:val="003B1C54"/>
    <w:rsid w:val="003B1F26"/>
    <w:rsid w:val="003B1F45"/>
    <w:rsid w:val="003B22D4"/>
    <w:rsid w:val="003B259B"/>
    <w:rsid w:val="003B26F9"/>
    <w:rsid w:val="003B2813"/>
    <w:rsid w:val="003B2A08"/>
    <w:rsid w:val="003B2CA0"/>
    <w:rsid w:val="003B2DA2"/>
    <w:rsid w:val="003B2EA7"/>
    <w:rsid w:val="003B2EC5"/>
    <w:rsid w:val="003B30E8"/>
    <w:rsid w:val="003B3208"/>
    <w:rsid w:val="003B34B4"/>
    <w:rsid w:val="003B3591"/>
    <w:rsid w:val="003B3603"/>
    <w:rsid w:val="003B3754"/>
    <w:rsid w:val="003B3833"/>
    <w:rsid w:val="003B3A0E"/>
    <w:rsid w:val="003B3A64"/>
    <w:rsid w:val="003B3B18"/>
    <w:rsid w:val="003B3B82"/>
    <w:rsid w:val="003B3E7A"/>
    <w:rsid w:val="003B3E99"/>
    <w:rsid w:val="003B4099"/>
    <w:rsid w:val="003B4300"/>
    <w:rsid w:val="003B433A"/>
    <w:rsid w:val="003B4419"/>
    <w:rsid w:val="003B459A"/>
    <w:rsid w:val="003B46EE"/>
    <w:rsid w:val="003B4706"/>
    <w:rsid w:val="003B5089"/>
    <w:rsid w:val="003B51BA"/>
    <w:rsid w:val="003B52A8"/>
    <w:rsid w:val="003B5435"/>
    <w:rsid w:val="003B59E0"/>
    <w:rsid w:val="003B5B41"/>
    <w:rsid w:val="003B5B85"/>
    <w:rsid w:val="003B5B8D"/>
    <w:rsid w:val="003B5DEA"/>
    <w:rsid w:val="003B5FA8"/>
    <w:rsid w:val="003B6100"/>
    <w:rsid w:val="003B63EB"/>
    <w:rsid w:val="003B6469"/>
    <w:rsid w:val="003B6864"/>
    <w:rsid w:val="003B694F"/>
    <w:rsid w:val="003B6BB4"/>
    <w:rsid w:val="003B6DB5"/>
    <w:rsid w:val="003B6F7C"/>
    <w:rsid w:val="003B70CC"/>
    <w:rsid w:val="003B7207"/>
    <w:rsid w:val="003B7473"/>
    <w:rsid w:val="003B7500"/>
    <w:rsid w:val="003B76E6"/>
    <w:rsid w:val="003B77BD"/>
    <w:rsid w:val="003B7944"/>
    <w:rsid w:val="003B7C5E"/>
    <w:rsid w:val="003B7D8D"/>
    <w:rsid w:val="003B7E34"/>
    <w:rsid w:val="003B7EEC"/>
    <w:rsid w:val="003C043C"/>
    <w:rsid w:val="003C0567"/>
    <w:rsid w:val="003C090B"/>
    <w:rsid w:val="003C0DEE"/>
    <w:rsid w:val="003C0F3B"/>
    <w:rsid w:val="003C100E"/>
    <w:rsid w:val="003C119B"/>
    <w:rsid w:val="003C1540"/>
    <w:rsid w:val="003C15B0"/>
    <w:rsid w:val="003C15F0"/>
    <w:rsid w:val="003C1748"/>
    <w:rsid w:val="003C18DE"/>
    <w:rsid w:val="003C1942"/>
    <w:rsid w:val="003C19D3"/>
    <w:rsid w:val="003C1A28"/>
    <w:rsid w:val="003C1AE7"/>
    <w:rsid w:val="003C1B22"/>
    <w:rsid w:val="003C1B92"/>
    <w:rsid w:val="003C1C54"/>
    <w:rsid w:val="003C1E03"/>
    <w:rsid w:val="003C2751"/>
    <w:rsid w:val="003C2832"/>
    <w:rsid w:val="003C286A"/>
    <w:rsid w:val="003C2A2D"/>
    <w:rsid w:val="003C2B6C"/>
    <w:rsid w:val="003C2BF2"/>
    <w:rsid w:val="003C2C1B"/>
    <w:rsid w:val="003C3072"/>
    <w:rsid w:val="003C30C8"/>
    <w:rsid w:val="003C350C"/>
    <w:rsid w:val="003C368C"/>
    <w:rsid w:val="003C39E1"/>
    <w:rsid w:val="003C3AE9"/>
    <w:rsid w:val="003C3B3B"/>
    <w:rsid w:val="003C3C04"/>
    <w:rsid w:val="003C3D2C"/>
    <w:rsid w:val="003C43D7"/>
    <w:rsid w:val="003C45A6"/>
    <w:rsid w:val="003C4862"/>
    <w:rsid w:val="003C4B5D"/>
    <w:rsid w:val="003C4DA6"/>
    <w:rsid w:val="003C4F0C"/>
    <w:rsid w:val="003C525D"/>
    <w:rsid w:val="003C596A"/>
    <w:rsid w:val="003C5B3A"/>
    <w:rsid w:val="003C5BC3"/>
    <w:rsid w:val="003C5D34"/>
    <w:rsid w:val="003C5E70"/>
    <w:rsid w:val="003C61C4"/>
    <w:rsid w:val="003C63FC"/>
    <w:rsid w:val="003C6511"/>
    <w:rsid w:val="003C6568"/>
    <w:rsid w:val="003C680C"/>
    <w:rsid w:val="003C690C"/>
    <w:rsid w:val="003C6A42"/>
    <w:rsid w:val="003C6ABB"/>
    <w:rsid w:val="003C709A"/>
    <w:rsid w:val="003C7138"/>
    <w:rsid w:val="003C72F9"/>
    <w:rsid w:val="003C7733"/>
    <w:rsid w:val="003C77E2"/>
    <w:rsid w:val="003C7906"/>
    <w:rsid w:val="003C79B0"/>
    <w:rsid w:val="003C7CC3"/>
    <w:rsid w:val="003C7E5C"/>
    <w:rsid w:val="003C7E9B"/>
    <w:rsid w:val="003D062B"/>
    <w:rsid w:val="003D079E"/>
    <w:rsid w:val="003D0A63"/>
    <w:rsid w:val="003D0B24"/>
    <w:rsid w:val="003D0DB2"/>
    <w:rsid w:val="003D0E3A"/>
    <w:rsid w:val="003D0F5E"/>
    <w:rsid w:val="003D0F64"/>
    <w:rsid w:val="003D1001"/>
    <w:rsid w:val="003D128F"/>
    <w:rsid w:val="003D169F"/>
    <w:rsid w:val="003D180B"/>
    <w:rsid w:val="003D2493"/>
    <w:rsid w:val="003D255E"/>
    <w:rsid w:val="003D25C9"/>
    <w:rsid w:val="003D2BB6"/>
    <w:rsid w:val="003D2BDE"/>
    <w:rsid w:val="003D300C"/>
    <w:rsid w:val="003D3179"/>
    <w:rsid w:val="003D323C"/>
    <w:rsid w:val="003D3512"/>
    <w:rsid w:val="003D368C"/>
    <w:rsid w:val="003D36C1"/>
    <w:rsid w:val="003D37A3"/>
    <w:rsid w:val="003D37FE"/>
    <w:rsid w:val="003D3892"/>
    <w:rsid w:val="003D3A88"/>
    <w:rsid w:val="003D3B96"/>
    <w:rsid w:val="003D3EB5"/>
    <w:rsid w:val="003D4089"/>
    <w:rsid w:val="003D41CE"/>
    <w:rsid w:val="003D4295"/>
    <w:rsid w:val="003D43B8"/>
    <w:rsid w:val="003D475B"/>
    <w:rsid w:val="003D4AAC"/>
    <w:rsid w:val="003D4BF8"/>
    <w:rsid w:val="003D4DEB"/>
    <w:rsid w:val="003D50FC"/>
    <w:rsid w:val="003D5102"/>
    <w:rsid w:val="003D51CB"/>
    <w:rsid w:val="003D563D"/>
    <w:rsid w:val="003D581D"/>
    <w:rsid w:val="003D59D0"/>
    <w:rsid w:val="003D5B3B"/>
    <w:rsid w:val="003D5B3D"/>
    <w:rsid w:val="003D5B91"/>
    <w:rsid w:val="003D5F87"/>
    <w:rsid w:val="003D64F0"/>
    <w:rsid w:val="003D6879"/>
    <w:rsid w:val="003D68B9"/>
    <w:rsid w:val="003D6A09"/>
    <w:rsid w:val="003D6B9D"/>
    <w:rsid w:val="003D6CE3"/>
    <w:rsid w:val="003D6D72"/>
    <w:rsid w:val="003D6EB0"/>
    <w:rsid w:val="003D70EC"/>
    <w:rsid w:val="003D72A7"/>
    <w:rsid w:val="003D779B"/>
    <w:rsid w:val="003D7887"/>
    <w:rsid w:val="003D7998"/>
    <w:rsid w:val="003D7A14"/>
    <w:rsid w:val="003D7D2B"/>
    <w:rsid w:val="003E011F"/>
    <w:rsid w:val="003E0146"/>
    <w:rsid w:val="003E014B"/>
    <w:rsid w:val="003E0205"/>
    <w:rsid w:val="003E0440"/>
    <w:rsid w:val="003E050A"/>
    <w:rsid w:val="003E0959"/>
    <w:rsid w:val="003E09A2"/>
    <w:rsid w:val="003E0AE6"/>
    <w:rsid w:val="003E0AEB"/>
    <w:rsid w:val="003E0C92"/>
    <w:rsid w:val="003E0DBC"/>
    <w:rsid w:val="003E1019"/>
    <w:rsid w:val="003E13C7"/>
    <w:rsid w:val="003E142E"/>
    <w:rsid w:val="003E1CBA"/>
    <w:rsid w:val="003E1D9D"/>
    <w:rsid w:val="003E1E1C"/>
    <w:rsid w:val="003E2221"/>
    <w:rsid w:val="003E22BC"/>
    <w:rsid w:val="003E2405"/>
    <w:rsid w:val="003E252E"/>
    <w:rsid w:val="003E2928"/>
    <w:rsid w:val="003E2948"/>
    <w:rsid w:val="003E2FAF"/>
    <w:rsid w:val="003E2FB1"/>
    <w:rsid w:val="003E330D"/>
    <w:rsid w:val="003E38DE"/>
    <w:rsid w:val="003E398B"/>
    <w:rsid w:val="003E3A98"/>
    <w:rsid w:val="003E3FF1"/>
    <w:rsid w:val="003E425A"/>
    <w:rsid w:val="003E4284"/>
    <w:rsid w:val="003E4374"/>
    <w:rsid w:val="003E4760"/>
    <w:rsid w:val="003E47E4"/>
    <w:rsid w:val="003E483F"/>
    <w:rsid w:val="003E49B9"/>
    <w:rsid w:val="003E4EBB"/>
    <w:rsid w:val="003E502F"/>
    <w:rsid w:val="003E518D"/>
    <w:rsid w:val="003E51D1"/>
    <w:rsid w:val="003E543F"/>
    <w:rsid w:val="003E5549"/>
    <w:rsid w:val="003E55DA"/>
    <w:rsid w:val="003E5669"/>
    <w:rsid w:val="003E5A8D"/>
    <w:rsid w:val="003E5AC8"/>
    <w:rsid w:val="003E5EF0"/>
    <w:rsid w:val="003E6329"/>
    <w:rsid w:val="003E63F6"/>
    <w:rsid w:val="003E65BC"/>
    <w:rsid w:val="003E6AB4"/>
    <w:rsid w:val="003E6B88"/>
    <w:rsid w:val="003E6C9B"/>
    <w:rsid w:val="003E6C9F"/>
    <w:rsid w:val="003E71B7"/>
    <w:rsid w:val="003E744C"/>
    <w:rsid w:val="003E7514"/>
    <w:rsid w:val="003E7CFE"/>
    <w:rsid w:val="003E7E69"/>
    <w:rsid w:val="003E7FFB"/>
    <w:rsid w:val="003F020D"/>
    <w:rsid w:val="003F05F9"/>
    <w:rsid w:val="003F0ABF"/>
    <w:rsid w:val="003F0AE7"/>
    <w:rsid w:val="003F0B15"/>
    <w:rsid w:val="003F0BB6"/>
    <w:rsid w:val="003F0CD8"/>
    <w:rsid w:val="003F0D41"/>
    <w:rsid w:val="003F1031"/>
    <w:rsid w:val="003F1518"/>
    <w:rsid w:val="003F157A"/>
    <w:rsid w:val="003F184F"/>
    <w:rsid w:val="003F1E12"/>
    <w:rsid w:val="003F2247"/>
    <w:rsid w:val="003F2444"/>
    <w:rsid w:val="003F248C"/>
    <w:rsid w:val="003F2546"/>
    <w:rsid w:val="003F25CC"/>
    <w:rsid w:val="003F25E6"/>
    <w:rsid w:val="003F27B1"/>
    <w:rsid w:val="003F2B9C"/>
    <w:rsid w:val="003F2D0A"/>
    <w:rsid w:val="003F3207"/>
    <w:rsid w:val="003F3220"/>
    <w:rsid w:val="003F332F"/>
    <w:rsid w:val="003F3795"/>
    <w:rsid w:val="003F3C5F"/>
    <w:rsid w:val="003F3CFB"/>
    <w:rsid w:val="003F4B67"/>
    <w:rsid w:val="003F4FCD"/>
    <w:rsid w:val="003F53AE"/>
    <w:rsid w:val="003F5875"/>
    <w:rsid w:val="003F5B9F"/>
    <w:rsid w:val="003F5C95"/>
    <w:rsid w:val="003F5CF5"/>
    <w:rsid w:val="003F64E2"/>
    <w:rsid w:val="003F67F6"/>
    <w:rsid w:val="003F6A2F"/>
    <w:rsid w:val="003F6AE4"/>
    <w:rsid w:val="003F6D59"/>
    <w:rsid w:val="003F71D5"/>
    <w:rsid w:val="003F73C2"/>
    <w:rsid w:val="003F73C8"/>
    <w:rsid w:val="003F74A7"/>
    <w:rsid w:val="003F7703"/>
    <w:rsid w:val="003F7773"/>
    <w:rsid w:val="003F793D"/>
    <w:rsid w:val="003F7CA4"/>
    <w:rsid w:val="003F7E46"/>
    <w:rsid w:val="003F7EAC"/>
    <w:rsid w:val="00400143"/>
    <w:rsid w:val="00400273"/>
    <w:rsid w:val="0040063B"/>
    <w:rsid w:val="00400775"/>
    <w:rsid w:val="004008D0"/>
    <w:rsid w:val="00400A7F"/>
    <w:rsid w:val="00400BE3"/>
    <w:rsid w:val="00400C05"/>
    <w:rsid w:val="00400C2D"/>
    <w:rsid w:val="00400C8D"/>
    <w:rsid w:val="00400E37"/>
    <w:rsid w:val="0040117C"/>
    <w:rsid w:val="004011A2"/>
    <w:rsid w:val="0040140D"/>
    <w:rsid w:val="00401452"/>
    <w:rsid w:val="00401506"/>
    <w:rsid w:val="0040156B"/>
    <w:rsid w:val="00401607"/>
    <w:rsid w:val="00401800"/>
    <w:rsid w:val="0040193B"/>
    <w:rsid w:val="00401961"/>
    <w:rsid w:val="00401976"/>
    <w:rsid w:val="00401A99"/>
    <w:rsid w:val="00401BD0"/>
    <w:rsid w:val="00401D5E"/>
    <w:rsid w:val="00401E7A"/>
    <w:rsid w:val="00401E7B"/>
    <w:rsid w:val="00402195"/>
    <w:rsid w:val="00402481"/>
    <w:rsid w:val="0040251F"/>
    <w:rsid w:val="00402637"/>
    <w:rsid w:val="00402910"/>
    <w:rsid w:val="0040305B"/>
    <w:rsid w:val="00403377"/>
    <w:rsid w:val="004034B7"/>
    <w:rsid w:val="00403930"/>
    <w:rsid w:val="004039DB"/>
    <w:rsid w:val="004039F4"/>
    <w:rsid w:val="00403AC2"/>
    <w:rsid w:val="00404089"/>
    <w:rsid w:val="00404106"/>
    <w:rsid w:val="0040429B"/>
    <w:rsid w:val="004042BB"/>
    <w:rsid w:val="004042E9"/>
    <w:rsid w:val="00404510"/>
    <w:rsid w:val="004045D0"/>
    <w:rsid w:val="0040491E"/>
    <w:rsid w:val="00404B78"/>
    <w:rsid w:val="00404CAF"/>
    <w:rsid w:val="0040519E"/>
    <w:rsid w:val="00405236"/>
    <w:rsid w:val="00405433"/>
    <w:rsid w:val="004054CE"/>
    <w:rsid w:val="0040558F"/>
    <w:rsid w:val="004055E8"/>
    <w:rsid w:val="00405870"/>
    <w:rsid w:val="00405A11"/>
    <w:rsid w:val="00405B06"/>
    <w:rsid w:val="00405BAD"/>
    <w:rsid w:val="00405F76"/>
    <w:rsid w:val="00406036"/>
    <w:rsid w:val="00406278"/>
    <w:rsid w:val="0040661D"/>
    <w:rsid w:val="004068A7"/>
    <w:rsid w:val="00406A4C"/>
    <w:rsid w:val="00406A82"/>
    <w:rsid w:val="00406A88"/>
    <w:rsid w:val="00406C50"/>
    <w:rsid w:val="00406EBB"/>
    <w:rsid w:val="00406F27"/>
    <w:rsid w:val="004071DE"/>
    <w:rsid w:val="004075A4"/>
    <w:rsid w:val="0040767D"/>
    <w:rsid w:val="004077BC"/>
    <w:rsid w:val="00407EA7"/>
    <w:rsid w:val="00407ED2"/>
    <w:rsid w:val="00410157"/>
    <w:rsid w:val="0041031E"/>
    <w:rsid w:val="00410492"/>
    <w:rsid w:val="004104AD"/>
    <w:rsid w:val="004105F2"/>
    <w:rsid w:val="004106A2"/>
    <w:rsid w:val="00410710"/>
    <w:rsid w:val="00410771"/>
    <w:rsid w:val="004108AE"/>
    <w:rsid w:val="004108F0"/>
    <w:rsid w:val="004108FB"/>
    <w:rsid w:val="004109E3"/>
    <w:rsid w:val="00410D7C"/>
    <w:rsid w:val="00411012"/>
    <w:rsid w:val="00411170"/>
    <w:rsid w:val="00411574"/>
    <w:rsid w:val="004118A3"/>
    <w:rsid w:val="004119C7"/>
    <w:rsid w:val="00411A04"/>
    <w:rsid w:val="00411B32"/>
    <w:rsid w:val="00411DE8"/>
    <w:rsid w:val="00411F24"/>
    <w:rsid w:val="004120B6"/>
    <w:rsid w:val="00412281"/>
    <w:rsid w:val="00412365"/>
    <w:rsid w:val="00412673"/>
    <w:rsid w:val="00412791"/>
    <w:rsid w:val="004128F0"/>
    <w:rsid w:val="00412A32"/>
    <w:rsid w:val="00412C42"/>
    <w:rsid w:val="00412D8C"/>
    <w:rsid w:val="00412E6E"/>
    <w:rsid w:val="00412FBB"/>
    <w:rsid w:val="0041315D"/>
    <w:rsid w:val="0041359D"/>
    <w:rsid w:val="0041371C"/>
    <w:rsid w:val="004137F5"/>
    <w:rsid w:val="004141E0"/>
    <w:rsid w:val="004142DC"/>
    <w:rsid w:val="004142E7"/>
    <w:rsid w:val="0041447A"/>
    <w:rsid w:val="00414834"/>
    <w:rsid w:val="0041487B"/>
    <w:rsid w:val="0041489E"/>
    <w:rsid w:val="00414C88"/>
    <w:rsid w:val="00414CA2"/>
    <w:rsid w:val="00414D04"/>
    <w:rsid w:val="00414D1D"/>
    <w:rsid w:val="00414DB4"/>
    <w:rsid w:val="00414F6E"/>
    <w:rsid w:val="0041512B"/>
    <w:rsid w:val="0041538C"/>
    <w:rsid w:val="00415461"/>
    <w:rsid w:val="00415700"/>
    <w:rsid w:val="00415866"/>
    <w:rsid w:val="004159B0"/>
    <w:rsid w:val="00415A54"/>
    <w:rsid w:val="00415A56"/>
    <w:rsid w:val="00415ABF"/>
    <w:rsid w:val="00415C92"/>
    <w:rsid w:val="00415D15"/>
    <w:rsid w:val="00415D8A"/>
    <w:rsid w:val="00415E7D"/>
    <w:rsid w:val="00415E9F"/>
    <w:rsid w:val="00416660"/>
    <w:rsid w:val="00416809"/>
    <w:rsid w:val="00416829"/>
    <w:rsid w:val="004168D8"/>
    <w:rsid w:val="00416B88"/>
    <w:rsid w:val="00416BE7"/>
    <w:rsid w:val="0041728B"/>
    <w:rsid w:val="00417391"/>
    <w:rsid w:val="00417397"/>
    <w:rsid w:val="00417543"/>
    <w:rsid w:val="004175E8"/>
    <w:rsid w:val="00417670"/>
    <w:rsid w:val="00417881"/>
    <w:rsid w:val="0041FF37"/>
    <w:rsid w:val="004203D3"/>
    <w:rsid w:val="00420791"/>
    <w:rsid w:val="00420832"/>
    <w:rsid w:val="00420B02"/>
    <w:rsid w:val="00420F08"/>
    <w:rsid w:val="00420FD1"/>
    <w:rsid w:val="004212A0"/>
    <w:rsid w:val="0042130D"/>
    <w:rsid w:val="0042157D"/>
    <w:rsid w:val="00421A24"/>
    <w:rsid w:val="0042246E"/>
    <w:rsid w:val="004225E7"/>
    <w:rsid w:val="004229CD"/>
    <w:rsid w:val="00422A34"/>
    <w:rsid w:val="00422C6D"/>
    <w:rsid w:val="00422C95"/>
    <w:rsid w:val="0042357B"/>
    <w:rsid w:val="004235FE"/>
    <w:rsid w:val="0042388D"/>
    <w:rsid w:val="00423B89"/>
    <w:rsid w:val="00423E16"/>
    <w:rsid w:val="0042400C"/>
    <w:rsid w:val="004241C9"/>
    <w:rsid w:val="004243A1"/>
    <w:rsid w:val="004243C2"/>
    <w:rsid w:val="0042443E"/>
    <w:rsid w:val="00424D1D"/>
    <w:rsid w:val="00424EE2"/>
    <w:rsid w:val="004250AF"/>
    <w:rsid w:val="004250BF"/>
    <w:rsid w:val="0042519C"/>
    <w:rsid w:val="004257C8"/>
    <w:rsid w:val="0042588D"/>
    <w:rsid w:val="00425ADF"/>
    <w:rsid w:val="004261B3"/>
    <w:rsid w:val="004263EB"/>
    <w:rsid w:val="00426435"/>
    <w:rsid w:val="00426480"/>
    <w:rsid w:val="004264CA"/>
    <w:rsid w:val="004265B6"/>
    <w:rsid w:val="00426AAF"/>
    <w:rsid w:val="00426FDE"/>
    <w:rsid w:val="004272DD"/>
    <w:rsid w:val="004273C8"/>
    <w:rsid w:val="0042769D"/>
    <w:rsid w:val="0042794C"/>
    <w:rsid w:val="00427C4D"/>
    <w:rsid w:val="00427EF8"/>
    <w:rsid w:val="00427FAB"/>
    <w:rsid w:val="004303EF"/>
    <w:rsid w:val="00430808"/>
    <w:rsid w:val="004309BE"/>
    <w:rsid w:val="00430CC2"/>
    <w:rsid w:val="00430D53"/>
    <w:rsid w:val="00430DF6"/>
    <w:rsid w:val="00431187"/>
    <w:rsid w:val="0043166A"/>
    <w:rsid w:val="00431852"/>
    <w:rsid w:val="00431855"/>
    <w:rsid w:val="00431D0E"/>
    <w:rsid w:val="00431DC8"/>
    <w:rsid w:val="00431F3C"/>
    <w:rsid w:val="00432711"/>
    <w:rsid w:val="00432AE5"/>
    <w:rsid w:val="00432B4B"/>
    <w:rsid w:val="00432CE2"/>
    <w:rsid w:val="00432E41"/>
    <w:rsid w:val="00432ED7"/>
    <w:rsid w:val="00432F8F"/>
    <w:rsid w:val="0043386E"/>
    <w:rsid w:val="004338F9"/>
    <w:rsid w:val="00433B64"/>
    <w:rsid w:val="00433C4C"/>
    <w:rsid w:val="00433E58"/>
    <w:rsid w:val="00433F0F"/>
    <w:rsid w:val="00434103"/>
    <w:rsid w:val="00434859"/>
    <w:rsid w:val="00434E72"/>
    <w:rsid w:val="00434E93"/>
    <w:rsid w:val="00434F04"/>
    <w:rsid w:val="0043525C"/>
    <w:rsid w:val="004355FC"/>
    <w:rsid w:val="004356A6"/>
    <w:rsid w:val="004357AA"/>
    <w:rsid w:val="004357D6"/>
    <w:rsid w:val="00435978"/>
    <w:rsid w:val="00435A19"/>
    <w:rsid w:val="00435C76"/>
    <w:rsid w:val="00435F41"/>
    <w:rsid w:val="0043624D"/>
    <w:rsid w:val="004362C5"/>
    <w:rsid w:val="00436545"/>
    <w:rsid w:val="0043656C"/>
    <w:rsid w:val="004365A8"/>
    <w:rsid w:val="0043674B"/>
    <w:rsid w:val="00436AD1"/>
    <w:rsid w:val="00436AEA"/>
    <w:rsid w:val="00436AFF"/>
    <w:rsid w:val="00436C7C"/>
    <w:rsid w:val="00436D6F"/>
    <w:rsid w:val="00436F84"/>
    <w:rsid w:val="004374C8"/>
    <w:rsid w:val="00437E60"/>
    <w:rsid w:val="00440234"/>
    <w:rsid w:val="0044030D"/>
    <w:rsid w:val="004403B1"/>
    <w:rsid w:val="004404A3"/>
    <w:rsid w:val="004405FF"/>
    <w:rsid w:val="00440642"/>
    <w:rsid w:val="00440B61"/>
    <w:rsid w:val="00440C34"/>
    <w:rsid w:val="00440D28"/>
    <w:rsid w:val="00440E19"/>
    <w:rsid w:val="00440FA0"/>
    <w:rsid w:val="00441756"/>
    <w:rsid w:val="0044175C"/>
    <w:rsid w:val="00441895"/>
    <w:rsid w:val="00441B08"/>
    <w:rsid w:val="0044255A"/>
    <w:rsid w:val="004428A0"/>
    <w:rsid w:val="00442910"/>
    <w:rsid w:val="00442BC0"/>
    <w:rsid w:val="00442CE7"/>
    <w:rsid w:val="00442E0E"/>
    <w:rsid w:val="00443138"/>
    <w:rsid w:val="0044361E"/>
    <w:rsid w:val="004438E3"/>
    <w:rsid w:val="0044396A"/>
    <w:rsid w:val="00443AB0"/>
    <w:rsid w:val="00443F07"/>
    <w:rsid w:val="00443F0A"/>
    <w:rsid w:val="00443FF9"/>
    <w:rsid w:val="0044420D"/>
    <w:rsid w:val="004445D6"/>
    <w:rsid w:val="004446D9"/>
    <w:rsid w:val="00444958"/>
    <w:rsid w:val="00444A46"/>
    <w:rsid w:val="00444B1D"/>
    <w:rsid w:val="00444D0D"/>
    <w:rsid w:val="00444F29"/>
    <w:rsid w:val="00445074"/>
    <w:rsid w:val="0044523F"/>
    <w:rsid w:val="00445696"/>
    <w:rsid w:val="004457B3"/>
    <w:rsid w:val="004457EE"/>
    <w:rsid w:val="004458FE"/>
    <w:rsid w:val="004459E0"/>
    <w:rsid w:val="004459E7"/>
    <w:rsid w:val="00445ACA"/>
    <w:rsid w:val="00445E43"/>
    <w:rsid w:val="00445E58"/>
    <w:rsid w:val="00445F1B"/>
    <w:rsid w:val="0044612D"/>
    <w:rsid w:val="004464D0"/>
    <w:rsid w:val="004466FF"/>
    <w:rsid w:val="00446A74"/>
    <w:rsid w:val="00446C0C"/>
    <w:rsid w:val="00446EE6"/>
    <w:rsid w:val="0044719F"/>
    <w:rsid w:val="0044732F"/>
    <w:rsid w:val="00447481"/>
    <w:rsid w:val="004474B7"/>
    <w:rsid w:val="00447544"/>
    <w:rsid w:val="0044764A"/>
    <w:rsid w:val="004478EB"/>
    <w:rsid w:val="00447A84"/>
    <w:rsid w:val="00447AF9"/>
    <w:rsid w:val="00447D41"/>
    <w:rsid w:val="00447E03"/>
    <w:rsid w:val="00450581"/>
    <w:rsid w:val="004509F7"/>
    <w:rsid w:val="00450C5F"/>
    <w:rsid w:val="00450D7E"/>
    <w:rsid w:val="004510AE"/>
    <w:rsid w:val="00451305"/>
    <w:rsid w:val="004514A8"/>
    <w:rsid w:val="004514FE"/>
    <w:rsid w:val="004515A1"/>
    <w:rsid w:val="00451B45"/>
    <w:rsid w:val="00452551"/>
    <w:rsid w:val="00452574"/>
    <w:rsid w:val="0045268A"/>
    <w:rsid w:val="004526D7"/>
    <w:rsid w:val="004527C2"/>
    <w:rsid w:val="00452D3F"/>
    <w:rsid w:val="00452DE1"/>
    <w:rsid w:val="0045349F"/>
    <w:rsid w:val="00453659"/>
    <w:rsid w:val="00453783"/>
    <w:rsid w:val="00453837"/>
    <w:rsid w:val="00453A9C"/>
    <w:rsid w:val="00453E7A"/>
    <w:rsid w:val="00453E81"/>
    <w:rsid w:val="00453F31"/>
    <w:rsid w:val="004540EB"/>
    <w:rsid w:val="004543FD"/>
    <w:rsid w:val="0045466F"/>
    <w:rsid w:val="00454734"/>
    <w:rsid w:val="00454762"/>
    <w:rsid w:val="004548FF"/>
    <w:rsid w:val="00454915"/>
    <w:rsid w:val="0045494B"/>
    <w:rsid w:val="00454A52"/>
    <w:rsid w:val="00454A86"/>
    <w:rsid w:val="00454B73"/>
    <w:rsid w:val="00454B84"/>
    <w:rsid w:val="00454C20"/>
    <w:rsid w:val="00454CB6"/>
    <w:rsid w:val="00454DB9"/>
    <w:rsid w:val="00454EE3"/>
    <w:rsid w:val="00455066"/>
    <w:rsid w:val="00455C3F"/>
    <w:rsid w:val="00455C8A"/>
    <w:rsid w:val="00455DDC"/>
    <w:rsid w:val="004562B1"/>
    <w:rsid w:val="00456510"/>
    <w:rsid w:val="00456613"/>
    <w:rsid w:val="0045688D"/>
    <w:rsid w:val="00456D2E"/>
    <w:rsid w:val="00456E31"/>
    <w:rsid w:val="00456E7A"/>
    <w:rsid w:val="00456F1E"/>
    <w:rsid w:val="00456FB0"/>
    <w:rsid w:val="004570CC"/>
    <w:rsid w:val="00457284"/>
    <w:rsid w:val="00457371"/>
    <w:rsid w:val="00457CCD"/>
    <w:rsid w:val="00457E14"/>
    <w:rsid w:val="00457E56"/>
    <w:rsid w:val="00457F34"/>
    <w:rsid w:val="0046061E"/>
    <w:rsid w:val="00460992"/>
    <w:rsid w:val="00460B5D"/>
    <w:rsid w:val="00461357"/>
    <w:rsid w:val="004613AB"/>
    <w:rsid w:val="0046163D"/>
    <w:rsid w:val="00461674"/>
    <w:rsid w:val="00461707"/>
    <w:rsid w:val="00461779"/>
    <w:rsid w:val="00461964"/>
    <w:rsid w:val="004620CF"/>
    <w:rsid w:val="004620EE"/>
    <w:rsid w:val="0046221D"/>
    <w:rsid w:val="00462310"/>
    <w:rsid w:val="00462490"/>
    <w:rsid w:val="0046277A"/>
    <w:rsid w:val="004629DF"/>
    <w:rsid w:val="00462C4F"/>
    <w:rsid w:val="00462D51"/>
    <w:rsid w:val="00462DF9"/>
    <w:rsid w:val="004636D2"/>
    <w:rsid w:val="004639F5"/>
    <w:rsid w:val="00463A43"/>
    <w:rsid w:val="00463A7F"/>
    <w:rsid w:val="00463D59"/>
    <w:rsid w:val="00463DAE"/>
    <w:rsid w:val="00463FAC"/>
    <w:rsid w:val="004640E0"/>
    <w:rsid w:val="00464128"/>
    <w:rsid w:val="00464386"/>
    <w:rsid w:val="00464550"/>
    <w:rsid w:val="00464607"/>
    <w:rsid w:val="00464618"/>
    <w:rsid w:val="00464B41"/>
    <w:rsid w:val="00464C25"/>
    <w:rsid w:val="004650F6"/>
    <w:rsid w:val="004651B1"/>
    <w:rsid w:val="004656A3"/>
    <w:rsid w:val="00465856"/>
    <w:rsid w:val="0046595A"/>
    <w:rsid w:val="00465B4D"/>
    <w:rsid w:val="00465F47"/>
    <w:rsid w:val="0046618C"/>
    <w:rsid w:val="00466223"/>
    <w:rsid w:val="00466318"/>
    <w:rsid w:val="004664BC"/>
    <w:rsid w:val="00466BF0"/>
    <w:rsid w:val="00466D31"/>
    <w:rsid w:val="004672EE"/>
    <w:rsid w:val="004675DC"/>
    <w:rsid w:val="004678C6"/>
    <w:rsid w:val="00467A6D"/>
    <w:rsid w:val="00467D2C"/>
    <w:rsid w:val="00467D51"/>
    <w:rsid w:val="00467FE9"/>
    <w:rsid w:val="00470019"/>
    <w:rsid w:val="004700D2"/>
    <w:rsid w:val="004701BD"/>
    <w:rsid w:val="00470260"/>
    <w:rsid w:val="004704B5"/>
    <w:rsid w:val="004705D5"/>
    <w:rsid w:val="0047077D"/>
    <w:rsid w:val="004708FB"/>
    <w:rsid w:val="00470B6C"/>
    <w:rsid w:val="00470CBF"/>
    <w:rsid w:val="00470ED6"/>
    <w:rsid w:val="00470FC8"/>
    <w:rsid w:val="004715ED"/>
    <w:rsid w:val="0047167C"/>
    <w:rsid w:val="0047168B"/>
    <w:rsid w:val="0047179A"/>
    <w:rsid w:val="0047199D"/>
    <w:rsid w:val="00471D6F"/>
    <w:rsid w:val="00471F90"/>
    <w:rsid w:val="0047207E"/>
    <w:rsid w:val="00472098"/>
    <w:rsid w:val="004721A2"/>
    <w:rsid w:val="00472624"/>
    <w:rsid w:val="004729D7"/>
    <w:rsid w:val="00472AD3"/>
    <w:rsid w:val="00472D27"/>
    <w:rsid w:val="00472E94"/>
    <w:rsid w:val="00472F4A"/>
    <w:rsid w:val="00473421"/>
    <w:rsid w:val="00473AE7"/>
    <w:rsid w:val="00473C12"/>
    <w:rsid w:val="00473D6B"/>
    <w:rsid w:val="00474177"/>
    <w:rsid w:val="004744AE"/>
    <w:rsid w:val="004746EB"/>
    <w:rsid w:val="00474743"/>
    <w:rsid w:val="00474862"/>
    <w:rsid w:val="00474E3B"/>
    <w:rsid w:val="0047513C"/>
    <w:rsid w:val="00475327"/>
    <w:rsid w:val="00475467"/>
    <w:rsid w:val="00475801"/>
    <w:rsid w:val="0047596B"/>
    <w:rsid w:val="00475E06"/>
    <w:rsid w:val="00475F68"/>
    <w:rsid w:val="00475FBD"/>
    <w:rsid w:val="004765CA"/>
    <w:rsid w:val="00476830"/>
    <w:rsid w:val="00476C29"/>
    <w:rsid w:val="00477394"/>
    <w:rsid w:val="004774A8"/>
    <w:rsid w:val="0047786C"/>
    <w:rsid w:val="00477CF8"/>
    <w:rsid w:val="00477E56"/>
    <w:rsid w:val="00480325"/>
    <w:rsid w:val="00480407"/>
    <w:rsid w:val="004805CE"/>
    <w:rsid w:val="0048067D"/>
    <w:rsid w:val="004807B1"/>
    <w:rsid w:val="0048097A"/>
    <w:rsid w:val="00480BC0"/>
    <w:rsid w:val="00480C6E"/>
    <w:rsid w:val="00480FF2"/>
    <w:rsid w:val="004812BE"/>
    <w:rsid w:val="00481302"/>
    <w:rsid w:val="00481306"/>
    <w:rsid w:val="00481539"/>
    <w:rsid w:val="004819AE"/>
    <w:rsid w:val="004819ED"/>
    <w:rsid w:val="00481CC4"/>
    <w:rsid w:val="00481D42"/>
    <w:rsid w:val="00481DAD"/>
    <w:rsid w:val="0048205A"/>
    <w:rsid w:val="0048222E"/>
    <w:rsid w:val="0048251C"/>
    <w:rsid w:val="004827F3"/>
    <w:rsid w:val="00482AE1"/>
    <w:rsid w:val="00483537"/>
    <w:rsid w:val="0048366F"/>
    <w:rsid w:val="00483A6E"/>
    <w:rsid w:val="00483AA0"/>
    <w:rsid w:val="00483B87"/>
    <w:rsid w:val="00483B9F"/>
    <w:rsid w:val="00483DB0"/>
    <w:rsid w:val="00483EA5"/>
    <w:rsid w:val="00484090"/>
    <w:rsid w:val="004841BD"/>
    <w:rsid w:val="00484549"/>
    <w:rsid w:val="00484592"/>
    <w:rsid w:val="004846B4"/>
    <w:rsid w:val="00484912"/>
    <w:rsid w:val="00484E66"/>
    <w:rsid w:val="004850B2"/>
    <w:rsid w:val="004850E3"/>
    <w:rsid w:val="0048527E"/>
    <w:rsid w:val="004853CA"/>
    <w:rsid w:val="004853DE"/>
    <w:rsid w:val="00485429"/>
    <w:rsid w:val="004855E5"/>
    <w:rsid w:val="00485663"/>
    <w:rsid w:val="00485843"/>
    <w:rsid w:val="00485ACA"/>
    <w:rsid w:val="00485C90"/>
    <w:rsid w:val="00485DC0"/>
    <w:rsid w:val="00485F81"/>
    <w:rsid w:val="00486298"/>
    <w:rsid w:val="004863EC"/>
    <w:rsid w:val="00486763"/>
    <w:rsid w:val="004868B2"/>
    <w:rsid w:val="00486A8D"/>
    <w:rsid w:val="00486AEC"/>
    <w:rsid w:val="00486C9E"/>
    <w:rsid w:val="00486DF8"/>
    <w:rsid w:val="00486F89"/>
    <w:rsid w:val="0048700B"/>
    <w:rsid w:val="00487278"/>
    <w:rsid w:val="00487424"/>
    <w:rsid w:val="00487874"/>
    <w:rsid w:val="00487BAA"/>
    <w:rsid w:val="00487BC1"/>
    <w:rsid w:val="00487BED"/>
    <w:rsid w:val="00487F1B"/>
    <w:rsid w:val="00487F91"/>
    <w:rsid w:val="00487FA6"/>
    <w:rsid w:val="004904D4"/>
    <w:rsid w:val="004904EC"/>
    <w:rsid w:val="004905A6"/>
    <w:rsid w:val="00490846"/>
    <w:rsid w:val="0049090F"/>
    <w:rsid w:val="00490DBC"/>
    <w:rsid w:val="00491384"/>
    <w:rsid w:val="00491426"/>
    <w:rsid w:val="00491467"/>
    <w:rsid w:val="00491821"/>
    <w:rsid w:val="00491878"/>
    <w:rsid w:val="00491898"/>
    <w:rsid w:val="00491B52"/>
    <w:rsid w:val="00491E3E"/>
    <w:rsid w:val="00491F2D"/>
    <w:rsid w:val="0049238E"/>
    <w:rsid w:val="004923BE"/>
    <w:rsid w:val="004923C2"/>
    <w:rsid w:val="00492460"/>
    <w:rsid w:val="00492797"/>
    <w:rsid w:val="00492A95"/>
    <w:rsid w:val="00492B72"/>
    <w:rsid w:val="00492FAB"/>
    <w:rsid w:val="0049306C"/>
    <w:rsid w:val="004930A3"/>
    <w:rsid w:val="004934FF"/>
    <w:rsid w:val="00493678"/>
    <w:rsid w:val="00493AC9"/>
    <w:rsid w:val="00493B34"/>
    <w:rsid w:val="00493D56"/>
    <w:rsid w:val="004940F5"/>
    <w:rsid w:val="00494128"/>
    <w:rsid w:val="00494208"/>
    <w:rsid w:val="004946D9"/>
    <w:rsid w:val="004949A7"/>
    <w:rsid w:val="00494B1C"/>
    <w:rsid w:val="00494C16"/>
    <w:rsid w:val="00495264"/>
    <w:rsid w:val="00495443"/>
    <w:rsid w:val="00495444"/>
    <w:rsid w:val="00495490"/>
    <w:rsid w:val="004956ED"/>
    <w:rsid w:val="004959F0"/>
    <w:rsid w:val="00495C52"/>
    <w:rsid w:val="00495E29"/>
    <w:rsid w:val="00495FE9"/>
    <w:rsid w:val="004961DF"/>
    <w:rsid w:val="0049647D"/>
    <w:rsid w:val="00496675"/>
    <w:rsid w:val="004968A8"/>
    <w:rsid w:val="00496ACA"/>
    <w:rsid w:val="00496B4B"/>
    <w:rsid w:val="00496B53"/>
    <w:rsid w:val="00496C49"/>
    <w:rsid w:val="00496D7F"/>
    <w:rsid w:val="0049746A"/>
    <w:rsid w:val="004978ED"/>
    <w:rsid w:val="0049791B"/>
    <w:rsid w:val="00497988"/>
    <w:rsid w:val="00497C38"/>
    <w:rsid w:val="00497E3A"/>
    <w:rsid w:val="00497E67"/>
    <w:rsid w:val="00497F07"/>
    <w:rsid w:val="00497F5B"/>
    <w:rsid w:val="004A0306"/>
    <w:rsid w:val="004A0651"/>
    <w:rsid w:val="004A0792"/>
    <w:rsid w:val="004A087F"/>
    <w:rsid w:val="004A0AFD"/>
    <w:rsid w:val="004A0B99"/>
    <w:rsid w:val="004A0D1C"/>
    <w:rsid w:val="004A128B"/>
    <w:rsid w:val="004A1328"/>
    <w:rsid w:val="004A1457"/>
    <w:rsid w:val="004A16C6"/>
    <w:rsid w:val="004A1711"/>
    <w:rsid w:val="004A1785"/>
    <w:rsid w:val="004A19A0"/>
    <w:rsid w:val="004A1E3A"/>
    <w:rsid w:val="004A24F7"/>
    <w:rsid w:val="004A2A28"/>
    <w:rsid w:val="004A2C1A"/>
    <w:rsid w:val="004A2C6A"/>
    <w:rsid w:val="004A2CE3"/>
    <w:rsid w:val="004A2E99"/>
    <w:rsid w:val="004A36D5"/>
    <w:rsid w:val="004A37DF"/>
    <w:rsid w:val="004A3927"/>
    <w:rsid w:val="004A3ACB"/>
    <w:rsid w:val="004A40DC"/>
    <w:rsid w:val="004A4258"/>
    <w:rsid w:val="004A443F"/>
    <w:rsid w:val="004A48A4"/>
    <w:rsid w:val="004A4997"/>
    <w:rsid w:val="004A49AE"/>
    <w:rsid w:val="004A49D3"/>
    <w:rsid w:val="004A4A80"/>
    <w:rsid w:val="004A4CE6"/>
    <w:rsid w:val="004A4F04"/>
    <w:rsid w:val="004A5105"/>
    <w:rsid w:val="004A5153"/>
    <w:rsid w:val="004A53D6"/>
    <w:rsid w:val="004A54BF"/>
    <w:rsid w:val="004A5A37"/>
    <w:rsid w:val="004A5B02"/>
    <w:rsid w:val="004A5D50"/>
    <w:rsid w:val="004A5F26"/>
    <w:rsid w:val="004A60C7"/>
    <w:rsid w:val="004A62B2"/>
    <w:rsid w:val="004A6587"/>
    <w:rsid w:val="004A68B9"/>
    <w:rsid w:val="004A6969"/>
    <w:rsid w:val="004A6AD8"/>
    <w:rsid w:val="004A6B37"/>
    <w:rsid w:val="004A7035"/>
    <w:rsid w:val="004A73E7"/>
    <w:rsid w:val="004A7446"/>
    <w:rsid w:val="004A74A9"/>
    <w:rsid w:val="004A7696"/>
    <w:rsid w:val="004A76E3"/>
    <w:rsid w:val="004A7A33"/>
    <w:rsid w:val="004A7A96"/>
    <w:rsid w:val="004A7BCC"/>
    <w:rsid w:val="004A7C58"/>
    <w:rsid w:val="004A7D50"/>
    <w:rsid w:val="004A7DCA"/>
    <w:rsid w:val="004A7F29"/>
    <w:rsid w:val="004B060D"/>
    <w:rsid w:val="004B0C43"/>
    <w:rsid w:val="004B13EB"/>
    <w:rsid w:val="004B1639"/>
    <w:rsid w:val="004B1753"/>
    <w:rsid w:val="004B1ABF"/>
    <w:rsid w:val="004B1D25"/>
    <w:rsid w:val="004B1D55"/>
    <w:rsid w:val="004B20FB"/>
    <w:rsid w:val="004B2208"/>
    <w:rsid w:val="004B25DD"/>
    <w:rsid w:val="004B28A9"/>
    <w:rsid w:val="004B2A1A"/>
    <w:rsid w:val="004B2A25"/>
    <w:rsid w:val="004B2B11"/>
    <w:rsid w:val="004B2BB3"/>
    <w:rsid w:val="004B2D21"/>
    <w:rsid w:val="004B2D3B"/>
    <w:rsid w:val="004B330D"/>
    <w:rsid w:val="004B3400"/>
    <w:rsid w:val="004B3489"/>
    <w:rsid w:val="004B3723"/>
    <w:rsid w:val="004B3766"/>
    <w:rsid w:val="004B376C"/>
    <w:rsid w:val="004B3803"/>
    <w:rsid w:val="004B3912"/>
    <w:rsid w:val="004B3962"/>
    <w:rsid w:val="004B3AF1"/>
    <w:rsid w:val="004B3B16"/>
    <w:rsid w:val="004B3C5B"/>
    <w:rsid w:val="004B3C78"/>
    <w:rsid w:val="004B3C93"/>
    <w:rsid w:val="004B46DE"/>
    <w:rsid w:val="004B4737"/>
    <w:rsid w:val="004B4AAF"/>
    <w:rsid w:val="004B4B5E"/>
    <w:rsid w:val="004B4F5D"/>
    <w:rsid w:val="004B51B9"/>
    <w:rsid w:val="004B5220"/>
    <w:rsid w:val="004B52C7"/>
    <w:rsid w:val="004B55C6"/>
    <w:rsid w:val="004B5693"/>
    <w:rsid w:val="004B5696"/>
    <w:rsid w:val="004B5737"/>
    <w:rsid w:val="004B5B9A"/>
    <w:rsid w:val="004B6081"/>
    <w:rsid w:val="004B6118"/>
    <w:rsid w:val="004B640A"/>
    <w:rsid w:val="004B692B"/>
    <w:rsid w:val="004B6D75"/>
    <w:rsid w:val="004B6E76"/>
    <w:rsid w:val="004B6FF7"/>
    <w:rsid w:val="004B7015"/>
    <w:rsid w:val="004B71FB"/>
    <w:rsid w:val="004B7223"/>
    <w:rsid w:val="004B763D"/>
    <w:rsid w:val="004B7758"/>
    <w:rsid w:val="004B7888"/>
    <w:rsid w:val="004B78F1"/>
    <w:rsid w:val="004B7939"/>
    <w:rsid w:val="004B796F"/>
    <w:rsid w:val="004B7A63"/>
    <w:rsid w:val="004B7B57"/>
    <w:rsid w:val="004C02F1"/>
    <w:rsid w:val="004C0798"/>
    <w:rsid w:val="004C0B81"/>
    <w:rsid w:val="004C0C41"/>
    <w:rsid w:val="004C0CC8"/>
    <w:rsid w:val="004C0F31"/>
    <w:rsid w:val="004C12C7"/>
    <w:rsid w:val="004C17FD"/>
    <w:rsid w:val="004C1BE6"/>
    <w:rsid w:val="004C1CEE"/>
    <w:rsid w:val="004C1D55"/>
    <w:rsid w:val="004C1EC3"/>
    <w:rsid w:val="004C2030"/>
    <w:rsid w:val="004C21A2"/>
    <w:rsid w:val="004C2252"/>
    <w:rsid w:val="004C27E6"/>
    <w:rsid w:val="004C290D"/>
    <w:rsid w:val="004C2B73"/>
    <w:rsid w:val="004C2C7E"/>
    <w:rsid w:val="004C2D7B"/>
    <w:rsid w:val="004C3050"/>
    <w:rsid w:val="004C31C5"/>
    <w:rsid w:val="004C32FB"/>
    <w:rsid w:val="004C33E1"/>
    <w:rsid w:val="004C34A8"/>
    <w:rsid w:val="004C3616"/>
    <w:rsid w:val="004C3682"/>
    <w:rsid w:val="004C3742"/>
    <w:rsid w:val="004C3762"/>
    <w:rsid w:val="004C37EA"/>
    <w:rsid w:val="004C3981"/>
    <w:rsid w:val="004C3C15"/>
    <w:rsid w:val="004C4001"/>
    <w:rsid w:val="004C4139"/>
    <w:rsid w:val="004C4304"/>
    <w:rsid w:val="004C4388"/>
    <w:rsid w:val="004C43A8"/>
    <w:rsid w:val="004C43FA"/>
    <w:rsid w:val="004C445B"/>
    <w:rsid w:val="004C45EC"/>
    <w:rsid w:val="004C469B"/>
    <w:rsid w:val="004C4872"/>
    <w:rsid w:val="004C4964"/>
    <w:rsid w:val="004C4976"/>
    <w:rsid w:val="004C4C3A"/>
    <w:rsid w:val="004C4FD0"/>
    <w:rsid w:val="004C5060"/>
    <w:rsid w:val="004C5091"/>
    <w:rsid w:val="004C50F4"/>
    <w:rsid w:val="004C51A2"/>
    <w:rsid w:val="004C5B03"/>
    <w:rsid w:val="004C5BC0"/>
    <w:rsid w:val="004C5C38"/>
    <w:rsid w:val="004C5D86"/>
    <w:rsid w:val="004C5EAD"/>
    <w:rsid w:val="004C5FF9"/>
    <w:rsid w:val="004C6114"/>
    <w:rsid w:val="004C614F"/>
    <w:rsid w:val="004C634A"/>
    <w:rsid w:val="004C6621"/>
    <w:rsid w:val="004C6BB9"/>
    <w:rsid w:val="004C6ECF"/>
    <w:rsid w:val="004C6F46"/>
    <w:rsid w:val="004C6F86"/>
    <w:rsid w:val="004C7128"/>
    <w:rsid w:val="004C7830"/>
    <w:rsid w:val="004C7A20"/>
    <w:rsid w:val="004C7B2F"/>
    <w:rsid w:val="004C7BC3"/>
    <w:rsid w:val="004C7C49"/>
    <w:rsid w:val="004C7FAE"/>
    <w:rsid w:val="004D01C1"/>
    <w:rsid w:val="004D05EC"/>
    <w:rsid w:val="004D0670"/>
    <w:rsid w:val="004D06C6"/>
    <w:rsid w:val="004D0B49"/>
    <w:rsid w:val="004D0CAD"/>
    <w:rsid w:val="004D0CF8"/>
    <w:rsid w:val="004D0E2A"/>
    <w:rsid w:val="004D1210"/>
    <w:rsid w:val="004D1239"/>
    <w:rsid w:val="004D13E2"/>
    <w:rsid w:val="004D17C5"/>
    <w:rsid w:val="004D19EC"/>
    <w:rsid w:val="004D1A77"/>
    <w:rsid w:val="004D1B14"/>
    <w:rsid w:val="004D1E32"/>
    <w:rsid w:val="004D21DB"/>
    <w:rsid w:val="004D2576"/>
    <w:rsid w:val="004D2868"/>
    <w:rsid w:val="004D2872"/>
    <w:rsid w:val="004D2A78"/>
    <w:rsid w:val="004D2B67"/>
    <w:rsid w:val="004D2E4C"/>
    <w:rsid w:val="004D34CA"/>
    <w:rsid w:val="004D354D"/>
    <w:rsid w:val="004D3D00"/>
    <w:rsid w:val="004D3D68"/>
    <w:rsid w:val="004D3D6B"/>
    <w:rsid w:val="004D3E57"/>
    <w:rsid w:val="004D4013"/>
    <w:rsid w:val="004D427B"/>
    <w:rsid w:val="004D459F"/>
    <w:rsid w:val="004D46BB"/>
    <w:rsid w:val="004D47C7"/>
    <w:rsid w:val="004D4D65"/>
    <w:rsid w:val="004D4D7A"/>
    <w:rsid w:val="004D4E4A"/>
    <w:rsid w:val="004D5070"/>
    <w:rsid w:val="004D5140"/>
    <w:rsid w:val="004D5188"/>
    <w:rsid w:val="004D5247"/>
    <w:rsid w:val="004D5768"/>
    <w:rsid w:val="004D5781"/>
    <w:rsid w:val="004D5803"/>
    <w:rsid w:val="004D58A7"/>
    <w:rsid w:val="004D5B4E"/>
    <w:rsid w:val="004D5D88"/>
    <w:rsid w:val="004D5E0B"/>
    <w:rsid w:val="004D5F8B"/>
    <w:rsid w:val="004D6021"/>
    <w:rsid w:val="004D615F"/>
    <w:rsid w:val="004D67C2"/>
    <w:rsid w:val="004D68D4"/>
    <w:rsid w:val="004D6905"/>
    <w:rsid w:val="004D6EC6"/>
    <w:rsid w:val="004D731F"/>
    <w:rsid w:val="004D75ED"/>
    <w:rsid w:val="004D77E0"/>
    <w:rsid w:val="004D7984"/>
    <w:rsid w:val="004D7F37"/>
    <w:rsid w:val="004E03B3"/>
    <w:rsid w:val="004E03D3"/>
    <w:rsid w:val="004E04D2"/>
    <w:rsid w:val="004E0504"/>
    <w:rsid w:val="004E0578"/>
    <w:rsid w:val="004E0644"/>
    <w:rsid w:val="004E0882"/>
    <w:rsid w:val="004E088A"/>
    <w:rsid w:val="004E0A0F"/>
    <w:rsid w:val="004E0A9A"/>
    <w:rsid w:val="004E0A9F"/>
    <w:rsid w:val="004E0B90"/>
    <w:rsid w:val="004E0EFA"/>
    <w:rsid w:val="004E0F83"/>
    <w:rsid w:val="004E14F5"/>
    <w:rsid w:val="004E1783"/>
    <w:rsid w:val="004E18AD"/>
    <w:rsid w:val="004E1DBA"/>
    <w:rsid w:val="004E1DC4"/>
    <w:rsid w:val="004E1E02"/>
    <w:rsid w:val="004E23A6"/>
    <w:rsid w:val="004E24C2"/>
    <w:rsid w:val="004E251C"/>
    <w:rsid w:val="004E26C8"/>
    <w:rsid w:val="004E27E4"/>
    <w:rsid w:val="004E2D49"/>
    <w:rsid w:val="004E2D57"/>
    <w:rsid w:val="004E2D97"/>
    <w:rsid w:val="004E3024"/>
    <w:rsid w:val="004E323A"/>
    <w:rsid w:val="004E3275"/>
    <w:rsid w:val="004E32EA"/>
    <w:rsid w:val="004E32F9"/>
    <w:rsid w:val="004E3934"/>
    <w:rsid w:val="004E3E93"/>
    <w:rsid w:val="004E41E6"/>
    <w:rsid w:val="004E434B"/>
    <w:rsid w:val="004E4534"/>
    <w:rsid w:val="004E47FA"/>
    <w:rsid w:val="004E48A4"/>
    <w:rsid w:val="004E4971"/>
    <w:rsid w:val="004E4FD8"/>
    <w:rsid w:val="004E5965"/>
    <w:rsid w:val="004E5AE1"/>
    <w:rsid w:val="004E5BEB"/>
    <w:rsid w:val="004E5C45"/>
    <w:rsid w:val="004E5CD6"/>
    <w:rsid w:val="004E5F0E"/>
    <w:rsid w:val="004E60D0"/>
    <w:rsid w:val="004E6588"/>
    <w:rsid w:val="004E65E9"/>
    <w:rsid w:val="004E6A67"/>
    <w:rsid w:val="004E7100"/>
    <w:rsid w:val="004E7162"/>
    <w:rsid w:val="004E746C"/>
    <w:rsid w:val="004E759B"/>
    <w:rsid w:val="004E7817"/>
    <w:rsid w:val="004E78C2"/>
    <w:rsid w:val="004E7A55"/>
    <w:rsid w:val="004E7AE4"/>
    <w:rsid w:val="004E7BB7"/>
    <w:rsid w:val="004E7BED"/>
    <w:rsid w:val="004E7D2D"/>
    <w:rsid w:val="004E7E56"/>
    <w:rsid w:val="004E7E60"/>
    <w:rsid w:val="004E7E8D"/>
    <w:rsid w:val="004F045C"/>
    <w:rsid w:val="004F05C5"/>
    <w:rsid w:val="004F0650"/>
    <w:rsid w:val="004F0816"/>
    <w:rsid w:val="004F098D"/>
    <w:rsid w:val="004F0FA2"/>
    <w:rsid w:val="004F1076"/>
    <w:rsid w:val="004F13DF"/>
    <w:rsid w:val="004F176C"/>
    <w:rsid w:val="004F1AC3"/>
    <w:rsid w:val="004F1AE6"/>
    <w:rsid w:val="004F1B3C"/>
    <w:rsid w:val="004F1C3C"/>
    <w:rsid w:val="004F1D8F"/>
    <w:rsid w:val="004F1FA1"/>
    <w:rsid w:val="004F200F"/>
    <w:rsid w:val="004F2035"/>
    <w:rsid w:val="004F20CA"/>
    <w:rsid w:val="004F20FB"/>
    <w:rsid w:val="004F21EC"/>
    <w:rsid w:val="004F2241"/>
    <w:rsid w:val="004F230B"/>
    <w:rsid w:val="004F23B0"/>
    <w:rsid w:val="004F242E"/>
    <w:rsid w:val="004F24AB"/>
    <w:rsid w:val="004F2617"/>
    <w:rsid w:val="004F26F2"/>
    <w:rsid w:val="004F28CC"/>
    <w:rsid w:val="004F29BD"/>
    <w:rsid w:val="004F29C0"/>
    <w:rsid w:val="004F2BB1"/>
    <w:rsid w:val="004F2D38"/>
    <w:rsid w:val="004F2E45"/>
    <w:rsid w:val="004F2F98"/>
    <w:rsid w:val="004F34E3"/>
    <w:rsid w:val="004F3639"/>
    <w:rsid w:val="004F395A"/>
    <w:rsid w:val="004F3A0C"/>
    <w:rsid w:val="004F3B0F"/>
    <w:rsid w:val="004F3DD3"/>
    <w:rsid w:val="004F3F36"/>
    <w:rsid w:val="004F407C"/>
    <w:rsid w:val="004F4373"/>
    <w:rsid w:val="004F445F"/>
    <w:rsid w:val="004F44F3"/>
    <w:rsid w:val="004F4B51"/>
    <w:rsid w:val="004F4D0C"/>
    <w:rsid w:val="004F4DE6"/>
    <w:rsid w:val="004F4ED1"/>
    <w:rsid w:val="004F5040"/>
    <w:rsid w:val="004F52A5"/>
    <w:rsid w:val="004F542C"/>
    <w:rsid w:val="004F56B2"/>
    <w:rsid w:val="004F5750"/>
    <w:rsid w:val="004F57C2"/>
    <w:rsid w:val="004F5C7D"/>
    <w:rsid w:val="004F614F"/>
    <w:rsid w:val="004F6674"/>
    <w:rsid w:val="004F67AC"/>
    <w:rsid w:val="004F695A"/>
    <w:rsid w:val="004F6AE1"/>
    <w:rsid w:val="004F6C2E"/>
    <w:rsid w:val="004F6F6B"/>
    <w:rsid w:val="004F7102"/>
    <w:rsid w:val="004F7179"/>
    <w:rsid w:val="004F7270"/>
    <w:rsid w:val="004F72E7"/>
    <w:rsid w:val="004F75A7"/>
    <w:rsid w:val="004F76AB"/>
    <w:rsid w:val="004F77B6"/>
    <w:rsid w:val="004F77D7"/>
    <w:rsid w:val="004F7815"/>
    <w:rsid w:val="004F787E"/>
    <w:rsid w:val="004F7C30"/>
    <w:rsid w:val="004F7CBF"/>
    <w:rsid w:val="004F7F1E"/>
    <w:rsid w:val="00500270"/>
    <w:rsid w:val="00500481"/>
    <w:rsid w:val="005005A8"/>
    <w:rsid w:val="00500A64"/>
    <w:rsid w:val="00500B68"/>
    <w:rsid w:val="00500B83"/>
    <w:rsid w:val="00500BEC"/>
    <w:rsid w:val="00500C8B"/>
    <w:rsid w:val="00500CB6"/>
    <w:rsid w:val="00501250"/>
    <w:rsid w:val="005016A1"/>
    <w:rsid w:val="00501908"/>
    <w:rsid w:val="00501A80"/>
    <w:rsid w:val="00501B5D"/>
    <w:rsid w:val="00501F78"/>
    <w:rsid w:val="0050218C"/>
    <w:rsid w:val="005023C2"/>
    <w:rsid w:val="0050246C"/>
    <w:rsid w:val="005024CB"/>
    <w:rsid w:val="005027D2"/>
    <w:rsid w:val="00502CB5"/>
    <w:rsid w:val="00502CEB"/>
    <w:rsid w:val="00502D44"/>
    <w:rsid w:val="00502DF7"/>
    <w:rsid w:val="00502FA4"/>
    <w:rsid w:val="00503055"/>
    <w:rsid w:val="00503315"/>
    <w:rsid w:val="0050333C"/>
    <w:rsid w:val="005033C4"/>
    <w:rsid w:val="0050343A"/>
    <w:rsid w:val="00503887"/>
    <w:rsid w:val="005038DA"/>
    <w:rsid w:val="00503BB4"/>
    <w:rsid w:val="00503BEA"/>
    <w:rsid w:val="00503C2E"/>
    <w:rsid w:val="00503DCA"/>
    <w:rsid w:val="00503F9F"/>
    <w:rsid w:val="00504091"/>
    <w:rsid w:val="00504106"/>
    <w:rsid w:val="005044C2"/>
    <w:rsid w:val="005044D6"/>
    <w:rsid w:val="00504608"/>
    <w:rsid w:val="005047E6"/>
    <w:rsid w:val="0050490A"/>
    <w:rsid w:val="00504AAD"/>
    <w:rsid w:val="00504C74"/>
    <w:rsid w:val="00504C98"/>
    <w:rsid w:val="00504D60"/>
    <w:rsid w:val="0050544A"/>
    <w:rsid w:val="0050593B"/>
    <w:rsid w:val="00505973"/>
    <w:rsid w:val="00505CBC"/>
    <w:rsid w:val="00505F47"/>
    <w:rsid w:val="00506283"/>
    <w:rsid w:val="005064BA"/>
    <w:rsid w:val="005066D2"/>
    <w:rsid w:val="00506C03"/>
    <w:rsid w:val="00506FC4"/>
    <w:rsid w:val="005070D9"/>
    <w:rsid w:val="005075DE"/>
    <w:rsid w:val="005077BC"/>
    <w:rsid w:val="005077DE"/>
    <w:rsid w:val="0050787F"/>
    <w:rsid w:val="00507887"/>
    <w:rsid w:val="0050788D"/>
    <w:rsid w:val="00507B68"/>
    <w:rsid w:val="005102B6"/>
    <w:rsid w:val="00510521"/>
    <w:rsid w:val="005105ED"/>
    <w:rsid w:val="005109BE"/>
    <w:rsid w:val="00510AE1"/>
    <w:rsid w:val="00510B5B"/>
    <w:rsid w:val="00510EB3"/>
    <w:rsid w:val="00510F1D"/>
    <w:rsid w:val="0051111E"/>
    <w:rsid w:val="0051117D"/>
    <w:rsid w:val="005111F0"/>
    <w:rsid w:val="00511257"/>
    <w:rsid w:val="005113CD"/>
    <w:rsid w:val="00511455"/>
    <w:rsid w:val="005117AB"/>
    <w:rsid w:val="00511F4E"/>
    <w:rsid w:val="00511F7E"/>
    <w:rsid w:val="005122B8"/>
    <w:rsid w:val="00512465"/>
    <w:rsid w:val="005126A1"/>
    <w:rsid w:val="00512A32"/>
    <w:rsid w:val="00512B26"/>
    <w:rsid w:val="00512CD9"/>
    <w:rsid w:val="00513090"/>
    <w:rsid w:val="00513118"/>
    <w:rsid w:val="0051312E"/>
    <w:rsid w:val="00513781"/>
    <w:rsid w:val="005138DA"/>
    <w:rsid w:val="00513969"/>
    <w:rsid w:val="00513B85"/>
    <w:rsid w:val="00513EA2"/>
    <w:rsid w:val="00513EDD"/>
    <w:rsid w:val="00513FF9"/>
    <w:rsid w:val="00514626"/>
    <w:rsid w:val="00514B3E"/>
    <w:rsid w:val="00514BAF"/>
    <w:rsid w:val="00514BCD"/>
    <w:rsid w:val="00514ED8"/>
    <w:rsid w:val="00514F87"/>
    <w:rsid w:val="00515026"/>
    <w:rsid w:val="00515085"/>
    <w:rsid w:val="00515211"/>
    <w:rsid w:val="005152B1"/>
    <w:rsid w:val="00515471"/>
    <w:rsid w:val="00515763"/>
    <w:rsid w:val="00515AE9"/>
    <w:rsid w:val="00515B5D"/>
    <w:rsid w:val="005163BF"/>
    <w:rsid w:val="00516494"/>
    <w:rsid w:val="005164FB"/>
    <w:rsid w:val="005168AE"/>
    <w:rsid w:val="00516BA6"/>
    <w:rsid w:val="005173CA"/>
    <w:rsid w:val="005173E6"/>
    <w:rsid w:val="005175A3"/>
    <w:rsid w:val="0051794A"/>
    <w:rsid w:val="00517BF1"/>
    <w:rsid w:val="0052002C"/>
    <w:rsid w:val="00520052"/>
    <w:rsid w:val="0052040A"/>
    <w:rsid w:val="0052070D"/>
    <w:rsid w:val="005207F1"/>
    <w:rsid w:val="005207F4"/>
    <w:rsid w:val="00520AC7"/>
    <w:rsid w:val="00520CA8"/>
    <w:rsid w:val="00520CB9"/>
    <w:rsid w:val="00520EC5"/>
    <w:rsid w:val="00521223"/>
    <w:rsid w:val="00521284"/>
    <w:rsid w:val="005213B8"/>
    <w:rsid w:val="005214AD"/>
    <w:rsid w:val="0052155B"/>
    <w:rsid w:val="005219B5"/>
    <w:rsid w:val="00521C0A"/>
    <w:rsid w:val="00522317"/>
    <w:rsid w:val="00522F80"/>
    <w:rsid w:val="005230A0"/>
    <w:rsid w:val="00523179"/>
    <w:rsid w:val="005232D3"/>
    <w:rsid w:val="0052330F"/>
    <w:rsid w:val="00523396"/>
    <w:rsid w:val="0052342D"/>
    <w:rsid w:val="0052343E"/>
    <w:rsid w:val="005234CB"/>
    <w:rsid w:val="005234FA"/>
    <w:rsid w:val="0052381C"/>
    <w:rsid w:val="005238EF"/>
    <w:rsid w:val="00523C06"/>
    <w:rsid w:val="00523F56"/>
    <w:rsid w:val="00523F62"/>
    <w:rsid w:val="00523FCD"/>
    <w:rsid w:val="00524216"/>
    <w:rsid w:val="005243F7"/>
    <w:rsid w:val="00524515"/>
    <w:rsid w:val="00524656"/>
    <w:rsid w:val="0052486F"/>
    <w:rsid w:val="00524972"/>
    <w:rsid w:val="00524AC0"/>
    <w:rsid w:val="00524EF3"/>
    <w:rsid w:val="005250F4"/>
    <w:rsid w:val="005252ED"/>
    <w:rsid w:val="005254A8"/>
    <w:rsid w:val="00525506"/>
    <w:rsid w:val="005256BB"/>
    <w:rsid w:val="005257E1"/>
    <w:rsid w:val="005257EE"/>
    <w:rsid w:val="00525855"/>
    <w:rsid w:val="0052593D"/>
    <w:rsid w:val="005259E7"/>
    <w:rsid w:val="00525AFC"/>
    <w:rsid w:val="00525C61"/>
    <w:rsid w:val="00525E21"/>
    <w:rsid w:val="00526043"/>
    <w:rsid w:val="005261D3"/>
    <w:rsid w:val="00526277"/>
    <w:rsid w:val="005262A4"/>
    <w:rsid w:val="00526401"/>
    <w:rsid w:val="0052659F"/>
    <w:rsid w:val="0052667F"/>
    <w:rsid w:val="005267C8"/>
    <w:rsid w:val="00526978"/>
    <w:rsid w:val="00526A42"/>
    <w:rsid w:val="00526ABC"/>
    <w:rsid w:val="00526CDB"/>
    <w:rsid w:val="00526FF5"/>
    <w:rsid w:val="005271F0"/>
    <w:rsid w:val="00527289"/>
    <w:rsid w:val="0052734B"/>
    <w:rsid w:val="00527DF4"/>
    <w:rsid w:val="00527FEE"/>
    <w:rsid w:val="005300F2"/>
    <w:rsid w:val="00530133"/>
    <w:rsid w:val="005301C6"/>
    <w:rsid w:val="0053032A"/>
    <w:rsid w:val="005304E9"/>
    <w:rsid w:val="00530673"/>
    <w:rsid w:val="005306FC"/>
    <w:rsid w:val="0053086C"/>
    <w:rsid w:val="00530AFE"/>
    <w:rsid w:val="00530CE4"/>
    <w:rsid w:val="00530D42"/>
    <w:rsid w:val="00530FA2"/>
    <w:rsid w:val="00531425"/>
    <w:rsid w:val="0053160B"/>
    <w:rsid w:val="0053163E"/>
    <w:rsid w:val="005319F8"/>
    <w:rsid w:val="00531D8D"/>
    <w:rsid w:val="00531DF4"/>
    <w:rsid w:val="00531F69"/>
    <w:rsid w:val="00532110"/>
    <w:rsid w:val="0053219A"/>
    <w:rsid w:val="00532256"/>
    <w:rsid w:val="005322F9"/>
    <w:rsid w:val="005323CD"/>
    <w:rsid w:val="005329F4"/>
    <w:rsid w:val="00532E8D"/>
    <w:rsid w:val="00533742"/>
    <w:rsid w:val="00533764"/>
    <w:rsid w:val="00533787"/>
    <w:rsid w:val="005337C4"/>
    <w:rsid w:val="005337D2"/>
    <w:rsid w:val="005339FB"/>
    <w:rsid w:val="0053420F"/>
    <w:rsid w:val="005348A7"/>
    <w:rsid w:val="005348F0"/>
    <w:rsid w:val="00534B61"/>
    <w:rsid w:val="00534F7E"/>
    <w:rsid w:val="00535038"/>
    <w:rsid w:val="00535365"/>
    <w:rsid w:val="00535506"/>
    <w:rsid w:val="00535572"/>
    <w:rsid w:val="00535CAF"/>
    <w:rsid w:val="00535CBA"/>
    <w:rsid w:val="00535D44"/>
    <w:rsid w:val="00535E28"/>
    <w:rsid w:val="00536178"/>
    <w:rsid w:val="00536210"/>
    <w:rsid w:val="005366DD"/>
    <w:rsid w:val="00536755"/>
    <w:rsid w:val="005367B0"/>
    <w:rsid w:val="005367FA"/>
    <w:rsid w:val="00536854"/>
    <w:rsid w:val="00536870"/>
    <w:rsid w:val="00536B01"/>
    <w:rsid w:val="00536CFB"/>
    <w:rsid w:val="00536ECD"/>
    <w:rsid w:val="00536EF1"/>
    <w:rsid w:val="00537337"/>
    <w:rsid w:val="0053743D"/>
    <w:rsid w:val="0053765A"/>
    <w:rsid w:val="0053791D"/>
    <w:rsid w:val="00537D0B"/>
    <w:rsid w:val="00537D26"/>
    <w:rsid w:val="00537F29"/>
    <w:rsid w:val="00537FE0"/>
    <w:rsid w:val="00540126"/>
    <w:rsid w:val="005402D5"/>
    <w:rsid w:val="00540573"/>
    <w:rsid w:val="00540585"/>
    <w:rsid w:val="005406C3"/>
    <w:rsid w:val="0054072E"/>
    <w:rsid w:val="00540839"/>
    <w:rsid w:val="00540958"/>
    <w:rsid w:val="00540AF9"/>
    <w:rsid w:val="00540BD5"/>
    <w:rsid w:val="00540F6B"/>
    <w:rsid w:val="00541143"/>
    <w:rsid w:val="00541294"/>
    <w:rsid w:val="0054129E"/>
    <w:rsid w:val="0054135D"/>
    <w:rsid w:val="00541423"/>
    <w:rsid w:val="00541AE4"/>
    <w:rsid w:val="00541BE7"/>
    <w:rsid w:val="00541C99"/>
    <w:rsid w:val="00541E67"/>
    <w:rsid w:val="00541E70"/>
    <w:rsid w:val="00541F3A"/>
    <w:rsid w:val="0054202A"/>
    <w:rsid w:val="00542341"/>
    <w:rsid w:val="00542347"/>
    <w:rsid w:val="0054253B"/>
    <w:rsid w:val="00542C9C"/>
    <w:rsid w:val="005432CC"/>
    <w:rsid w:val="00543446"/>
    <w:rsid w:val="0054345C"/>
    <w:rsid w:val="00543795"/>
    <w:rsid w:val="0054386C"/>
    <w:rsid w:val="00543C71"/>
    <w:rsid w:val="00543EE4"/>
    <w:rsid w:val="0054410A"/>
    <w:rsid w:val="005441B0"/>
    <w:rsid w:val="005441F5"/>
    <w:rsid w:val="005441FD"/>
    <w:rsid w:val="00544210"/>
    <w:rsid w:val="00544257"/>
    <w:rsid w:val="00544540"/>
    <w:rsid w:val="00544715"/>
    <w:rsid w:val="005447B4"/>
    <w:rsid w:val="005447E7"/>
    <w:rsid w:val="00544928"/>
    <w:rsid w:val="00544C4D"/>
    <w:rsid w:val="00544D49"/>
    <w:rsid w:val="00544E67"/>
    <w:rsid w:val="00544FF0"/>
    <w:rsid w:val="0054500A"/>
    <w:rsid w:val="005450D1"/>
    <w:rsid w:val="00545550"/>
    <w:rsid w:val="00545691"/>
    <w:rsid w:val="005458A0"/>
    <w:rsid w:val="005458ED"/>
    <w:rsid w:val="00545AB0"/>
    <w:rsid w:val="00545E86"/>
    <w:rsid w:val="00546083"/>
    <w:rsid w:val="00546700"/>
    <w:rsid w:val="00546730"/>
    <w:rsid w:val="0054706B"/>
    <w:rsid w:val="005471D4"/>
    <w:rsid w:val="0054733F"/>
    <w:rsid w:val="00547470"/>
    <w:rsid w:val="005476F2"/>
    <w:rsid w:val="00547A73"/>
    <w:rsid w:val="00547C2A"/>
    <w:rsid w:val="00547DAE"/>
    <w:rsid w:val="00547EA1"/>
    <w:rsid w:val="00547F62"/>
    <w:rsid w:val="005500CF"/>
    <w:rsid w:val="00550373"/>
    <w:rsid w:val="00550569"/>
    <w:rsid w:val="005506FE"/>
    <w:rsid w:val="0055075F"/>
    <w:rsid w:val="005508F9"/>
    <w:rsid w:val="00550C81"/>
    <w:rsid w:val="00550CB0"/>
    <w:rsid w:val="00550CE2"/>
    <w:rsid w:val="00551003"/>
    <w:rsid w:val="005511E7"/>
    <w:rsid w:val="00551322"/>
    <w:rsid w:val="00551BB6"/>
    <w:rsid w:val="00551D2C"/>
    <w:rsid w:val="00551E0B"/>
    <w:rsid w:val="00551F0B"/>
    <w:rsid w:val="00551FAD"/>
    <w:rsid w:val="00552215"/>
    <w:rsid w:val="00552CF9"/>
    <w:rsid w:val="00552EE9"/>
    <w:rsid w:val="005531E0"/>
    <w:rsid w:val="005532C2"/>
    <w:rsid w:val="005532D0"/>
    <w:rsid w:val="0055354F"/>
    <w:rsid w:val="00553633"/>
    <w:rsid w:val="005538DA"/>
    <w:rsid w:val="00553C3C"/>
    <w:rsid w:val="0055416D"/>
    <w:rsid w:val="005542DA"/>
    <w:rsid w:val="005542F3"/>
    <w:rsid w:val="00554537"/>
    <w:rsid w:val="005545CC"/>
    <w:rsid w:val="0055467E"/>
    <w:rsid w:val="00554714"/>
    <w:rsid w:val="005547C2"/>
    <w:rsid w:val="00554CD9"/>
    <w:rsid w:val="00554D5D"/>
    <w:rsid w:val="00554E75"/>
    <w:rsid w:val="0055526A"/>
    <w:rsid w:val="0055530C"/>
    <w:rsid w:val="005557C0"/>
    <w:rsid w:val="00555C70"/>
    <w:rsid w:val="00555C8E"/>
    <w:rsid w:val="00555D9A"/>
    <w:rsid w:val="00555FB6"/>
    <w:rsid w:val="00556098"/>
    <w:rsid w:val="00556116"/>
    <w:rsid w:val="0055620B"/>
    <w:rsid w:val="00556525"/>
    <w:rsid w:val="00556589"/>
    <w:rsid w:val="005565FB"/>
    <w:rsid w:val="00556887"/>
    <w:rsid w:val="005568A7"/>
    <w:rsid w:val="00556900"/>
    <w:rsid w:val="00556A27"/>
    <w:rsid w:val="00556CA3"/>
    <w:rsid w:val="00556DB3"/>
    <w:rsid w:val="005572B3"/>
    <w:rsid w:val="00557349"/>
    <w:rsid w:val="00557385"/>
    <w:rsid w:val="00557414"/>
    <w:rsid w:val="005574AF"/>
    <w:rsid w:val="005574BD"/>
    <w:rsid w:val="0055753E"/>
    <w:rsid w:val="00557557"/>
    <w:rsid w:val="00557A41"/>
    <w:rsid w:val="00557E9B"/>
    <w:rsid w:val="00560081"/>
    <w:rsid w:val="00560099"/>
    <w:rsid w:val="00560A86"/>
    <w:rsid w:val="00560ACF"/>
    <w:rsid w:val="00560CE4"/>
    <w:rsid w:val="00560CF9"/>
    <w:rsid w:val="00561012"/>
    <w:rsid w:val="005615BC"/>
    <w:rsid w:val="005615BD"/>
    <w:rsid w:val="005615E0"/>
    <w:rsid w:val="005616EF"/>
    <w:rsid w:val="00561911"/>
    <w:rsid w:val="00561967"/>
    <w:rsid w:val="00561E28"/>
    <w:rsid w:val="00561F3C"/>
    <w:rsid w:val="00562012"/>
    <w:rsid w:val="005624BD"/>
    <w:rsid w:val="0056279E"/>
    <w:rsid w:val="00562820"/>
    <w:rsid w:val="00562840"/>
    <w:rsid w:val="005628EF"/>
    <w:rsid w:val="00562994"/>
    <w:rsid w:val="00562F3D"/>
    <w:rsid w:val="00562FAA"/>
    <w:rsid w:val="00562FBA"/>
    <w:rsid w:val="005630C7"/>
    <w:rsid w:val="00563673"/>
    <w:rsid w:val="0056370D"/>
    <w:rsid w:val="00563A49"/>
    <w:rsid w:val="00563AB1"/>
    <w:rsid w:val="00563D89"/>
    <w:rsid w:val="00563F02"/>
    <w:rsid w:val="00564018"/>
    <w:rsid w:val="0056413A"/>
    <w:rsid w:val="0056421D"/>
    <w:rsid w:val="00564275"/>
    <w:rsid w:val="00564383"/>
    <w:rsid w:val="00564542"/>
    <w:rsid w:val="005646F6"/>
    <w:rsid w:val="00564A5F"/>
    <w:rsid w:val="005652AF"/>
    <w:rsid w:val="005652B7"/>
    <w:rsid w:val="00565344"/>
    <w:rsid w:val="00565690"/>
    <w:rsid w:val="005657D1"/>
    <w:rsid w:val="005657F4"/>
    <w:rsid w:val="0056583F"/>
    <w:rsid w:val="00565AB8"/>
    <w:rsid w:val="005662DA"/>
    <w:rsid w:val="00566511"/>
    <w:rsid w:val="00566B33"/>
    <w:rsid w:val="00566F4F"/>
    <w:rsid w:val="00567294"/>
    <w:rsid w:val="00567556"/>
    <w:rsid w:val="0056781D"/>
    <w:rsid w:val="0056788C"/>
    <w:rsid w:val="00567C39"/>
    <w:rsid w:val="00567E35"/>
    <w:rsid w:val="00567F9B"/>
    <w:rsid w:val="00570286"/>
    <w:rsid w:val="005703E9"/>
    <w:rsid w:val="0057061D"/>
    <w:rsid w:val="0057075C"/>
    <w:rsid w:val="0057098B"/>
    <w:rsid w:val="00570A3B"/>
    <w:rsid w:val="00570C0E"/>
    <w:rsid w:val="00570EE4"/>
    <w:rsid w:val="00570F1A"/>
    <w:rsid w:val="00571127"/>
    <w:rsid w:val="0057134E"/>
    <w:rsid w:val="00571362"/>
    <w:rsid w:val="005714CF"/>
    <w:rsid w:val="005714E5"/>
    <w:rsid w:val="00571679"/>
    <w:rsid w:val="00571C8F"/>
    <w:rsid w:val="00571FE2"/>
    <w:rsid w:val="005720A2"/>
    <w:rsid w:val="00572374"/>
    <w:rsid w:val="0057259C"/>
    <w:rsid w:val="00572727"/>
    <w:rsid w:val="00572931"/>
    <w:rsid w:val="00572B80"/>
    <w:rsid w:val="00572BD4"/>
    <w:rsid w:val="00572D84"/>
    <w:rsid w:val="005730CA"/>
    <w:rsid w:val="00573353"/>
    <w:rsid w:val="00573609"/>
    <w:rsid w:val="005736AE"/>
    <w:rsid w:val="00573701"/>
    <w:rsid w:val="0057402B"/>
    <w:rsid w:val="0057420E"/>
    <w:rsid w:val="00574214"/>
    <w:rsid w:val="005743FD"/>
    <w:rsid w:val="00574472"/>
    <w:rsid w:val="00574503"/>
    <w:rsid w:val="00574764"/>
    <w:rsid w:val="0057488A"/>
    <w:rsid w:val="00574C19"/>
    <w:rsid w:val="00574FF8"/>
    <w:rsid w:val="00575051"/>
    <w:rsid w:val="00575144"/>
    <w:rsid w:val="00575181"/>
    <w:rsid w:val="0057531F"/>
    <w:rsid w:val="00575413"/>
    <w:rsid w:val="0057541F"/>
    <w:rsid w:val="005755DE"/>
    <w:rsid w:val="00575947"/>
    <w:rsid w:val="00575B35"/>
    <w:rsid w:val="00575BBE"/>
    <w:rsid w:val="00575DFA"/>
    <w:rsid w:val="00575E1C"/>
    <w:rsid w:val="00575F79"/>
    <w:rsid w:val="00576047"/>
    <w:rsid w:val="00576078"/>
    <w:rsid w:val="00576399"/>
    <w:rsid w:val="005764B4"/>
    <w:rsid w:val="00576555"/>
    <w:rsid w:val="0057667C"/>
    <w:rsid w:val="00576AAD"/>
    <w:rsid w:val="00576DBA"/>
    <w:rsid w:val="00576ED1"/>
    <w:rsid w:val="005770A9"/>
    <w:rsid w:val="005775F4"/>
    <w:rsid w:val="005776D8"/>
    <w:rsid w:val="00577ADE"/>
    <w:rsid w:val="00577C2B"/>
    <w:rsid w:val="00577EE0"/>
    <w:rsid w:val="005804A8"/>
    <w:rsid w:val="005804D9"/>
    <w:rsid w:val="00580812"/>
    <w:rsid w:val="005808E9"/>
    <w:rsid w:val="00580B3E"/>
    <w:rsid w:val="00580B76"/>
    <w:rsid w:val="00580D5A"/>
    <w:rsid w:val="00580D85"/>
    <w:rsid w:val="00580F7E"/>
    <w:rsid w:val="00581586"/>
    <w:rsid w:val="005817AD"/>
    <w:rsid w:val="00581949"/>
    <w:rsid w:val="005819FB"/>
    <w:rsid w:val="00581B08"/>
    <w:rsid w:val="00581E3F"/>
    <w:rsid w:val="00581EC3"/>
    <w:rsid w:val="00582296"/>
    <w:rsid w:val="0058249C"/>
    <w:rsid w:val="005824EC"/>
    <w:rsid w:val="0058269C"/>
    <w:rsid w:val="005828F7"/>
    <w:rsid w:val="00582B71"/>
    <w:rsid w:val="00582D03"/>
    <w:rsid w:val="005834E9"/>
    <w:rsid w:val="00583574"/>
    <w:rsid w:val="0058358D"/>
    <w:rsid w:val="0058377F"/>
    <w:rsid w:val="00583AFB"/>
    <w:rsid w:val="00583B2F"/>
    <w:rsid w:val="00583B45"/>
    <w:rsid w:val="00583BFF"/>
    <w:rsid w:val="00583C4E"/>
    <w:rsid w:val="00583FC3"/>
    <w:rsid w:val="0058426E"/>
    <w:rsid w:val="005843F9"/>
    <w:rsid w:val="00584491"/>
    <w:rsid w:val="005844EA"/>
    <w:rsid w:val="0058489D"/>
    <w:rsid w:val="00584914"/>
    <w:rsid w:val="0058498D"/>
    <w:rsid w:val="00584A98"/>
    <w:rsid w:val="00584E9D"/>
    <w:rsid w:val="005850D2"/>
    <w:rsid w:val="00585254"/>
    <w:rsid w:val="00585285"/>
    <w:rsid w:val="00585393"/>
    <w:rsid w:val="005853E7"/>
    <w:rsid w:val="0058540A"/>
    <w:rsid w:val="0058547D"/>
    <w:rsid w:val="00585632"/>
    <w:rsid w:val="0058592D"/>
    <w:rsid w:val="00586060"/>
    <w:rsid w:val="00586214"/>
    <w:rsid w:val="00586240"/>
    <w:rsid w:val="00586451"/>
    <w:rsid w:val="0058647F"/>
    <w:rsid w:val="00586750"/>
    <w:rsid w:val="0058697A"/>
    <w:rsid w:val="00586AA0"/>
    <w:rsid w:val="00586DFC"/>
    <w:rsid w:val="005870B1"/>
    <w:rsid w:val="0058728D"/>
    <w:rsid w:val="00587344"/>
    <w:rsid w:val="005873EE"/>
    <w:rsid w:val="0058741B"/>
    <w:rsid w:val="0058765A"/>
    <w:rsid w:val="00587917"/>
    <w:rsid w:val="00587CBF"/>
    <w:rsid w:val="00587FF2"/>
    <w:rsid w:val="00590079"/>
    <w:rsid w:val="005903A0"/>
    <w:rsid w:val="00590FCC"/>
    <w:rsid w:val="00591120"/>
    <w:rsid w:val="0059127E"/>
    <w:rsid w:val="00591D7C"/>
    <w:rsid w:val="00591EA5"/>
    <w:rsid w:val="00592640"/>
    <w:rsid w:val="0059266C"/>
    <w:rsid w:val="00592692"/>
    <w:rsid w:val="00592851"/>
    <w:rsid w:val="005929FB"/>
    <w:rsid w:val="00592B49"/>
    <w:rsid w:val="00592C39"/>
    <w:rsid w:val="00592C67"/>
    <w:rsid w:val="00592EFA"/>
    <w:rsid w:val="00592F23"/>
    <w:rsid w:val="00592F2E"/>
    <w:rsid w:val="005930CD"/>
    <w:rsid w:val="005933F5"/>
    <w:rsid w:val="00593641"/>
    <w:rsid w:val="00593B19"/>
    <w:rsid w:val="00593CC6"/>
    <w:rsid w:val="00593E26"/>
    <w:rsid w:val="00593EED"/>
    <w:rsid w:val="005943A8"/>
    <w:rsid w:val="00594795"/>
    <w:rsid w:val="00594889"/>
    <w:rsid w:val="0059494E"/>
    <w:rsid w:val="005949F1"/>
    <w:rsid w:val="00594A54"/>
    <w:rsid w:val="00594B22"/>
    <w:rsid w:val="00594B37"/>
    <w:rsid w:val="00594B9E"/>
    <w:rsid w:val="00594BF5"/>
    <w:rsid w:val="00594D5D"/>
    <w:rsid w:val="00594DC0"/>
    <w:rsid w:val="005953A7"/>
    <w:rsid w:val="00595AA1"/>
    <w:rsid w:val="00595EFE"/>
    <w:rsid w:val="005960FF"/>
    <w:rsid w:val="005967FE"/>
    <w:rsid w:val="00596D7A"/>
    <w:rsid w:val="00596DE2"/>
    <w:rsid w:val="00597063"/>
    <w:rsid w:val="005970FF"/>
    <w:rsid w:val="00597143"/>
    <w:rsid w:val="00597385"/>
    <w:rsid w:val="005974BE"/>
    <w:rsid w:val="005976AB"/>
    <w:rsid w:val="005976D6"/>
    <w:rsid w:val="00597A74"/>
    <w:rsid w:val="00597B3C"/>
    <w:rsid w:val="00597E7A"/>
    <w:rsid w:val="00597F20"/>
    <w:rsid w:val="005A0163"/>
    <w:rsid w:val="005A0424"/>
    <w:rsid w:val="005A05D2"/>
    <w:rsid w:val="005A0819"/>
    <w:rsid w:val="005A083E"/>
    <w:rsid w:val="005A0919"/>
    <w:rsid w:val="005A0D4C"/>
    <w:rsid w:val="005A0EA2"/>
    <w:rsid w:val="005A0EE6"/>
    <w:rsid w:val="005A1249"/>
    <w:rsid w:val="005A162F"/>
    <w:rsid w:val="005A184D"/>
    <w:rsid w:val="005A1A01"/>
    <w:rsid w:val="005A1AD2"/>
    <w:rsid w:val="005A1AD5"/>
    <w:rsid w:val="005A1AF6"/>
    <w:rsid w:val="005A1DFB"/>
    <w:rsid w:val="005A1F19"/>
    <w:rsid w:val="005A1F76"/>
    <w:rsid w:val="005A204A"/>
    <w:rsid w:val="005A207A"/>
    <w:rsid w:val="005A20AB"/>
    <w:rsid w:val="005A214C"/>
    <w:rsid w:val="005A266C"/>
    <w:rsid w:val="005A26C7"/>
    <w:rsid w:val="005A2949"/>
    <w:rsid w:val="005A2B2B"/>
    <w:rsid w:val="005A2BB1"/>
    <w:rsid w:val="005A2DC4"/>
    <w:rsid w:val="005A315B"/>
    <w:rsid w:val="005A322A"/>
    <w:rsid w:val="005A3486"/>
    <w:rsid w:val="005A34C9"/>
    <w:rsid w:val="005A3552"/>
    <w:rsid w:val="005A3B13"/>
    <w:rsid w:val="005A3D0B"/>
    <w:rsid w:val="005A3E7E"/>
    <w:rsid w:val="005A42E7"/>
    <w:rsid w:val="005A4468"/>
    <w:rsid w:val="005A4522"/>
    <w:rsid w:val="005A452C"/>
    <w:rsid w:val="005A45F8"/>
    <w:rsid w:val="005A4660"/>
    <w:rsid w:val="005A47A7"/>
    <w:rsid w:val="005A485B"/>
    <w:rsid w:val="005A4B36"/>
    <w:rsid w:val="005A4BF6"/>
    <w:rsid w:val="005A519E"/>
    <w:rsid w:val="005A548A"/>
    <w:rsid w:val="005A553F"/>
    <w:rsid w:val="005A55F6"/>
    <w:rsid w:val="005A580F"/>
    <w:rsid w:val="005A5D4A"/>
    <w:rsid w:val="005A600E"/>
    <w:rsid w:val="005A635A"/>
    <w:rsid w:val="005A63D8"/>
    <w:rsid w:val="005A6432"/>
    <w:rsid w:val="005A677F"/>
    <w:rsid w:val="005A685A"/>
    <w:rsid w:val="005A6D99"/>
    <w:rsid w:val="005A783C"/>
    <w:rsid w:val="005A7BED"/>
    <w:rsid w:val="005A7DD5"/>
    <w:rsid w:val="005A7DEF"/>
    <w:rsid w:val="005A7EAA"/>
    <w:rsid w:val="005A7F46"/>
    <w:rsid w:val="005B0018"/>
    <w:rsid w:val="005B0038"/>
    <w:rsid w:val="005B00DB"/>
    <w:rsid w:val="005B00E4"/>
    <w:rsid w:val="005B040F"/>
    <w:rsid w:val="005B0670"/>
    <w:rsid w:val="005B08B5"/>
    <w:rsid w:val="005B0912"/>
    <w:rsid w:val="005B0960"/>
    <w:rsid w:val="005B09CE"/>
    <w:rsid w:val="005B0CF0"/>
    <w:rsid w:val="005B0D35"/>
    <w:rsid w:val="005B0DCA"/>
    <w:rsid w:val="005B0DDD"/>
    <w:rsid w:val="005B0F93"/>
    <w:rsid w:val="005B12A8"/>
    <w:rsid w:val="005B141E"/>
    <w:rsid w:val="005B16E9"/>
    <w:rsid w:val="005B1861"/>
    <w:rsid w:val="005B189B"/>
    <w:rsid w:val="005B1952"/>
    <w:rsid w:val="005B1A4A"/>
    <w:rsid w:val="005B1B68"/>
    <w:rsid w:val="005B1B8A"/>
    <w:rsid w:val="005B2071"/>
    <w:rsid w:val="005B2522"/>
    <w:rsid w:val="005B29BC"/>
    <w:rsid w:val="005B2E55"/>
    <w:rsid w:val="005B2FF9"/>
    <w:rsid w:val="005B3018"/>
    <w:rsid w:val="005B304F"/>
    <w:rsid w:val="005B32EC"/>
    <w:rsid w:val="005B3408"/>
    <w:rsid w:val="005B3425"/>
    <w:rsid w:val="005B397D"/>
    <w:rsid w:val="005B3BD1"/>
    <w:rsid w:val="005B41A2"/>
    <w:rsid w:val="005B4355"/>
    <w:rsid w:val="005B48DA"/>
    <w:rsid w:val="005B4ABE"/>
    <w:rsid w:val="005B4B0D"/>
    <w:rsid w:val="005B4E18"/>
    <w:rsid w:val="005B4ECB"/>
    <w:rsid w:val="005B51E0"/>
    <w:rsid w:val="005B5214"/>
    <w:rsid w:val="005B5312"/>
    <w:rsid w:val="005B532E"/>
    <w:rsid w:val="005B53CE"/>
    <w:rsid w:val="005B540F"/>
    <w:rsid w:val="005B55D1"/>
    <w:rsid w:val="005B57AA"/>
    <w:rsid w:val="005B5937"/>
    <w:rsid w:val="005B5F39"/>
    <w:rsid w:val="005B6480"/>
    <w:rsid w:val="005B682E"/>
    <w:rsid w:val="005B68E1"/>
    <w:rsid w:val="005B69A4"/>
    <w:rsid w:val="005B6D54"/>
    <w:rsid w:val="005B714D"/>
    <w:rsid w:val="005B71F6"/>
    <w:rsid w:val="005B743C"/>
    <w:rsid w:val="005B74CA"/>
    <w:rsid w:val="005B7545"/>
    <w:rsid w:val="005B76AB"/>
    <w:rsid w:val="005B7961"/>
    <w:rsid w:val="005B7B3B"/>
    <w:rsid w:val="005B7CEB"/>
    <w:rsid w:val="005B7D64"/>
    <w:rsid w:val="005B7E1A"/>
    <w:rsid w:val="005B7F04"/>
    <w:rsid w:val="005C0098"/>
    <w:rsid w:val="005C009C"/>
    <w:rsid w:val="005C04F5"/>
    <w:rsid w:val="005C0897"/>
    <w:rsid w:val="005C08EA"/>
    <w:rsid w:val="005C0A1B"/>
    <w:rsid w:val="005C0D1A"/>
    <w:rsid w:val="005C0DA0"/>
    <w:rsid w:val="005C0FDF"/>
    <w:rsid w:val="005C1165"/>
    <w:rsid w:val="005C130B"/>
    <w:rsid w:val="005C1AE2"/>
    <w:rsid w:val="005C1BFC"/>
    <w:rsid w:val="005C1C81"/>
    <w:rsid w:val="005C1C99"/>
    <w:rsid w:val="005C1E0C"/>
    <w:rsid w:val="005C2441"/>
    <w:rsid w:val="005C24AB"/>
    <w:rsid w:val="005C2531"/>
    <w:rsid w:val="005C2654"/>
    <w:rsid w:val="005C26DC"/>
    <w:rsid w:val="005C2726"/>
    <w:rsid w:val="005C2C30"/>
    <w:rsid w:val="005C2C51"/>
    <w:rsid w:val="005C2E8F"/>
    <w:rsid w:val="005C3041"/>
    <w:rsid w:val="005C31AE"/>
    <w:rsid w:val="005C3322"/>
    <w:rsid w:val="005C3462"/>
    <w:rsid w:val="005C375D"/>
    <w:rsid w:val="005C3981"/>
    <w:rsid w:val="005C39B0"/>
    <w:rsid w:val="005C3C58"/>
    <w:rsid w:val="005C41B5"/>
    <w:rsid w:val="005C4209"/>
    <w:rsid w:val="005C428D"/>
    <w:rsid w:val="005C4324"/>
    <w:rsid w:val="005C4525"/>
    <w:rsid w:val="005C4B75"/>
    <w:rsid w:val="005C4F23"/>
    <w:rsid w:val="005C5097"/>
    <w:rsid w:val="005C5127"/>
    <w:rsid w:val="005C5155"/>
    <w:rsid w:val="005C5156"/>
    <w:rsid w:val="005C597B"/>
    <w:rsid w:val="005C5A01"/>
    <w:rsid w:val="005C5FBF"/>
    <w:rsid w:val="005C5FE1"/>
    <w:rsid w:val="005C6074"/>
    <w:rsid w:val="005C62F9"/>
    <w:rsid w:val="005C684D"/>
    <w:rsid w:val="005C68AC"/>
    <w:rsid w:val="005C69AA"/>
    <w:rsid w:val="005C69D2"/>
    <w:rsid w:val="005C6B8C"/>
    <w:rsid w:val="005C6BD6"/>
    <w:rsid w:val="005C6BDC"/>
    <w:rsid w:val="005C7201"/>
    <w:rsid w:val="005C780B"/>
    <w:rsid w:val="005C788F"/>
    <w:rsid w:val="005C7B2E"/>
    <w:rsid w:val="005D0107"/>
    <w:rsid w:val="005D0198"/>
    <w:rsid w:val="005D0199"/>
    <w:rsid w:val="005D01A6"/>
    <w:rsid w:val="005D01E5"/>
    <w:rsid w:val="005D03B7"/>
    <w:rsid w:val="005D0C03"/>
    <w:rsid w:val="005D0CBD"/>
    <w:rsid w:val="005D0DBC"/>
    <w:rsid w:val="005D0FCD"/>
    <w:rsid w:val="005D1340"/>
    <w:rsid w:val="005D1420"/>
    <w:rsid w:val="005D154A"/>
    <w:rsid w:val="005D15CD"/>
    <w:rsid w:val="005D1CCB"/>
    <w:rsid w:val="005D1FE9"/>
    <w:rsid w:val="005D20DC"/>
    <w:rsid w:val="005D23E5"/>
    <w:rsid w:val="005D253D"/>
    <w:rsid w:val="005D2BD1"/>
    <w:rsid w:val="005D2F1A"/>
    <w:rsid w:val="005D3258"/>
    <w:rsid w:val="005D346A"/>
    <w:rsid w:val="005D370E"/>
    <w:rsid w:val="005D37D3"/>
    <w:rsid w:val="005D3F89"/>
    <w:rsid w:val="005D42CA"/>
    <w:rsid w:val="005D42F4"/>
    <w:rsid w:val="005D44BE"/>
    <w:rsid w:val="005D44F2"/>
    <w:rsid w:val="005D497A"/>
    <w:rsid w:val="005D4A17"/>
    <w:rsid w:val="005D4B35"/>
    <w:rsid w:val="005D51AB"/>
    <w:rsid w:val="005D555A"/>
    <w:rsid w:val="005D5629"/>
    <w:rsid w:val="005D58C0"/>
    <w:rsid w:val="005D58D5"/>
    <w:rsid w:val="005D5A79"/>
    <w:rsid w:val="005D5BF1"/>
    <w:rsid w:val="005D5C80"/>
    <w:rsid w:val="005D5D0A"/>
    <w:rsid w:val="005D6194"/>
    <w:rsid w:val="005D630A"/>
    <w:rsid w:val="005D652B"/>
    <w:rsid w:val="005D6A31"/>
    <w:rsid w:val="005D6ACE"/>
    <w:rsid w:val="005D6D13"/>
    <w:rsid w:val="005D6D8F"/>
    <w:rsid w:val="005D6E7F"/>
    <w:rsid w:val="005D6F74"/>
    <w:rsid w:val="005D75FB"/>
    <w:rsid w:val="005D770D"/>
    <w:rsid w:val="005D7847"/>
    <w:rsid w:val="005D78A5"/>
    <w:rsid w:val="005D7AEA"/>
    <w:rsid w:val="005D7C7B"/>
    <w:rsid w:val="005E0397"/>
    <w:rsid w:val="005E03FE"/>
    <w:rsid w:val="005E08A2"/>
    <w:rsid w:val="005E0A93"/>
    <w:rsid w:val="005E0D8F"/>
    <w:rsid w:val="005E0D93"/>
    <w:rsid w:val="005E0DF7"/>
    <w:rsid w:val="005E1570"/>
    <w:rsid w:val="005E166B"/>
    <w:rsid w:val="005E176A"/>
    <w:rsid w:val="005E1C38"/>
    <w:rsid w:val="005E22F2"/>
    <w:rsid w:val="005E2319"/>
    <w:rsid w:val="005E2512"/>
    <w:rsid w:val="005E260B"/>
    <w:rsid w:val="005E26DE"/>
    <w:rsid w:val="005E275A"/>
    <w:rsid w:val="005E27B6"/>
    <w:rsid w:val="005E27F2"/>
    <w:rsid w:val="005E2996"/>
    <w:rsid w:val="005E2B9E"/>
    <w:rsid w:val="005E2D40"/>
    <w:rsid w:val="005E2FB1"/>
    <w:rsid w:val="005E3057"/>
    <w:rsid w:val="005E31E5"/>
    <w:rsid w:val="005E3388"/>
    <w:rsid w:val="005E340C"/>
    <w:rsid w:val="005E3460"/>
    <w:rsid w:val="005E3503"/>
    <w:rsid w:val="005E36A4"/>
    <w:rsid w:val="005E375E"/>
    <w:rsid w:val="005E375F"/>
    <w:rsid w:val="005E3861"/>
    <w:rsid w:val="005E3963"/>
    <w:rsid w:val="005E39B4"/>
    <w:rsid w:val="005E3A7C"/>
    <w:rsid w:val="005E3B18"/>
    <w:rsid w:val="005E3B82"/>
    <w:rsid w:val="005E3E24"/>
    <w:rsid w:val="005E3FEF"/>
    <w:rsid w:val="005E419D"/>
    <w:rsid w:val="005E41ED"/>
    <w:rsid w:val="005E43BB"/>
    <w:rsid w:val="005E46A0"/>
    <w:rsid w:val="005E48C8"/>
    <w:rsid w:val="005E4CB3"/>
    <w:rsid w:val="005E4E2D"/>
    <w:rsid w:val="005E4E48"/>
    <w:rsid w:val="005E4E6B"/>
    <w:rsid w:val="005E5098"/>
    <w:rsid w:val="005E50C3"/>
    <w:rsid w:val="005E53F7"/>
    <w:rsid w:val="005E5568"/>
    <w:rsid w:val="005E55FA"/>
    <w:rsid w:val="005E5786"/>
    <w:rsid w:val="005E57A8"/>
    <w:rsid w:val="005E592D"/>
    <w:rsid w:val="005E59F9"/>
    <w:rsid w:val="005E5AE9"/>
    <w:rsid w:val="005E5CE3"/>
    <w:rsid w:val="005E5F36"/>
    <w:rsid w:val="005E6045"/>
    <w:rsid w:val="005E64A4"/>
    <w:rsid w:val="005E65ED"/>
    <w:rsid w:val="005E68F7"/>
    <w:rsid w:val="005E6AEF"/>
    <w:rsid w:val="005E6DD1"/>
    <w:rsid w:val="005E700A"/>
    <w:rsid w:val="005E7061"/>
    <w:rsid w:val="005E7100"/>
    <w:rsid w:val="005E7202"/>
    <w:rsid w:val="005E762B"/>
    <w:rsid w:val="005E7781"/>
    <w:rsid w:val="005E7790"/>
    <w:rsid w:val="005E77E6"/>
    <w:rsid w:val="005E78C1"/>
    <w:rsid w:val="005E791A"/>
    <w:rsid w:val="005E7AFE"/>
    <w:rsid w:val="005E7C45"/>
    <w:rsid w:val="005E7D83"/>
    <w:rsid w:val="005E7F0B"/>
    <w:rsid w:val="005F00BF"/>
    <w:rsid w:val="005F02E0"/>
    <w:rsid w:val="005F0450"/>
    <w:rsid w:val="005F046A"/>
    <w:rsid w:val="005F0494"/>
    <w:rsid w:val="005F06D9"/>
    <w:rsid w:val="005F0968"/>
    <w:rsid w:val="005F0A74"/>
    <w:rsid w:val="005F0F71"/>
    <w:rsid w:val="005F0F92"/>
    <w:rsid w:val="005F11D3"/>
    <w:rsid w:val="005F1203"/>
    <w:rsid w:val="005F1457"/>
    <w:rsid w:val="005F1878"/>
    <w:rsid w:val="005F1BCB"/>
    <w:rsid w:val="005F1C9A"/>
    <w:rsid w:val="005F1CA0"/>
    <w:rsid w:val="005F1EB2"/>
    <w:rsid w:val="005F1ED1"/>
    <w:rsid w:val="005F219A"/>
    <w:rsid w:val="005F24DF"/>
    <w:rsid w:val="005F24E1"/>
    <w:rsid w:val="005F27F1"/>
    <w:rsid w:val="005F2866"/>
    <w:rsid w:val="005F2870"/>
    <w:rsid w:val="005F289E"/>
    <w:rsid w:val="005F2983"/>
    <w:rsid w:val="005F2AA8"/>
    <w:rsid w:val="005F2B69"/>
    <w:rsid w:val="005F3068"/>
    <w:rsid w:val="005F3215"/>
    <w:rsid w:val="005F33EF"/>
    <w:rsid w:val="005F3AE3"/>
    <w:rsid w:val="005F3B22"/>
    <w:rsid w:val="005F40D2"/>
    <w:rsid w:val="005F4257"/>
    <w:rsid w:val="005F4389"/>
    <w:rsid w:val="005F43BE"/>
    <w:rsid w:val="005F4479"/>
    <w:rsid w:val="005F44EE"/>
    <w:rsid w:val="005F45D1"/>
    <w:rsid w:val="005F45D4"/>
    <w:rsid w:val="005F4854"/>
    <w:rsid w:val="005F49C8"/>
    <w:rsid w:val="005F4A71"/>
    <w:rsid w:val="005F4A82"/>
    <w:rsid w:val="005F4B7B"/>
    <w:rsid w:val="005F4B91"/>
    <w:rsid w:val="005F4BCA"/>
    <w:rsid w:val="005F514B"/>
    <w:rsid w:val="005F56A9"/>
    <w:rsid w:val="005F56C9"/>
    <w:rsid w:val="005F57FA"/>
    <w:rsid w:val="005F5A13"/>
    <w:rsid w:val="005F5C1D"/>
    <w:rsid w:val="005F5C9A"/>
    <w:rsid w:val="005F5D09"/>
    <w:rsid w:val="005F5D9F"/>
    <w:rsid w:val="005F60A5"/>
    <w:rsid w:val="005F6148"/>
    <w:rsid w:val="005F62A0"/>
    <w:rsid w:val="005F6507"/>
    <w:rsid w:val="005F65F9"/>
    <w:rsid w:val="005F6845"/>
    <w:rsid w:val="005F6FD1"/>
    <w:rsid w:val="005F6FD7"/>
    <w:rsid w:val="005F6FF0"/>
    <w:rsid w:val="005F71E6"/>
    <w:rsid w:val="005F73E4"/>
    <w:rsid w:val="005F74E4"/>
    <w:rsid w:val="005F7780"/>
    <w:rsid w:val="005F781C"/>
    <w:rsid w:val="005F7ABE"/>
    <w:rsid w:val="005F7CE7"/>
    <w:rsid w:val="005F7EDB"/>
    <w:rsid w:val="005F7F36"/>
    <w:rsid w:val="006004C5"/>
    <w:rsid w:val="0060071D"/>
    <w:rsid w:val="00600848"/>
    <w:rsid w:val="0060086A"/>
    <w:rsid w:val="00600A65"/>
    <w:rsid w:val="00600B93"/>
    <w:rsid w:val="00600D50"/>
    <w:rsid w:val="00600F0F"/>
    <w:rsid w:val="0060109B"/>
    <w:rsid w:val="006019CC"/>
    <w:rsid w:val="00601AF6"/>
    <w:rsid w:val="006020B2"/>
    <w:rsid w:val="00602215"/>
    <w:rsid w:val="00602398"/>
    <w:rsid w:val="006025D8"/>
    <w:rsid w:val="00602643"/>
    <w:rsid w:val="006026CF"/>
    <w:rsid w:val="006027AE"/>
    <w:rsid w:val="006027E6"/>
    <w:rsid w:val="00602840"/>
    <w:rsid w:val="00602E03"/>
    <w:rsid w:val="00602EE6"/>
    <w:rsid w:val="00603296"/>
    <w:rsid w:val="0060382D"/>
    <w:rsid w:val="0060390C"/>
    <w:rsid w:val="0060392E"/>
    <w:rsid w:val="00603A4E"/>
    <w:rsid w:val="00603B5F"/>
    <w:rsid w:val="00603BF9"/>
    <w:rsid w:val="00603C99"/>
    <w:rsid w:val="00603D2E"/>
    <w:rsid w:val="00603E3A"/>
    <w:rsid w:val="00603ECA"/>
    <w:rsid w:val="00603EE1"/>
    <w:rsid w:val="00604625"/>
    <w:rsid w:val="0060496E"/>
    <w:rsid w:val="00604AEC"/>
    <w:rsid w:val="00604CB0"/>
    <w:rsid w:val="00604E51"/>
    <w:rsid w:val="00605016"/>
    <w:rsid w:val="006051BA"/>
    <w:rsid w:val="00605253"/>
    <w:rsid w:val="00605458"/>
    <w:rsid w:val="006057C1"/>
    <w:rsid w:val="00605840"/>
    <w:rsid w:val="00605CA0"/>
    <w:rsid w:val="0060601D"/>
    <w:rsid w:val="00606264"/>
    <w:rsid w:val="00606453"/>
    <w:rsid w:val="006067C2"/>
    <w:rsid w:val="00606833"/>
    <w:rsid w:val="006069C0"/>
    <w:rsid w:val="006069C1"/>
    <w:rsid w:val="006069EB"/>
    <w:rsid w:val="00606AFD"/>
    <w:rsid w:val="00606B94"/>
    <w:rsid w:val="00606C84"/>
    <w:rsid w:val="00606DED"/>
    <w:rsid w:val="00606E4F"/>
    <w:rsid w:val="0060707E"/>
    <w:rsid w:val="00607773"/>
    <w:rsid w:val="0060784B"/>
    <w:rsid w:val="00607E66"/>
    <w:rsid w:val="00610070"/>
    <w:rsid w:val="006102C2"/>
    <w:rsid w:val="0061054A"/>
    <w:rsid w:val="006106BD"/>
    <w:rsid w:val="006108A3"/>
    <w:rsid w:val="00610BB6"/>
    <w:rsid w:val="00610E91"/>
    <w:rsid w:val="006115F2"/>
    <w:rsid w:val="0061170F"/>
    <w:rsid w:val="0061183A"/>
    <w:rsid w:val="0061187F"/>
    <w:rsid w:val="00611CD6"/>
    <w:rsid w:val="00611DF5"/>
    <w:rsid w:val="00611E91"/>
    <w:rsid w:val="006120FC"/>
    <w:rsid w:val="00612158"/>
    <w:rsid w:val="00612436"/>
    <w:rsid w:val="006127A3"/>
    <w:rsid w:val="006129DE"/>
    <w:rsid w:val="00613331"/>
    <w:rsid w:val="00613768"/>
    <w:rsid w:val="00613972"/>
    <w:rsid w:val="00613B2D"/>
    <w:rsid w:val="00614379"/>
    <w:rsid w:val="006143BD"/>
    <w:rsid w:val="00614434"/>
    <w:rsid w:val="006146A0"/>
    <w:rsid w:val="006154CF"/>
    <w:rsid w:val="006156A2"/>
    <w:rsid w:val="00615A56"/>
    <w:rsid w:val="00615B25"/>
    <w:rsid w:val="00615BB6"/>
    <w:rsid w:val="00615E42"/>
    <w:rsid w:val="0061600B"/>
    <w:rsid w:val="0061608F"/>
    <w:rsid w:val="0061622D"/>
    <w:rsid w:val="00616280"/>
    <w:rsid w:val="006166FD"/>
    <w:rsid w:val="006168DB"/>
    <w:rsid w:val="00616C60"/>
    <w:rsid w:val="006172AA"/>
    <w:rsid w:val="006173D6"/>
    <w:rsid w:val="00617708"/>
    <w:rsid w:val="00617A6D"/>
    <w:rsid w:val="00617AC0"/>
    <w:rsid w:val="00617B21"/>
    <w:rsid w:val="00617BA2"/>
    <w:rsid w:val="00617E32"/>
    <w:rsid w:val="00617EBA"/>
    <w:rsid w:val="0062018E"/>
    <w:rsid w:val="0062029B"/>
    <w:rsid w:val="00620357"/>
    <w:rsid w:val="006204F0"/>
    <w:rsid w:val="0062069A"/>
    <w:rsid w:val="006206B4"/>
    <w:rsid w:val="00620865"/>
    <w:rsid w:val="0062087E"/>
    <w:rsid w:val="00620AAD"/>
    <w:rsid w:val="00620B6F"/>
    <w:rsid w:val="00620C87"/>
    <w:rsid w:val="00620D9B"/>
    <w:rsid w:val="00620E9C"/>
    <w:rsid w:val="0062117F"/>
    <w:rsid w:val="00621248"/>
    <w:rsid w:val="006219AD"/>
    <w:rsid w:val="00621A71"/>
    <w:rsid w:val="00621ED8"/>
    <w:rsid w:val="006221AF"/>
    <w:rsid w:val="006221D0"/>
    <w:rsid w:val="0062234B"/>
    <w:rsid w:val="0062244D"/>
    <w:rsid w:val="00622529"/>
    <w:rsid w:val="006225B1"/>
    <w:rsid w:val="0062267B"/>
    <w:rsid w:val="006226F6"/>
    <w:rsid w:val="006227A8"/>
    <w:rsid w:val="006227ED"/>
    <w:rsid w:val="00622A3F"/>
    <w:rsid w:val="00622AC0"/>
    <w:rsid w:val="00622BEE"/>
    <w:rsid w:val="0062310B"/>
    <w:rsid w:val="0062355E"/>
    <w:rsid w:val="00623660"/>
    <w:rsid w:val="00623769"/>
    <w:rsid w:val="0062376A"/>
    <w:rsid w:val="006239A6"/>
    <w:rsid w:val="00623B8C"/>
    <w:rsid w:val="00623E38"/>
    <w:rsid w:val="00624086"/>
    <w:rsid w:val="00624631"/>
    <w:rsid w:val="00624DAD"/>
    <w:rsid w:val="0062504D"/>
    <w:rsid w:val="006251D4"/>
    <w:rsid w:val="0062522D"/>
    <w:rsid w:val="006253C4"/>
    <w:rsid w:val="0062551B"/>
    <w:rsid w:val="006259F7"/>
    <w:rsid w:val="00625BA5"/>
    <w:rsid w:val="00625D49"/>
    <w:rsid w:val="0062627F"/>
    <w:rsid w:val="006265B8"/>
    <w:rsid w:val="0062666B"/>
    <w:rsid w:val="00626784"/>
    <w:rsid w:val="006267B3"/>
    <w:rsid w:val="0062695F"/>
    <w:rsid w:val="00626968"/>
    <w:rsid w:val="00626F98"/>
    <w:rsid w:val="006271D8"/>
    <w:rsid w:val="006273F4"/>
    <w:rsid w:val="006275FC"/>
    <w:rsid w:val="006276CA"/>
    <w:rsid w:val="00627847"/>
    <w:rsid w:val="00627947"/>
    <w:rsid w:val="00627980"/>
    <w:rsid w:val="00627A39"/>
    <w:rsid w:val="00627B60"/>
    <w:rsid w:val="00627E98"/>
    <w:rsid w:val="00630327"/>
    <w:rsid w:val="006306A9"/>
    <w:rsid w:val="006306D4"/>
    <w:rsid w:val="006308F8"/>
    <w:rsid w:val="00630A5F"/>
    <w:rsid w:val="00630AA9"/>
    <w:rsid w:val="00630D37"/>
    <w:rsid w:val="00630D51"/>
    <w:rsid w:val="00630DF2"/>
    <w:rsid w:val="00630EEB"/>
    <w:rsid w:val="00630F07"/>
    <w:rsid w:val="00630F3C"/>
    <w:rsid w:val="00630F6A"/>
    <w:rsid w:val="0063139B"/>
    <w:rsid w:val="00631849"/>
    <w:rsid w:val="00631987"/>
    <w:rsid w:val="00631B46"/>
    <w:rsid w:val="00632048"/>
    <w:rsid w:val="006322B0"/>
    <w:rsid w:val="00632388"/>
    <w:rsid w:val="006323C7"/>
    <w:rsid w:val="00632519"/>
    <w:rsid w:val="00632C17"/>
    <w:rsid w:val="00632FCB"/>
    <w:rsid w:val="0063310B"/>
    <w:rsid w:val="006331B3"/>
    <w:rsid w:val="00633AA5"/>
    <w:rsid w:val="00633E65"/>
    <w:rsid w:val="00633EFB"/>
    <w:rsid w:val="00634077"/>
    <w:rsid w:val="006342B4"/>
    <w:rsid w:val="00634774"/>
    <w:rsid w:val="00634A44"/>
    <w:rsid w:val="00635A17"/>
    <w:rsid w:val="00635A86"/>
    <w:rsid w:val="00635B44"/>
    <w:rsid w:val="00635D1F"/>
    <w:rsid w:val="006362F7"/>
    <w:rsid w:val="006364E6"/>
    <w:rsid w:val="00636E66"/>
    <w:rsid w:val="00636F2E"/>
    <w:rsid w:val="00636FC6"/>
    <w:rsid w:val="00637084"/>
    <w:rsid w:val="006371A3"/>
    <w:rsid w:val="006379E0"/>
    <w:rsid w:val="00637A0F"/>
    <w:rsid w:val="00637AEA"/>
    <w:rsid w:val="00637BE9"/>
    <w:rsid w:val="00637F49"/>
    <w:rsid w:val="00637F54"/>
    <w:rsid w:val="00640030"/>
    <w:rsid w:val="006403DE"/>
    <w:rsid w:val="00640613"/>
    <w:rsid w:val="00640848"/>
    <w:rsid w:val="00640866"/>
    <w:rsid w:val="00640871"/>
    <w:rsid w:val="00640A20"/>
    <w:rsid w:val="00640AAD"/>
    <w:rsid w:val="00640C68"/>
    <w:rsid w:val="00641073"/>
    <w:rsid w:val="00641295"/>
    <w:rsid w:val="006413FB"/>
    <w:rsid w:val="0064168F"/>
    <w:rsid w:val="006418F0"/>
    <w:rsid w:val="00641AC9"/>
    <w:rsid w:val="00641B1C"/>
    <w:rsid w:val="00641B61"/>
    <w:rsid w:val="00641B74"/>
    <w:rsid w:val="00641BFA"/>
    <w:rsid w:val="00641CAD"/>
    <w:rsid w:val="00642045"/>
    <w:rsid w:val="0064219E"/>
    <w:rsid w:val="006421F6"/>
    <w:rsid w:val="006422DB"/>
    <w:rsid w:val="00642730"/>
    <w:rsid w:val="00642905"/>
    <w:rsid w:val="00642ED1"/>
    <w:rsid w:val="00643700"/>
    <w:rsid w:val="006437DC"/>
    <w:rsid w:val="00643A1E"/>
    <w:rsid w:val="00643E05"/>
    <w:rsid w:val="00643E38"/>
    <w:rsid w:val="006440CD"/>
    <w:rsid w:val="006440FC"/>
    <w:rsid w:val="00644108"/>
    <w:rsid w:val="0064448B"/>
    <w:rsid w:val="00644584"/>
    <w:rsid w:val="00644608"/>
    <w:rsid w:val="00644715"/>
    <w:rsid w:val="006448A1"/>
    <w:rsid w:val="0064496D"/>
    <w:rsid w:val="006449C7"/>
    <w:rsid w:val="00644C33"/>
    <w:rsid w:val="00644E20"/>
    <w:rsid w:val="00644EF4"/>
    <w:rsid w:val="006452A6"/>
    <w:rsid w:val="006455D4"/>
    <w:rsid w:val="006456B6"/>
    <w:rsid w:val="00645703"/>
    <w:rsid w:val="006457C7"/>
    <w:rsid w:val="00645A03"/>
    <w:rsid w:val="00645B26"/>
    <w:rsid w:val="00645BC6"/>
    <w:rsid w:val="00645CC8"/>
    <w:rsid w:val="00645DB2"/>
    <w:rsid w:val="00646165"/>
    <w:rsid w:val="00646D85"/>
    <w:rsid w:val="00646E94"/>
    <w:rsid w:val="00647083"/>
    <w:rsid w:val="00647490"/>
    <w:rsid w:val="00647639"/>
    <w:rsid w:val="0064771D"/>
    <w:rsid w:val="00647729"/>
    <w:rsid w:val="006477DE"/>
    <w:rsid w:val="00647801"/>
    <w:rsid w:val="00647834"/>
    <w:rsid w:val="00647B4F"/>
    <w:rsid w:val="00647D38"/>
    <w:rsid w:val="0065012A"/>
    <w:rsid w:val="006502D9"/>
    <w:rsid w:val="00650416"/>
    <w:rsid w:val="006507A2"/>
    <w:rsid w:val="006508C2"/>
    <w:rsid w:val="0065095F"/>
    <w:rsid w:val="00650B79"/>
    <w:rsid w:val="00650C2E"/>
    <w:rsid w:val="00650EAF"/>
    <w:rsid w:val="0065121C"/>
    <w:rsid w:val="006512EF"/>
    <w:rsid w:val="006513AC"/>
    <w:rsid w:val="00651463"/>
    <w:rsid w:val="006517F1"/>
    <w:rsid w:val="006518C9"/>
    <w:rsid w:val="00651996"/>
    <w:rsid w:val="00651A67"/>
    <w:rsid w:val="00651CE8"/>
    <w:rsid w:val="006520F6"/>
    <w:rsid w:val="00652107"/>
    <w:rsid w:val="00652162"/>
    <w:rsid w:val="0065233F"/>
    <w:rsid w:val="006525BF"/>
    <w:rsid w:val="006525E1"/>
    <w:rsid w:val="006526BE"/>
    <w:rsid w:val="006526CB"/>
    <w:rsid w:val="006526FD"/>
    <w:rsid w:val="006527DE"/>
    <w:rsid w:val="00652B69"/>
    <w:rsid w:val="00652BB6"/>
    <w:rsid w:val="00652E54"/>
    <w:rsid w:val="00653427"/>
    <w:rsid w:val="00653736"/>
    <w:rsid w:val="006537CC"/>
    <w:rsid w:val="006538E5"/>
    <w:rsid w:val="00653C88"/>
    <w:rsid w:val="00654C45"/>
    <w:rsid w:val="0065532B"/>
    <w:rsid w:val="006556F8"/>
    <w:rsid w:val="00655709"/>
    <w:rsid w:val="00655793"/>
    <w:rsid w:val="006558DE"/>
    <w:rsid w:val="00656807"/>
    <w:rsid w:val="006569F0"/>
    <w:rsid w:val="00656A08"/>
    <w:rsid w:val="00656EE9"/>
    <w:rsid w:val="00656F7F"/>
    <w:rsid w:val="0065706E"/>
    <w:rsid w:val="006570D6"/>
    <w:rsid w:val="00657619"/>
    <w:rsid w:val="006577AE"/>
    <w:rsid w:val="00657883"/>
    <w:rsid w:val="00657B4F"/>
    <w:rsid w:val="00657D0D"/>
    <w:rsid w:val="00657E5E"/>
    <w:rsid w:val="006601D5"/>
    <w:rsid w:val="006601E2"/>
    <w:rsid w:val="00660232"/>
    <w:rsid w:val="00660453"/>
    <w:rsid w:val="00660511"/>
    <w:rsid w:val="006605A3"/>
    <w:rsid w:val="006605F6"/>
    <w:rsid w:val="00660BA2"/>
    <w:rsid w:val="006615C1"/>
    <w:rsid w:val="0066174C"/>
    <w:rsid w:val="00661848"/>
    <w:rsid w:val="00661BAE"/>
    <w:rsid w:val="00661D8D"/>
    <w:rsid w:val="0066202E"/>
    <w:rsid w:val="00662594"/>
    <w:rsid w:val="006626B7"/>
    <w:rsid w:val="006629A0"/>
    <w:rsid w:val="00662A70"/>
    <w:rsid w:val="00662F3A"/>
    <w:rsid w:val="00662FBD"/>
    <w:rsid w:val="0066303E"/>
    <w:rsid w:val="00663097"/>
    <w:rsid w:val="00663165"/>
    <w:rsid w:val="00663346"/>
    <w:rsid w:val="00663384"/>
    <w:rsid w:val="006633A9"/>
    <w:rsid w:val="006633EA"/>
    <w:rsid w:val="006635A6"/>
    <w:rsid w:val="006635D8"/>
    <w:rsid w:val="00663628"/>
    <w:rsid w:val="0066366D"/>
    <w:rsid w:val="00663913"/>
    <w:rsid w:val="00663A6D"/>
    <w:rsid w:val="00663B48"/>
    <w:rsid w:val="00663C35"/>
    <w:rsid w:val="00663F45"/>
    <w:rsid w:val="0066420E"/>
    <w:rsid w:val="00664446"/>
    <w:rsid w:val="00664644"/>
    <w:rsid w:val="00664970"/>
    <w:rsid w:val="0066498F"/>
    <w:rsid w:val="00664A64"/>
    <w:rsid w:val="00664BA5"/>
    <w:rsid w:val="00664C56"/>
    <w:rsid w:val="00664D5C"/>
    <w:rsid w:val="00664DD2"/>
    <w:rsid w:val="00664FCB"/>
    <w:rsid w:val="00665019"/>
    <w:rsid w:val="00665386"/>
    <w:rsid w:val="006654DA"/>
    <w:rsid w:val="00665631"/>
    <w:rsid w:val="00665766"/>
    <w:rsid w:val="00665A4F"/>
    <w:rsid w:val="00665A6F"/>
    <w:rsid w:val="00665AF9"/>
    <w:rsid w:val="00665B32"/>
    <w:rsid w:val="006660D0"/>
    <w:rsid w:val="00666426"/>
    <w:rsid w:val="00666903"/>
    <w:rsid w:val="00666A2F"/>
    <w:rsid w:val="00666AAA"/>
    <w:rsid w:val="00666B84"/>
    <w:rsid w:val="00666E48"/>
    <w:rsid w:val="00666F63"/>
    <w:rsid w:val="0066719A"/>
    <w:rsid w:val="00667389"/>
    <w:rsid w:val="00667505"/>
    <w:rsid w:val="00667594"/>
    <w:rsid w:val="00667C26"/>
    <w:rsid w:val="006700D4"/>
    <w:rsid w:val="006701D0"/>
    <w:rsid w:val="00670252"/>
    <w:rsid w:val="006704EA"/>
    <w:rsid w:val="006704F2"/>
    <w:rsid w:val="006705A8"/>
    <w:rsid w:val="0067077B"/>
    <w:rsid w:val="006708AB"/>
    <w:rsid w:val="00670931"/>
    <w:rsid w:val="00670EC1"/>
    <w:rsid w:val="00670F01"/>
    <w:rsid w:val="00670FC2"/>
    <w:rsid w:val="00671092"/>
    <w:rsid w:val="00671277"/>
    <w:rsid w:val="00671527"/>
    <w:rsid w:val="006716D8"/>
    <w:rsid w:val="006716E6"/>
    <w:rsid w:val="0067197C"/>
    <w:rsid w:val="006721A8"/>
    <w:rsid w:val="00672208"/>
    <w:rsid w:val="006723B2"/>
    <w:rsid w:val="006725D5"/>
    <w:rsid w:val="006725EC"/>
    <w:rsid w:val="0067268F"/>
    <w:rsid w:val="006727DF"/>
    <w:rsid w:val="00672937"/>
    <w:rsid w:val="00672E22"/>
    <w:rsid w:val="00672E5F"/>
    <w:rsid w:val="00672F88"/>
    <w:rsid w:val="006730E4"/>
    <w:rsid w:val="00673131"/>
    <w:rsid w:val="00673191"/>
    <w:rsid w:val="0067323C"/>
    <w:rsid w:val="00673527"/>
    <w:rsid w:val="006735C6"/>
    <w:rsid w:val="00673A4F"/>
    <w:rsid w:val="00673ADA"/>
    <w:rsid w:val="00673BB3"/>
    <w:rsid w:val="00673C28"/>
    <w:rsid w:val="00673DF8"/>
    <w:rsid w:val="00673F3B"/>
    <w:rsid w:val="0067407B"/>
    <w:rsid w:val="00674141"/>
    <w:rsid w:val="0067415B"/>
    <w:rsid w:val="00674193"/>
    <w:rsid w:val="0067423E"/>
    <w:rsid w:val="00674393"/>
    <w:rsid w:val="006744B6"/>
    <w:rsid w:val="0067460A"/>
    <w:rsid w:val="0067475C"/>
    <w:rsid w:val="00674764"/>
    <w:rsid w:val="00674785"/>
    <w:rsid w:val="00674860"/>
    <w:rsid w:val="006748DB"/>
    <w:rsid w:val="00674A4D"/>
    <w:rsid w:val="00674A8C"/>
    <w:rsid w:val="0067507F"/>
    <w:rsid w:val="00675231"/>
    <w:rsid w:val="00675276"/>
    <w:rsid w:val="006755B4"/>
    <w:rsid w:val="00675885"/>
    <w:rsid w:val="006758BD"/>
    <w:rsid w:val="00675990"/>
    <w:rsid w:val="00675AB1"/>
    <w:rsid w:val="00675AB6"/>
    <w:rsid w:val="00675CE9"/>
    <w:rsid w:val="00675D49"/>
    <w:rsid w:val="00676333"/>
    <w:rsid w:val="006765F0"/>
    <w:rsid w:val="0067663A"/>
    <w:rsid w:val="00676652"/>
    <w:rsid w:val="006767D9"/>
    <w:rsid w:val="00676879"/>
    <w:rsid w:val="0067687B"/>
    <w:rsid w:val="0067696D"/>
    <w:rsid w:val="0067699F"/>
    <w:rsid w:val="00676B8E"/>
    <w:rsid w:val="00676E1F"/>
    <w:rsid w:val="00676F1D"/>
    <w:rsid w:val="00676FE1"/>
    <w:rsid w:val="00677043"/>
    <w:rsid w:val="00677201"/>
    <w:rsid w:val="0067767C"/>
    <w:rsid w:val="006779C5"/>
    <w:rsid w:val="00677CF4"/>
    <w:rsid w:val="00677EA5"/>
    <w:rsid w:val="00680067"/>
    <w:rsid w:val="006800A1"/>
    <w:rsid w:val="006801DF"/>
    <w:rsid w:val="0068026D"/>
    <w:rsid w:val="0068043C"/>
    <w:rsid w:val="0068083C"/>
    <w:rsid w:val="00680B34"/>
    <w:rsid w:val="00680B3F"/>
    <w:rsid w:val="00680F29"/>
    <w:rsid w:val="00681670"/>
    <w:rsid w:val="0068176B"/>
    <w:rsid w:val="00681E41"/>
    <w:rsid w:val="006823CF"/>
    <w:rsid w:val="00682448"/>
    <w:rsid w:val="00682687"/>
    <w:rsid w:val="00682967"/>
    <w:rsid w:val="00682AC4"/>
    <w:rsid w:val="00682CA6"/>
    <w:rsid w:val="00682D5A"/>
    <w:rsid w:val="00682E59"/>
    <w:rsid w:val="006833BA"/>
    <w:rsid w:val="00683711"/>
    <w:rsid w:val="006837D6"/>
    <w:rsid w:val="00683906"/>
    <w:rsid w:val="0068392B"/>
    <w:rsid w:val="00683DD2"/>
    <w:rsid w:val="00684027"/>
    <w:rsid w:val="006840F7"/>
    <w:rsid w:val="00684181"/>
    <w:rsid w:val="006841B9"/>
    <w:rsid w:val="00684221"/>
    <w:rsid w:val="006843DC"/>
    <w:rsid w:val="00684549"/>
    <w:rsid w:val="006845CE"/>
    <w:rsid w:val="006846A1"/>
    <w:rsid w:val="0068484C"/>
    <w:rsid w:val="00684B9A"/>
    <w:rsid w:val="00684FD1"/>
    <w:rsid w:val="00685023"/>
    <w:rsid w:val="006850D1"/>
    <w:rsid w:val="0068517A"/>
    <w:rsid w:val="0068530E"/>
    <w:rsid w:val="006855A3"/>
    <w:rsid w:val="00685836"/>
    <w:rsid w:val="0068585A"/>
    <w:rsid w:val="00685866"/>
    <w:rsid w:val="00685954"/>
    <w:rsid w:val="00685955"/>
    <w:rsid w:val="006859F7"/>
    <w:rsid w:val="00685B15"/>
    <w:rsid w:val="00685CB2"/>
    <w:rsid w:val="00685F91"/>
    <w:rsid w:val="0068605C"/>
    <w:rsid w:val="00686223"/>
    <w:rsid w:val="006862B9"/>
    <w:rsid w:val="0068650C"/>
    <w:rsid w:val="00686615"/>
    <w:rsid w:val="006866F0"/>
    <w:rsid w:val="0068684B"/>
    <w:rsid w:val="00686A6F"/>
    <w:rsid w:val="00686AFF"/>
    <w:rsid w:val="00686C25"/>
    <w:rsid w:val="00686D4A"/>
    <w:rsid w:val="00686D7F"/>
    <w:rsid w:val="00686E61"/>
    <w:rsid w:val="00686ECE"/>
    <w:rsid w:val="006870F5"/>
    <w:rsid w:val="00687438"/>
    <w:rsid w:val="00687506"/>
    <w:rsid w:val="006879AE"/>
    <w:rsid w:val="006879B9"/>
    <w:rsid w:val="00687AB9"/>
    <w:rsid w:val="00687D2E"/>
    <w:rsid w:val="006906D7"/>
    <w:rsid w:val="00690DD3"/>
    <w:rsid w:val="00690EBF"/>
    <w:rsid w:val="00690F49"/>
    <w:rsid w:val="006912BD"/>
    <w:rsid w:val="006912F5"/>
    <w:rsid w:val="0069162A"/>
    <w:rsid w:val="006916AD"/>
    <w:rsid w:val="006916D6"/>
    <w:rsid w:val="00691BBB"/>
    <w:rsid w:val="00691D2A"/>
    <w:rsid w:val="00691DA8"/>
    <w:rsid w:val="00691E18"/>
    <w:rsid w:val="00692026"/>
    <w:rsid w:val="0069205F"/>
    <w:rsid w:val="0069208C"/>
    <w:rsid w:val="00692475"/>
    <w:rsid w:val="00692477"/>
    <w:rsid w:val="00692577"/>
    <w:rsid w:val="00692A98"/>
    <w:rsid w:val="00692FA1"/>
    <w:rsid w:val="0069307B"/>
    <w:rsid w:val="0069346B"/>
    <w:rsid w:val="0069359A"/>
    <w:rsid w:val="0069371E"/>
    <w:rsid w:val="0069386E"/>
    <w:rsid w:val="00693A0D"/>
    <w:rsid w:val="00693BCE"/>
    <w:rsid w:val="00693BF3"/>
    <w:rsid w:val="00693EB7"/>
    <w:rsid w:val="0069406F"/>
    <w:rsid w:val="00694149"/>
    <w:rsid w:val="0069423D"/>
    <w:rsid w:val="0069434F"/>
    <w:rsid w:val="0069440B"/>
    <w:rsid w:val="0069450A"/>
    <w:rsid w:val="00694698"/>
    <w:rsid w:val="0069490E"/>
    <w:rsid w:val="00694A8F"/>
    <w:rsid w:val="00694B95"/>
    <w:rsid w:val="00694FDF"/>
    <w:rsid w:val="00695132"/>
    <w:rsid w:val="00695A92"/>
    <w:rsid w:val="00695C41"/>
    <w:rsid w:val="00695D3C"/>
    <w:rsid w:val="00695F61"/>
    <w:rsid w:val="00696222"/>
    <w:rsid w:val="0069675B"/>
    <w:rsid w:val="0069687F"/>
    <w:rsid w:val="00696B23"/>
    <w:rsid w:val="00696B26"/>
    <w:rsid w:val="00696C09"/>
    <w:rsid w:val="006970C5"/>
    <w:rsid w:val="0069726A"/>
    <w:rsid w:val="0069738C"/>
    <w:rsid w:val="0069751E"/>
    <w:rsid w:val="006975C4"/>
    <w:rsid w:val="00697813"/>
    <w:rsid w:val="00697A3D"/>
    <w:rsid w:val="00697A65"/>
    <w:rsid w:val="00697B7B"/>
    <w:rsid w:val="00697CA8"/>
    <w:rsid w:val="00697F86"/>
    <w:rsid w:val="006A0105"/>
    <w:rsid w:val="006A036B"/>
    <w:rsid w:val="006A08D7"/>
    <w:rsid w:val="006A0950"/>
    <w:rsid w:val="006A09F0"/>
    <w:rsid w:val="006A0A80"/>
    <w:rsid w:val="006A0B77"/>
    <w:rsid w:val="006A136E"/>
    <w:rsid w:val="006A1951"/>
    <w:rsid w:val="006A1A6C"/>
    <w:rsid w:val="006A1A7F"/>
    <w:rsid w:val="006A1BE0"/>
    <w:rsid w:val="006A1C3E"/>
    <w:rsid w:val="006A1E6F"/>
    <w:rsid w:val="006A21FE"/>
    <w:rsid w:val="006A2839"/>
    <w:rsid w:val="006A28AC"/>
    <w:rsid w:val="006A2CF0"/>
    <w:rsid w:val="006A2D64"/>
    <w:rsid w:val="006A3054"/>
    <w:rsid w:val="006A34B7"/>
    <w:rsid w:val="006A35C2"/>
    <w:rsid w:val="006A378D"/>
    <w:rsid w:val="006A3A0C"/>
    <w:rsid w:val="006A41A7"/>
    <w:rsid w:val="006A41B9"/>
    <w:rsid w:val="006A43AB"/>
    <w:rsid w:val="006A44C0"/>
    <w:rsid w:val="006A450A"/>
    <w:rsid w:val="006A45F1"/>
    <w:rsid w:val="006A46E4"/>
    <w:rsid w:val="006A4DDA"/>
    <w:rsid w:val="006A4F25"/>
    <w:rsid w:val="006A4F7B"/>
    <w:rsid w:val="006A4FD0"/>
    <w:rsid w:val="006A536E"/>
    <w:rsid w:val="006A5409"/>
    <w:rsid w:val="006A56A6"/>
    <w:rsid w:val="006A596A"/>
    <w:rsid w:val="006A5A45"/>
    <w:rsid w:val="006A5BAB"/>
    <w:rsid w:val="006A5D26"/>
    <w:rsid w:val="006A5FAA"/>
    <w:rsid w:val="006A622E"/>
    <w:rsid w:val="006A6287"/>
    <w:rsid w:val="006A6353"/>
    <w:rsid w:val="006A647C"/>
    <w:rsid w:val="006A667F"/>
    <w:rsid w:val="006A6858"/>
    <w:rsid w:val="006A6F3E"/>
    <w:rsid w:val="006A6F65"/>
    <w:rsid w:val="006A6FAF"/>
    <w:rsid w:val="006A7131"/>
    <w:rsid w:val="006A71CA"/>
    <w:rsid w:val="006A71E9"/>
    <w:rsid w:val="006A7350"/>
    <w:rsid w:val="006A763B"/>
    <w:rsid w:val="006A76A4"/>
    <w:rsid w:val="006A7EF5"/>
    <w:rsid w:val="006B011F"/>
    <w:rsid w:val="006B020B"/>
    <w:rsid w:val="006B043C"/>
    <w:rsid w:val="006B06A2"/>
    <w:rsid w:val="006B0763"/>
    <w:rsid w:val="006B086E"/>
    <w:rsid w:val="006B092B"/>
    <w:rsid w:val="006B0B59"/>
    <w:rsid w:val="006B0C53"/>
    <w:rsid w:val="006B1059"/>
    <w:rsid w:val="006B1106"/>
    <w:rsid w:val="006B11B2"/>
    <w:rsid w:val="006B139E"/>
    <w:rsid w:val="006B1E43"/>
    <w:rsid w:val="006B1F49"/>
    <w:rsid w:val="006B24A5"/>
    <w:rsid w:val="006B24DA"/>
    <w:rsid w:val="006B24E8"/>
    <w:rsid w:val="006B2591"/>
    <w:rsid w:val="006B25F1"/>
    <w:rsid w:val="006B27BB"/>
    <w:rsid w:val="006B2882"/>
    <w:rsid w:val="006B2895"/>
    <w:rsid w:val="006B28C5"/>
    <w:rsid w:val="006B2924"/>
    <w:rsid w:val="006B2D2C"/>
    <w:rsid w:val="006B2D39"/>
    <w:rsid w:val="006B3218"/>
    <w:rsid w:val="006B334D"/>
    <w:rsid w:val="006B3508"/>
    <w:rsid w:val="006B3FA3"/>
    <w:rsid w:val="006B40E2"/>
    <w:rsid w:val="006B4744"/>
    <w:rsid w:val="006B4B8D"/>
    <w:rsid w:val="006B4C0D"/>
    <w:rsid w:val="006B4D56"/>
    <w:rsid w:val="006B50EB"/>
    <w:rsid w:val="006B510B"/>
    <w:rsid w:val="006B52D6"/>
    <w:rsid w:val="006B545B"/>
    <w:rsid w:val="006B5524"/>
    <w:rsid w:val="006B591E"/>
    <w:rsid w:val="006B5B0C"/>
    <w:rsid w:val="006B5D05"/>
    <w:rsid w:val="006B5D4F"/>
    <w:rsid w:val="006B5E39"/>
    <w:rsid w:val="006B633D"/>
    <w:rsid w:val="006B657B"/>
    <w:rsid w:val="006B65B3"/>
    <w:rsid w:val="006B65C6"/>
    <w:rsid w:val="006B662F"/>
    <w:rsid w:val="006B6840"/>
    <w:rsid w:val="006B6E11"/>
    <w:rsid w:val="006B718E"/>
    <w:rsid w:val="006B77B4"/>
    <w:rsid w:val="006B78F7"/>
    <w:rsid w:val="006C012E"/>
    <w:rsid w:val="006C01B8"/>
    <w:rsid w:val="006C023D"/>
    <w:rsid w:val="006C0306"/>
    <w:rsid w:val="006C03F1"/>
    <w:rsid w:val="006C0BE5"/>
    <w:rsid w:val="006C0EE4"/>
    <w:rsid w:val="006C12FD"/>
    <w:rsid w:val="006C155C"/>
    <w:rsid w:val="006C16CA"/>
    <w:rsid w:val="006C17AC"/>
    <w:rsid w:val="006C18AA"/>
    <w:rsid w:val="006C1955"/>
    <w:rsid w:val="006C1A76"/>
    <w:rsid w:val="006C1E79"/>
    <w:rsid w:val="006C2243"/>
    <w:rsid w:val="006C2926"/>
    <w:rsid w:val="006C29A6"/>
    <w:rsid w:val="006C2A39"/>
    <w:rsid w:val="006C2A4A"/>
    <w:rsid w:val="006C2A9C"/>
    <w:rsid w:val="006C2CE9"/>
    <w:rsid w:val="006C32E8"/>
    <w:rsid w:val="006C333F"/>
    <w:rsid w:val="006C3715"/>
    <w:rsid w:val="006C383D"/>
    <w:rsid w:val="006C39C9"/>
    <w:rsid w:val="006C3B9C"/>
    <w:rsid w:val="006C3C8F"/>
    <w:rsid w:val="006C3D19"/>
    <w:rsid w:val="006C3E4E"/>
    <w:rsid w:val="006C47A3"/>
    <w:rsid w:val="006C4887"/>
    <w:rsid w:val="006C4B09"/>
    <w:rsid w:val="006C4B18"/>
    <w:rsid w:val="006C4BB7"/>
    <w:rsid w:val="006C4C66"/>
    <w:rsid w:val="006C5069"/>
    <w:rsid w:val="006C51D5"/>
    <w:rsid w:val="006C5266"/>
    <w:rsid w:val="006C538E"/>
    <w:rsid w:val="006C5994"/>
    <w:rsid w:val="006C5E6D"/>
    <w:rsid w:val="006C5F85"/>
    <w:rsid w:val="006C6185"/>
    <w:rsid w:val="006C6332"/>
    <w:rsid w:val="006C6501"/>
    <w:rsid w:val="006C6833"/>
    <w:rsid w:val="006C6DF6"/>
    <w:rsid w:val="006C6E6C"/>
    <w:rsid w:val="006C6EC0"/>
    <w:rsid w:val="006C6F38"/>
    <w:rsid w:val="006C6FDD"/>
    <w:rsid w:val="006C73C7"/>
    <w:rsid w:val="006C7601"/>
    <w:rsid w:val="006C769C"/>
    <w:rsid w:val="006C791D"/>
    <w:rsid w:val="006C7B7D"/>
    <w:rsid w:val="006D0077"/>
    <w:rsid w:val="006D00A4"/>
    <w:rsid w:val="006D044A"/>
    <w:rsid w:val="006D0888"/>
    <w:rsid w:val="006D0929"/>
    <w:rsid w:val="006D098C"/>
    <w:rsid w:val="006D0AA7"/>
    <w:rsid w:val="006D0C02"/>
    <w:rsid w:val="006D0E50"/>
    <w:rsid w:val="006D0F9D"/>
    <w:rsid w:val="006D1132"/>
    <w:rsid w:val="006D1157"/>
    <w:rsid w:val="006D11E9"/>
    <w:rsid w:val="006D12DC"/>
    <w:rsid w:val="006D13C6"/>
    <w:rsid w:val="006D1846"/>
    <w:rsid w:val="006D1A75"/>
    <w:rsid w:val="006D1CFF"/>
    <w:rsid w:val="006D2040"/>
    <w:rsid w:val="006D2134"/>
    <w:rsid w:val="006D22F0"/>
    <w:rsid w:val="006D262C"/>
    <w:rsid w:val="006D27F8"/>
    <w:rsid w:val="006D2915"/>
    <w:rsid w:val="006D2D4F"/>
    <w:rsid w:val="006D2DDB"/>
    <w:rsid w:val="006D2F17"/>
    <w:rsid w:val="006D355B"/>
    <w:rsid w:val="006D3722"/>
    <w:rsid w:val="006D3749"/>
    <w:rsid w:val="006D37D0"/>
    <w:rsid w:val="006D38B5"/>
    <w:rsid w:val="006D3928"/>
    <w:rsid w:val="006D39C6"/>
    <w:rsid w:val="006D3A93"/>
    <w:rsid w:val="006D3C0C"/>
    <w:rsid w:val="006D3D02"/>
    <w:rsid w:val="006D3EE8"/>
    <w:rsid w:val="006D3F2E"/>
    <w:rsid w:val="006D40FB"/>
    <w:rsid w:val="006D4191"/>
    <w:rsid w:val="006D41ED"/>
    <w:rsid w:val="006D428B"/>
    <w:rsid w:val="006D43A6"/>
    <w:rsid w:val="006D4466"/>
    <w:rsid w:val="006D4687"/>
    <w:rsid w:val="006D4694"/>
    <w:rsid w:val="006D46DD"/>
    <w:rsid w:val="006D47F6"/>
    <w:rsid w:val="006D4B89"/>
    <w:rsid w:val="006D4B8B"/>
    <w:rsid w:val="006D4C17"/>
    <w:rsid w:val="006D4F8D"/>
    <w:rsid w:val="006D55DC"/>
    <w:rsid w:val="006D5CBB"/>
    <w:rsid w:val="006D5D77"/>
    <w:rsid w:val="006D5FFE"/>
    <w:rsid w:val="006D6059"/>
    <w:rsid w:val="006D6296"/>
    <w:rsid w:val="006D62AC"/>
    <w:rsid w:val="006D633D"/>
    <w:rsid w:val="006D69F0"/>
    <w:rsid w:val="006D69F2"/>
    <w:rsid w:val="006D6A25"/>
    <w:rsid w:val="006D6A5F"/>
    <w:rsid w:val="006D6BC8"/>
    <w:rsid w:val="006D6C23"/>
    <w:rsid w:val="006D6C3B"/>
    <w:rsid w:val="006D6FC9"/>
    <w:rsid w:val="006D70B7"/>
    <w:rsid w:val="006D71ED"/>
    <w:rsid w:val="006D72B3"/>
    <w:rsid w:val="006D733A"/>
    <w:rsid w:val="006D74DE"/>
    <w:rsid w:val="006D7648"/>
    <w:rsid w:val="006D7AF1"/>
    <w:rsid w:val="006D7B27"/>
    <w:rsid w:val="006D7DAF"/>
    <w:rsid w:val="006D7F1D"/>
    <w:rsid w:val="006E0192"/>
    <w:rsid w:val="006E0228"/>
    <w:rsid w:val="006E02DC"/>
    <w:rsid w:val="006E0351"/>
    <w:rsid w:val="006E04CC"/>
    <w:rsid w:val="006E04CE"/>
    <w:rsid w:val="006E05A1"/>
    <w:rsid w:val="006E0C03"/>
    <w:rsid w:val="006E0FAC"/>
    <w:rsid w:val="006E1017"/>
    <w:rsid w:val="006E12C6"/>
    <w:rsid w:val="006E15C3"/>
    <w:rsid w:val="006E15EE"/>
    <w:rsid w:val="006E16ED"/>
    <w:rsid w:val="006E1874"/>
    <w:rsid w:val="006E1E20"/>
    <w:rsid w:val="006E204C"/>
    <w:rsid w:val="006E20E1"/>
    <w:rsid w:val="006E214B"/>
    <w:rsid w:val="006E251A"/>
    <w:rsid w:val="006E277D"/>
    <w:rsid w:val="006E2849"/>
    <w:rsid w:val="006E29A6"/>
    <w:rsid w:val="006E2B89"/>
    <w:rsid w:val="006E2C8A"/>
    <w:rsid w:val="006E310C"/>
    <w:rsid w:val="006E3122"/>
    <w:rsid w:val="006E3865"/>
    <w:rsid w:val="006E39F9"/>
    <w:rsid w:val="006E3BAE"/>
    <w:rsid w:val="006E4049"/>
    <w:rsid w:val="006E40C9"/>
    <w:rsid w:val="006E4BA7"/>
    <w:rsid w:val="006E4F51"/>
    <w:rsid w:val="006E502A"/>
    <w:rsid w:val="006E5113"/>
    <w:rsid w:val="006E5675"/>
    <w:rsid w:val="006E579E"/>
    <w:rsid w:val="006E58BA"/>
    <w:rsid w:val="006E5A94"/>
    <w:rsid w:val="006E5DA9"/>
    <w:rsid w:val="006E5E2B"/>
    <w:rsid w:val="006E5F2C"/>
    <w:rsid w:val="006E6045"/>
    <w:rsid w:val="006E618A"/>
    <w:rsid w:val="006E6422"/>
    <w:rsid w:val="006E644B"/>
    <w:rsid w:val="006E67C6"/>
    <w:rsid w:val="006E6864"/>
    <w:rsid w:val="006E69EF"/>
    <w:rsid w:val="006E6F3B"/>
    <w:rsid w:val="006E6F8C"/>
    <w:rsid w:val="006E6FA1"/>
    <w:rsid w:val="006E7109"/>
    <w:rsid w:val="006E73E6"/>
    <w:rsid w:val="006E75A2"/>
    <w:rsid w:val="006E7664"/>
    <w:rsid w:val="006E7A2F"/>
    <w:rsid w:val="006E7AA2"/>
    <w:rsid w:val="006E7C97"/>
    <w:rsid w:val="006F0081"/>
    <w:rsid w:val="006F0095"/>
    <w:rsid w:val="006F01D1"/>
    <w:rsid w:val="006F0394"/>
    <w:rsid w:val="006F0D60"/>
    <w:rsid w:val="006F156D"/>
    <w:rsid w:val="006F17F5"/>
    <w:rsid w:val="006F1B52"/>
    <w:rsid w:val="006F1BB3"/>
    <w:rsid w:val="006F1D86"/>
    <w:rsid w:val="006F1F1D"/>
    <w:rsid w:val="006F2063"/>
    <w:rsid w:val="006F2136"/>
    <w:rsid w:val="006F2232"/>
    <w:rsid w:val="006F2B97"/>
    <w:rsid w:val="006F2C7F"/>
    <w:rsid w:val="006F2D4F"/>
    <w:rsid w:val="006F2DD0"/>
    <w:rsid w:val="006F2F12"/>
    <w:rsid w:val="006F3072"/>
    <w:rsid w:val="006F3079"/>
    <w:rsid w:val="006F30FD"/>
    <w:rsid w:val="006F316B"/>
    <w:rsid w:val="006F322E"/>
    <w:rsid w:val="006F327C"/>
    <w:rsid w:val="006F3501"/>
    <w:rsid w:val="006F3778"/>
    <w:rsid w:val="006F37A4"/>
    <w:rsid w:val="006F37C9"/>
    <w:rsid w:val="006F3A03"/>
    <w:rsid w:val="006F3A2B"/>
    <w:rsid w:val="006F3DB3"/>
    <w:rsid w:val="006F421C"/>
    <w:rsid w:val="006F424F"/>
    <w:rsid w:val="006F43E8"/>
    <w:rsid w:val="006F45EF"/>
    <w:rsid w:val="006F4741"/>
    <w:rsid w:val="006F4E89"/>
    <w:rsid w:val="006F50DD"/>
    <w:rsid w:val="006F51B7"/>
    <w:rsid w:val="006F5246"/>
    <w:rsid w:val="006F5683"/>
    <w:rsid w:val="006F5703"/>
    <w:rsid w:val="006F592E"/>
    <w:rsid w:val="006F5A1C"/>
    <w:rsid w:val="006F5A2F"/>
    <w:rsid w:val="006F63ED"/>
    <w:rsid w:val="006F6441"/>
    <w:rsid w:val="006F6793"/>
    <w:rsid w:val="006F689F"/>
    <w:rsid w:val="006F6AE5"/>
    <w:rsid w:val="006F7098"/>
    <w:rsid w:val="006F71FA"/>
    <w:rsid w:val="006F721B"/>
    <w:rsid w:val="006F75D7"/>
    <w:rsid w:val="006F79C7"/>
    <w:rsid w:val="006F7C66"/>
    <w:rsid w:val="006F7D84"/>
    <w:rsid w:val="006F7E65"/>
    <w:rsid w:val="006F7EAB"/>
    <w:rsid w:val="00700509"/>
    <w:rsid w:val="007006D0"/>
    <w:rsid w:val="00700A19"/>
    <w:rsid w:val="00700B7C"/>
    <w:rsid w:val="00700C86"/>
    <w:rsid w:val="00700CDD"/>
    <w:rsid w:val="00700E74"/>
    <w:rsid w:val="007010B9"/>
    <w:rsid w:val="0070115B"/>
    <w:rsid w:val="0070118A"/>
    <w:rsid w:val="00701236"/>
    <w:rsid w:val="007014D9"/>
    <w:rsid w:val="007018C2"/>
    <w:rsid w:val="007018F8"/>
    <w:rsid w:val="00701A8B"/>
    <w:rsid w:val="00701D30"/>
    <w:rsid w:val="00701D92"/>
    <w:rsid w:val="00701E49"/>
    <w:rsid w:val="00701F58"/>
    <w:rsid w:val="00701F9F"/>
    <w:rsid w:val="00702114"/>
    <w:rsid w:val="0070213F"/>
    <w:rsid w:val="00702171"/>
    <w:rsid w:val="007021B0"/>
    <w:rsid w:val="007022A9"/>
    <w:rsid w:val="007024C9"/>
    <w:rsid w:val="0070254E"/>
    <w:rsid w:val="0070257C"/>
    <w:rsid w:val="00702622"/>
    <w:rsid w:val="00702899"/>
    <w:rsid w:val="00702D95"/>
    <w:rsid w:val="0070331B"/>
    <w:rsid w:val="00703824"/>
    <w:rsid w:val="0070382C"/>
    <w:rsid w:val="00703940"/>
    <w:rsid w:val="00703A78"/>
    <w:rsid w:val="00704240"/>
    <w:rsid w:val="007042A5"/>
    <w:rsid w:val="0070446D"/>
    <w:rsid w:val="007047B1"/>
    <w:rsid w:val="007047C0"/>
    <w:rsid w:val="007047C2"/>
    <w:rsid w:val="0070495A"/>
    <w:rsid w:val="00704A9E"/>
    <w:rsid w:val="00704AAF"/>
    <w:rsid w:val="00704AE6"/>
    <w:rsid w:val="00704B5C"/>
    <w:rsid w:val="00704D7B"/>
    <w:rsid w:val="00704DB0"/>
    <w:rsid w:val="00704EF3"/>
    <w:rsid w:val="00704FE4"/>
    <w:rsid w:val="00705360"/>
    <w:rsid w:val="0070536B"/>
    <w:rsid w:val="0070547E"/>
    <w:rsid w:val="0070554E"/>
    <w:rsid w:val="007057AE"/>
    <w:rsid w:val="00705897"/>
    <w:rsid w:val="00705B0D"/>
    <w:rsid w:val="00705EAD"/>
    <w:rsid w:val="00705ED1"/>
    <w:rsid w:val="007064B5"/>
    <w:rsid w:val="00706B03"/>
    <w:rsid w:val="00706C06"/>
    <w:rsid w:val="00706FEC"/>
    <w:rsid w:val="007070FF"/>
    <w:rsid w:val="0070781D"/>
    <w:rsid w:val="007078C9"/>
    <w:rsid w:val="00707AA3"/>
    <w:rsid w:val="0071000C"/>
    <w:rsid w:val="00710300"/>
    <w:rsid w:val="007103AC"/>
    <w:rsid w:val="00710593"/>
    <w:rsid w:val="007109B4"/>
    <w:rsid w:val="00710A69"/>
    <w:rsid w:val="00710DF3"/>
    <w:rsid w:val="0071105D"/>
    <w:rsid w:val="00711326"/>
    <w:rsid w:val="00711368"/>
    <w:rsid w:val="007116FD"/>
    <w:rsid w:val="007118B8"/>
    <w:rsid w:val="007119C9"/>
    <w:rsid w:val="007119E6"/>
    <w:rsid w:val="00711AAB"/>
    <w:rsid w:val="00711F0E"/>
    <w:rsid w:val="00711F35"/>
    <w:rsid w:val="00711FDD"/>
    <w:rsid w:val="007121A3"/>
    <w:rsid w:val="00712204"/>
    <w:rsid w:val="00712208"/>
    <w:rsid w:val="007126B7"/>
    <w:rsid w:val="007129D1"/>
    <w:rsid w:val="00712B8E"/>
    <w:rsid w:val="00712C58"/>
    <w:rsid w:val="00712D5D"/>
    <w:rsid w:val="00712F06"/>
    <w:rsid w:val="00713016"/>
    <w:rsid w:val="00713081"/>
    <w:rsid w:val="007136D1"/>
    <w:rsid w:val="00713742"/>
    <w:rsid w:val="00713C43"/>
    <w:rsid w:val="00713E68"/>
    <w:rsid w:val="00713ED6"/>
    <w:rsid w:val="00713FA1"/>
    <w:rsid w:val="00714016"/>
    <w:rsid w:val="0071486A"/>
    <w:rsid w:val="00714A3B"/>
    <w:rsid w:val="00714CFE"/>
    <w:rsid w:val="00714DC3"/>
    <w:rsid w:val="00714DF9"/>
    <w:rsid w:val="00714FB6"/>
    <w:rsid w:val="00715026"/>
    <w:rsid w:val="007150A6"/>
    <w:rsid w:val="007150EB"/>
    <w:rsid w:val="00715317"/>
    <w:rsid w:val="00715336"/>
    <w:rsid w:val="007156A1"/>
    <w:rsid w:val="00715872"/>
    <w:rsid w:val="00715AF4"/>
    <w:rsid w:val="00715BD1"/>
    <w:rsid w:val="00715CA2"/>
    <w:rsid w:val="00715D3C"/>
    <w:rsid w:val="00715F1A"/>
    <w:rsid w:val="007161B9"/>
    <w:rsid w:val="007161D1"/>
    <w:rsid w:val="0071633E"/>
    <w:rsid w:val="00716695"/>
    <w:rsid w:val="007166D4"/>
    <w:rsid w:val="00716AB0"/>
    <w:rsid w:val="00716D04"/>
    <w:rsid w:val="00716E67"/>
    <w:rsid w:val="00717185"/>
    <w:rsid w:val="0071723D"/>
    <w:rsid w:val="007175A0"/>
    <w:rsid w:val="007175FD"/>
    <w:rsid w:val="007177DE"/>
    <w:rsid w:val="00717A40"/>
    <w:rsid w:val="00717A92"/>
    <w:rsid w:val="00717D08"/>
    <w:rsid w:val="00717FAE"/>
    <w:rsid w:val="00720007"/>
    <w:rsid w:val="00720074"/>
    <w:rsid w:val="007200B6"/>
    <w:rsid w:val="0072031F"/>
    <w:rsid w:val="00720524"/>
    <w:rsid w:val="007205CA"/>
    <w:rsid w:val="007205DC"/>
    <w:rsid w:val="00720A49"/>
    <w:rsid w:val="00720D11"/>
    <w:rsid w:val="00721129"/>
    <w:rsid w:val="00721380"/>
    <w:rsid w:val="00721487"/>
    <w:rsid w:val="007216AD"/>
    <w:rsid w:val="00721787"/>
    <w:rsid w:val="007217D9"/>
    <w:rsid w:val="00721C24"/>
    <w:rsid w:val="00721F78"/>
    <w:rsid w:val="0072237C"/>
    <w:rsid w:val="00722412"/>
    <w:rsid w:val="007227A7"/>
    <w:rsid w:val="007228E5"/>
    <w:rsid w:val="00722B56"/>
    <w:rsid w:val="00722BA5"/>
    <w:rsid w:val="00722D7A"/>
    <w:rsid w:val="00723154"/>
    <w:rsid w:val="007234B6"/>
    <w:rsid w:val="007234E7"/>
    <w:rsid w:val="00723525"/>
    <w:rsid w:val="007236F1"/>
    <w:rsid w:val="00723ADC"/>
    <w:rsid w:val="00723B86"/>
    <w:rsid w:val="00723E68"/>
    <w:rsid w:val="007242BD"/>
    <w:rsid w:val="0072444A"/>
    <w:rsid w:val="007244DC"/>
    <w:rsid w:val="00724560"/>
    <w:rsid w:val="00724586"/>
    <w:rsid w:val="0072468E"/>
    <w:rsid w:val="00724691"/>
    <w:rsid w:val="00724907"/>
    <w:rsid w:val="00724A2E"/>
    <w:rsid w:val="00724A5C"/>
    <w:rsid w:val="00724AD5"/>
    <w:rsid w:val="00724D8F"/>
    <w:rsid w:val="00724E6E"/>
    <w:rsid w:val="00724EE9"/>
    <w:rsid w:val="00725023"/>
    <w:rsid w:val="0072503E"/>
    <w:rsid w:val="007250A9"/>
    <w:rsid w:val="007265D5"/>
    <w:rsid w:val="00726738"/>
    <w:rsid w:val="007267AA"/>
    <w:rsid w:val="00726A28"/>
    <w:rsid w:val="00726A6D"/>
    <w:rsid w:val="00726D64"/>
    <w:rsid w:val="00726EBD"/>
    <w:rsid w:val="00727352"/>
    <w:rsid w:val="00727865"/>
    <w:rsid w:val="00727A9B"/>
    <w:rsid w:val="007301E0"/>
    <w:rsid w:val="00730353"/>
    <w:rsid w:val="00730487"/>
    <w:rsid w:val="00730558"/>
    <w:rsid w:val="00730616"/>
    <w:rsid w:val="0073074F"/>
    <w:rsid w:val="00730774"/>
    <w:rsid w:val="00730861"/>
    <w:rsid w:val="007308EA"/>
    <w:rsid w:val="00730C94"/>
    <w:rsid w:val="00730EDA"/>
    <w:rsid w:val="0073104F"/>
    <w:rsid w:val="00731053"/>
    <w:rsid w:val="007310F1"/>
    <w:rsid w:val="007312AA"/>
    <w:rsid w:val="00731426"/>
    <w:rsid w:val="007314CA"/>
    <w:rsid w:val="00731840"/>
    <w:rsid w:val="00731960"/>
    <w:rsid w:val="00731C63"/>
    <w:rsid w:val="00732049"/>
    <w:rsid w:val="00732897"/>
    <w:rsid w:val="00732B2E"/>
    <w:rsid w:val="00732DA0"/>
    <w:rsid w:val="00733201"/>
    <w:rsid w:val="00733A8B"/>
    <w:rsid w:val="00733B00"/>
    <w:rsid w:val="00733CE6"/>
    <w:rsid w:val="00733F2E"/>
    <w:rsid w:val="0073411A"/>
    <w:rsid w:val="00734304"/>
    <w:rsid w:val="00734511"/>
    <w:rsid w:val="007349B9"/>
    <w:rsid w:val="00734BC1"/>
    <w:rsid w:val="00734DCE"/>
    <w:rsid w:val="00734F1B"/>
    <w:rsid w:val="00734F21"/>
    <w:rsid w:val="007350B8"/>
    <w:rsid w:val="0073537C"/>
    <w:rsid w:val="00735464"/>
    <w:rsid w:val="0073550F"/>
    <w:rsid w:val="007357BB"/>
    <w:rsid w:val="00735C88"/>
    <w:rsid w:val="00735D9B"/>
    <w:rsid w:val="00735DBE"/>
    <w:rsid w:val="00735EDB"/>
    <w:rsid w:val="00736042"/>
    <w:rsid w:val="00736426"/>
    <w:rsid w:val="00736496"/>
    <w:rsid w:val="0073652C"/>
    <w:rsid w:val="00736671"/>
    <w:rsid w:val="007368F2"/>
    <w:rsid w:val="00736B7A"/>
    <w:rsid w:val="00736CC9"/>
    <w:rsid w:val="00736D1B"/>
    <w:rsid w:val="00736DB1"/>
    <w:rsid w:val="00736DD2"/>
    <w:rsid w:val="00737670"/>
    <w:rsid w:val="007377C9"/>
    <w:rsid w:val="0073782F"/>
    <w:rsid w:val="0073787B"/>
    <w:rsid w:val="00737C8D"/>
    <w:rsid w:val="00737D6D"/>
    <w:rsid w:val="00740303"/>
    <w:rsid w:val="0074038F"/>
    <w:rsid w:val="00740795"/>
    <w:rsid w:val="00740BA4"/>
    <w:rsid w:val="00740C88"/>
    <w:rsid w:val="00741683"/>
    <w:rsid w:val="00741776"/>
    <w:rsid w:val="00741C1E"/>
    <w:rsid w:val="00741CAC"/>
    <w:rsid w:val="00741CD0"/>
    <w:rsid w:val="00741DC6"/>
    <w:rsid w:val="00741E03"/>
    <w:rsid w:val="00741EBB"/>
    <w:rsid w:val="00741FE1"/>
    <w:rsid w:val="00742138"/>
    <w:rsid w:val="00742402"/>
    <w:rsid w:val="007426B4"/>
    <w:rsid w:val="00742741"/>
    <w:rsid w:val="007429C2"/>
    <w:rsid w:val="007429D6"/>
    <w:rsid w:val="00742D72"/>
    <w:rsid w:val="00743116"/>
    <w:rsid w:val="00743272"/>
    <w:rsid w:val="0074327E"/>
    <w:rsid w:val="007435F9"/>
    <w:rsid w:val="00743680"/>
    <w:rsid w:val="007439BD"/>
    <w:rsid w:val="00743A5A"/>
    <w:rsid w:val="00743AAB"/>
    <w:rsid w:val="00743C06"/>
    <w:rsid w:val="00743C8D"/>
    <w:rsid w:val="00743FF6"/>
    <w:rsid w:val="007446C4"/>
    <w:rsid w:val="007447E2"/>
    <w:rsid w:val="00744859"/>
    <w:rsid w:val="00744B30"/>
    <w:rsid w:val="00744CDB"/>
    <w:rsid w:val="00744D56"/>
    <w:rsid w:val="00744DFB"/>
    <w:rsid w:val="00744E09"/>
    <w:rsid w:val="00745532"/>
    <w:rsid w:val="00745560"/>
    <w:rsid w:val="00745836"/>
    <w:rsid w:val="00745D64"/>
    <w:rsid w:val="00745E9A"/>
    <w:rsid w:val="00745E9E"/>
    <w:rsid w:val="00745F0E"/>
    <w:rsid w:val="00745FE9"/>
    <w:rsid w:val="0074613F"/>
    <w:rsid w:val="007462B0"/>
    <w:rsid w:val="007467E4"/>
    <w:rsid w:val="00746A79"/>
    <w:rsid w:val="00746E30"/>
    <w:rsid w:val="00746E90"/>
    <w:rsid w:val="00746E9E"/>
    <w:rsid w:val="007470CA"/>
    <w:rsid w:val="007471C0"/>
    <w:rsid w:val="00747A5E"/>
    <w:rsid w:val="00747A75"/>
    <w:rsid w:val="00747B48"/>
    <w:rsid w:val="00747BF0"/>
    <w:rsid w:val="00747D03"/>
    <w:rsid w:val="007504B7"/>
    <w:rsid w:val="007505F1"/>
    <w:rsid w:val="007507D7"/>
    <w:rsid w:val="0075088D"/>
    <w:rsid w:val="00750936"/>
    <w:rsid w:val="00750BD4"/>
    <w:rsid w:val="00750D17"/>
    <w:rsid w:val="00750D3B"/>
    <w:rsid w:val="0075110F"/>
    <w:rsid w:val="007516BC"/>
    <w:rsid w:val="00751755"/>
    <w:rsid w:val="0075177C"/>
    <w:rsid w:val="00751963"/>
    <w:rsid w:val="00751AA9"/>
    <w:rsid w:val="00751D4B"/>
    <w:rsid w:val="007520DD"/>
    <w:rsid w:val="00752126"/>
    <w:rsid w:val="00752245"/>
    <w:rsid w:val="0075226A"/>
    <w:rsid w:val="00752323"/>
    <w:rsid w:val="0075246C"/>
    <w:rsid w:val="00752640"/>
    <w:rsid w:val="00752941"/>
    <w:rsid w:val="0075325C"/>
    <w:rsid w:val="007537C2"/>
    <w:rsid w:val="00753803"/>
    <w:rsid w:val="00753DCB"/>
    <w:rsid w:val="00753E79"/>
    <w:rsid w:val="00753FAC"/>
    <w:rsid w:val="0075444F"/>
    <w:rsid w:val="007545AC"/>
    <w:rsid w:val="00754651"/>
    <w:rsid w:val="00754709"/>
    <w:rsid w:val="00754A59"/>
    <w:rsid w:val="00754D30"/>
    <w:rsid w:val="007552CF"/>
    <w:rsid w:val="00755507"/>
    <w:rsid w:val="007559CE"/>
    <w:rsid w:val="00755B60"/>
    <w:rsid w:val="00755DAE"/>
    <w:rsid w:val="00755E66"/>
    <w:rsid w:val="00756084"/>
    <w:rsid w:val="0075626C"/>
    <w:rsid w:val="00756380"/>
    <w:rsid w:val="007565A2"/>
    <w:rsid w:val="00756A61"/>
    <w:rsid w:val="00756AC8"/>
    <w:rsid w:val="00756B7E"/>
    <w:rsid w:val="00756DE4"/>
    <w:rsid w:val="00756F6A"/>
    <w:rsid w:val="007571A3"/>
    <w:rsid w:val="007604D6"/>
    <w:rsid w:val="007605A5"/>
    <w:rsid w:val="00760915"/>
    <w:rsid w:val="00760D7F"/>
    <w:rsid w:val="00760F24"/>
    <w:rsid w:val="007610C0"/>
    <w:rsid w:val="00761ABE"/>
    <w:rsid w:val="00761B19"/>
    <w:rsid w:val="00761CA7"/>
    <w:rsid w:val="00761DED"/>
    <w:rsid w:val="00761E4C"/>
    <w:rsid w:val="0076211B"/>
    <w:rsid w:val="007621DF"/>
    <w:rsid w:val="00762224"/>
    <w:rsid w:val="00762341"/>
    <w:rsid w:val="00762436"/>
    <w:rsid w:val="00762629"/>
    <w:rsid w:val="00762AEB"/>
    <w:rsid w:val="00762B9A"/>
    <w:rsid w:val="00762D38"/>
    <w:rsid w:val="00762EBA"/>
    <w:rsid w:val="007631CA"/>
    <w:rsid w:val="007631EC"/>
    <w:rsid w:val="0076321A"/>
    <w:rsid w:val="00763253"/>
    <w:rsid w:val="007632D5"/>
    <w:rsid w:val="00763328"/>
    <w:rsid w:val="00763365"/>
    <w:rsid w:val="0076357A"/>
    <w:rsid w:val="007636F9"/>
    <w:rsid w:val="007637D2"/>
    <w:rsid w:val="00763AAF"/>
    <w:rsid w:val="00763D7A"/>
    <w:rsid w:val="00763DAE"/>
    <w:rsid w:val="00763E24"/>
    <w:rsid w:val="00763E4F"/>
    <w:rsid w:val="00763F7B"/>
    <w:rsid w:val="007640D0"/>
    <w:rsid w:val="00764240"/>
    <w:rsid w:val="0076462A"/>
    <w:rsid w:val="00764777"/>
    <w:rsid w:val="007648BB"/>
    <w:rsid w:val="007648EC"/>
    <w:rsid w:val="007649BB"/>
    <w:rsid w:val="00764DE8"/>
    <w:rsid w:val="00764E22"/>
    <w:rsid w:val="00764EC5"/>
    <w:rsid w:val="007650E6"/>
    <w:rsid w:val="007651D9"/>
    <w:rsid w:val="00765540"/>
    <w:rsid w:val="007655E8"/>
    <w:rsid w:val="0076561F"/>
    <w:rsid w:val="0076565C"/>
    <w:rsid w:val="00765778"/>
    <w:rsid w:val="007657FC"/>
    <w:rsid w:val="00765C42"/>
    <w:rsid w:val="00765D6C"/>
    <w:rsid w:val="0076603A"/>
    <w:rsid w:val="0076615D"/>
    <w:rsid w:val="007661D0"/>
    <w:rsid w:val="0076692C"/>
    <w:rsid w:val="00766BC6"/>
    <w:rsid w:val="00766D80"/>
    <w:rsid w:val="007671E2"/>
    <w:rsid w:val="007674AA"/>
    <w:rsid w:val="00767596"/>
    <w:rsid w:val="00767971"/>
    <w:rsid w:val="00767AC5"/>
    <w:rsid w:val="00767C2A"/>
    <w:rsid w:val="00767FAF"/>
    <w:rsid w:val="007701C7"/>
    <w:rsid w:val="00770259"/>
    <w:rsid w:val="007702E9"/>
    <w:rsid w:val="00770341"/>
    <w:rsid w:val="007704A8"/>
    <w:rsid w:val="00770506"/>
    <w:rsid w:val="007706EE"/>
    <w:rsid w:val="007706F0"/>
    <w:rsid w:val="00770D64"/>
    <w:rsid w:val="00770DE4"/>
    <w:rsid w:val="00770E02"/>
    <w:rsid w:val="00770EB2"/>
    <w:rsid w:val="00770EBE"/>
    <w:rsid w:val="00770F01"/>
    <w:rsid w:val="00770FAC"/>
    <w:rsid w:val="007710F8"/>
    <w:rsid w:val="0077113D"/>
    <w:rsid w:val="00771733"/>
    <w:rsid w:val="007717E8"/>
    <w:rsid w:val="00771990"/>
    <w:rsid w:val="007719A3"/>
    <w:rsid w:val="007719A4"/>
    <w:rsid w:val="00771A82"/>
    <w:rsid w:val="00771AC5"/>
    <w:rsid w:val="00771ACA"/>
    <w:rsid w:val="00771B55"/>
    <w:rsid w:val="00772020"/>
    <w:rsid w:val="007722EE"/>
    <w:rsid w:val="00772440"/>
    <w:rsid w:val="00772753"/>
    <w:rsid w:val="007729DE"/>
    <w:rsid w:val="00773169"/>
    <w:rsid w:val="007732A6"/>
    <w:rsid w:val="00773328"/>
    <w:rsid w:val="0077337F"/>
    <w:rsid w:val="007734B1"/>
    <w:rsid w:val="007734F6"/>
    <w:rsid w:val="00773564"/>
    <w:rsid w:val="007738AD"/>
    <w:rsid w:val="00773CDF"/>
    <w:rsid w:val="00773E7B"/>
    <w:rsid w:val="007740D0"/>
    <w:rsid w:val="007741B7"/>
    <w:rsid w:val="00774237"/>
    <w:rsid w:val="007742F9"/>
    <w:rsid w:val="0077482B"/>
    <w:rsid w:val="0077498E"/>
    <w:rsid w:val="00774A7F"/>
    <w:rsid w:val="00774C67"/>
    <w:rsid w:val="00774F8F"/>
    <w:rsid w:val="007750D8"/>
    <w:rsid w:val="0077512D"/>
    <w:rsid w:val="007751BB"/>
    <w:rsid w:val="007753FD"/>
    <w:rsid w:val="00775CF4"/>
    <w:rsid w:val="00775F5C"/>
    <w:rsid w:val="00775FC2"/>
    <w:rsid w:val="00775FFC"/>
    <w:rsid w:val="00776311"/>
    <w:rsid w:val="00776332"/>
    <w:rsid w:val="007764FD"/>
    <w:rsid w:val="0077660E"/>
    <w:rsid w:val="00776821"/>
    <w:rsid w:val="00776957"/>
    <w:rsid w:val="00776A8B"/>
    <w:rsid w:val="0077703A"/>
    <w:rsid w:val="007770A3"/>
    <w:rsid w:val="007771F9"/>
    <w:rsid w:val="007774D4"/>
    <w:rsid w:val="007776B6"/>
    <w:rsid w:val="007776F7"/>
    <w:rsid w:val="007779E3"/>
    <w:rsid w:val="00777BCE"/>
    <w:rsid w:val="00777C73"/>
    <w:rsid w:val="00777F3D"/>
    <w:rsid w:val="007800F7"/>
    <w:rsid w:val="00780306"/>
    <w:rsid w:val="007803FD"/>
    <w:rsid w:val="00780494"/>
    <w:rsid w:val="00780518"/>
    <w:rsid w:val="007806FB"/>
    <w:rsid w:val="0078083B"/>
    <w:rsid w:val="00780930"/>
    <w:rsid w:val="00780B84"/>
    <w:rsid w:val="00780CED"/>
    <w:rsid w:val="00781205"/>
    <w:rsid w:val="007812CE"/>
    <w:rsid w:val="007814C2"/>
    <w:rsid w:val="00781749"/>
    <w:rsid w:val="0078182F"/>
    <w:rsid w:val="00781967"/>
    <w:rsid w:val="00781BE6"/>
    <w:rsid w:val="00782164"/>
    <w:rsid w:val="007823AE"/>
    <w:rsid w:val="007827AD"/>
    <w:rsid w:val="00782C65"/>
    <w:rsid w:val="00782EDC"/>
    <w:rsid w:val="00783012"/>
    <w:rsid w:val="00783286"/>
    <w:rsid w:val="0078355D"/>
    <w:rsid w:val="0078377E"/>
    <w:rsid w:val="007837F2"/>
    <w:rsid w:val="007839A3"/>
    <w:rsid w:val="00783A19"/>
    <w:rsid w:val="00783BE5"/>
    <w:rsid w:val="00783E94"/>
    <w:rsid w:val="00784784"/>
    <w:rsid w:val="00784A11"/>
    <w:rsid w:val="00784AE4"/>
    <w:rsid w:val="00784C95"/>
    <w:rsid w:val="00784D5B"/>
    <w:rsid w:val="00784FBA"/>
    <w:rsid w:val="0078526A"/>
    <w:rsid w:val="00785547"/>
    <w:rsid w:val="007855C2"/>
    <w:rsid w:val="007857BF"/>
    <w:rsid w:val="007857CC"/>
    <w:rsid w:val="00785B6E"/>
    <w:rsid w:val="00785DE0"/>
    <w:rsid w:val="00786131"/>
    <w:rsid w:val="0078621E"/>
    <w:rsid w:val="0078651C"/>
    <w:rsid w:val="00786576"/>
    <w:rsid w:val="007867B9"/>
    <w:rsid w:val="0078687F"/>
    <w:rsid w:val="00786999"/>
    <w:rsid w:val="00786CA2"/>
    <w:rsid w:val="00786DF4"/>
    <w:rsid w:val="00787117"/>
    <w:rsid w:val="007871CF"/>
    <w:rsid w:val="00787503"/>
    <w:rsid w:val="007876F3"/>
    <w:rsid w:val="007877FD"/>
    <w:rsid w:val="00787826"/>
    <w:rsid w:val="007879C9"/>
    <w:rsid w:val="00787AC8"/>
    <w:rsid w:val="00790000"/>
    <w:rsid w:val="00790042"/>
    <w:rsid w:val="00790542"/>
    <w:rsid w:val="007905FB"/>
    <w:rsid w:val="00790724"/>
    <w:rsid w:val="007909CA"/>
    <w:rsid w:val="00790AF2"/>
    <w:rsid w:val="00790BFA"/>
    <w:rsid w:val="00790F1B"/>
    <w:rsid w:val="0079129D"/>
    <w:rsid w:val="0079193D"/>
    <w:rsid w:val="00791A57"/>
    <w:rsid w:val="00791B00"/>
    <w:rsid w:val="00791CC1"/>
    <w:rsid w:val="007920C1"/>
    <w:rsid w:val="007920F2"/>
    <w:rsid w:val="00792171"/>
    <w:rsid w:val="0079231C"/>
    <w:rsid w:val="00792383"/>
    <w:rsid w:val="00792548"/>
    <w:rsid w:val="00792583"/>
    <w:rsid w:val="0079261F"/>
    <w:rsid w:val="007927FB"/>
    <w:rsid w:val="007931D0"/>
    <w:rsid w:val="0079324B"/>
    <w:rsid w:val="00793322"/>
    <w:rsid w:val="0079343B"/>
    <w:rsid w:val="007934B1"/>
    <w:rsid w:val="00793564"/>
    <w:rsid w:val="0079358F"/>
    <w:rsid w:val="00793AE3"/>
    <w:rsid w:val="00793E3B"/>
    <w:rsid w:val="00793F1D"/>
    <w:rsid w:val="00793FD7"/>
    <w:rsid w:val="007942E5"/>
    <w:rsid w:val="00794306"/>
    <w:rsid w:val="00794360"/>
    <w:rsid w:val="007945A9"/>
    <w:rsid w:val="00794867"/>
    <w:rsid w:val="007948D1"/>
    <w:rsid w:val="00794922"/>
    <w:rsid w:val="007952A4"/>
    <w:rsid w:val="007955CB"/>
    <w:rsid w:val="007955D4"/>
    <w:rsid w:val="0079565D"/>
    <w:rsid w:val="007957A0"/>
    <w:rsid w:val="00795968"/>
    <w:rsid w:val="00795AD6"/>
    <w:rsid w:val="00795E76"/>
    <w:rsid w:val="00796243"/>
    <w:rsid w:val="007966A9"/>
    <w:rsid w:val="00796917"/>
    <w:rsid w:val="007969FD"/>
    <w:rsid w:val="007970AE"/>
    <w:rsid w:val="00797343"/>
    <w:rsid w:val="00797453"/>
    <w:rsid w:val="007974E4"/>
    <w:rsid w:val="007977BE"/>
    <w:rsid w:val="007978FA"/>
    <w:rsid w:val="00797991"/>
    <w:rsid w:val="00797B7F"/>
    <w:rsid w:val="00797F9F"/>
    <w:rsid w:val="00797FD8"/>
    <w:rsid w:val="007A0105"/>
    <w:rsid w:val="007A01FE"/>
    <w:rsid w:val="007A0315"/>
    <w:rsid w:val="007A04CF"/>
    <w:rsid w:val="007A0B72"/>
    <w:rsid w:val="007A0CB9"/>
    <w:rsid w:val="007A0D3F"/>
    <w:rsid w:val="007A1100"/>
    <w:rsid w:val="007A112E"/>
    <w:rsid w:val="007A123D"/>
    <w:rsid w:val="007A1277"/>
    <w:rsid w:val="007A1348"/>
    <w:rsid w:val="007A135F"/>
    <w:rsid w:val="007A138F"/>
    <w:rsid w:val="007A15F9"/>
    <w:rsid w:val="007A18B5"/>
    <w:rsid w:val="007A1904"/>
    <w:rsid w:val="007A1C02"/>
    <w:rsid w:val="007A1C26"/>
    <w:rsid w:val="007A1D7A"/>
    <w:rsid w:val="007A1E9B"/>
    <w:rsid w:val="007A1ECA"/>
    <w:rsid w:val="007A215E"/>
    <w:rsid w:val="007A22AD"/>
    <w:rsid w:val="007A23F0"/>
    <w:rsid w:val="007A25F7"/>
    <w:rsid w:val="007A2AEB"/>
    <w:rsid w:val="007A2FF8"/>
    <w:rsid w:val="007A3217"/>
    <w:rsid w:val="007A3297"/>
    <w:rsid w:val="007A37D6"/>
    <w:rsid w:val="007A392C"/>
    <w:rsid w:val="007A3BD4"/>
    <w:rsid w:val="007A3FB5"/>
    <w:rsid w:val="007A4012"/>
    <w:rsid w:val="007A4158"/>
    <w:rsid w:val="007A4669"/>
    <w:rsid w:val="007A4775"/>
    <w:rsid w:val="007A4C2F"/>
    <w:rsid w:val="007A4D29"/>
    <w:rsid w:val="007A51A8"/>
    <w:rsid w:val="007A5863"/>
    <w:rsid w:val="007A5B23"/>
    <w:rsid w:val="007A5BB1"/>
    <w:rsid w:val="007A5BF8"/>
    <w:rsid w:val="007A5C7E"/>
    <w:rsid w:val="007A614C"/>
    <w:rsid w:val="007A62AA"/>
    <w:rsid w:val="007A63D5"/>
    <w:rsid w:val="007A65F3"/>
    <w:rsid w:val="007A675E"/>
    <w:rsid w:val="007A69DA"/>
    <w:rsid w:val="007A6E04"/>
    <w:rsid w:val="007A70DA"/>
    <w:rsid w:val="007A714B"/>
    <w:rsid w:val="007A716A"/>
    <w:rsid w:val="007A7365"/>
    <w:rsid w:val="007A7516"/>
    <w:rsid w:val="007A77A2"/>
    <w:rsid w:val="007A7A83"/>
    <w:rsid w:val="007A7C95"/>
    <w:rsid w:val="007A7ED8"/>
    <w:rsid w:val="007A7F99"/>
    <w:rsid w:val="007B00F5"/>
    <w:rsid w:val="007B0180"/>
    <w:rsid w:val="007B0351"/>
    <w:rsid w:val="007B06DC"/>
    <w:rsid w:val="007B082A"/>
    <w:rsid w:val="007B0982"/>
    <w:rsid w:val="007B0D98"/>
    <w:rsid w:val="007B114F"/>
    <w:rsid w:val="007B12B8"/>
    <w:rsid w:val="007B1350"/>
    <w:rsid w:val="007B1596"/>
    <w:rsid w:val="007B15C0"/>
    <w:rsid w:val="007B179F"/>
    <w:rsid w:val="007B194E"/>
    <w:rsid w:val="007B19D9"/>
    <w:rsid w:val="007B1BF7"/>
    <w:rsid w:val="007B203C"/>
    <w:rsid w:val="007B2230"/>
    <w:rsid w:val="007B28A5"/>
    <w:rsid w:val="007B2AE2"/>
    <w:rsid w:val="007B2B86"/>
    <w:rsid w:val="007B2EFD"/>
    <w:rsid w:val="007B33AB"/>
    <w:rsid w:val="007B35C0"/>
    <w:rsid w:val="007B36AE"/>
    <w:rsid w:val="007B3839"/>
    <w:rsid w:val="007B3869"/>
    <w:rsid w:val="007B3948"/>
    <w:rsid w:val="007B3960"/>
    <w:rsid w:val="007B3CE1"/>
    <w:rsid w:val="007B3D0B"/>
    <w:rsid w:val="007B4032"/>
    <w:rsid w:val="007B4136"/>
    <w:rsid w:val="007B43E4"/>
    <w:rsid w:val="007B453E"/>
    <w:rsid w:val="007B473B"/>
    <w:rsid w:val="007B4830"/>
    <w:rsid w:val="007B485E"/>
    <w:rsid w:val="007B487A"/>
    <w:rsid w:val="007B4D00"/>
    <w:rsid w:val="007B4D0A"/>
    <w:rsid w:val="007B4F84"/>
    <w:rsid w:val="007B514C"/>
    <w:rsid w:val="007B5490"/>
    <w:rsid w:val="007B5C44"/>
    <w:rsid w:val="007B5CF2"/>
    <w:rsid w:val="007B5D25"/>
    <w:rsid w:val="007B6094"/>
    <w:rsid w:val="007B60ED"/>
    <w:rsid w:val="007B6347"/>
    <w:rsid w:val="007B6436"/>
    <w:rsid w:val="007B6728"/>
    <w:rsid w:val="007B679A"/>
    <w:rsid w:val="007B6911"/>
    <w:rsid w:val="007B6B57"/>
    <w:rsid w:val="007B6FFE"/>
    <w:rsid w:val="007B7123"/>
    <w:rsid w:val="007B7213"/>
    <w:rsid w:val="007B7270"/>
    <w:rsid w:val="007B7568"/>
    <w:rsid w:val="007B7584"/>
    <w:rsid w:val="007B779D"/>
    <w:rsid w:val="007B7A06"/>
    <w:rsid w:val="007B7F19"/>
    <w:rsid w:val="007B7F94"/>
    <w:rsid w:val="007B7FE2"/>
    <w:rsid w:val="007C010A"/>
    <w:rsid w:val="007C03DB"/>
    <w:rsid w:val="007C0498"/>
    <w:rsid w:val="007C0625"/>
    <w:rsid w:val="007C0870"/>
    <w:rsid w:val="007C0910"/>
    <w:rsid w:val="007C0C65"/>
    <w:rsid w:val="007C0F86"/>
    <w:rsid w:val="007C10EC"/>
    <w:rsid w:val="007C1275"/>
    <w:rsid w:val="007C12C8"/>
    <w:rsid w:val="007C19A3"/>
    <w:rsid w:val="007C1A15"/>
    <w:rsid w:val="007C1D28"/>
    <w:rsid w:val="007C2149"/>
    <w:rsid w:val="007C22F9"/>
    <w:rsid w:val="007C24C3"/>
    <w:rsid w:val="007C24FD"/>
    <w:rsid w:val="007C258F"/>
    <w:rsid w:val="007C29BD"/>
    <w:rsid w:val="007C2F08"/>
    <w:rsid w:val="007C3154"/>
    <w:rsid w:val="007C331D"/>
    <w:rsid w:val="007C33A7"/>
    <w:rsid w:val="007C37DC"/>
    <w:rsid w:val="007C3802"/>
    <w:rsid w:val="007C3A62"/>
    <w:rsid w:val="007C3A72"/>
    <w:rsid w:val="007C3B17"/>
    <w:rsid w:val="007C3EA1"/>
    <w:rsid w:val="007C40E9"/>
    <w:rsid w:val="007C4102"/>
    <w:rsid w:val="007C41D1"/>
    <w:rsid w:val="007C45FB"/>
    <w:rsid w:val="007C46D3"/>
    <w:rsid w:val="007C485C"/>
    <w:rsid w:val="007C4C14"/>
    <w:rsid w:val="007C5019"/>
    <w:rsid w:val="007C5277"/>
    <w:rsid w:val="007C558B"/>
    <w:rsid w:val="007C5EBD"/>
    <w:rsid w:val="007C60F4"/>
    <w:rsid w:val="007C61A0"/>
    <w:rsid w:val="007C61C2"/>
    <w:rsid w:val="007C6342"/>
    <w:rsid w:val="007C6799"/>
    <w:rsid w:val="007C67B7"/>
    <w:rsid w:val="007C68A4"/>
    <w:rsid w:val="007C68A6"/>
    <w:rsid w:val="007C69F5"/>
    <w:rsid w:val="007C6B3A"/>
    <w:rsid w:val="007C6E21"/>
    <w:rsid w:val="007C6E71"/>
    <w:rsid w:val="007C7154"/>
    <w:rsid w:val="007C723A"/>
    <w:rsid w:val="007C7265"/>
    <w:rsid w:val="007C7ACF"/>
    <w:rsid w:val="007C7AD6"/>
    <w:rsid w:val="007C7B51"/>
    <w:rsid w:val="007C7D22"/>
    <w:rsid w:val="007C7DF7"/>
    <w:rsid w:val="007CF606"/>
    <w:rsid w:val="007D0170"/>
    <w:rsid w:val="007D01AC"/>
    <w:rsid w:val="007D029E"/>
    <w:rsid w:val="007D033D"/>
    <w:rsid w:val="007D0534"/>
    <w:rsid w:val="007D06F6"/>
    <w:rsid w:val="007D089F"/>
    <w:rsid w:val="007D0F91"/>
    <w:rsid w:val="007D1170"/>
    <w:rsid w:val="007D121D"/>
    <w:rsid w:val="007D1277"/>
    <w:rsid w:val="007D12E8"/>
    <w:rsid w:val="007D13B8"/>
    <w:rsid w:val="007D1762"/>
    <w:rsid w:val="007D17AD"/>
    <w:rsid w:val="007D1A3F"/>
    <w:rsid w:val="007D1AB9"/>
    <w:rsid w:val="007D1E61"/>
    <w:rsid w:val="007D1E67"/>
    <w:rsid w:val="007D1F3E"/>
    <w:rsid w:val="007D20EA"/>
    <w:rsid w:val="007D2101"/>
    <w:rsid w:val="007D214F"/>
    <w:rsid w:val="007D218A"/>
    <w:rsid w:val="007D2344"/>
    <w:rsid w:val="007D238C"/>
    <w:rsid w:val="007D2665"/>
    <w:rsid w:val="007D27F4"/>
    <w:rsid w:val="007D292C"/>
    <w:rsid w:val="007D2A43"/>
    <w:rsid w:val="007D2D9A"/>
    <w:rsid w:val="007D2F52"/>
    <w:rsid w:val="007D301C"/>
    <w:rsid w:val="007D32F6"/>
    <w:rsid w:val="007D33D2"/>
    <w:rsid w:val="007D36D7"/>
    <w:rsid w:val="007D3748"/>
    <w:rsid w:val="007D3A24"/>
    <w:rsid w:val="007D3B86"/>
    <w:rsid w:val="007D3C20"/>
    <w:rsid w:val="007D3F58"/>
    <w:rsid w:val="007D400C"/>
    <w:rsid w:val="007D4134"/>
    <w:rsid w:val="007D4252"/>
    <w:rsid w:val="007D43E3"/>
    <w:rsid w:val="007D48EC"/>
    <w:rsid w:val="007D4A2E"/>
    <w:rsid w:val="007D4AEC"/>
    <w:rsid w:val="007D4C5B"/>
    <w:rsid w:val="007D4CBE"/>
    <w:rsid w:val="007D5148"/>
    <w:rsid w:val="007D51B9"/>
    <w:rsid w:val="007D5493"/>
    <w:rsid w:val="007D55E2"/>
    <w:rsid w:val="007D5662"/>
    <w:rsid w:val="007D56C8"/>
    <w:rsid w:val="007D56D8"/>
    <w:rsid w:val="007D592E"/>
    <w:rsid w:val="007D5C60"/>
    <w:rsid w:val="007D5D34"/>
    <w:rsid w:val="007D6357"/>
    <w:rsid w:val="007D64F0"/>
    <w:rsid w:val="007D6638"/>
    <w:rsid w:val="007D667E"/>
    <w:rsid w:val="007D6766"/>
    <w:rsid w:val="007D678B"/>
    <w:rsid w:val="007D68ED"/>
    <w:rsid w:val="007D6A1A"/>
    <w:rsid w:val="007D6B59"/>
    <w:rsid w:val="007D6BA8"/>
    <w:rsid w:val="007D6BBC"/>
    <w:rsid w:val="007D6ECF"/>
    <w:rsid w:val="007D6F1D"/>
    <w:rsid w:val="007D773D"/>
    <w:rsid w:val="007D77BC"/>
    <w:rsid w:val="007D7B07"/>
    <w:rsid w:val="007D7BCB"/>
    <w:rsid w:val="007D7C1B"/>
    <w:rsid w:val="007D7C83"/>
    <w:rsid w:val="007E01C9"/>
    <w:rsid w:val="007E0218"/>
    <w:rsid w:val="007E063B"/>
    <w:rsid w:val="007E0833"/>
    <w:rsid w:val="007E084D"/>
    <w:rsid w:val="007E0BC4"/>
    <w:rsid w:val="007E0D05"/>
    <w:rsid w:val="007E0D88"/>
    <w:rsid w:val="007E0E18"/>
    <w:rsid w:val="007E0FF7"/>
    <w:rsid w:val="007E10A0"/>
    <w:rsid w:val="007E15BC"/>
    <w:rsid w:val="007E16A4"/>
    <w:rsid w:val="007E17B0"/>
    <w:rsid w:val="007E1AF7"/>
    <w:rsid w:val="007E1B54"/>
    <w:rsid w:val="007E1C2F"/>
    <w:rsid w:val="007E2962"/>
    <w:rsid w:val="007E2B3F"/>
    <w:rsid w:val="007E300C"/>
    <w:rsid w:val="007E341F"/>
    <w:rsid w:val="007E3A63"/>
    <w:rsid w:val="007E3AE6"/>
    <w:rsid w:val="007E3B12"/>
    <w:rsid w:val="007E3B7C"/>
    <w:rsid w:val="007E3CB1"/>
    <w:rsid w:val="007E41F3"/>
    <w:rsid w:val="007E4260"/>
    <w:rsid w:val="007E428C"/>
    <w:rsid w:val="007E42A5"/>
    <w:rsid w:val="007E4351"/>
    <w:rsid w:val="007E4489"/>
    <w:rsid w:val="007E44EF"/>
    <w:rsid w:val="007E459B"/>
    <w:rsid w:val="007E479D"/>
    <w:rsid w:val="007E4D49"/>
    <w:rsid w:val="007E4D68"/>
    <w:rsid w:val="007E4D86"/>
    <w:rsid w:val="007E4E18"/>
    <w:rsid w:val="007E527F"/>
    <w:rsid w:val="007E531A"/>
    <w:rsid w:val="007E537D"/>
    <w:rsid w:val="007E5509"/>
    <w:rsid w:val="007E551D"/>
    <w:rsid w:val="007E56C6"/>
    <w:rsid w:val="007E580D"/>
    <w:rsid w:val="007E5C04"/>
    <w:rsid w:val="007E5C4C"/>
    <w:rsid w:val="007E5DBF"/>
    <w:rsid w:val="007E5F6C"/>
    <w:rsid w:val="007E613B"/>
    <w:rsid w:val="007E62FA"/>
    <w:rsid w:val="007E632F"/>
    <w:rsid w:val="007E6694"/>
    <w:rsid w:val="007E6944"/>
    <w:rsid w:val="007E6A85"/>
    <w:rsid w:val="007E6E59"/>
    <w:rsid w:val="007E6E98"/>
    <w:rsid w:val="007E6F51"/>
    <w:rsid w:val="007E6F60"/>
    <w:rsid w:val="007E7099"/>
    <w:rsid w:val="007E72B8"/>
    <w:rsid w:val="007E7326"/>
    <w:rsid w:val="007E7357"/>
    <w:rsid w:val="007E73C0"/>
    <w:rsid w:val="007E7438"/>
    <w:rsid w:val="007E744A"/>
    <w:rsid w:val="007E76F7"/>
    <w:rsid w:val="007E7D69"/>
    <w:rsid w:val="007E7D86"/>
    <w:rsid w:val="007E7DA2"/>
    <w:rsid w:val="007E7DDB"/>
    <w:rsid w:val="007E7F12"/>
    <w:rsid w:val="007F02F3"/>
    <w:rsid w:val="007F039A"/>
    <w:rsid w:val="007F0893"/>
    <w:rsid w:val="007F0DD2"/>
    <w:rsid w:val="007F0F93"/>
    <w:rsid w:val="007F103B"/>
    <w:rsid w:val="007F1128"/>
    <w:rsid w:val="007F11A9"/>
    <w:rsid w:val="007F13A0"/>
    <w:rsid w:val="007F145F"/>
    <w:rsid w:val="007F1669"/>
    <w:rsid w:val="007F1CF8"/>
    <w:rsid w:val="007F1D52"/>
    <w:rsid w:val="007F235B"/>
    <w:rsid w:val="007F2902"/>
    <w:rsid w:val="007F2AFC"/>
    <w:rsid w:val="007F2E84"/>
    <w:rsid w:val="007F2E99"/>
    <w:rsid w:val="007F2EED"/>
    <w:rsid w:val="007F2FC4"/>
    <w:rsid w:val="007F3010"/>
    <w:rsid w:val="007F3066"/>
    <w:rsid w:val="007F31A4"/>
    <w:rsid w:val="007F32C6"/>
    <w:rsid w:val="007F3305"/>
    <w:rsid w:val="007F3419"/>
    <w:rsid w:val="007F3505"/>
    <w:rsid w:val="007F3703"/>
    <w:rsid w:val="007F370C"/>
    <w:rsid w:val="007F3864"/>
    <w:rsid w:val="007F3B89"/>
    <w:rsid w:val="007F3BED"/>
    <w:rsid w:val="007F3C38"/>
    <w:rsid w:val="007F3C3C"/>
    <w:rsid w:val="007F444A"/>
    <w:rsid w:val="007F4608"/>
    <w:rsid w:val="007F4721"/>
    <w:rsid w:val="007F4788"/>
    <w:rsid w:val="007F48E0"/>
    <w:rsid w:val="007F4BF5"/>
    <w:rsid w:val="007F4C12"/>
    <w:rsid w:val="007F4E28"/>
    <w:rsid w:val="007F4F1D"/>
    <w:rsid w:val="007F5222"/>
    <w:rsid w:val="007F536E"/>
    <w:rsid w:val="007F546E"/>
    <w:rsid w:val="007F5702"/>
    <w:rsid w:val="007F5841"/>
    <w:rsid w:val="007F593E"/>
    <w:rsid w:val="007F598E"/>
    <w:rsid w:val="007F5D28"/>
    <w:rsid w:val="007F5DCD"/>
    <w:rsid w:val="007F5E58"/>
    <w:rsid w:val="007F5FF7"/>
    <w:rsid w:val="007F6083"/>
    <w:rsid w:val="007F62F9"/>
    <w:rsid w:val="007F6496"/>
    <w:rsid w:val="007F6561"/>
    <w:rsid w:val="007F6771"/>
    <w:rsid w:val="007F6B3E"/>
    <w:rsid w:val="007F6BB6"/>
    <w:rsid w:val="007F6BF3"/>
    <w:rsid w:val="007F6E3C"/>
    <w:rsid w:val="007F6EF8"/>
    <w:rsid w:val="007F7082"/>
    <w:rsid w:val="007F719B"/>
    <w:rsid w:val="007F71D0"/>
    <w:rsid w:val="007F7385"/>
    <w:rsid w:val="007F7391"/>
    <w:rsid w:val="007F76C0"/>
    <w:rsid w:val="007F7987"/>
    <w:rsid w:val="007F7B5B"/>
    <w:rsid w:val="007F7E65"/>
    <w:rsid w:val="00800026"/>
    <w:rsid w:val="008003AE"/>
    <w:rsid w:val="00800A6C"/>
    <w:rsid w:val="008012A9"/>
    <w:rsid w:val="00801683"/>
    <w:rsid w:val="008018FC"/>
    <w:rsid w:val="00801B62"/>
    <w:rsid w:val="00801D84"/>
    <w:rsid w:val="00801EEA"/>
    <w:rsid w:val="00801F3C"/>
    <w:rsid w:val="00801FE8"/>
    <w:rsid w:val="00802132"/>
    <w:rsid w:val="00802134"/>
    <w:rsid w:val="008022DB"/>
    <w:rsid w:val="0080235C"/>
    <w:rsid w:val="00802594"/>
    <w:rsid w:val="008025A4"/>
    <w:rsid w:val="00802631"/>
    <w:rsid w:val="00802EF6"/>
    <w:rsid w:val="00802F22"/>
    <w:rsid w:val="00803098"/>
    <w:rsid w:val="00803114"/>
    <w:rsid w:val="008032DF"/>
    <w:rsid w:val="0080332B"/>
    <w:rsid w:val="008033B9"/>
    <w:rsid w:val="0080359A"/>
    <w:rsid w:val="008036B1"/>
    <w:rsid w:val="008037E8"/>
    <w:rsid w:val="008039B1"/>
    <w:rsid w:val="00803A8F"/>
    <w:rsid w:val="00803B1E"/>
    <w:rsid w:val="00803C37"/>
    <w:rsid w:val="00803F3B"/>
    <w:rsid w:val="00804602"/>
    <w:rsid w:val="008046E7"/>
    <w:rsid w:val="00804A6D"/>
    <w:rsid w:val="0080502A"/>
    <w:rsid w:val="00805488"/>
    <w:rsid w:val="00805ED4"/>
    <w:rsid w:val="00805F59"/>
    <w:rsid w:val="008060CA"/>
    <w:rsid w:val="008061B5"/>
    <w:rsid w:val="0080634D"/>
    <w:rsid w:val="008063EA"/>
    <w:rsid w:val="0080665E"/>
    <w:rsid w:val="008066E9"/>
    <w:rsid w:val="0080693F"/>
    <w:rsid w:val="00806AF6"/>
    <w:rsid w:val="00806EF2"/>
    <w:rsid w:val="00807022"/>
    <w:rsid w:val="008072B6"/>
    <w:rsid w:val="008072D5"/>
    <w:rsid w:val="008074A2"/>
    <w:rsid w:val="008076D1"/>
    <w:rsid w:val="0080794E"/>
    <w:rsid w:val="00807A66"/>
    <w:rsid w:val="00807C10"/>
    <w:rsid w:val="00807FA1"/>
    <w:rsid w:val="008100B9"/>
    <w:rsid w:val="00810377"/>
    <w:rsid w:val="00810382"/>
    <w:rsid w:val="008107C6"/>
    <w:rsid w:val="008108AD"/>
    <w:rsid w:val="008109D3"/>
    <w:rsid w:val="00810BDF"/>
    <w:rsid w:val="0081108F"/>
    <w:rsid w:val="008114BA"/>
    <w:rsid w:val="0081155D"/>
    <w:rsid w:val="00811AD4"/>
    <w:rsid w:val="00811D4D"/>
    <w:rsid w:val="00812139"/>
    <w:rsid w:val="008122FD"/>
    <w:rsid w:val="00812368"/>
    <w:rsid w:val="0081260E"/>
    <w:rsid w:val="0081262C"/>
    <w:rsid w:val="008126F1"/>
    <w:rsid w:val="008127DB"/>
    <w:rsid w:val="0081280B"/>
    <w:rsid w:val="0081283B"/>
    <w:rsid w:val="00812977"/>
    <w:rsid w:val="00812B5A"/>
    <w:rsid w:val="00812CC9"/>
    <w:rsid w:val="00812E58"/>
    <w:rsid w:val="00813186"/>
    <w:rsid w:val="00813254"/>
    <w:rsid w:val="008138B2"/>
    <w:rsid w:val="008139C1"/>
    <w:rsid w:val="00813AAB"/>
    <w:rsid w:val="00813F32"/>
    <w:rsid w:val="00813FCC"/>
    <w:rsid w:val="00814036"/>
    <w:rsid w:val="0081408A"/>
    <w:rsid w:val="00814128"/>
    <w:rsid w:val="00814274"/>
    <w:rsid w:val="0081444B"/>
    <w:rsid w:val="00814535"/>
    <w:rsid w:val="00814731"/>
    <w:rsid w:val="00814867"/>
    <w:rsid w:val="00814995"/>
    <w:rsid w:val="008149D5"/>
    <w:rsid w:val="00814AB4"/>
    <w:rsid w:val="00814FBA"/>
    <w:rsid w:val="00814FE8"/>
    <w:rsid w:val="008150B9"/>
    <w:rsid w:val="008150D6"/>
    <w:rsid w:val="00815295"/>
    <w:rsid w:val="0081534D"/>
    <w:rsid w:val="008154CB"/>
    <w:rsid w:val="008157AA"/>
    <w:rsid w:val="00815AA7"/>
    <w:rsid w:val="00816373"/>
    <w:rsid w:val="008163D2"/>
    <w:rsid w:val="0081657A"/>
    <w:rsid w:val="008165BD"/>
    <w:rsid w:val="008168C3"/>
    <w:rsid w:val="00816B5D"/>
    <w:rsid w:val="00816C50"/>
    <w:rsid w:val="00816D32"/>
    <w:rsid w:val="00816D4D"/>
    <w:rsid w:val="00816DC7"/>
    <w:rsid w:val="0081713B"/>
    <w:rsid w:val="008171FE"/>
    <w:rsid w:val="008172A2"/>
    <w:rsid w:val="008172DE"/>
    <w:rsid w:val="00817310"/>
    <w:rsid w:val="00817354"/>
    <w:rsid w:val="00817761"/>
    <w:rsid w:val="008178BA"/>
    <w:rsid w:val="00817D91"/>
    <w:rsid w:val="00817DB2"/>
    <w:rsid w:val="00817FCD"/>
    <w:rsid w:val="008201A1"/>
    <w:rsid w:val="0082032C"/>
    <w:rsid w:val="00820767"/>
    <w:rsid w:val="008207CE"/>
    <w:rsid w:val="0082096F"/>
    <w:rsid w:val="00820D68"/>
    <w:rsid w:val="00821032"/>
    <w:rsid w:val="0082112B"/>
    <w:rsid w:val="008211E9"/>
    <w:rsid w:val="00821202"/>
    <w:rsid w:val="00821808"/>
    <w:rsid w:val="008218FC"/>
    <w:rsid w:val="00821B5F"/>
    <w:rsid w:val="00821D68"/>
    <w:rsid w:val="00822210"/>
    <w:rsid w:val="00822624"/>
    <w:rsid w:val="00822676"/>
    <w:rsid w:val="00822B45"/>
    <w:rsid w:val="00822BE0"/>
    <w:rsid w:val="00822C19"/>
    <w:rsid w:val="00822E17"/>
    <w:rsid w:val="0082306F"/>
    <w:rsid w:val="0082313F"/>
    <w:rsid w:val="0082321B"/>
    <w:rsid w:val="008232C3"/>
    <w:rsid w:val="008234BD"/>
    <w:rsid w:val="00823927"/>
    <w:rsid w:val="008239C8"/>
    <w:rsid w:val="00823DA1"/>
    <w:rsid w:val="00823DF5"/>
    <w:rsid w:val="00823E95"/>
    <w:rsid w:val="00824064"/>
    <w:rsid w:val="0082430F"/>
    <w:rsid w:val="008245BF"/>
    <w:rsid w:val="0082466D"/>
    <w:rsid w:val="008246C5"/>
    <w:rsid w:val="00824A8B"/>
    <w:rsid w:val="00824BFE"/>
    <w:rsid w:val="00824D84"/>
    <w:rsid w:val="00824E57"/>
    <w:rsid w:val="00824F73"/>
    <w:rsid w:val="00825D9C"/>
    <w:rsid w:val="00825F04"/>
    <w:rsid w:val="0082635D"/>
    <w:rsid w:val="008265CD"/>
    <w:rsid w:val="008265E9"/>
    <w:rsid w:val="00826763"/>
    <w:rsid w:val="008268DA"/>
    <w:rsid w:val="00826A64"/>
    <w:rsid w:val="00826B21"/>
    <w:rsid w:val="00826F1D"/>
    <w:rsid w:val="00826F7D"/>
    <w:rsid w:val="008270FB"/>
    <w:rsid w:val="00827293"/>
    <w:rsid w:val="008272C8"/>
    <w:rsid w:val="00827430"/>
    <w:rsid w:val="008274A3"/>
    <w:rsid w:val="0082790F"/>
    <w:rsid w:val="00827FC3"/>
    <w:rsid w:val="00830233"/>
    <w:rsid w:val="0083059E"/>
    <w:rsid w:val="00830632"/>
    <w:rsid w:val="008306C4"/>
    <w:rsid w:val="0083074F"/>
    <w:rsid w:val="008307DF"/>
    <w:rsid w:val="008311F5"/>
    <w:rsid w:val="00831219"/>
    <w:rsid w:val="0083124B"/>
    <w:rsid w:val="00831814"/>
    <w:rsid w:val="008318CC"/>
    <w:rsid w:val="0083198F"/>
    <w:rsid w:val="00831B47"/>
    <w:rsid w:val="00831C34"/>
    <w:rsid w:val="00831F6E"/>
    <w:rsid w:val="008323F1"/>
    <w:rsid w:val="0083285E"/>
    <w:rsid w:val="00832988"/>
    <w:rsid w:val="00832A8C"/>
    <w:rsid w:val="00832AE6"/>
    <w:rsid w:val="00832B8C"/>
    <w:rsid w:val="00832BA9"/>
    <w:rsid w:val="00832DDA"/>
    <w:rsid w:val="00832E27"/>
    <w:rsid w:val="00832F55"/>
    <w:rsid w:val="0083306C"/>
    <w:rsid w:val="0083333C"/>
    <w:rsid w:val="00833961"/>
    <w:rsid w:val="00833AB0"/>
    <w:rsid w:val="00833B16"/>
    <w:rsid w:val="00833B30"/>
    <w:rsid w:val="00833BCF"/>
    <w:rsid w:val="00833BD0"/>
    <w:rsid w:val="00833E95"/>
    <w:rsid w:val="00833F8D"/>
    <w:rsid w:val="008340B3"/>
    <w:rsid w:val="008343E9"/>
    <w:rsid w:val="008345AE"/>
    <w:rsid w:val="00834615"/>
    <w:rsid w:val="00834620"/>
    <w:rsid w:val="00834782"/>
    <w:rsid w:val="008349B7"/>
    <w:rsid w:val="00834BFD"/>
    <w:rsid w:val="00835018"/>
    <w:rsid w:val="008353BB"/>
    <w:rsid w:val="0083561B"/>
    <w:rsid w:val="00835708"/>
    <w:rsid w:val="0083582A"/>
    <w:rsid w:val="00835A76"/>
    <w:rsid w:val="00835B54"/>
    <w:rsid w:val="00835C9F"/>
    <w:rsid w:val="00835CCB"/>
    <w:rsid w:val="00835E25"/>
    <w:rsid w:val="00836153"/>
    <w:rsid w:val="00836699"/>
    <w:rsid w:val="00836C3C"/>
    <w:rsid w:val="00836E21"/>
    <w:rsid w:val="00836F14"/>
    <w:rsid w:val="0083706B"/>
    <w:rsid w:val="00837091"/>
    <w:rsid w:val="00837458"/>
    <w:rsid w:val="0083747C"/>
    <w:rsid w:val="008377B2"/>
    <w:rsid w:val="008378A7"/>
    <w:rsid w:val="00837906"/>
    <w:rsid w:val="00837EB4"/>
    <w:rsid w:val="008402CE"/>
    <w:rsid w:val="00840B14"/>
    <w:rsid w:val="00840E75"/>
    <w:rsid w:val="00840F12"/>
    <w:rsid w:val="00841111"/>
    <w:rsid w:val="0084142F"/>
    <w:rsid w:val="00841799"/>
    <w:rsid w:val="008418C1"/>
    <w:rsid w:val="0084193C"/>
    <w:rsid w:val="00841ABB"/>
    <w:rsid w:val="00841D3E"/>
    <w:rsid w:val="0084212F"/>
    <w:rsid w:val="008422EE"/>
    <w:rsid w:val="00842393"/>
    <w:rsid w:val="0084262B"/>
    <w:rsid w:val="00842637"/>
    <w:rsid w:val="0084270B"/>
    <w:rsid w:val="00842790"/>
    <w:rsid w:val="00842AB6"/>
    <w:rsid w:val="00842BB9"/>
    <w:rsid w:val="00842BD5"/>
    <w:rsid w:val="00842DAB"/>
    <w:rsid w:val="00842E8B"/>
    <w:rsid w:val="00842F0B"/>
    <w:rsid w:val="008430F1"/>
    <w:rsid w:val="008436FD"/>
    <w:rsid w:val="00843A37"/>
    <w:rsid w:val="00843AB4"/>
    <w:rsid w:val="00843DEB"/>
    <w:rsid w:val="00843E0E"/>
    <w:rsid w:val="00843EB1"/>
    <w:rsid w:val="008441E5"/>
    <w:rsid w:val="008441FF"/>
    <w:rsid w:val="00844200"/>
    <w:rsid w:val="008445A6"/>
    <w:rsid w:val="00844743"/>
    <w:rsid w:val="00844785"/>
    <w:rsid w:val="00844850"/>
    <w:rsid w:val="00844A6C"/>
    <w:rsid w:val="00844D03"/>
    <w:rsid w:val="00844DBE"/>
    <w:rsid w:val="00844F31"/>
    <w:rsid w:val="00844F4A"/>
    <w:rsid w:val="00845105"/>
    <w:rsid w:val="008454F5"/>
    <w:rsid w:val="00845532"/>
    <w:rsid w:val="00845799"/>
    <w:rsid w:val="00845820"/>
    <w:rsid w:val="008458F2"/>
    <w:rsid w:val="00845AAC"/>
    <w:rsid w:val="00845C89"/>
    <w:rsid w:val="00845FED"/>
    <w:rsid w:val="00846111"/>
    <w:rsid w:val="008468DC"/>
    <w:rsid w:val="00846D37"/>
    <w:rsid w:val="00847052"/>
    <w:rsid w:val="0084706C"/>
    <w:rsid w:val="0084737B"/>
    <w:rsid w:val="008474B6"/>
    <w:rsid w:val="008474EB"/>
    <w:rsid w:val="0084788E"/>
    <w:rsid w:val="008478D4"/>
    <w:rsid w:val="00847B37"/>
    <w:rsid w:val="00847CC4"/>
    <w:rsid w:val="00847D61"/>
    <w:rsid w:val="00847EDF"/>
    <w:rsid w:val="00847F93"/>
    <w:rsid w:val="00847F9E"/>
    <w:rsid w:val="0085020B"/>
    <w:rsid w:val="008502B1"/>
    <w:rsid w:val="0085033E"/>
    <w:rsid w:val="00850443"/>
    <w:rsid w:val="008504E9"/>
    <w:rsid w:val="00850528"/>
    <w:rsid w:val="0085063B"/>
    <w:rsid w:val="008507CC"/>
    <w:rsid w:val="00850B12"/>
    <w:rsid w:val="00850BDC"/>
    <w:rsid w:val="0085106D"/>
    <w:rsid w:val="00851122"/>
    <w:rsid w:val="008514C8"/>
    <w:rsid w:val="00851574"/>
    <w:rsid w:val="008517DC"/>
    <w:rsid w:val="00851924"/>
    <w:rsid w:val="0085198D"/>
    <w:rsid w:val="008519CB"/>
    <w:rsid w:val="00851E81"/>
    <w:rsid w:val="00851FAD"/>
    <w:rsid w:val="0085206B"/>
    <w:rsid w:val="00852147"/>
    <w:rsid w:val="00852220"/>
    <w:rsid w:val="008524A8"/>
    <w:rsid w:val="00852536"/>
    <w:rsid w:val="00852562"/>
    <w:rsid w:val="008525ED"/>
    <w:rsid w:val="00852B40"/>
    <w:rsid w:val="00852BCE"/>
    <w:rsid w:val="00852C60"/>
    <w:rsid w:val="00852DBF"/>
    <w:rsid w:val="00853385"/>
    <w:rsid w:val="008533DA"/>
    <w:rsid w:val="008535DF"/>
    <w:rsid w:val="008536A0"/>
    <w:rsid w:val="0085377D"/>
    <w:rsid w:val="00853895"/>
    <w:rsid w:val="00853BF0"/>
    <w:rsid w:val="00853DBF"/>
    <w:rsid w:val="00853E74"/>
    <w:rsid w:val="00853F2F"/>
    <w:rsid w:val="00854081"/>
    <w:rsid w:val="008544EA"/>
    <w:rsid w:val="008545A3"/>
    <w:rsid w:val="00854A89"/>
    <w:rsid w:val="00854B2A"/>
    <w:rsid w:val="00854C6F"/>
    <w:rsid w:val="0085508F"/>
    <w:rsid w:val="008551B4"/>
    <w:rsid w:val="0085521A"/>
    <w:rsid w:val="008553E5"/>
    <w:rsid w:val="0085580B"/>
    <w:rsid w:val="00855882"/>
    <w:rsid w:val="00855A58"/>
    <w:rsid w:val="00855B52"/>
    <w:rsid w:val="00855B76"/>
    <w:rsid w:val="00855EE6"/>
    <w:rsid w:val="008561F4"/>
    <w:rsid w:val="008567EC"/>
    <w:rsid w:val="0085696B"/>
    <w:rsid w:val="00856B32"/>
    <w:rsid w:val="00856DF3"/>
    <w:rsid w:val="00856FE9"/>
    <w:rsid w:val="00857265"/>
    <w:rsid w:val="008572BD"/>
    <w:rsid w:val="0085792E"/>
    <w:rsid w:val="00857E35"/>
    <w:rsid w:val="00860414"/>
    <w:rsid w:val="008605CA"/>
    <w:rsid w:val="00860BB2"/>
    <w:rsid w:val="00860F2C"/>
    <w:rsid w:val="00861851"/>
    <w:rsid w:val="008618F1"/>
    <w:rsid w:val="00861A0B"/>
    <w:rsid w:val="00861E24"/>
    <w:rsid w:val="00861EEF"/>
    <w:rsid w:val="00861FAB"/>
    <w:rsid w:val="00862AFB"/>
    <w:rsid w:val="00862BD9"/>
    <w:rsid w:val="00862C55"/>
    <w:rsid w:val="00862C5C"/>
    <w:rsid w:val="00862D22"/>
    <w:rsid w:val="00862D80"/>
    <w:rsid w:val="00862E44"/>
    <w:rsid w:val="00863255"/>
    <w:rsid w:val="00863368"/>
    <w:rsid w:val="008634AD"/>
    <w:rsid w:val="00863533"/>
    <w:rsid w:val="008636D3"/>
    <w:rsid w:val="00863937"/>
    <w:rsid w:val="0086394B"/>
    <w:rsid w:val="00863CD4"/>
    <w:rsid w:val="00863D5D"/>
    <w:rsid w:val="008642A0"/>
    <w:rsid w:val="0086447D"/>
    <w:rsid w:val="00864A3B"/>
    <w:rsid w:val="008652E2"/>
    <w:rsid w:val="00865352"/>
    <w:rsid w:val="0086558C"/>
    <w:rsid w:val="00865A68"/>
    <w:rsid w:val="00865BA1"/>
    <w:rsid w:val="00866016"/>
    <w:rsid w:val="00866514"/>
    <w:rsid w:val="0086656C"/>
    <w:rsid w:val="00867016"/>
    <w:rsid w:val="00867211"/>
    <w:rsid w:val="008676A4"/>
    <w:rsid w:val="008676B4"/>
    <w:rsid w:val="00867715"/>
    <w:rsid w:val="00867973"/>
    <w:rsid w:val="00867D04"/>
    <w:rsid w:val="00867F3E"/>
    <w:rsid w:val="0087001D"/>
    <w:rsid w:val="0087022F"/>
    <w:rsid w:val="0087032D"/>
    <w:rsid w:val="00870589"/>
    <w:rsid w:val="0087096D"/>
    <w:rsid w:val="00870C07"/>
    <w:rsid w:val="00870E85"/>
    <w:rsid w:val="00870FF1"/>
    <w:rsid w:val="00870FF9"/>
    <w:rsid w:val="00871B5D"/>
    <w:rsid w:val="00871FC1"/>
    <w:rsid w:val="008724EF"/>
    <w:rsid w:val="0087269E"/>
    <w:rsid w:val="008728F0"/>
    <w:rsid w:val="0087297F"/>
    <w:rsid w:val="008729B4"/>
    <w:rsid w:val="00872A87"/>
    <w:rsid w:val="00872C48"/>
    <w:rsid w:val="00872D9E"/>
    <w:rsid w:val="00872EEA"/>
    <w:rsid w:val="00873010"/>
    <w:rsid w:val="00873053"/>
    <w:rsid w:val="008730CC"/>
    <w:rsid w:val="00873126"/>
    <w:rsid w:val="008732D1"/>
    <w:rsid w:val="00873960"/>
    <w:rsid w:val="008739A6"/>
    <w:rsid w:val="00873A4C"/>
    <w:rsid w:val="00873B0B"/>
    <w:rsid w:val="00873B45"/>
    <w:rsid w:val="00873FF7"/>
    <w:rsid w:val="008742AB"/>
    <w:rsid w:val="0087434B"/>
    <w:rsid w:val="0087455A"/>
    <w:rsid w:val="00874873"/>
    <w:rsid w:val="00874882"/>
    <w:rsid w:val="008748F0"/>
    <w:rsid w:val="008749B2"/>
    <w:rsid w:val="008749B5"/>
    <w:rsid w:val="00874B5C"/>
    <w:rsid w:val="00874C87"/>
    <w:rsid w:val="00874E0C"/>
    <w:rsid w:val="00875227"/>
    <w:rsid w:val="008752D5"/>
    <w:rsid w:val="00875439"/>
    <w:rsid w:val="00875549"/>
    <w:rsid w:val="008756CB"/>
    <w:rsid w:val="0087572C"/>
    <w:rsid w:val="00875898"/>
    <w:rsid w:val="008758B7"/>
    <w:rsid w:val="008758C2"/>
    <w:rsid w:val="008758C4"/>
    <w:rsid w:val="00875A57"/>
    <w:rsid w:val="00875C73"/>
    <w:rsid w:val="00875DDF"/>
    <w:rsid w:val="00876141"/>
    <w:rsid w:val="00876459"/>
    <w:rsid w:val="00876515"/>
    <w:rsid w:val="0087696B"/>
    <w:rsid w:val="00876BDC"/>
    <w:rsid w:val="00876C14"/>
    <w:rsid w:val="00876DD5"/>
    <w:rsid w:val="008771C3"/>
    <w:rsid w:val="008771DC"/>
    <w:rsid w:val="0087741F"/>
    <w:rsid w:val="0087758F"/>
    <w:rsid w:val="00877722"/>
    <w:rsid w:val="00877C2F"/>
    <w:rsid w:val="00880016"/>
    <w:rsid w:val="0088015A"/>
    <w:rsid w:val="00880433"/>
    <w:rsid w:val="00880565"/>
    <w:rsid w:val="00880632"/>
    <w:rsid w:val="00880842"/>
    <w:rsid w:val="00880B71"/>
    <w:rsid w:val="00880BFD"/>
    <w:rsid w:val="00880ECA"/>
    <w:rsid w:val="00881100"/>
    <w:rsid w:val="00881375"/>
    <w:rsid w:val="00881463"/>
    <w:rsid w:val="008818B6"/>
    <w:rsid w:val="008818F7"/>
    <w:rsid w:val="00881B4B"/>
    <w:rsid w:val="00881C1B"/>
    <w:rsid w:val="00881D22"/>
    <w:rsid w:val="00881D60"/>
    <w:rsid w:val="00881EE0"/>
    <w:rsid w:val="0088211A"/>
    <w:rsid w:val="00882231"/>
    <w:rsid w:val="00882287"/>
    <w:rsid w:val="00882778"/>
    <w:rsid w:val="00882829"/>
    <w:rsid w:val="00882847"/>
    <w:rsid w:val="00882857"/>
    <w:rsid w:val="0088294E"/>
    <w:rsid w:val="00882A84"/>
    <w:rsid w:val="00882A96"/>
    <w:rsid w:val="00882B34"/>
    <w:rsid w:val="00882CBE"/>
    <w:rsid w:val="00882D81"/>
    <w:rsid w:val="00882EBA"/>
    <w:rsid w:val="00882FC0"/>
    <w:rsid w:val="00883009"/>
    <w:rsid w:val="008830EB"/>
    <w:rsid w:val="00883B5D"/>
    <w:rsid w:val="00883CB3"/>
    <w:rsid w:val="00883F7F"/>
    <w:rsid w:val="00883FE2"/>
    <w:rsid w:val="00884134"/>
    <w:rsid w:val="00884971"/>
    <w:rsid w:val="00884A7D"/>
    <w:rsid w:val="00884AEE"/>
    <w:rsid w:val="00884E0C"/>
    <w:rsid w:val="00884FEA"/>
    <w:rsid w:val="00885459"/>
    <w:rsid w:val="008855D4"/>
    <w:rsid w:val="008858E5"/>
    <w:rsid w:val="00885F89"/>
    <w:rsid w:val="0088634E"/>
    <w:rsid w:val="008863B4"/>
    <w:rsid w:val="008863F4"/>
    <w:rsid w:val="008865B6"/>
    <w:rsid w:val="00886699"/>
    <w:rsid w:val="00886A57"/>
    <w:rsid w:val="00886ACA"/>
    <w:rsid w:val="00886AE3"/>
    <w:rsid w:val="00886F83"/>
    <w:rsid w:val="00886F8C"/>
    <w:rsid w:val="00887110"/>
    <w:rsid w:val="00887301"/>
    <w:rsid w:val="008873D4"/>
    <w:rsid w:val="008875E1"/>
    <w:rsid w:val="00887A1F"/>
    <w:rsid w:val="00887CD0"/>
    <w:rsid w:val="00887CE7"/>
    <w:rsid w:val="00887F32"/>
    <w:rsid w:val="008901D1"/>
    <w:rsid w:val="00890397"/>
    <w:rsid w:val="008903CC"/>
    <w:rsid w:val="008904DF"/>
    <w:rsid w:val="00890698"/>
    <w:rsid w:val="00890857"/>
    <w:rsid w:val="00890989"/>
    <w:rsid w:val="00890A86"/>
    <w:rsid w:val="00890D69"/>
    <w:rsid w:val="0089103D"/>
    <w:rsid w:val="008910B5"/>
    <w:rsid w:val="00891576"/>
    <w:rsid w:val="0089183C"/>
    <w:rsid w:val="00891949"/>
    <w:rsid w:val="00891B0C"/>
    <w:rsid w:val="00892216"/>
    <w:rsid w:val="0089247E"/>
    <w:rsid w:val="008925CF"/>
    <w:rsid w:val="0089265A"/>
    <w:rsid w:val="008926C1"/>
    <w:rsid w:val="008926E0"/>
    <w:rsid w:val="00892940"/>
    <w:rsid w:val="00892C87"/>
    <w:rsid w:val="00892D4F"/>
    <w:rsid w:val="00892DD0"/>
    <w:rsid w:val="00892F9A"/>
    <w:rsid w:val="0089342A"/>
    <w:rsid w:val="0089378A"/>
    <w:rsid w:val="00893A80"/>
    <w:rsid w:val="00893B00"/>
    <w:rsid w:val="00893CE6"/>
    <w:rsid w:val="00893D8A"/>
    <w:rsid w:val="00893DC9"/>
    <w:rsid w:val="008944E2"/>
    <w:rsid w:val="00894547"/>
    <w:rsid w:val="008945C9"/>
    <w:rsid w:val="00894770"/>
    <w:rsid w:val="00894821"/>
    <w:rsid w:val="00894832"/>
    <w:rsid w:val="00894865"/>
    <w:rsid w:val="00894C18"/>
    <w:rsid w:val="00894CE0"/>
    <w:rsid w:val="00894D44"/>
    <w:rsid w:val="00894F21"/>
    <w:rsid w:val="008950B9"/>
    <w:rsid w:val="0089533A"/>
    <w:rsid w:val="0089536D"/>
    <w:rsid w:val="0089538F"/>
    <w:rsid w:val="0089579D"/>
    <w:rsid w:val="00895A18"/>
    <w:rsid w:val="00895D7A"/>
    <w:rsid w:val="00895EC7"/>
    <w:rsid w:val="008961A3"/>
    <w:rsid w:val="008961E3"/>
    <w:rsid w:val="00896499"/>
    <w:rsid w:val="0089675B"/>
    <w:rsid w:val="008968E9"/>
    <w:rsid w:val="0089699D"/>
    <w:rsid w:val="00896E2D"/>
    <w:rsid w:val="00897031"/>
    <w:rsid w:val="00897224"/>
    <w:rsid w:val="008974BA"/>
    <w:rsid w:val="008974F2"/>
    <w:rsid w:val="00897567"/>
    <w:rsid w:val="008A0249"/>
    <w:rsid w:val="008A02D4"/>
    <w:rsid w:val="008A06F7"/>
    <w:rsid w:val="008A0937"/>
    <w:rsid w:val="008A0C99"/>
    <w:rsid w:val="008A0D65"/>
    <w:rsid w:val="008A0F6E"/>
    <w:rsid w:val="008A1623"/>
    <w:rsid w:val="008A1B40"/>
    <w:rsid w:val="008A1C32"/>
    <w:rsid w:val="008A1D8D"/>
    <w:rsid w:val="008A221B"/>
    <w:rsid w:val="008A22F5"/>
    <w:rsid w:val="008A234A"/>
    <w:rsid w:val="008A2511"/>
    <w:rsid w:val="008A2B25"/>
    <w:rsid w:val="008A2B54"/>
    <w:rsid w:val="008A2CD7"/>
    <w:rsid w:val="008A2CDF"/>
    <w:rsid w:val="008A2EE9"/>
    <w:rsid w:val="008A3267"/>
    <w:rsid w:val="008A33EB"/>
    <w:rsid w:val="008A34A4"/>
    <w:rsid w:val="008A35B2"/>
    <w:rsid w:val="008A3627"/>
    <w:rsid w:val="008A3900"/>
    <w:rsid w:val="008A396B"/>
    <w:rsid w:val="008A3E52"/>
    <w:rsid w:val="008A403C"/>
    <w:rsid w:val="008A40F9"/>
    <w:rsid w:val="008A42DB"/>
    <w:rsid w:val="008A4774"/>
    <w:rsid w:val="008A4A71"/>
    <w:rsid w:val="008A4D2A"/>
    <w:rsid w:val="008A4E3C"/>
    <w:rsid w:val="008A4FE2"/>
    <w:rsid w:val="008A5435"/>
    <w:rsid w:val="008A55C5"/>
    <w:rsid w:val="008A56B3"/>
    <w:rsid w:val="008A5B0F"/>
    <w:rsid w:val="008A5C31"/>
    <w:rsid w:val="008A5C8C"/>
    <w:rsid w:val="008A60DE"/>
    <w:rsid w:val="008A61BC"/>
    <w:rsid w:val="008A622D"/>
    <w:rsid w:val="008A6378"/>
    <w:rsid w:val="008A649E"/>
    <w:rsid w:val="008A6501"/>
    <w:rsid w:val="008A65A0"/>
    <w:rsid w:val="008A6691"/>
    <w:rsid w:val="008A6776"/>
    <w:rsid w:val="008A6A11"/>
    <w:rsid w:val="008A6D75"/>
    <w:rsid w:val="008A6F77"/>
    <w:rsid w:val="008A733E"/>
    <w:rsid w:val="008A7773"/>
    <w:rsid w:val="008A77FF"/>
    <w:rsid w:val="008A7896"/>
    <w:rsid w:val="008A7B76"/>
    <w:rsid w:val="008A7DFE"/>
    <w:rsid w:val="008A7E1C"/>
    <w:rsid w:val="008B03F0"/>
    <w:rsid w:val="008B0478"/>
    <w:rsid w:val="008B0566"/>
    <w:rsid w:val="008B065C"/>
    <w:rsid w:val="008B067E"/>
    <w:rsid w:val="008B0B77"/>
    <w:rsid w:val="008B11D2"/>
    <w:rsid w:val="008B1368"/>
    <w:rsid w:val="008B16CC"/>
    <w:rsid w:val="008B1985"/>
    <w:rsid w:val="008B1C99"/>
    <w:rsid w:val="008B1E12"/>
    <w:rsid w:val="008B1EDB"/>
    <w:rsid w:val="008B2747"/>
    <w:rsid w:val="008B29C5"/>
    <w:rsid w:val="008B2AA6"/>
    <w:rsid w:val="008B2AB4"/>
    <w:rsid w:val="008B2D01"/>
    <w:rsid w:val="008B2DBF"/>
    <w:rsid w:val="008B2F81"/>
    <w:rsid w:val="008B33CA"/>
    <w:rsid w:val="008B3492"/>
    <w:rsid w:val="008B3527"/>
    <w:rsid w:val="008B3641"/>
    <w:rsid w:val="008B37E9"/>
    <w:rsid w:val="008B37F2"/>
    <w:rsid w:val="008B3E1A"/>
    <w:rsid w:val="008B4473"/>
    <w:rsid w:val="008B4475"/>
    <w:rsid w:val="008B44D5"/>
    <w:rsid w:val="008B4531"/>
    <w:rsid w:val="008B4A0C"/>
    <w:rsid w:val="008B4B45"/>
    <w:rsid w:val="008B4C20"/>
    <w:rsid w:val="008B4D85"/>
    <w:rsid w:val="008B4E48"/>
    <w:rsid w:val="008B4EEB"/>
    <w:rsid w:val="008B4F1A"/>
    <w:rsid w:val="008B4F5B"/>
    <w:rsid w:val="008B5271"/>
    <w:rsid w:val="008B52CB"/>
    <w:rsid w:val="008B53CB"/>
    <w:rsid w:val="008B54BF"/>
    <w:rsid w:val="008B54DC"/>
    <w:rsid w:val="008B5B09"/>
    <w:rsid w:val="008B5B10"/>
    <w:rsid w:val="008B5BC3"/>
    <w:rsid w:val="008B5F8B"/>
    <w:rsid w:val="008B634B"/>
    <w:rsid w:val="008B6400"/>
    <w:rsid w:val="008B64D6"/>
    <w:rsid w:val="008B6708"/>
    <w:rsid w:val="008B67FC"/>
    <w:rsid w:val="008B681C"/>
    <w:rsid w:val="008B6879"/>
    <w:rsid w:val="008B6A17"/>
    <w:rsid w:val="008B6B0A"/>
    <w:rsid w:val="008B6C15"/>
    <w:rsid w:val="008B6F98"/>
    <w:rsid w:val="008B7110"/>
    <w:rsid w:val="008B7641"/>
    <w:rsid w:val="008B797C"/>
    <w:rsid w:val="008B797E"/>
    <w:rsid w:val="008B7A7F"/>
    <w:rsid w:val="008B7E84"/>
    <w:rsid w:val="008C047F"/>
    <w:rsid w:val="008C0846"/>
    <w:rsid w:val="008C08EC"/>
    <w:rsid w:val="008C0BE2"/>
    <w:rsid w:val="008C0D0C"/>
    <w:rsid w:val="008C0F6B"/>
    <w:rsid w:val="008C1032"/>
    <w:rsid w:val="008C1220"/>
    <w:rsid w:val="008C12F9"/>
    <w:rsid w:val="008C1354"/>
    <w:rsid w:val="008C142E"/>
    <w:rsid w:val="008C16F9"/>
    <w:rsid w:val="008C18C1"/>
    <w:rsid w:val="008C1C00"/>
    <w:rsid w:val="008C1EB7"/>
    <w:rsid w:val="008C1F30"/>
    <w:rsid w:val="008C2207"/>
    <w:rsid w:val="008C22D0"/>
    <w:rsid w:val="008C22FF"/>
    <w:rsid w:val="008C275B"/>
    <w:rsid w:val="008C2FC2"/>
    <w:rsid w:val="008C2FE1"/>
    <w:rsid w:val="008C30DF"/>
    <w:rsid w:val="008C3226"/>
    <w:rsid w:val="008C3291"/>
    <w:rsid w:val="008C341F"/>
    <w:rsid w:val="008C3591"/>
    <w:rsid w:val="008C3EA4"/>
    <w:rsid w:val="008C426F"/>
    <w:rsid w:val="008C4872"/>
    <w:rsid w:val="008C4E1E"/>
    <w:rsid w:val="008C4F56"/>
    <w:rsid w:val="008C4F76"/>
    <w:rsid w:val="008C505F"/>
    <w:rsid w:val="008C50F7"/>
    <w:rsid w:val="008C52A3"/>
    <w:rsid w:val="008C5373"/>
    <w:rsid w:val="008C56B9"/>
    <w:rsid w:val="008C5811"/>
    <w:rsid w:val="008C58A8"/>
    <w:rsid w:val="008C58D8"/>
    <w:rsid w:val="008C5D09"/>
    <w:rsid w:val="008C5FF4"/>
    <w:rsid w:val="008C60B3"/>
    <w:rsid w:val="008C60F5"/>
    <w:rsid w:val="008C6111"/>
    <w:rsid w:val="008C63A1"/>
    <w:rsid w:val="008C6590"/>
    <w:rsid w:val="008C66B6"/>
    <w:rsid w:val="008C69F2"/>
    <w:rsid w:val="008C6F42"/>
    <w:rsid w:val="008C7179"/>
    <w:rsid w:val="008C767B"/>
    <w:rsid w:val="008C7854"/>
    <w:rsid w:val="008C7959"/>
    <w:rsid w:val="008C7B97"/>
    <w:rsid w:val="008C7D60"/>
    <w:rsid w:val="008C7F83"/>
    <w:rsid w:val="008D01D5"/>
    <w:rsid w:val="008D0241"/>
    <w:rsid w:val="008D02A2"/>
    <w:rsid w:val="008D0391"/>
    <w:rsid w:val="008D087F"/>
    <w:rsid w:val="008D089A"/>
    <w:rsid w:val="008D0A74"/>
    <w:rsid w:val="008D0AA7"/>
    <w:rsid w:val="008D0BFA"/>
    <w:rsid w:val="008D0C22"/>
    <w:rsid w:val="008D0FD2"/>
    <w:rsid w:val="008D15EE"/>
    <w:rsid w:val="008D16D2"/>
    <w:rsid w:val="008D16D6"/>
    <w:rsid w:val="008D189D"/>
    <w:rsid w:val="008D1ADA"/>
    <w:rsid w:val="008D1CFF"/>
    <w:rsid w:val="008D1DDD"/>
    <w:rsid w:val="008D1DEA"/>
    <w:rsid w:val="008D248B"/>
    <w:rsid w:val="008D2580"/>
    <w:rsid w:val="008D26E3"/>
    <w:rsid w:val="008D2C41"/>
    <w:rsid w:val="008D3397"/>
    <w:rsid w:val="008D33C4"/>
    <w:rsid w:val="008D3504"/>
    <w:rsid w:val="008D3517"/>
    <w:rsid w:val="008D353E"/>
    <w:rsid w:val="008D3712"/>
    <w:rsid w:val="008D389F"/>
    <w:rsid w:val="008D3973"/>
    <w:rsid w:val="008D3ADE"/>
    <w:rsid w:val="008D454B"/>
    <w:rsid w:val="008D4714"/>
    <w:rsid w:val="008D4AD3"/>
    <w:rsid w:val="008D4B93"/>
    <w:rsid w:val="008D4C2E"/>
    <w:rsid w:val="008D526A"/>
    <w:rsid w:val="008D5331"/>
    <w:rsid w:val="008D55CE"/>
    <w:rsid w:val="008D565F"/>
    <w:rsid w:val="008D57D6"/>
    <w:rsid w:val="008D5970"/>
    <w:rsid w:val="008D59BB"/>
    <w:rsid w:val="008D5B53"/>
    <w:rsid w:val="008D5C13"/>
    <w:rsid w:val="008D5D93"/>
    <w:rsid w:val="008D60E2"/>
    <w:rsid w:val="008D6198"/>
    <w:rsid w:val="008D62AF"/>
    <w:rsid w:val="008D636F"/>
    <w:rsid w:val="008D63A1"/>
    <w:rsid w:val="008D6765"/>
    <w:rsid w:val="008D68A4"/>
    <w:rsid w:val="008D68E5"/>
    <w:rsid w:val="008D69EA"/>
    <w:rsid w:val="008D6AAB"/>
    <w:rsid w:val="008D6D41"/>
    <w:rsid w:val="008D6E4D"/>
    <w:rsid w:val="008D6E8A"/>
    <w:rsid w:val="008D6F2D"/>
    <w:rsid w:val="008D70AE"/>
    <w:rsid w:val="008D7139"/>
    <w:rsid w:val="008D7270"/>
    <w:rsid w:val="008D72C1"/>
    <w:rsid w:val="008D773C"/>
    <w:rsid w:val="008D7749"/>
    <w:rsid w:val="008D778F"/>
    <w:rsid w:val="008D7877"/>
    <w:rsid w:val="008D7A6A"/>
    <w:rsid w:val="008D7EF7"/>
    <w:rsid w:val="008D7FC8"/>
    <w:rsid w:val="008E0093"/>
    <w:rsid w:val="008E045A"/>
    <w:rsid w:val="008E06D6"/>
    <w:rsid w:val="008E076A"/>
    <w:rsid w:val="008E0B42"/>
    <w:rsid w:val="008E0C4E"/>
    <w:rsid w:val="008E0F1E"/>
    <w:rsid w:val="008E0FAC"/>
    <w:rsid w:val="008E1196"/>
    <w:rsid w:val="008E1721"/>
    <w:rsid w:val="008E1746"/>
    <w:rsid w:val="008E1880"/>
    <w:rsid w:val="008E1B3D"/>
    <w:rsid w:val="008E1F4E"/>
    <w:rsid w:val="008E20DC"/>
    <w:rsid w:val="008E223C"/>
    <w:rsid w:val="008E268F"/>
    <w:rsid w:val="008E27EF"/>
    <w:rsid w:val="008E2B25"/>
    <w:rsid w:val="008E32C6"/>
    <w:rsid w:val="008E3445"/>
    <w:rsid w:val="008E36AD"/>
    <w:rsid w:val="008E390D"/>
    <w:rsid w:val="008E3C68"/>
    <w:rsid w:val="008E44F0"/>
    <w:rsid w:val="008E473A"/>
    <w:rsid w:val="008E49C5"/>
    <w:rsid w:val="008E4C6A"/>
    <w:rsid w:val="008E4EE8"/>
    <w:rsid w:val="008E4FE3"/>
    <w:rsid w:val="008E52A7"/>
    <w:rsid w:val="008E532F"/>
    <w:rsid w:val="008E5640"/>
    <w:rsid w:val="008E58E0"/>
    <w:rsid w:val="008E5960"/>
    <w:rsid w:val="008E5AEB"/>
    <w:rsid w:val="008E5F4A"/>
    <w:rsid w:val="008E5F80"/>
    <w:rsid w:val="008E64EB"/>
    <w:rsid w:val="008E6713"/>
    <w:rsid w:val="008E683C"/>
    <w:rsid w:val="008E68B5"/>
    <w:rsid w:val="008E68E6"/>
    <w:rsid w:val="008E709B"/>
    <w:rsid w:val="008E72A9"/>
    <w:rsid w:val="008E7359"/>
    <w:rsid w:val="008E73A0"/>
    <w:rsid w:val="008E74EA"/>
    <w:rsid w:val="008E76C4"/>
    <w:rsid w:val="008E7855"/>
    <w:rsid w:val="008E7A39"/>
    <w:rsid w:val="008E7AF7"/>
    <w:rsid w:val="008E7DB7"/>
    <w:rsid w:val="008E7F63"/>
    <w:rsid w:val="008F0153"/>
    <w:rsid w:val="008F047C"/>
    <w:rsid w:val="008F04E8"/>
    <w:rsid w:val="008F06A1"/>
    <w:rsid w:val="008F07EA"/>
    <w:rsid w:val="008F10DD"/>
    <w:rsid w:val="008F1260"/>
    <w:rsid w:val="008F167F"/>
    <w:rsid w:val="008F17B0"/>
    <w:rsid w:val="008F17B3"/>
    <w:rsid w:val="008F193A"/>
    <w:rsid w:val="008F20DB"/>
    <w:rsid w:val="008F213D"/>
    <w:rsid w:val="008F2344"/>
    <w:rsid w:val="008F29C6"/>
    <w:rsid w:val="008F2A99"/>
    <w:rsid w:val="008F2D11"/>
    <w:rsid w:val="008F2D79"/>
    <w:rsid w:val="008F2E19"/>
    <w:rsid w:val="008F2E22"/>
    <w:rsid w:val="008F3079"/>
    <w:rsid w:val="008F30DC"/>
    <w:rsid w:val="008F32BC"/>
    <w:rsid w:val="008F3343"/>
    <w:rsid w:val="008F34F3"/>
    <w:rsid w:val="008F358F"/>
    <w:rsid w:val="008F3F2C"/>
    <w:rsid w:val="008F3FCF"/>
    <w:rsid w:val="008F407B"/>
    <w:rsid w:val="008F43C0"/>
    <w:rsid w:val="008F45B8"/>
    <w:rsid w:val="008F46A7"/>
    <w:rsid w:val="008F4A3F"/>
    <w:rsid w:val="008F4F8D"/>
    <w:rsid w:val="008F5507"/>
    <w:rsid w:val="008F55FC"/>
    <w:rsid w:val="008F5B07"/>
    <w:rsid w:val="008F5CF0"/>
    <w:rsid w:val="008F5DF7"/>
    <w:rsid w:val="008F5E0D"/>
    <w:rsid w:val="008F5ED6"/>
    <w:rsid w:val="008F66A5"/>
    <w:rsid w:val="008F677E"/>
    <w:rsid w:val="008F69A8"/>
    <w:rsid w:val="008F6F0E"/>
    <w:rsid w:val="008F6F5D"/>
    <w:rsid w:val="008F72EB"/>
    <w:rsid w:val="008F7347"/>
    <w:rsid w:val="008F748D"/>
    <w:rsid w:val="008F761F"/>
    <w:rsid w:val="008F76B4"/>
    <w:rsid w:val="008F77A1"/>
    <w:rsid w:val="008F7C90"/>
    <w:rsid w:val="008F7CAD"/>
    <w:rsid w:val="009002B2"/>
    <w:rsid w:val="009003DD"/>
    <w:rsid w:val="00900479"/>
    <w:rsid w:val="009007F7"/>
    <w:rsid w:val="0090087A"/>
    <w:rsid w:val="009009E2"/>
    <w:rsid w:val="009009EA"/>
    <w:rsid w:val="00900B85"/>
    <w:rsid w:val="00900D2C"/>
    <w:rsid w:val="00900E7E"/>
    <w:rsid w:val="00900F9E"/>
    <w:rsid w:val="00901183"/>
    <w:rsid w:val="009011C4"/>
    <w:rsid w:val="00901228"/>
    <w:rsid w:val="009015B2"/>
    <w:rsid w:val="00901654"/>
    <w:rsid w:val="0090175E"/>
    <w:rsid w:val="00901822"/>
    <w:rsid w:val="0090192C"/>
    <w:rsid w:val="00901B34"/>
    <w:rsid w:val="00901C4C"/>
    <w:rsid w:val="00901D39"/>
    <w:rsid w:val="00902018"/>
    <w:rsid w:val="009022A1"/>
    <w:rsid w:val="009023AC"/>
    <w:rsid w:val="009023C8"/>
    <w:rsid w:val="009023D4"/>
    <w:rsid w:val="0090250F"/>
    <w:rsid w:val="00902524"/>
    <w:rsid w:val="009027C8"/>
    <w:rsid w:val="00902A07"/>
    <w:rsid w:val="00903507"/>
    <w:rsid w:val="0090355E"/>
    <w:rsid w:val="0090366A"/>
    <w:rsid w:val="009036CF"/>
    <w:rsid w:val="00903761"/>
    <w:rsid w:val="009038C9"/>
    <w:rsid w:val="00903A62"/>
    <w:rsid w:val="00903B92"/>
    <w:rsid w:val="009040A8"/>
    <w:rsid w:val="0090414C"/>
    <w:rsid w:val="00904259"/>
    <w:rsid w:val="00904271"/>
    <w:rsid w:val="009042AC"/>
    <w:rsid w:val="009042F3"/>
    <w:rsid w:val="00904382"/>
    <w:rsid w:val="0090463F"/>
    <w:rsid w:val="00904719"/>
    <w:rsid w:val="009047AF"/>
    <w:rsid w:val="009047FD"/>
    <w:rsid w:val="009048AD"/>
    <w:rsid w:val="009049E5"/>
    <w:rsid w:val="00904AD0"/>
    <w:rsid w:val="00904B0E"/>
    <w:rsid w:val="00904CFF"/>
    <w:rsid w:val="00904F4F"/>
    <w:rsid w:val="00905278"/>
    <w:rsid w:val="00905492"/>
    <w:rsid w:val="009055DD"/>
    <w:rsid w:val="00905C44"/>
    <w:rsid w:val="00905DB4"/>
    <w:rsid w:val="00906266"/>
    <w:rsid w:val="00906376"/>
    <w:rsid w:val="009063A3"/>
    <w:rsid w:val="009063AA"/>
    <w:rsid w:val="0090678C"/>
    <w:rsid w:val="00906D2F"/>
    <w:rsid w:val="00906D40"/>
    <w:rsid w:val="00906F30"/>
    <w:rsid w:val="00907043"/>
    <w:rsid w:val="0090720D"/>
    <w:rsid w:val="00907273"/>
    <w:rsid w:val="009072C3"/>
    <w:rsid w:val="009075F3"/>
    <w:rsid w:val="00907895"/>
    <w:rsid w:val="00907919"/>
    <w:rsid w:val="009079A6"/>
    <w:rsid w:val="00907F10"/>
    <w:rsid w:val="00907F9D"/>
    <w:rsid w:val="009100F8"/>
    <w:rsid w:val="009102F5"/>
    <w:rsid w:val="009104F0"/>
    <w:rsid w:val="009105D4"/>
    <w:rsid w:val="009105D8"/>
    <w:rsid w:val="00910731"/>
    <w:rsid w:val="0091089C"/>
    <w:rsid w:val="0091094F"/>
    <w:rsid w:val="00910A41"/>
    <w:rsid w:val="00910BE0"/>
    <w:rsid w:val="009112AF"/>
    <w:rsid w:val="009112B4"/>
    <w:rsid w:val="00911302"/>
    <w:rsid w:val="0091132A"/>
    <w:rsid w:val="009115BD"/>
    <w:rsid w:val="009118A8"/>
    <w:rsid w:val="0091190B"/>
    <w:rsid w:val="00911AB3"/>
    <w:rsid w:val="00911B1D"/>
    <w:rsid w:val="00911BA2"/>
    <w:rsid w:val="00911D8A"/>
    <w:rsid w:val="00911DF6"/>
    <w:rsid w:val="0091255F"/>
    <w:rsid w:val="00912A35"/>
    <w:rsid w:val="00912A45"/>
    <w:rsid w:val="00912B7D"/>
    <w:rsid w:val="00913057"/>
    <w:rsid w:val="00913372"/>
    <w:rsid w:val="0091370B"/>
    <w:rsid w:val="0091378F"/>
    <w:rsid w:val="00913819"/>
    <w:rsid w:val="00913965"/>
    <w:rsid w:val="00913B57"/>
    <w:rsid w:val="00913C22"/>
    <w:rsid w:val="00913D1F"/>
    <w:rsid w:val="00913DC0"/>
    <w:rsid w:val="00913EA1"/>
    <w:rsid w:val="00914466"/>
    <w:rsid w:val="0091446B"/>
    <w:rsid w:val="009145B8"/>
    <w:rsid w:val="009146A5"/>
    <w:rsid w:val="009146DF"/>
    <w:rsid w:val="00914C18"/>
    <w:rsid w:val="00915629"/>
    <w:rsid w:val="00915650"/>
    <w:rsid w:val="00915779"/>
    <w:rsid w:val="0091587B"/>
    <w:rsid w:val="00915BBC"/>
    <w:rsid w:val="00915BE2"/>
    <w:rsid w:val="00915C86"/>
    <w:rsid w:val="0091606D"/>
    <w:rsid w:val="009160DC"/>
    <w:rsid w:val="00916176"/>
    <w:rsid w:val="0091623D"/>
    <w:rsid w:val="00916307"/>
    <w:rsid w:val="00916570"/>
    <w:rsid w:val="0091665B"/>
    <w:rsid w:val="00916879"/>
    <w:rsid w:val="009169D8"/>
    <w:rsid w:val="00916B77"/>
    <w:rsid w:val="00916BDB"/>
    <w:rsid w:val="00916DB8"/>
    <w:rsid w:val="00917448"/>
    <w:rsid w:val="009176B1"/>
    <w:rsid w:val="00917C5D"/>
    <w:rsid w:val="00917D95"/>
    <w:rsid w:val="00917EF4"/>
    <w:rsid w:val="009200D9"/>
    <w:rsid w:val="0092011A"/>
    <w:rsid w:val="00920389"/>
    <w:rsid w:val="0092042D"/>
    <w:rsid w:val="0092047C"/>
    <w:rsid w:val="00920813"/>
    <w:rsid w:val="00920885"/>
    <w:rsid w:val="009208BB"/>
    <w:rsid w:val="00920AD4"/>
    <w:rsid w:val="00920DBE"/>
    <w:rsid w:val="009211AC"/>
    <w:rsid w:val="009213D4"/>
    <w:rsid w:val="0092150F"/>
    <w:rsid w:val="00921840"/>
    <w:rsid w:val="00921920"/>
    <w:rsid w:val="00921B26"/>
    <w:rsid w:val="00921D07"/>
    <w:rsid w:val="00921E32"/>
    <w:rsid w:val="00921F5C"/>
    <w:rsid w:val="00921FE5"/>
    <w:rsid w:val="009222A8"/>
    <w:rsid w:val="0092234E"/>
    <w:rsid w:val="009224B4"/>
    <w:rsid w:val="009229B4"/>
    <w:rsid w:val="009229BA"/>
    <w:rsid w:val="00922AF1"/>
    <w:rsid w:val="00922C9E"/>
    <w:rsid w:val="00922CE8"/>
    <w:rsid w:val="00922F0A"/>
    <w:rsid w:val="009230EB"/>
    <w:rsid w:val="00923238"/>
    <w:rsid w:val="0092328D"/>
    <w:rsid w:val="00923372"/>
    <w:rsid w:val="009234E2"/>
    <w:rsid w:val="009237A1"/>
    <w:rsid w:val="00923AD4"/>
    <w:rsid w:val="00923B7A"/>
    <w:rsid w:val="00923DD2"/>
    <w:rsid w:val="0092430C"/>
    <w:rsid w:val="0092431B"/>
    <w:rsid w:val="00924B4C"/>
    <w:rsid w:val="00924B59"/>
    <w:rsid w:val="00924C4C"/>
    <w:rsid w:val="0092502C"/>
    <w:rsid w:val="00925160"/>
    <w:rsid w:val="00925181"/>
    <w:rsid w:val="00925316"/>
    <w:rsid w:val="00925424"/>
    <w:rsid w:val="0092587A"/>
    <w:rsid w:val="00925B56"/>
    <w:rsid w:val="00925DBA"/>
    <w:rsid w:val="0092614E"/>
    <w:rsid w:val="00926481"/>
    <w:rsid w:val="009268B9"/>
    <w:rsid w:val="00926975"/>
    <w:rsid w:val="00926BB7"/>
    <w:rsid w:val="00926CA3"/>
    <w:rsid w:val="00926CB2"/>
    <w:rsid w:val="00926CCE"/>
    <w:rsid w:val="00927075"/>
    <w:rsid w:val="009271A5"/>
    <w:rsid w:val="00927437"/>
    <w:rsid w:val="00927561"/>
    <w:rsid w:val="009276C5"/>
    <w:rsid w:val="009276F7"/>
    <w:rsid w:val="009278B0"/>
    <w:rsid w:val="00927C61"/>
    <w:rsid w:val="0093029E"/>
    <w:rsid w:val="00930409"/>
    <w:rsid w:val="009304A5"/>
    <w:rsid w:val="009306D5"/>
    <w:rsid w:val="0093077D"/>
    <w:rsid w:val="009309BF"/>
    <w:rsid w:val="00930A48"/>
    <w:rsid w:val="00930B7D"/>
    <w:rsid w:val="00930D03"/>
    <w:rsid w:val="00931259"/>
    <w:rsid w:val="009312AF"/>
    <w:rsid w:val="0093141B"/>
    <w:rsid w:val="00931670"/>
    <w:rsid w:val="00931818"/>
    <w:rsid w:val="009318C8"/>
    <w:rsid w:val="009318D5"/>
    <w:rsid w:val="00931959"/>
    <w:rsid w:val="00931A46"/>
    <w:rsid w:val="00931BEF"/>
    <w:rsid w:val="00931C71"/>
    <w:rsid w:val="00931F83"/>
    <w:rsid w:val="00932186"/>
    <w:rsid w:val="00932493"/>
    <w:rsid w:val="00932695"/>
    <w:rsid w:val="009327C7"/>
    <w:rsid w:val="00932D24"/>
    <w:rsid w:val="0093301D"/>
    <w:rsid w:val="009330CB"/>
    <w:rsid w:val="0093331C"/>
    <w:rsid w:val="0093359A"/>
    <w:rsid w:val="00933911"/>
    <w:rsid w:val="00933EA5"/>
    <w:rsid w:val="00933EA8"/>
    <w:rsid w:val="009342B0"/>
    <w:rsid w:val="009344D0"/>
    <w:rsid w:val="00934725"/>
    <w:rsid w:val="00934921"/>
    <w:rsid w:val="00934992"/>
    <w:rsid w:val="00934D72"/>
    <w:rsid w:val="00934F1E"/>
    <w:rsid w:val="009352AF"/>
    <w:rsid w:val="00935362"/>
    <w:rsid w:val="009354B0"/>
    <w:rsid w:val="00935956"/>
    <w:rsid w:val="009359A3"/>
    <w:rsid w:val="009359BE"/>
    <w:rsid w:val="00935FC1"/>
    <w:rsid w:val="009364A6"/>
    <w:rsid w:val="00936A1D"/>
    <w:rsid w:val="00936C94"/>
    <w:rsid w:val="00936EAC"/>
    <w:rsid w:val="00936FDC"/>
    <w:rsid w:val="00937645"/>
    <w:rsid w:val="0093777B"/>
    <w:rsid w:val="009377B0"/>
    <w:rsid w:val="0093783B"/>
    <w:rsid w:val="009378F1"/>
    <w:rsid w:val="00937904"/>
    <w:rsid w:val="00937A40"/>
    <w:rsid w:val="00937CB9"/>
    <w:rsid w:val="00937D9A"/>
    <w:rsid w:val="00937E17"/>
    <w:rsid w:val="00937E51"/>
    <w:rsid w:val="00937E7D"/>
    <w:rsid w:val="00937ECD"/>
    <w:rsid w:val="00937FB6"/>
    <w:rsid w:val="00940392"/>
    <w:rsid w:val="00940781"/>
    <w:rsid w:val="0094084B"/>
    <w:rsid w:val="00940A50"/>
    <w:rsid w:val="00940BF6"/>
    <w:rsid w:val="00940C35"/>
    <w:rsid w:val="00940DE9"/>
    <w:rsid w:val="00940E11"/>
    <w:rsid w:val="00940E50"/>
    <w:rsid w:val="00940EB1"/>
    <w:rsid w:val="00941007"/>
    <w:rsid w:val="00941179"/>
    <w:rsid w:val="00941250"/>
    <w:rsid w:val="00941292"/>
    <w:rsid w:val="00941296"/>
    <w:rsid w:val="009414AC"/>
    <w:rsid w:val="00941A81"/>
    <w:rsid w:val="00941AA3"/>
    <w:rsid w:val="00941C2F"/>
    <w:rsid w:val="00941D30"/>
    <w:rsid w:val="0094218E"/>
    <w:rsid w:val="0094298D"/>
    <w:rsid w:val="00942AC2"/>
    <w:rsid w:val="00942C31"/>
    <w:rsid w:val="00942C50"/>
    <w:rsid w:val="00942CBD"/>
    <w:rsid w:val="00942DB2"/>
    <w:rsid w:val="00942DC4"/>
    <w:rsid w:val="00942E2E"/>
    <w:rsid w:val="009430F6"/>
    <w:rsid w:val="00943153"/>
    <w:rsid w:val="0094331C"/>
    <w:rsid w:val="009434F1"/>
    <w:rsid w:val="009435A1"/>
    <w:rsid w:val="009437A3"/>
    <w:rsid w:val="00943A6A"/>
    <w:rsid w:val="00943ABF"/>
    <w:rsid w:val="00943E48"/>
    <w:rsid w:val="00944101"/>
    <w:rsid w:val="009445E0"/>
    <w:rsid w:val="00944650"/>
    <w:rsid w:val="00944DBC"/>
    <w:rsid w:val="00944F25"/>
    <w:rsid w:val="00944F83"/>
    <w:rsid w:val="00945019"/>
    <w:rsid w:val="009454D8"/>
    <w:rsid w:val="00945535"/>
    <w:rsid w:val="0094557C"/>
    <w:rsid w:val="009457F8"/>
    <w:rsid w:val="00945867"/>
    <w:rsid w:val="00945DF1"/>
    <w:rsid w:val="00945EDB"/>
    <w:rsid w:val="009460A1"/>
    <w:rsid w:val="00946202"/>
    <w:rsid w:val="0094644C"/>
    <w:rsid w:val="0094649D"/>
    <w:rsid w:val="009466B2"/>
    <w:rsid w:val="00946B22"/>
    <w:rsid w:val="0094744F"/>
    <w:rsid w:val="009474A5"/>
    <w:rsid w:val="009476E1"/>
    <w:rsid w:val="00947812"/>
    <w:rsid w:val="00947986"/>
    <w:rsid w:val="00947BF0"/>
    <w:rsid w:val="00947C03"/>
    <w:rsid w:val="00947C4E"/>
    <w:rsid w:val="00947DA5"/>
    <w:rsid w:val="00950071"/>
    <w:rsid w:val="009501BF"/>
    <w:rsid w:val="009502C3"/>
    <w:rsid w:val="00950440"/>
    <w:rsid w:val="0095063D"/>
    <w:rsid w:val="0095067B"/>
    <w:rsid w:val="009509F6"/>
    <w:rsid w:val="00950BAA"/>
    <w:rsid w:val="00950E28"/>
    <w:rsid w:val="00950E34"/>
    <w:rsid w:val="0095108C"/>
    <w:rsid w:val="00951583"/>
    <w:rsid w:val="0095177A"/>
    <w:rsid w:val="009517F3"/>
    <w:rsid w:val="0095199B"/>
    <w:rsid w:val="009519CB"/>
    <w:rsid w:val="00951A84"/>
    <w:rsid w:val="00951A93"/>
    <w:rsid w:val="00951B64"/>
    <w:rsid w:val="00951D4A"/>
    <w:rsid w:val="00951DB1"/>
    <w:rsid w:val="00951E0D"/>
    <w:rsid w:val="00951E50"/>
    <w:rsid w:val="0095210C"/>
    <w:rsid w:val="009521AB"/>
    <w:rsid w:val="00952395"/>
    <w:rsid w:val="009523BE"/>
    <w:rsid w:val="0095261C"/>
    <w:rsid w:val="009526A7"/>
    <w:rsid w:val="00952856"/>
    <w:rsid w:val="00952971"/>
    <w:rsid w:val="009529C8"/>
    <w:rsid w:val="009529D7"/>
    <w:rsid w:val="00952ACE"/>
    <w:rsid w:val="00952BB4"/>
    <w:rsid w:val="00952BF9"/>
    <w:rsid w:val="00952F03"/>
    <w:rsid w:val="00953194"/>
    <w:rsid w:val="009534F8"/>
    <w:rsid w:val="00953CD5"/>
    <w:rsid w:val="00953DA1"/>
    <w:rsid w:val="009540D8"/>
    <w:rsid w:val="00954447"/>
    <w:rsid w:val="00954560"/>
    <w:rsid w:val="00954994"/>
    <w:rsid w:val="00954BEC"/>
    <w:rsid w:val="00954C2C"/>
    <w:rsid w:val="00954E7A"/>
    <w:rsid w:val="00954EA6"/>
    <w:rsid w:val="00954EFA"/>
    <w:rsid w:val="00955030"/>
    <w:rsid w:val="009550AE"/>
    <w:rsid w:val="009550CA"/>
    <w:rsid w:val="009552C9"/>
    <w:rsid w:val="00955489"/>
    <w:rsid w:val="0095561E"/>
    <w:rsid w:val="0095565A"/>
    <w:rsid w:val="009557A4"/>
    <w:rsid w:val="009558A8"/>
    <w:rsid w:val="00955953"/>
    <w:rsid w:val="009559DD"/>
    <w:rsid w:val="00955AA5"/>
    <w:rsid w:val="00955C84"/>
    <w:rsid w:val="00955DC1"/>
    <w:rsid w:val="00955F85"/>
    <w:rsid w:val="0095605D"/>
    <w:rsid w:val="0095606D"/>
    <w:rsid w:val="0095650B"/>
    <w:rsid w:val="00956530"/>
    <w:rsid w:val="0095701A"/>
    <w:rsid w:val="00957040"/>
    <w:rsid w:val="0095713D"/>
    <w:rsid w:val="009572D3"/>
    <w:rsid w:val="00957330"/>
    <w:rsid w:val="00957343"/>
    <w:rsid w:val="0095739F"/>
    <w:rsid w:val="00957576"/>
    <w:rsid w:val="009576DE"/>
    <w:rsid w:val="009578B0"/>
    <w:rsid w:val="00957DA7"/>
    <w:rsid w:val="00960041"/>
    <w:rsid w:val="0096021D"/>
    <w:rsid w:val="00960244"/>
    <w:rsid w:val="009603B6"/>
    <w:rsid w:val="00960549"/>
    <w:rsid w:val="00960CF6"/>
    <w:rsid w:val="00960D14"/>
    <w:rsid w:val="00960D98"/>
    <w:rsid w:val="00960E78"/>
    <w:rsid w:val="00960ED6"/>
    <w:rsid w:val="0096117F"/>
    <w:rsid w:val="0096129E"/>
    <w:rsid w:val="00961323"/>
    <w:rsid w:val="0096137C"/>
    <w:rsid w:val="00961467"/>
    <w:rsid w:val="009614B3"/>
    <w:rsid w:val="009616F3"/>
    <w:rsid w:val="009617CB"/>
    <w:rsid w:val="0096183C"/>
    <w:rsid w:val="00961949"/>
    <w:rsid w:val="00961AD6"/>
    <w:rsid w:val="00961E57"/>
    <w:rsid w:val="00961F8C"/>
    <w:rsid w:val="009622AD"/>
    <w:rsid w:val="00962813"/>
    <w:rsid w:val="00962827"/>
    <w:rsid w:val="0096289F"/>
    <w:rsid w:val="00962FEB"/>
    <w:rsid w:val="00963121"/>
    <w:rsid w:val="00963152"/>
    <w:rsid w:val="009632AD"/>
    <w:rsid w:val="009633C7"/>
    <w:rsid w:val="00963400"/>
    <w:rsid w:val="00963428"/>
    <w:rsid w:val="00963B40"/>
    <w:rsid w:val="00963E7B"/>
    <w:rsid w:val="00963F2A"/>
    <w:rsid w:val="00964313"/>
    <w:rsid w:val="00964504"/>
    <w:rsid w:val="00964916"/>
    <w:rsid w:val="00964BA8"/>
    <w:rsid w:val="00964C2C"/>
    <w:rsid w:val="00964E89"/>
    <w:rsid w:val="00964FC3"/>
    <w:rsid w:val="009650CA"/>
    <w:rsid w:val="00965229"/>
    <w:rsid w:val="00965249"/>
    <w:rsid w:val="0096527E"/>
    <w:rsid w:val="0096529A"/>
    <w:rsid w:val="00965355"/>
    <w:rsid w:val="009654F9"/>
    <w:rsid w:val="009658DA"/>
    <w:rsid w:val="00965C06"/>
    <w:rsid w:val="00965C1B"/>
    <w:rsid w:val="00965D0F"/>
    <w:rsid w:val="00965D2A"/>
    <w:rsid w:val="00965D63"/>
    <w:rsid w:val="00965E13"/>
    <w:rsid w:val="00965E67"/>
    <w:rsid w:val="00965F2C"/>
    <w:rsid w:val="009660D9"/>
    <w:rsid w:val="009660DF"/>
    <w:rsid w:val="00966303"/>
    <w:rsid w:val="009663D5"/>
    <w:rsid w:val="009668F9"/>
    <w:rsid w:val="00966A39"/>
    <w:rsid w:val="00966CEB"/>
    <w:rsid w:val="00966D0A"/>
    <w:rsid w:val="00966D86"/>
    <w:rsid w:val="00966FBE"/>
    <w:rsid w:val="0096712A"/>
    <w:rsid w:val="009672CD"/>
    <w:rsid w:val="00967392"/>
    <w:rsid w:val="009674BD"/>
    <w:rsid w:val="00967875"/>
    <w:rsid w:val="0096787A"/>
    <w:rsid w:val="00967B71"/>
    <w:rsid w:val="00967BB4"/>
    <w:rsid w:val="00967C46"/>
    <w:rsid w:val="00967DD4"/>
    <w:rsid w:val="00967E37"/>
    <w:rsid w:val="00967EDE"/>
    <w:rsid w:val="00967F90"/>
    <w:rsid w:val="00967FA4"/>
    <w:rsid w:val="00967FD4"/>
    <w:rsid w:val="00970034"/>
    <w:rsid w:val="00970065"/>
    <w:rsid w:val="009700D3"/>
    <w:rsid w:val="009704A2"/>
    <w:rsid w:val="009706A7"/>
    <w:rsid w:val="009706B1"/>
    <w:rsid w:val="00970BC7"/>
    <w:rsid w:val="00971048"/>
    <w:rsid w:val="009711E6"/>
    <w:rsid w:val="0097146F"/>
    <w:rsid w:val="0097194F"/>
    <w:rsid w:val="00971A2C"/>
    <w:rsid w:val="00971BF0"/>
    <w:rsid w:val="00971E13"/>
    <w:rsid w:val="00972475"/>
    <w:rsid w:val="009725BE"/>
    <w:rsid w:val="00972844"/>
    <w:rsid w:val="009729C1"/>
    <w:rsid w:val="00972AFC"/>
    <w:rsid w:val="00972B09"/>
    <w:rsid w:val="00972B0D"/>
    <w:rsid w:val="00972E2F"/>
    <w:rsid w:val="009731D6"/>
    <w:rsid w:val="009733AE"/>
    <w:rsid w:val="00973439"/>
    <w:rsid w:val="009738CA"/>
    <w:rsid w:val="00973962"/>
    <w:rsid w:val="00973D7F"/>
    <w:rsid w:val="00973EF7"/>
    <w:rsid w:val="0097404B"/>
    <w:rsid w:val="00974353"/>
    <w:rsid w:val="009743B8"/>
    <w:rsid w:val="0097466D"/>
    <w:rsid w:val="009746AE"/>
    <w:rsid w:val="00974908"/>
    <w:rsid w:val="0097490A"/>
    <w:rsid w:val="009749DD"/>
    <w:rsid w:val="00974B04"/>
    <w:rsid w:val="00974B06"/>
    <w:rsid w:val="00974F3D"/>
    <w:rsid w:val="00974F91"/>
    <w:rsid w:val="00975338"/>
    <w:rsid w:val="0097544C"/>
    <w:rsid w:val="0097550D"/>
    <w:rsid w:val="00975A3E"/>
    <w:rsid w:val="00975A54"/>
    <w:rsid w:val="00975AB8"/>
    <w:rsid w:val="00975D94"/>
    <w:rsid w:val="00975E45"/>
    <w:rsid w:val="009760FD"/>
    <w:rsid w:val="009764CC"/>
    <w:rsid w:val="00976552"/>
    <w:rsid w:val="00976923"/>
    <w:rsid w:val="00976A6E"/>
    <w:rsid w:val="00976CB6"/>
    <w:rsid w:val="00976EEF"/>
    <w:rsid w:val="0097702B"/>
    <w:rsid w:val="00977099"/>
    <w:rsid w:val="009771F3"/>
    <w:rsid w:val="009775F2"/>
    <w:rsid w:val="009777E8"/>
    <w:rsid w:val="00977938"/>
    <w:rsid w:val="009779AE"/>
    <w:rsid w:val="009779CA"/>
    <w:rsid w:val="00977C1C"/>
    <w:rsid w:val="00977FF1"/>
    <w:rsid w:val="00980023"/>
    <w:rsid w:val="00980269"/>
    <w:rsid w:val="009804BD"/>
    <w:rsid w:val="009809CE"/>
    <w:rsid w:val="00980AF2"/>
    <w:rsid w:val="00980D56"/>
    <w:rsid w:val="00980DE0"/>
    <w:rsid w:val="00980F51"/>
    <w:rsid w:val="009813EC"/>
    <w:rsid w:val="009816FF"/>
    <w:rsid w:val="00981726"/>
    <w:rsid w:val="009818CB"/>
    <w:rsid w:val="009818D6"/>
    <w:rsid w:val="009819C5"/>
    <w:rsid w:val="009819E4"/>
    <w:rsid w:val="00981BEB"/>
    <w:rsid w:val="00981F3A"/>
    <w:rsid w:val="00981F65"/>
    <w:rsid w:val="0098201F"/>
    <w:rsid w:val="00982048"/>
    <w:rsid w:val="0098229E"/>
    <w:rsid w:val="00982435"/>
    <w:rsid w:val="00982677"/>
    <w:rsid w:val="00982783"/>
    <w:rsid w:val="00982857"/>
    <w:rsid w:val="0098293C"/>
    <w:rsid w:val="00982ABF"/>
    <w:rsid w:val="00982B56"/>
    <w:rsid w:val="00982C21"/>
    <w:rsid w:val="00982EBE"/>
    <w:rsid w:val="00982F1F"/>
    <w:rsid w:val="0098327C"/>
    <w:rsid w:val="00983387"/>
    <w:rsid w:val="0098356D"/>
    <w:rsid w:val="009836CA"/>
    <w:rsid w:val="00983882"/>
    <w:rsid w:val="00983AFA"/>
    <w:rsid w:val="00983D84"/>
    <w:rsid w:val="009841B3"/>
    <w:rsid w:val="00984265"/>
    <w:rsid w:val="0098442A"/>
    <w:rsid w:val="00984459"/>
    <w:rsid w:val="009845D0"/>
    <w:rsid w:val="009849EC"/>
    <w:rsid w:val="00984AC8"/>
    <w:rsid w:val="00984CCF"/>
    <w:rsid w:val="00984D5F"/>
    <w:rsid w:val="00984EEB"/>
    <w:rsid w:val="00985047"/>
    <w:rsid w:val="00985457"/>
    <w:rsid w:val="00985526"/>
    <w:rsid w:val="009856B8"/>
    <w:rsid w:val="00985A31"/>
    <w:rsid w:val="00985C9A"/>
    <w:rsid w:val="00985D5C"/>
    <w:rsid w:val="00985D5D"/>
    <w:rsid w:val="00985E51"/>
    <w:rsid w:val="00985F6F"/>
    <w:rsid w:val="00986104"/>
    <w:rsid w:val="00986650"/>
    <w:rsid w:val="0098687E"/>
    <w:rsid w:val="00986A1B"/>
    <w:rsid w:val="00986A5F"/>
    <w:rsid w:val="00986A91"/>
    <w:rsid w:val="00986C67"/>
    <w:rsid w:val="00986DE7"/>
    <w:rsid w:val="00986F5F"/>
    <w:rsid w:val="00986F9E"/>
    <w:rsid w:val="00987025"/>
    <w:rsid w:val="009871AA"/>
    <w:rsid w:val="009871DB"/>
    <w:rsid w:val="0098729D"/>
    <w:rsid w:val="00987819"/>
    <w:rsid w:val="0098790D"/>
    <w:rsid w:val="00987995"/>
    <w:rsid w:val="009879BD"/>
    <w:rsid w:val="00987C8A"/>
    <w:rsid w:val="00987DD1"/>
    <w:rsid w:val="0099001D"/>
    <w:rsid w:val="00990129"/>
    <w:rsid w:val="0099014F"/>
    <w:rsid w:val="0099022E"/>
    <w:rsid w:val="00990258"/>
    <w:rsid w:val="00990581"/>
    <w:rsid w:val="00990780"/>
    <w:rsid w:val="009907F8"/>
    <w:rsid w:val="0099087D"/>
    <w:rsid w:val="00990B92"/>
    <w:rsid w:val="00990C22"/>
    <w:rsid w:val="00990FD5"/>
    <w:rsid w:val="0099125D"/>
    <w:rsid w:val="00991659"/>
    <w:rsid w:val="009916D9"/>
    <w:rsid w:val="009917D5"/>
    <w:rsid w:val="00991836"/>
    <w:rsid w:val="0099187F"/>
    <w:rsid w:val="009918B8"/>
    <w:rsid w:val="00991CBB"/>
    <w:rsid w:val="00991F87"/>
    <w:rsid w:val="00992190"/>
    <w:rsid w:val="00992432"/>
    <w:rsid w:val="0099249F"/>
    <w:rsid w:val="009925EF"/>
    <w:rsid w:val="00992CA4"/>
    <w:rsid w:val="00992E9E"/>
    <w:rsid w:val="00993127"/>
    <w:rsid w:val="00993534"/>
    <w:rsid w:val="00993698"/>
    <w:rsid w:val="009936A0"/>
    <w:rsid w:val="009936DE"/>
    <w:rsid w:val="00993794"/>
    <w:rsid w:val="00993878"/>
    <w:rsid w:val="00993926"/>
    <w:rsid w:val="00993E83"/>
    <w:rsid w:val="00994025"/>
    <w:rsid w:val="009940FE"/>
    <w:rsid w:val="00994233"/>
    <w:rsid w:val="009945E1"/>
    <w:rsid w:val="0099469A"/>
    <w:rsid w:val="00994770"/>
    <w:rsid w:val="0099484E"/>
    <w:rsid w:val="00994A52"/>
    <w:rsid w:val="00994BD9"/>
    <w:rsid w:val="00994C46"/>
    <w:rsid w:val="009950BD"/>
    <w:rsid w:val="00995210"/>
    <w:rsid w:val="00995999"/>
    <w:rsid w:val="00995AF2"/>
    <w:rsid w:val="00995CBE"/>
    <w:rsid w:val="00995D7C"/>
    <w:rsid w:val="00995D86"/>
    <w:rsid w:val="00995DB0"/>
    <w:rsid w:val="00996225"/>
    <w:rsid w:val="0099630E"/>
    <w:rsid w:val="0099671E"/>
    <w:rsid w:val="00996EB2"/>
    <w:rsid w:val="00996F58"/>
    <w:rsid w:val="00996F5F"/>
    <w:rsid w:val="009971F0"/>
    <w:rsid w:val="009972A3"/>
    <w:rsid w:val="00997519"/>
    <w:rsid w:val="00997539"/>
    <w:rsid w:val="009978D1"/>
    <w:rsid w:val="00997972"/>
    <w:rsid w:val="00997C12"/>
    <w:rsid w:val="00997C5C"/>
    <w:rsid w:val="00997D6F"/>
    <w:rsid w:val="009A000F"/>
    <w:rsid w:val="009A0095"/>
    <w:rsid w:val="009A0108"/>
    <w:rsid w:val="009A012F"/>
    <w:rsid w:val="009A01C8"/>
    <w:rsid w:val="009A01FE"/>
    <w:rsid w:val="009A0268"/>
    <w:rsid w:val="009A02D2"/>
    <w:rsid w:val="009A0419"/>
    <w:rsid w:val="009A0438"/>
    <w:rsid w:val="009A08E9"/>
    <w:rsid w:val="009A094C"/>
    <w:rsid w:val="009A0E7A"/>
    <w:rsid w:val="009A1249"/>
    <w:rsid w:val="009A15E4"/>
    <w:rsid w:val="009A18CC"/>
    <w:rsid w:val="009A19D5"/>
    <w:rsid w:val="009A1D22"/>
    <w:rsid w:val="009A2128"/>
    <w:rsid w:val="009A23AA"/>
    <w:rsid w:val="009A23F0"/>
    <w:rsid w:val="009A2750"/>
    <w:rsid w:val="009A292A"/>
    <w:rsid w:val="009A2BEE"/>
    <w:rsid w:val="009A2C61"/>
    <w:rsid w:val="009A2CB3"/>
    <w:rsid w:val="009A2F96"/>
    <w:rsid w:val="009A307C"/>
    <w:rsid w:val="009A320F"/>
    <w:rsid w:val="009A3405"/>
    <w:rsid w:val="009A35C7"/>
    <w:rsid w:val="009A3699"/>
    <w:rsid w:val="009A395D"/>
    <w:rsid w:val="009A3AAF"/>
    <w:rsid w:val="009A404B"/>
    <w:rsid w:val="009A408B"/>
    <w:rsid w:val="009A420B"/>
    <w:rsid w:val="009A436C"/>
    <w:rsid w:val="009A4660"/>
    <w:rsid w:val="009A46A7"/>
    <w:rsid w:val="009A4934"/>
    <w:rsid w:val="009A4A04"/>
    <w:rsid w:val="009A4AC2"/>
    <w:rsid w:val="009A4B20"/>
    <w:rsid w:val="009A4D72"/>
    <w:rsid w:val="009A4DAB"/>
    <w:rsid w:val="009A519F"/>
    <w:rsid w:val="009A53A5"/>
    <w:rsid w:val="009A53A7"/>
    <w:rsid w:val="009A55DD"/>
    <w:rsid w:val="009A5660"/>
    <w:rsid w:val="009A5B39"/>
    <w:rsid w:val="009A629C"/>
    <w:rsid w:val="009A64C5"/>
    <w:rsid w:val="009A6542"/>
    <w:rsid w:val="009A663C"/>
    <w:rsid w:val="009A6727"/>
    <w:rsid w:val="009A6A6E"/>
    <w:rsid w:val="009A717C"/>
    <w:rsid w:val="009A7285"/>
    <w:rsid w:val="009A73A9"/>
    <w:rsid w:val="009A77C9"/>
    <w:rsid w:val="009A790B"/>
    <w:rsid w:val="009A7A17"/>
    <w:rsid w:val="009A7AE7"/>
    <w:rsid w:val="009A7CBF"/>
    <w:rsid w:val="009A7DD6"/>
    <w:rsid w:val="009A7E47"/>
    <w:rsid w:val="009A7F4C"/>
    <w:rsid w:val="009A7F78"/>
    <w:rsid w:val="009A7F7A"/>
    <w:rsid w:val="009B0026"/>
    <w:rsid w:val="009B02E8"/>
    <w:rsid w:val="009B05A2"/>
    <w:rsid w:val="009B087C"/>
    <w:rsid w:val="009B0A89"/>
    <w:rsid w:val="009B0C1E"/>
    <w:rsid w:val="009B0C52"/>
    <w:rsid w:val="009B0EF9"/>
    <w:rsid w:val="009B0F42"/>
    <w:rsid w:val="009B1087"/>
    <w:rsid w:val="009B147B"/>
    <w:rsid w:val="009B16AC"/>
    <w:rsid w:val="009B1D54"/>
    <w:rsid w:val="009B1E0A"/>
    <w:rsid w:val="009B2AD3"/>
    <w:rsid w:val="009B2E12"/>
    <w:rsid w:val="009B3184"/>
    <w:rsid w:val="009B325A"/>
    <w:rsid w:val="009B325B"/>
    <w:rsid w:val="009B3286"/>
    <w:rsid w:val="009B34C1"/>
    <w:rsid w:val="009B367C"/>
    <w:rsid w:val="009B3C0C"/>
    <w:rsid w:val="009B3EC4"/>
    <w:rsid w:val="009B3FAC"/>
    <w:rsid w:val="009B3FDE"/>
    <w:rsid w:val="009B4059"/>
    <w:rsid w:val="009B4398"/>
    <w:rsid w:val="009B4516"/>
    <w:rsid w:val="009B4619"/>
    <w:rsid w:val="009B462A"/>
    <w:rsid w:val="009B476A"/>
    <w:rsid w:val="009B4A22"/>
    <w:rsid w:val="009B4ABA"/>
    <w:rsid w:val="009B52A9"/>
    <w:rsid w:val="009B53E1"/>
    <w:rsid w:val="009B54E4"/>
    <w:rsid w:val="009B5729"/>
    <w:rsid w:val="009B5769"/>
    <w:rsid w:val="009B590F"/>
    <w:rsid w:val="009B5E83"/>
    <w:rsid w:val="009B5F66"/>
    <w:rsid w:val="009B66D5"/>
    <w:rsid w:val="009B67CA"/>
    <w:rsid w:val="009B68F0"/>
    <w:rsid w:val="009B6B96"/>
    <w:rsid w:val="009B6C19"/>
    <w:rsid w:val="009B6C66"/>
    <w:rsid w:val="009B6DC2"/>
    <w:rsid w:val="009B70C5"/>
    <w:rsid w:val="009B7309"/>
    <w:rsid w:val="009B733C"/>
    <w:rsid w:val="009B749D"/>
    <w:rsid w:val="009B74CB"/>
    <w:rsid w:val="009B79A6"/>
    <w:rsid w:val="009B7DDB"/>
    <w:rsid w:val="009B7E77"/>
    <w:rsid w:val="009C0093"/>
    <w:rsid w:val="009C00DC"/>
    <w:rsid w:val="009C011C"/>
    <w:rsid w:val="009C01EE"/>
    <w:rsid w:val="009C04FD"/>
    <w:rsid w:val="009C0863"/>
    <w:rsid w:val="009C0CC0"/>
    <w:rsid w:val="009C0E18"/>
    <w:rsid w:val="009C0EC9"/>
    <w:rsid w:val="009C1625"/>
    <w:rsid w:val="009C1651"/>
    <w:rsid w:val="009C16CD"/>
    <w:rsid w:val="009C1F0A"/>
    <w:rsid w:val="009C20A5"/>
    <w:rsid w:val="009C2593"/>
    <w:rsid w:val="009C29A8"/>
    <w:rsid w:val="009C2B56"/>
    <w:rsid w:val="009C3012"/>
    <w:rsid w:val="009C30C7"/>
    <w:rsid w:val="009C3197"/>
    <w:rsid w:val="009C360D"/>
    <w:rsid w:val="009C38EA"/>
    <w:rsid w:val="009C398D"/>
    <w:rsid w:val="009C3B1B"/>
    <w:rsid w:val="009C3C7C"/>
    <w:rsid w:val="009C3C86"/>
    <w:rsid w:val="009C3E60"/>
    <w:rsid w:val="009C42E1"/>
    <w:rsid w:val="009C46D0"/>
    <w:rsid w:val="009C47F2"/>
    <w:rsid w:val="009C4DAE"/>
    <w:rsid w:val="009C4E13"/>
    <w:rsid w:val="009C517A"/>
    <w:rsid w:val="009C5199"/>
    <w:rsid w:val="009C559A"/>
    <w:rsid w:val="009C5629"/>
    <w:rsid w:val="009C5866"/>
    <w:rsid w:val="009C5A14"/>
    <w:rsid w:val="009C5AE9"/>
    <w:rsid w:val="009C5CA1"/>
    <w:rsid w:val="009C62ED"/>
    <w:rsid w:val="009C669C"/>
    <w:rsid w:val="009C6879"/>
    <w:rsid w:val="009C68E9"/>
    <w:rsid w:val="009C6A08"/>
    <w:rsid w:val="009C6A3D"/>
    <w:rsid w:val="009C6DC1"/>
    <w:rsid w:val="009C6EB6"/>
    <w:rsid w:val="009C6F1C"/>
    <w:rsid w:val="009C74C2"/>
    <w:rsid w:val="009C750E"/>
    <w:rsid w:val="009C76A2"/>
    <w:rsid w:val="009C76BA"/>
    <w:rsid w:val="009C7895"/>
    <w:rsid w:val="009C7AF9"/>
    <w:rsid w:val="009C7B3B"/>
    <w:rsid w:val="009C7B7C"/>
    <w:rsid w:val="009C7C91"/>
    <w:rsid w:val="009C7EF8"/>
    <w:rsid w:val="009C7F14"/>
    <w:rsid w:val="009C7F7D"/>
    <w:rsid w:val="009D01CE"/>
    <w:rsid w:val="009D01EE"/>
    <w:rsid w:val="009D0373"/>
    <w:rsid w:val="009D03A4"/>
    <w:rsid w:val="009D0432"/>
    <w:rsid w:val="009D049D"/>
    <w:rsid w:val="009D04B3"/>
    <w:rsid w:val="009D052E"/>
    <w:rsid w:val="009D079D"/>
    <w:rsid w:val="009D0915"/>
    <w:rsid w:val="009D0F24"/>
    <w:rsid w:val="009D10D9"/>
    <w:rsid w:val="009D14DB"/>
    <w:rsid w:val="009D17B3"/>
    <w:rsid w:val="009D1B25"/>
    <w:rsid w:val="009D1B5D"/>
    <w:rsid w:val="009D1F06"/>
    <w:rsid w:val="009D1F75"/>
    <w:rsid w:val="009D234E"/>
    <w:rsid w:val="009D236F"/>
    <w:rsid w:val="009D2417"/>
    <w:rsid w:val="009D244C"/>
    <w:rsid w:val="009D2461"/>
    <w:rsid w:val="009D25D1"/>
    <w:rsid w:val="009D264F"/>
    <w:rsid w:val="009D27E8"/>
    <w:rsid w:val="009D2821"/>
    <w:rsid w:val="009D291F"/>
    <w:rsid w:val="009D29CC"/>
    <w:rsid w:val="009D2A22"/>
    <w:rsid w:val="009D2B18"/>
    <w:rsid w:val="009D2D5A"/>
    <w:rsid w:val="009D2D65"/>
    <w:rsid w:val="009D2E69"/>
    <w:rsid w:val="009D302F"/>
    <w:rsid w:val="009D3082"/>
    <w:rsid w:val="009D32C1"/>
    <w:rsid w:val="009D35E3"/>
    <w:rsid w:val="009D3A65"/>
    <w:rsid w:val="009D3A9D"/>
    <w:rsid w:val="009D3EB4"/>
    <w:rsid w:val="009D3ECE"/>
    <w:rsid w:val="009D40C9"/>
    <w:rsid w:val="009D43D6"/>
    <w:rsid w:val="009D44DD"/>
    <w:rsid w:val="009D469C"/>
    <w:rsid w:val="009D4760"/>
    <w:rsid w:val="009D480D"/>
    <w:rsid w:val="009D4848"/>
    <w:rsid w:val="009D4895"/>
    <w:rsid w:val="009D48FB"/>
    <w:rsid w:val="009D4EF5"/>
    <w:rsid w:val="009D4F26"/>
    <w:rsid w:val="009D4F91"/>
    <w:rsid w:val="009D5416"/>
    <w:rsid w:val="009D54EC"/>
    <w:rsid w:val="009D54EF"/>
    <w:rsid w:val="009D56BF"/>
    <w:rsid w:val="009D5844"/>
    <w:rsid w:val="009D5A41"/>
    <w:rsid w:val="009D5D8F"/>
    <w:rsid w:val="009D5DFA"/>
    <w:rsid w:val="009D5E35"/>
    <w:rsid w:val="009D5F31"/>
    <w:rsid w:val="009D61F0"/>
    <w:rsid w:val="009D647C"/>
    <w:rsid w:val="009D67DF"/>
    <w:rsid w:val="009D6CD3"/>
    <w:rsid w:val="009D6D09"/>
    <w:rsid w:val="009D6F3D"/>
    <w:rsid w:val="009D70BD"/>
    <w:rsid w:val="009D7875"/>
    <w:rsid w:val="009D78C0"/>
    <w:rsid w:val="009D7908"/>
    <w:rsid w:val="009D7984"/>
    <w:rsid w:val="009D7A80"/>
    <w:rsid w:val="009D7BCB"/>
    <w:rsid w:val="009D7C77"/>
    <w:rsid w:val="009D7DB5"/>
    <w:rsid w:val="009D7EF0"/>
    <w:rsid w:val="009E00AC"/>
    <w:rsid w:val="009E00E3"/>
    <w:rsid w:val="009E011B"/>
    <w:rsid w:val="009E0519"/>
    <w:rsid w:val="009E0907"/>
    <w:rsid w:val="009E092A"/>
    <w:rsid w:val="009E09DD"/>
    <w:rsid w:val="009E0A96"/>
    <w:rsid w:val="009E0C3C"/>
    <w:rsid w:val="009E0DBA"/>
    <w:rsid w:val="009E11DF"/>
    <w:rsid w:val="009E1207"/>
    <w:rsid w:val="009E12BB"/>
    <w:rsid w:val="009E1339"/>
    <w:rsid w:val="009E13E1"/>
    <w:rsid w:val="009E148A"/>
    <w:rsid w:val="009E18AB"/>
    <w:rsid w:val="009E1E85"/>
    <w:rsid w:val="009E1F3F"/>
    <w:rsid w:val="009E1FE6"/>
    <w:rsid w:val="009E22E2"/>
    <w:rsid w:val="009E2344"/>
    <w:rsid w:val="009E235C"/>
    <w:rsid w:val="009E26EE"/>
    <w:rsid w:val="009E27B2"/>
    <w:rsid w:val="009E2967"/>
    <w:rsid w:val="009E2A11"/>
    <w:rsid w:val="009E2FA3"/>
    <w:rsid w:val="009E31FF"/>
    <w:rsid w:val="009E364F"/>
    <w:rsid w:val="009E3755"/>
    <w:rsid w:val="009E3A88"/>
    <w:rsid w:val="009E3CD2"/>
    <w:rsid w:val="009E3E12"/>
    <w:rsid w:val="009E3E7D"/>
    <w:rsid w:val="009E3FA3"/>
    <w:rsid w:val="009E40E6"/>
    <w:rsid w:val="009E40EB"/>
    <w:rsid w:val="009E4172"/>
    <w:rsid w:val="009E41EF"/>
    <w:rsid w:val="009E475B"/>
    <w:rsid w:val="009E47BA"/>
    <w:rsid w:val="009E4B98"/>
    <w:rsid w:val="009E50BF"/>
    <w:rsid w:val="009E5402"/>
    <w:rsid w:val="009E548A"/>
    <w:rsid w:val="009E55BB"/>
    <w:rsid w:val="009E570E"/>
    <w:rsid w:val="009E5729"/>
    <w:rsid w:val="009E5945"/>
    <w:rsid w:val="009E59C3"/>
    <w:rsid w:val="009E59FC"/>
    <w:rsid w:val="009E64A3"/>
    <w:rsid w:val="009E64B4"/>
    <w:rsid w:val="009E6629"/>
    <w:rsid w:val="009E696F"/>
    <w:rsid w:val="009E6AA7"/>
    <w:rsid w:val="009E6B3D"/>
    <w:rsid w:val="009E6F00"/>
    <w:rsid w:val="009E717B"/>
    <w:rsid w:val="009E7260"/>
    <w:rsid w:val="009E748A"/>
    <w:rsid w:val="009E7732"/>
    <w:rsid w:val="009E7782"/>
    <w:rsid w:val="009E79DC"/>
    <w:rsid w:val="009E7A59"/>
    <w:rsid w:val="009E7D40"/>
    <w:rsid w:val="009E7DFD"/>
    <w:rsid w:val="009F00BB"/>
    <w:rsid w:val="009F08A5"/>
    <w:rsid w:val="009F0AA6"/>
    <w:rsid w:val="009F0F5A"/>
    <w:rsid w:val="009F0FB1"/>
    <w:rsid w:val="009F1105"/>
    <w:rsid w:val="009F13AB"/>
    <w:rsid w:val="009F1657"/>
    <w:rsid w:val="009F18A2"/>
    <w:rsid w:val="009F18EE"/>
    <w:rsid w:val="009F1D26"/>
    <w:rsid w:val="009F1D74"/>
    <w:rsid w:val="009F1FE9"/>
    <w:rsid w:val="009F22C0"/>
    <w:rsid w:val="009F259B"/>
    <w:rsid w:val="009F25B6"/>
    <w:rsid w:val="009F25D6"/>
    <w:rsid w:val="009F26C9"/>
    <w:rsid w:val="009F2805"/>
    <w:rsid w:val="009F2897"/>
    <w:rsid w:val="009F2BFF"/>
    <w:rsid w:val="009F2C53"/>
    <w:rsid w:val="009F2D06"/>
    <w:rsid w:val="009F2E10"/>
    <w:rsid w:val="009F2ED4"/>
    <w:rsid w:val="009F326D"/>
    <w:rsid w:val="009F36DE"/>
    <w:rsid w:val="009F36E1"/>
    <w:rsid w:val="009F3DD1"/>
    <w:rsid w:val="009F3EC4"/>
    <w:rsid w:val="009F3F01"/>
    <w:rsid w:val="009F41F1"/>
    <w:rsid w:val="009F45F0"/>
    <w:rsid w:val="009F48F8"/>
    <w:rsid w:val="009F49A8"/>
    <w:rsid w:val="009F4CA8"/>
    <w:rsid w:val="009F5386"/>
    <w:rsid w:val="009F5763"/>
    <w:rsid w:val="009F58BD"/>
    <w:rsid w:val="009F5AA7"/>
    <w:rsid w:val="009F5AE6"/>
    <w:rsid w:val="009F5B43"/>
    <w:rsid w:val="009F5CB1"/>
    <w:rsid w:val="009F5E84"/>
    <w:rsid w:val="009F65C4"/>
    <w:rsid w:val="009F65FD"/>
    <w:rsid w:val="009F673C"/>
    <w:rsid w:val="009F69F2"/>
    <w:rsid w:val="009F6B5A"/>
    <w:rsid w:val="009F6BA5"/>
    <w:rsid w:val="009F6BE9"/>
    <w:rsid w:val="009F6F17"/>
    <w:rsid w:val="009F6FB9"/>
    <w:rsid w:val="009F712B"/>
    <w:rsid w:val="009F720B"/>
    <w:rsid w:val="009F7283"/>
    <w:rsid w:val="009F76B3"/>
    <w:rsid w:val="009F795B"/>
    <w:rsid w:val="009F7AA2"/>
    <w:rsid w:val="009F7C39"/>
    <w:rsid w:val="009F7C40"/>
    <w:rsid w:val="009F7CB6"/>
    <w:rsid w:val="009F7D4D"/>
    <w:rsid w:val="009F7DA7"/>
    <w:rsid w:val="009F7DB0"/>
    <w:rsid w:val="009F7DD1"/>
    <w:rsid w:val="009F7FB4"/>
    <w:rsid w:val="00A001CD"/>
    <w:rsid w:val="00A00285"/>
    <w:rsid w:val="00A002E4"/>
    <w:rsid w:val="00A003CC"/>
    <w:rsid w:val="00A00A6E"/>
    <w:rsid w:val="00A00ABA"/>
    <w:rsid w:val="00A00B67"/>
    <w:rsid w:val="00A00CEC"/>
    <w:rsid w:val="00A00F3C"/>
    <w:rsid w:val="00A01364"/>
    <w:rsid w:val="00A0150B"/>
    <w:rsid w:val="00A01831"/>
    <w:rsid w:val="00A01982"/>
    <w:rsid w:val="00A019F3"/>
    <w:rsid w:val="00A01A8F"/>
    <w:rsid w:val="00A01BEB"/>
    <w:rsid w:val="00A01F74"/>
    <w:rsid w:val="00A023EF"/>
    <w:rsid w:val="00A02465"/>
    <w:rsid w:val="00A024E6"/>
    <w:rsid w:val="00A02500"/>
    <w:rsid w:val="00A02568"/>
    <w:rsid w:val="00A0261B"/>
    <w:rsid w:val="00A02A42"/>
    <w:rsid w:val="00A02A43"/>
    <w:rsid w:val="00A02B64"/>
    <w:rsid w:val="00A02BA0"/>
    <w:rsid w:val="00A02DA8"/>
    <w:rsid w:val="00A02E97"/>
    <w:rsid w:val="00A0330A"/>
    <w:rsid w:val="00A0357E"/>
    <w:rsid w:val="00A037F3"/>
    <w:rsid w:val="00A038A8"/>
    <w:rsid w:val="00A0390F"/>
    <w:rsid w:val="00A03DA2"/>
    <w:rsid w:val="00A03EC6"/>
    <w:rsid w:val="00A03F19"/>
    <w:rsid w:val="00A03F8A"/>
    <w:rsid w:val="00A03FAC"/>
    <w:rsid w:val="00A0403D"/>
    <w:rsid w:val="00A04461"/>
    <w:rsid w:val="00A0446D"/>
    <w:rsid w:val="00A044FD"/>
    <w:rsid w:val="00A045BA"/>
    <w:rsid w:val="00A04C01"/>
    <w:rsid w:val="00A04C79"/>
    <w:rsid w:val="00A04D25"/>
    <w:rsid w:val="00A04D39"/>
    <w:rsid w:val="00A04EF3"/>
    <w:rsid w:val="00A05066"/>
    <w:rsid w:val="00A0509C"/>
    <w:rsid w:val="00A050C1"/>
    <w:rsid w:val="00A050EF"/>
    <w:rsid w:val="00A0519E"/>
    <w:rsid w:val="00A0530D"/>
    <w:rsid w:val="00A0554C"/>
    <w:rsid w:val="00A055FB"/>
    <w:rsid w:val="00A05C67"/>
    <w:rsid w:val="00A05ECC"/>
    <w:rsid w:val="00A05EDB"/>
    <w:rsid w:val="00A06219"/>
    <w:rsid w:val="00A0624C"/>
    <w:rsid w:val="00A068DD"/>
    <w:rsid w:val="00A06BCE"/>
    <w:rsid w:val="00A06E94"/>
    <w:rsid w:val="00A07023"/>
    <w:rsid w:val="00A0724F"/>
    <w:rsid w:val="00A075BD"/>
    <w:rsid w:val="00A0779B"/>
    <w:rsid w:val="00A0792F"/>
    <w:rsid w:val="00A07B3E"/>
    <w:rsid w:val="00A07BCF"/>
    <w:rsid w:val="00A10171"/>
    <w:rsid w:val="00A10423"/>
    <w:rsid w:val="00A10450"/>
    <w:rsid w:val="00A104ED"/>
    <w:rsid w:val="00A1074F"/>
    <w:rsid w:val="00A10819"/>
    <w:rsid w:val="00A1088E"/>
    <w:rsid w:val="00A108FA"/>
    <w:rsid w:val="00A10965"/>
    <w:rsid w:val="00A10C16"/>
    <w:rsid w:val="00A10C72"/>
    <w:rsid w:val="00A10ED8"/>
    <w:rsid w:val="00A10F60"/>
    <w:rsid w:val="00A10FC2"/>
    <w:rsid w:val="00A11156"/>
    <w:rsid w:val="00A1119B"/>
    <w:rsid w:val="00A1157E"/>
    <w:rsid w:val="00A11634"/>
    <w:rsid w:val="00A11C1E"/>
    <w:rsid w:val="00A11C68"/>
    <w:rsid w:val="00A11D5C"/>
    <w:rsid w:val="00A11D8D"/>
    <w:rsid w:val="00A120AE"/>
    <w:rsid w:val="00A1247B"/>
    <w:rsid w:val="00A127B8"/>
    <w:rsid w:val="00A12865"/>
    <w:rsid w:val="00A12BDD"/>
    <w:rsid w:val="00A12D4E"/>
    <w:rsid w:val="00A12FB2"/>
    <w:rsid w:val="00A13361"/>
    <w:rsid w:val="00A1347E"/>
    <w:rsid w:val="00A13684"/>
    <w:rsid w:val="00A1392C"/>
    <w:rsid w:val="00A13AD4"/>
    <w:rsid w:val="00A13B2F"/>
    <w:rsid w:val="00A13B9C"/>
    <w:rsid w:val="00A13C49"/>
    <w:rsid w:val="00A13E20"/>
    <w:rsid w:val="00A1405C"/>
    <w:rsid w:val="00A14B8A"/>
    <w:rsid w:val="00A14CB9"/>
    <w:rsid w:val="00A14CE2"/>
    <w:rsid w:val="00A14D02"/>
    <w:rsid w:val="00A14E28"/>
    <w:rsid w:val="00A15061"/>
    <w:rsid w:val="00A151C5"/>
    <w:rsid w:val="00A1520B"/>
    <w:rsid w:val="00A152DB"/>
    <w:rsid w:val="00A15670"/>
    <w:rsid w:val="00A15673"/>
    <w:rsid w:val="00A157F2"/>
    <w:rsid w:val="00A15B23"/>
    <w:rsid w:val="00A160C9"/>
    <w:rsid w:val="00A1617D"/>
    <w:rsid w:val="00A161A3"/>
    <w:rsid w:val="00A162D4"/>
    <w:rsid w:val="00A163D8"/>
    <w:rsid w:val="00A16505"/>
    <w:rsid w:val="00A1670D"/>
    <w:rsid w:val="00A1689C"/>
    <w:rsid w:val="00A168BD"/>
    <w:rsid w:val="00A16BEB"/>
    <w:rsid w:val="00A16C36"/>
    <w:rsid w:val="00A16CFF"/>
    <w:rsid w:val="00A16EC4"/>
    <w:rsid w:val="00A17309"/>
    <w:rsid w:val="00A17349"/>
    <w:rsid w:val="00A1737C"/>
    <w:rsid w:val="00A1774B"/>
    <w:rsid w:val="00A17B1E"/>
    <w:rsid w:val="00A2018F"/>
    <w:rsid w:val="00A20335"/>
    <w:rsid w:val="00A2062E"/>
    <w:rsid w:val="00A2065D"/>
    <w:rsid w:val="00A206B5"/>
    <w:rsid w:val="00A20C10"/>
    <w:rsid w:val="00A20E92"/>
    <w:rsid w:val="00A20F26"/>
    <w:rsid w:val="00A20F27"/>
    <w:rsid w:val="00A213FA"/>
    <w:rsid w:val="00A21EC4"/>
    <w:rsid w:val="00A21EE4"/>
    <w:rsid w:val="00A21F8C"/>
    <w:rsid w:val="00A21FC1"/>
    <w:rsid w:val="00A222FE"/>
    <w:rsid w:val="00A22474"/>
    <w:rsid w:val="00A22575"/>
    <w:rsid w:val="00A22659"/>
    <w:rsid w:val="00A22865"/>
    <w:rsid w:val="00A228E8"/>
    <w:rsid w:val="00A22DB6"/>
    <w:rsid w:val="00A22E54"/>
    <w:rsid w:val="00A22FFC"/>
    <w:rsid w:val="00A231CE"/>
    <w:rsid w:val="00A236B2"/>
    <w:rsid w:val="00A237BD"/>
    <w:rsid w:val="00A23855"/>
    <w:rsid w:val="00A239A7"/>
    <w:rsid w:val="00A23DE0"/>
    <w:rsid w:val="00A240DA"/>
    <w:rsid w:val="00A24453"/>
    <w:rsid w:val="00A24521"/>
    <w:rsid w:val="00A2470C"/>
    <w:rsid w:val="00A24BD7"/>
    <w:rsid w:val="00A24C39"/>
    <w:rsid w:val="00A24F3F"/>
    <w:rsid w:val="00A250B6"/>
    <w:rsid w:val="00A25167"/>
    <w:rsid w:val="00A25371"/>
    <w:rsid w:val="00A2590A"/>
    <w:rsid w:val="00A25924"/>
    <w:rsid w:val="00A25937"/>
    <w:rsid w:val="00A2597D"/>
    <w:rsid w:val="00A25C1E"/>
    <w:rsid w:val="00A25E6E"/>
    <w:rsid w:val="00A26026"/>
    <w:rsid w:val="00A2611E"/>
    <w:rsid w:val="00A2614C"/>
    <w:rsid w:val="00A262FD"/>
    <w:rsid w:val="00A26871"/>
    <w:rsid w:val="00A268E5"/>
    <w:rsid w:val="00A269C9"/>
    <w:rsid w:val="00A26C31"/>
    <w:rsid w:val="00A26C43"/>
    <w:rsid w:val="00A26DFF"/>
    <w:rsid w:val="00A26EF4"/>
    <w:rsid w:val="00A26F06"/>
    <w:rsid w:val="00A27089"/>
    <w:rsid w:val="00A2721D"/>
    <w:rsid w:val="00A27354"/>
    <w:rsid w:val="00A273B1"/>
    <w:rsid w:val="00A27436"/>
    <w:rsid w:val="00A2751D"/>
    <w:rsid w:val="00A276DE"/>
    <w:rsid w:val="00A277CC"/>
    <w:rsid w:val="00A27862"/>
    <w:rsid w:val="00A2789C"/>
    <w:rsid w:val="00A27A63"/>
    <w:rsid w:val="00A27D32"/>
    <w:rsid w:val="00A27E36"/>
    <w:rsid w:val="00A27F18"/>
    <w:rsid w:val="00A301E2"/>
    <w:rsid w:val="00A30243"/>
    <w:rsid w:val="00A3038B"/>
    <w:rsid w:val="00A304CC"/>
    <w:rsid w:val="00A30529"/>
    <w:rsid w:val="00A30600"/>
    <w:rsid w:val="00A308A5"/>
    <w:rsid w:val="00A3137B"/>
    <w:rsid w:val="00A3154E"/>
    <w:rsid w:val="00A3171F"/>
    <w:rsid w:val="00A317AB"/>
    <w:rsid w:val="00A31A79"/>
    <w:rsid w:val="00A31A9D"/>
    <w:rsid w:val="00A3211F"/>
    <w:rsid w:val="00A32138"/>
    <w:rsid w:val="00A321CC"/>
    <w:rsid w:val="00A325B8"/>
    <w:rsid w:val="00A33061"/>
    <w:rsid w:val="00A330BB"/>
    <w:rsid w:val="00A33147"/>
    <w:rsid w:val="00A335E7"/>
    <w:rsid w:val="00A3399F"/>
    <w:rsid w:val="00A33C55"/>
    <w:rsid w:val="00A33D96"/>
    <w:rsid w:val="00A3411D"/>
    <w:rsid w:val="00A342A3"/>
    <w:rsid w:val="00A34507"/>
    <w:rsid w:val="00A3472F"/>
    <w:rsid w:val="00A34740"/>
    <w:rsid w:val="00A3476E"/>
    <w:rsid w:val="00A347BE"/>
    <w:rsid w:val="00A3489E"/>
    <w:rsid w:val="00A34B6D"/>
    <w:rsid w:val="00A34D41"/>
    <w:rsid w:val="00A34E3B"/>
    <w:rsid w:val="00A35167"/>
    <w:rsid w:val="00A357AE"/>
    <w:rsid w:val="00A35BE6"/>
    <w:rsid w:val="00A35CDA"/>
    <w:rsid w:val="00A35E21"/>
    <w:rsid w:val="00A36421"/>
    <w:rsid w:val="00A36685"/>
    <w:rsid w:val="00A3671C"/>
    <w:rsid w:val="00A36C52"/>
    <w:rsid w:val="00A36CF1"/>
    <w:rsid w:val="00A37556"/>
    <w:rsid w:val="00A3760C"/>
    <w:rsid w:val="00A377E7"/>
    <w:rsid w:val="00A378D0"/>
    <w:rsid w:val="00A37A4F"/>
    <w:rsid w:val="00A37B25"/>
    <w:rsid w:val="00A37CD5"/>
    <w:rsid w:val="00A37EAC"/>
    <w:rsid w:val="00A37FB2"/>
    <w:rsid w:val="00A405A0"/>
    <w:rsid w:val="00A406E7"/>
    <w:rsid w:val="00A4088B"/>
    <w:rsid w:val="00A40D90"/>
    <w:rsid w:val="00A40E79"/>
    <w:rsid w:val="00A4109E"/>
    <w:rsid w:val="00A41281"/>
    <w:rsid w:val="00A41331"/>
    <w:rsid w:val="00A414B0"/>
    <w:rsid w:val="00A4150D"/>
    <w:rsid w:val="00A4183C"/>
    <w:rsid w:val="00A41AD1"/>
    <w:rsid w:val="00A41AEE"/>
    <w:rsid w:val="00A41D4F"/>
    <w:rsid w:val="00A41EB0"/>
    <w:rsid w:val="00A42024"/>
    <w:rsid w:val="00A4208D"/>
    <w:rsid w:val="00A42127"/>
    <w:rsid w:val="00A421A3"/>
    <w:rsid w:val="00A422C2"/>
    <w:rsid w:val="00A42354"/>
    <w:rsid w:val="00A4245F"/>
    <w:rsid w:val="00A424C3"/>
    <w:rsid w:val="00A424E7"/>
    <w:rsid w:val="00A4252D"/>
    <w:rsid w:val="00A42E96"/>
    <w:rsid w:val="00A433FE"/>
    <w:rsid w:val="00A43407"/>
    <w:rsid w:val="00A43879"/>
    <w:rsid w:val="00A43918"/>
    <w:rsid w:val="00A43D5D"/>
    <w:rsid w:val="00A440DD"/>
    <w:rsid w:val="00A4420C"/>
    <w:rsid w:val="00A443AE"/>
    <w:rsid w:val="00A44681"/>
    <w:rsid w:val="00A447FC"/>
    <w:rsid w:val="00A448EC"/>
    <w:rsid w:val="00A44CE9"/>
    <w:rsid w:val="00A44F17"/>
    <w:rsid w:val="00A451C0"/>
    <w:rsid w:val="00A4529D"/>
    <w:rsid w:val="00A452B8"/>
    <w:rsid w:val="00A452C6"/>
    <w:rsid w:val="00A455C3"/>
    <w:rsid w:val="00A45A8B"/>
    <w:rsid w:val="00A45C1D"/>
    <w:rsid w:val="00A4604E"/>
    <w:rsid w:val="00A46065"/>
    <w:rsid w:val="00A4616C"/>
    <w:rsid w:val="00A46A33"/>
    <w:rsid w:val="00A46D0A"/>
    <w:rsid w:val="00A46DAC"/>
    <w:rsid w:val="00A46E48"/>
    <w:rsid w:val="00A470D9"/>
    <w:rsid w:val="00A473D7"/>
    <w:rsid w:val="00A4761A"/>
    <w:rsid w:val="00A47942"/>
    <w:rsid w:val="00A47C5D"/>
    <w:rsid w:val="00A47D54"/>
    <w:rsid w:val="00A47DB4"/>
    <w:rsid w:val="00A47EE5"/>
    <w:rsid w:val="00A5010A"/>
    <w:rsid w:val="00A5041C"/>
    <w:rsid w:val="00A506B1"/>
    <w:rsid w:val="00A507F6"/>
    <w:rsid w:val="00A509A8"/>
    <w:rsid w:val="00A50C3A"/>
    <w:rsid w:val="00A50C61"/>
    <w:rsid w:val="00A51012"/>
    <w:rsid w:val="00A5115D"/>
    <w:rsid w:val="00A511C0"/>
    <w:rsid w:val="00A511F6"/>
    <w:rsid w:val="00A5121A"/>
    <w:rsid w:val="00A512CB"/>
    <w:rsid w:val="00A51402"/>
    <w:rsid w:val="00A5146C"/>
    <w:rsid w:val="00A51522"/>
    <w:rsid w:val="00A51578"/>
    <w:rsid w:val="00A516F1"/>
    <w:rsid w:val="00A518B7"/>
    <w:rsid w:val="00A5199E"/>
    <w:rsid w:val="00A51C1A"/>
    <w:rsid w:val="00A51C9A"/>
    <w:rsid w:val="00A52375"/>
    <w:rsid w:val="00A523AC"/>
    <w:rsid w:val="00A523B4"/>
    <w:rsid w:val="00A5258E"/>
    <w:rsid w:val="00A52599"/>
    <w:rsid w:val="00A52622"/>
    <w:rsid w:val="00A52B8C"/>
    <w:rsid w:val="00A52C48"/>
    <w:rsid w:val="00A52CA8"/>
    <w:rsid w:val="00A52E02"/>
    <w:rsid w:val="00A5300A"/>
    <w:rsid w:val="00A5311B"/>
    <w:rsid w:val="00A535DB"/>
    <w:rsid w:val="00A53B3D"/>
    <w:rsid w:val="00A53C3B"/>
    <w:rsid w:val="00A53DB5"/>
    <w:rsid w:val="00A53DD0"/>
    <w:rsid w:val="00A53F04"/>
    <w:rsid w:val="00A544CE"/>
    <w:rsid w:val="00A544D5"/>
    <w:rsid w:val="00A55187"/>
    <w:rsid w:val="00A555C9"/>
    <w:rsid w:val="00A555F2"/>
    <w:rsid w:val="00A5578A"/>
    <w:rsid w:val="00A55844"/>
    <w:rsid w:val="00A5598E"/>
    <w:rsid w:val="00A559CE"/>
    <w:rsid w:val="00A55ACC"/>
    <w:rsid w:val="00A55B28"/>
    <w:rsid w:val="00A55C8A"/>
    <w:rsid w:val="00A55F3C"/>
    <w:rsid w:val="00A5605F"/>
    <w:rsid w:val="00A56190"/>
    <w:rsid w:val="00A56520"/>
    <w:rsid w:val="00A565D5"/>
    <w:rsid w:val="00A566DC"/>
    <w:rsid w:val="00A566DE"/>
    <w:rsid w:val="00A5692A"/>
    <w:rsid w:val="00A56A1B"/>
    <w:rsid w:val="00A56BD1"/>
    <w:rsid w:val="00A56DFC"/>
    <w:rsid w:val="00A5700F"/>
    <w:rsid w:val="00A5711F"/>
    <w:rsid w:val="00A578C7"/>
    <w:rsid w:val="00A578F5"/>
    <w:rsid w:val="00A57A07"/>
    <w:rsid w:val="00A57D74"/>
    <w:rsid w:val="00A60078"/>
    <w:rsid w:val="00A60ADD"/>
    <w:rsid w:val="00A60C27"/>
    <w:rsid w:val="00A60C8A"/>
    <w:rsid w:val="00A60E2E"/>
    <w:rsid w:val="00A60E4F"/>
    <w:rsid w:val="00A61087"/>
    <w:rsid w:val="00A61918"/>
    <w:rsid w:val="00A61972"/>
    <w:rsid w:val="00A619BA"/>
    <w:rsid w:val="00A619C8"/>
    <w:rsid w:val="00A61CBA"/>
    <w:rsid w:val="00A61D09"/>
    <w:rsid w:val="00A61EC9"/>
    <w:rsid w:val="00A62161"/>
    <w:rsid w:val="00A62326"/>
    <w:rsid w:val="00A62437"/>
    <w:rsid w:val="00A63065"/>
    <w:rsid w:val="00A63156"/>
    <w:rsid w:val="00A63939"/>
    <w:rsid w:val="00A639F2"/>
    <w:rsid w:val="00A63A14"/>
    <w:rsid w:val="00A63D07"/>
    <w:rsid w:val="00A64241"/>
    <w:rsid w:val="00A6469D"/>
    <w:rsid w:val="00A64845"/>
    <w:rsid w:val="00A64A73"/>
    <w:rsid w:val="00A64E9B"/>
    <w:rsid w:val="00A64F35"/>
    <w:rsid w:val="00A65179"/>
    <w:rsid w:val="00A6520F"/>
    <w:rsid w:val="00A652B9"/>
    <w:rsid w:val="00A6530A"/>
    <w:rsid w:val="00A65399"/>
    <w:rsid w:val="00A65423"/>
    <w:rsid w:val="00A65442"/>
    <w:rsid w:val="00A65614"/>
    <w:rsid w:val="00A6574F"/>
    <w:rsid w:val="00A65A92"/>
    <w:rsid w:val="00A65C0E"/>
    <w:rsid w:val="00A65C2C"/>
    <w:rsid w:val="00A65C35"/>
    <w:rsid w:val="00A65D78"/>
    <w:rsid w:val="00A65EE9"/>
    <w:rsid w:val="00A65FA0"/>
    <w:rsid w:val="00A65FD9"/>
    <w:rsid w:val="00A667B1"/>
    <w:rsid w:val="00A66860"/>
    <w:rsid w:val="00A668B9"/>
    <w:rsid w:val="00A66B2A"/>
    <w:rsid w:val="00A66D37"/>
    <w:rsid w:val="00A66F41"/>
    <w:rsid w:val="00A66FD0"/>
    <w:rsid w:val="00A670B6"/>
    <w:rsid w:val="00A67251"/>
    <w:rsid w:val="00A67308"/>
    <w:rsid w:val="00A67690"/>
    <w:rsid w:val="00A6792E"/>
    <w:rsid w:val="00A67ABD"/>
    <w:rsid w:val="00A67AC6"/>
    <w:rsid w:val="00A67B57"/>
    <w:rsid w:val="00A67E00"/>
    <w:rsid w:val="00A67E59"/>
    <w:rsid w:val="00A7014E"/>
    <w:rsid w:val="00A70526"/>
    <w:rsid w:val="00A7056A"/>
    <w:rsid w:val="00A7060B"/>
    <w:rsid w:val="00A706EA"/>
    <w:rsid w:val="00A708D0"/>
    <w:rsid w:val="00A70D66"/>
    <w:rsid w:val="00A70DF7"/>
    <w:rsid w:val="00A70FDB"/>
    <w:rsid w:val="00A7113F"/>
    <w:rsid w:val="00A71288"/>
    <w:rsid w:val="00A7145F"/>
    <w:rsid w:val="00A714E3"/>
    <w:rsid w:val="00A718F9"/>
    <w:rsid w:val="00A71A86"/>
    <w:rsid w:val="00A71B1F"/>
    <w:rsid w:val="00A71C03"/>
    <w:rsid w:val="00A71EC3"/>
    <w:rsid w:val="00A7236C"/>
    <w:rsid w:val="00A724F3"/>
    <w:rsid w:val="00A726C3"/>
    <w:rsid w:val="00A72902"/>
    <w:rsid w:val="00A730BB"/>
    <w:rsid w:val="00A73227"/>
    <w:rsid w:val="00A7333D"/>
    <w:rsid w:val="00A7350E"/>
    <w:rsid w:val="00A737C3"/>
    <w:rsid w:val="00A73AE9"/>
    <w:rsid w:val="00A73B82"/>
    <w:rsid w:val="00A73ECE"/>
    <w:rsid w:val="00A73F2A"/>
    <w:rsid w:val="00A7440A"/>
    <w:rsid w:val="00A7476B"/>
    <w:rsid w:val="00A748D7"/>
    <w:rsid w:val="00A74904"/>
    <w:rsid w:val="00A74941"/>
    <w:rsid w:val="00A74E88"/>
    <w:rsid w:val="00A7532D"/>
    <w:rsid w:val="00A75374"/>
    <w:rsid w:val="00A754E9"/>
    <w:rsid w:val="00A7553E"/>
    <w:rsid w:val="00A7555E"/>
    <w:rsid w:val="00A755E4"/>
    <w:rsid w:val="00A75DAB"/>
    <w:rsid w:val="00A76064"/>
    <w:rsid w:val="00A769EF"/>
    <w:rsid w:val="00A76B5A"/>
    <w:rsid w:val="00A76C64"/>
    <w:rsid w:val="00A76F62"/>
    <w:rsid w:val="00A76F89"/>
    <w:rsid w:val="00A76F93"/>
    <w:rsid w:val="00A779F6"/>
    <w:rsid w:val="00A77B37"/>
    <w:rsid w:val="00A77B64"/>
    <w:rsid w:val="00A77B74"/>
    <w:rsid w:val="00A77CA8"/>
    <w:rsid w:val="00A77CFD"/>
    <w:rsid w:val="00A77DBA"/>
    <w:rsid w:val="00A800F9"/>
    <w:rsid w:val="00A80204"/>
    <w:rsid w:val="00A8030E"/>
    <w:rsid w:val="00A80402"/>
    <w:rsid w:val="00A80518"/>
    <w:rsid w:val="00A80BEB"/>
    <w:rsid w:val="00A80E99"/>
    <w:rsid w:val="00A80FF7"/>
    <w:rsid w:val="00A810FE"/>
    <w:rsid w:val="00A813DA"/>
    <w:rsid w:val="00A81442"/>
    <w:rsid w:val="00A81495"/>
    <w:rsid w:val="00A81910"/>
    <w:rsid w:val="00A81A6C"/>
    <w:rsid w:val="00A81C2E"/>
    <w:rsid w:val="00A81D86"/>
    <w:rsid w:val="00A81D8D"/>
    <w:rsid w:val="00A81E5C"/>
    <w:rsid w:val="00A81E8D"/>
    <w:rsid w:val="00A8253C"/>
    <w:rsid w:val="00A82675"/>
    <w:rsid w:val="00A82890"/>
    <w:rsid w:val="00A82AC8"/>
    <w:rsid w:val="00A82DE9"/>
    <w:rsid w:val="00A82EDB"/>
    <w:rsid w:val="00A82F32"/>
    <w:rsid w:val="00A82F8C"/>
    <w:rsid w:val="00A830A7"/>
    <w:rsid w:val="00A835CD"/>
    <w:rsid w:val="00A83697"/>
    <w:rsid w:val="00A836B9"/>
    <w:rsid w:val="00A83710"/>
    <w:rsid w:val="00A83873"/>
    <w:rsid w:val="00A8393D"/>
    <w:rsid w:val="00A83A74"/>
    <w:rsid w:val="00A84178"/>
    <w:rsid w:val="00A843E8"/>
    <w:rsid w:val="00A84AFA"/>
    <w:rsid w:val="00A84B3E"/>
    <w:rsid w:val="00A84C26"/>
    <w:rsid w:val="00A84CD7"/>
    <w:rsid w:val="00A84F09"/>
    <w:rsid w:val="00A84F5F"/>
    <w:rsid w:val="00A8532F"/>
    <w:rsid w:val="00A855B8"/>
    <w:rsid w:val="00A85991"/>
    <w:rsid w:val="00A85C3B"/>
    <w:rsid w:val="00A85C68"/>
    <w:rsid w:val="00A85D15"/>
    <w:rsid w:val="00A85E31"/>
    <w:rsid w:val="00A85E58"/>
    <w:rsid w:val="00A8609A"/>
    <w:rsid w:val="00A86236"/>
    <w:rsid w:val="00A865A9"/>
    <w:rsid w:val="00A865CA"/>
    <w:rsid w:val="00A865E5"/>
    <w:rsid w:val="00A86654"/>
    <w:rsid w:val="00A867C3"/>
    <w:rsid w:val="00A867F4"/>
    <w:rsid w:val="00A86AC3"/>
    <w:rsid w:val="00A86E2F"/>
    <w:rsid w:val="00A86F4B"/>
    <w:rsid w:val="00A8713B"/>
    <w:rsid w:val="00A87304"/>
    <w:rsid w:val="00A87653"/>
    <w:rsid w:val="00A876C2"/>
    <w:rsid w:val="00A876C3"/>
    <w:rsid w:val="00A877E6"/>
    <w:rsid w:val="00A879B9"/>
    <w:rsid w:val="00A902CD"/>
    <w:rsid w:val="00A902DF"/>
    <w:rsid w:val="00A90404"/>
    <w:rsid w:val="00A90492"/>
    <w:rsid w:val="00A90661"/>
    <w:rsid w:val="00A9091D"/>
    <w:rsid w:val="00A909EC"/>
    <w:rsid w:val="00A90C67"/>
    <w:rsid w:val="00A90CE9"/>
    <w:rsid w:val="00A90D3E"/>
    <w:rsid w:val="00A90EE5"/>
    <w:rsid w:val="00A910BF"/>
    <w:rsid w:val="00A9136E"/>
    <w:rsid w:val="00A91425"/>
    <w:rsid w:val="00A9148A"/>
    <w:rsid w:val="00A915C3"/>
    <w:rsid w:val="00A916B1"/>
    <w:rsid w:val="00A91820"/>
    <w:rsid w:val="00A919E1"/>
    <w:rsid w:val="00A91A27"/>
    <w:rsid w:val="00A91EEE"/>
    <w:rsid w:val="00A921D2"/>
    <w:rsid w:val="00A92361"/>
    <w:rsid w:val="00A92428"/>
    <w:rsid w:val="00A9243F"/>
    <w:rsid w:val="00A9246E"/>
    <w:rsid w:val="00A92A02"/>
    <w:rsid w:val="00A92A4D"/>
    <w:rsid w:val="00A92B9D"/>
    <w:rsid w:val="00A92CF2"/>
    <w:rsid w:val="00A92FFE"/>
    <w:rsid w:val="00A9313A"/>
    <w:rsid w:val="00A93575"/>
    <w:rsid w:val="00A935EF"/>
    <w:rsid w:val="00A93845"/>
    <w:rsid w:val="00A93A40"/>
    <w:rsid w:val="00A93BBC"/>
    <w:rsid w:val="00A93CE4"/>
    <w:rsid w:val="00A93ED7"/>
    <w:rsid w:val="00A93FAB"/>
    <w:rsid w:val="00A94860"/>
    <w:rsid w:val="00A948EC"/>
    <w:rsid w:val="00A948FC"/>
    <w:rsid w:val="00A949FE"/>
    <w:rsid w:val="00A94B11"/>
    <w:rsid w:val="00A951D9"/>
    <w:rsid w:val="00A95849"/>
    <w:rsid w:val="00A9595A"/>
    <w:rsid w:val="00A95BA0"/>
    <w:rsid w:val="00A95D0D"/>
    <w:rsid w:val="00A95D30"/>
    <w:rsid w:val="00A95ED7"/>
    <w:rsid w:val="00A9615F"/>
    <w:rsid w:val="00A96358"/>
    <w:rsid w:val="00A96703"/>
    <w:rsid w:val="00A9674B"/>
    <w:rsid w:val="00A96ADA"/>
    <w:rsid w:val="00A96B43"/>
    <w:rsid w:val="00A96EF0"/>
    <w:rsid w:val="00A971E4"/>
    <w:rsid w:val="00A97254"/>
    <w:rsid w:val="00A973F5"/>
    <w:rsid w:val="00A97400"/>
    <w:rsid w:val="00A97613"/>
    <w:rsid w:val="00A97C34"/>
    <w:rsid w:val="00A97C8F"/>
    <w:rsid w:val="00A97D08"/>
    <w:rsid w:val="00A97E7B"/>
    <w:rsid w:val="00AA00F9"/>
    <w:rsid w:val="00AA0108"/>
    <w:rsid w:val="00AA043E"/>
    <w:rsid w:val="00AA0738"/>
    <w:rsid w:val="00AA0FCF"/>
    <w:rsid w:val="00AA1213"/>
    <w:rsid w:val="00AA12BD"/>
    <w:rsid w:val="00AA1527"/>
    <w:rsid w:val="00AA160D"/>
    <w:rsid w:val="00AA1758"/>
    <w:rsid w:val="00AA187A"/>
    <w:rsid w:val="00AA18AE"/>
    <w:rsid w:val="00AA1BED"/>
    <w:rsid w:val="00AA1C12"/>
    <w:rsid w:val="00AA1C18"/>
    <w:rsid w:val="00AA1C2E"/>
    <w:rsid w:val="00AA21EB"/>
    <w:rsid w:val="00AA23A3"/>
    <w:rsid w:val="00AA23AD"/>
    <w:rsid w:val="00AA27ED"/>
    <w:rsid w:val="00AA2D5C"/>
    <w:rsid w:val="00AA2E9A"/>
    <w:rsid w:val="00AA2F1B"/>
    <w:rsid w:val="00AA307E"/>
    <w:rsid w:val="00AA31BE"/>
    <w:rsid w:val="00AA33B0"/>
    <w:rsid w:val="00AA33FE"/>
    <w:rsid w:val="00AA361F"/>
    <w:rsid w:val="00AA3665"/>
    <w:rsid w:val="00AA389E"/>
    <w:rsid w:val="00AA393F"/>
    <w:rsid w:val="00AA3A4F"/>
    <w:rsid w:val="00AA3B41"/>
    <w:rsid w:val="00AA3BDC"/>
    <w:rsid w:val="00AA3C83"/>
    <w:rsid w:val="00AA3CAF"/>
    <w:rsid w:val="00AA3F12"/>
    <w:rsid w:val="00AA3FCB"/>
    <w:rsid w:val="00AA3FDF"/>
    <w:rsid w:val="00AA41A1"/>
    <w:rsid w:val="00AA41C5"/>
    <w:rsid w:val="00AA43E6"/>
    <w:rsid w:val="00AA4982"/>
    <w:rsid w:val="00AA4A9B"/>
    <w:rsid w:val="00AA4B59"/>
    <w:rsid w:val="00AA4BE2"/>
    <w:rsid w:val="00AA4DB4"/>
    <w:rsid w:val="00AA4F12"/>
    <w:rsid w:val="00AA5872"/>
    <w:rsid w:val="00AA58EC"/>
    <w:rsid w:val="00AA5A33"/>
    <w:rsid w:val="00AA5A8C"/>
    <w:rsid w:val="00AA5AB7"/>
    <w:rsid w:val="00AA5CAC"/>
    <w:rsid w:val="00AA5D66"/>
    <w:rsid w:val="00AA5DB9"/>
    <w:rsid w:val="00AA5EC0"/>
    <w:rsid w:val="00AA5EE6"/>
    <w:rsid w:val="00AA60B6"/>
    <w:rsid w:val="00AA61F9"/>
    <w:rsid w:val="00AA635C"/>
    <w:rsid w:val="00AA640E"/>
    <w:rsid w:val="00AA6815"/>
    <w:rsid w:val="00AA6DC6"/>
    <w:rsid w:val="00AA6E02"/>
    <w:rsid w:val="00AA6EC7"/>
    <w:rsid w:val="00AA6FC6"/>
    <w:rsid w:val="00AA712E"/>
    <w:rsid w:val="00AA7423"/>
    <w:rsid w:val="00AA770A"/>
    <w:rsid w:val="00AA77E3"/>
    <w:rsid w:val="00AA7A6E"/>
    <w:rsid w:val="00AA7D86"/>
    <w:rsid w:val="00AA7F88"/>
    <w:rsid w:val="00AB0103"/>
    <w:rsid w:val="00AB012E"/>
    <w:rsid w:val="00AB0179"/>
    <w:rsid w:val="00AB0215"/>
    <w:rsid w:val="00AB036C"/>
    <w:rsid w:val="00AB0434"/>
    <w:rsid w:val="00AB0581"/>
    <w:rsid w:val="00AB05D4"/>
    <w:rsid w:val="00AB07DA"/>
    <w:rsid w:val="00AB0C03"/>
    <w:rsid w:val="00AB1036"/>
    <w:rsid w:val="00AB1107"/>
    <w:rsid w:val="00AB1165"/>
    <w:rsid w:val="00AB1189"/>
    <w:rsid w:val="00AB11E7"/>
    <w:rsid w:val="00AB12BC"/>
    <w:rsid w:val="00AB14AB"/>
    <w:rsid w:val="00AB187D"/>
    <w:rsid w:val="00AB19FE"/>
    <w:rsid w:val="00AB1A2D"/>
    <w:rsid w:val="00AB1C0E"/>
    <w:rsid w:val="00AB2068"/>
    <w:rsid w:val="00AB20F0"/>
    <w:rsid w:val="00AB27CF"/>
    <w:rsid w:val="00AB297D"/>
    <w:rsid w:val="00AB2A54"/>
    <w:rsid w:val="00AB2CDE"/>
    <w:rsid w:val="00AB2E4C"/>
    <w:rsid w:val="00AB3019"/>
    <w:rsid w:val="00AB3149"/>
    <w:rsid w:val="00AB3168"/>
    <w:rsid w:val="00AB3218"/>
    <w:rsid w:val="00AB3247"/>
    <w:rsid w:val="00AB351F"/>
    <w:rsid w:val="00AB353F"/>
    <w:rsid w:val="00AB3588"/>
    <w:rsid w:val="00AB3640"/>
    <w:rsid w:val="00AB369D"/>
    <w:rsid w:val="00AB37D3"/>
    <w:rsid w:val="00AB380E"/>
    <w:rsid w:val="00AB398D"/>
    <w:rsid w:val="00AB3999"/>
    <w:rsid w:val="00AB3AC1"/>
    <w:rsid w:val="00AB3B28"/>
    <w:rsid w:val="00AB3B41"/>
    <w:rsid w:val="00AB3CFE"/>
    <w:rsid w:val="00AB3D8E"/>
    <w:rsid w:val="00AB3FA2"/>
    <w:rsid w:val="00AB3FD1"/>
    <w:rsid w:val="00AB4098"/>
    <w:rsid w:val="00AB40B7"/>
    <w:rsid w:val="00AB42D2"/>
    <w:rsid w:val="00AB444F"/>
    <w:rsid w:val="00AB451E"/>
    <w:rsid w:val="00AB484C"/>
    <w:rsid w:val="00AB51FD"/>
    <w:rsid w:val="00AB5239"/>
    <w:rsid w:val="00AB53A5"/>
    <w:rsid w:val="00AB547D"/>
    <w:rsid w:val="00AB551D"/>
    <w:rsid w:val="00AB5759"/>
    <w:rsid w:val="00AB5957"/>
    <w:rsid w:val="00AB59FE"/>
    <w:rsid w:val="00AB5BED"/>
    <w:rsid w:val="00AB5CA4"/>
    <w:rsid w:val="00AB5D63"/>
    <w:rsid w:val="00AB62AB"/>
    <w:rsid w:val="00AB650B"/>
    <w:rsid w:val="00AB657E"/>
    <w:rsid w:val="00AB6A9D"/>
    <w:rsid w:val="00AB6B66"/>
    <w:rsid w:val="00AB6D48"/>
    <w:rsid w:val="00AB6E6D"/>
    <w:rsid w:val="00AB7342"/>
    <w:rsid w:val="00AB7A08"/>
    <w:rsid w:val="00AB7DFA"/>
    <w:rsid w:val="00AB7F05"/>
    <w:rsid w:val="00AC0006"/>
    <w:rsid w:val="00AC0EA6"/>
    <w:rsid w:val="00AC0F2E"/>
    <w:rsid w:val="00AC1245"/>
    <w:rsid w:val="00AC124D"/>
    <w:rsid w:val="00AC1474"/>
    <w:rsid w:val="00AC16E9"/>
    <w:rsid w:val="00AC1DAE"/>
    <w:rsid w:val="00AC1E7F"/>
    <w:rsid w:val="00AC204D"/>
    <w:rsid w:val="00AC208A"/>
    <w:rsid w:val="00AC2127"/>
    <w:rsid w:val="00AC22A6"/>
    <w:rsid w:val="00AC2372"/>
    <w:rsid w:val="00AC2485"/>
    <w:rsid w:val="00AC270D"/>
    <w:rsid w:val="00AC280F"/>
    <w:rsid w:val="00AC290A"/>
    <w:rsid w:val="00AC2956"/>
    <w:rsid w:val="00AC2BC5"/>
    <w:rsid w:val="00AC2BC8"/>
    <w:rsid w:val="00AC2D6D"/>
    <w:rsid w:val="00AC33FC"/>
    <w:rsid w:val="00AC3414"/>
    <w:rsid w:val="00AC3567"/>
    <w:rsid w:val="00AC35B4"/>
    <w:rsid w:val="00AC375F"/>
    <w:rsid w:val="00AC3A15"/>
    <w:rsid w:val="00AC3AB5"/>
    <w:rsid w:val="00AC3EBF"/>
    <w:rsid w:val="00AC4012"/>
    <w:rsid w:val="00AC40D4"/>
    <w:rsid w:val="00AC4157"/>
    <w:rsid w:val="00AC4384"/>
    <w:rsid w:val="00AC44A5"/>
    <w:rsid w:val="00AC44D4"/>
    <w:rsid w:val="00AC46C5"/>
    <w:rsid w:val="00AC4865"/>
    <w:rsid w:val="00AC487A"/>
    <w:rsid w:val="00AC492D"/>
    <w:rsid w:val="00AC4D04"/>
    <w:rsid w:val="00AC4EC3"/>
    <w:rsid w:val="00AC5035"/>
    <w:rsid w:val="00AC54AB"/>
    <w:rsid w:val="00AC5555"/>
    <w:rsid w:val="00AC5556"/>
    <w:rsid w:val="00AC5755"/>
    <w:rsid w:val="00AC5DB4"/>
    <w:rsid w:val="00AC6179"/>
    <w:rsid w:val="00AC6208"/>
    <w:rsid w:val="00AC67FA"/>
    <w:rsid w:val="00AC68FB"/>
    <w:rsid w:val="00AC6D62"/>
    <w:rsid w:val="00AC6E21"/>
    <w:rsid w:val="00AC6E6C"/>
    <w:rsid w:val="00AC6FE7"/>
    <w:rsid w:val="00AC701E"/>
    <w:rsid w:val="00AC735D"/>
    <w:rsid w:val="00AC741A"/>
    <w:rsid w:val="00AC75E1"/>
    <w:rsid w:val="00AC7657"/>
    <w:rsid w:val="00AC79C0"/>
    <w:rsid w:val="00AC7B1A"/>
    <w:rsid w:val="00AC7B48"/>
    <w:rsid w:val="00AC7EC5"/>
    <w:rsid w:val="00AD0035"/>
    <w:rsid w:val="00AD01F7"/>
    <w:rsid w:val="00AD02EC"/>
    <w:rsid w:val="00AD0480"/>
    <w:rsid w:val="00AD082F"/>
    <w:rsid w:val="00AD0986"/>
    <w:rsid w:val="00AD0CB0"/>
    <w:rsid w:val="00AD0F4F"/>
    <w:rsid w:val="00AD118B"/>
    <w:rsid w:val="00AD11B3"/>
    <w:rsid w:val="00AD168D"/>
    <w:rsid w:val="00AD1A30"/>
    <w:rsid w:val="00AD1AB1"/>
    <w:rsid w:val="00AD1EB1"/>
    <w:rsid w:val="00AD2082"/>
    <w:rsid w:val="00AD2409"/>
    <w:rsid w:val="00AD254C"/>
    <w:rsid w:val="00AD271F"/>
    <w:rsid w:val="00AD28EF"/>
    <w:rsid w:val="00AD2BEE"/>
    <w:rsid w:val="00AD2D6F"/>
    <w:rsid w:val="00AD2FDB"/>
    <w:rsid w:val="00AD3483"/>
    <w:rsid w:val="00AD36F9"/>
    <w:rsid w:val="00AD394F"/>
    <w:rsid w:val="00AD3AA3"/>
    <w:rsid w:val="00AD3B66"/>
    <w:rsid w:val="00AD3BCD"/>
    <w:rsid w:val="00AD3E41"/>
    <w:rsid w:val="00AD3F5D"/>
    <w:rsid w:val="00AD49DE"/>
    <w:rsid w:val="00AD4BC4"/>
    <w:rsid w:val="00AD4E16"/>
    <w:rsid w:val="00AD528D"/>
    <w:rsid w:val="00AD53BD"/>
    <w:rsid w:val="00AD5411"/>
    <w:rsid w:val="00AD56C2"/>
    <w:rsid w:val="00AD6101"/>
    <w:rsid w:val="00AD647B"/>
    <w:rsid w:val="00AD64C4"/>
    <w:rsid w:val="00AD6612"/>
    <w:rsid w:val="00AD67CC"/>
    <w:rsid w:val="00AD6806"/>
    <w:rsid w:val="00AD6976"/>
    <w:rsid w:val="00AD6C7E"/>
    <w:rsid w:val="00AD6CF7"/>
    <w:rsid w:val="00AD6E32"/>
    <w:rsid w:val="00AD6E6D"/>
    <w:rsid w:val="00AD7211"/>
    <w:rsid w:val="00AD7239"/>
    <w:rsid w:val="00AD7515"/>
    <w:rsid w:val="00AD7731"/>
    <w:rsid w:val="00AD7903"/>
    <w:rsid w:val="00AE037B"/>
    <w:rsid w:val="00AE0ADA"/>
    <w:rsid w:val="00AE0C9D"/>
    <w:rsid w:val="00AE0CA0"/>
    <w:rsid w:val="00AE1264"/>
    <w:rsid w:val="00AE1328"/>
    <w:rsid w:val="00AE13AE"/>
    <w:rsid w:val="00AE14B9"/>
    <w:rsid w:val="00AE14E1"/>
    <w:rsid w:val="00AE1620"/>
    <w:rsid w:val="00AE1CF5"/>
    <w:rsid w:val="00AE1E0E"/>
    <w:rsid w:val="00AE1FC5"/>
    <w:rsid w:val="00AE21A6"/>
    <w:rsid w:val="00AE2476"/>
    <w:rsid w:val="00AE2C28"/>
    <w:rsid w:val="00AE2CB3"/>
    <w:rsid w:val="00AE2E25"/>
    <w:rsid w:val="00AE2E91"/>
    <w:rsid w:val="00AE2F70"/>
    <w:rsid w:val="00AE312B"/>
    <w:rsid w:val="00AE34F7"/>
    <w:rsid w:val="00AE37D4"/>
    <w:rsid w:val="00AE3E2C"/>
    <w:rsid w:val="00AE408B"/>
    <w:rsid w:val="00AE40EB"/>
    <w:rsid w:val="00AE469B"/>
    <w:rsid w:val="00AE4A7C"/>
    <w:rsid w:val="00AE4CDD"/>
    <w:rsid w:val="00AE4CF4"/>
    <w:rsid w:val="00AE4EE1"/>
    <w:rsid w:val="00AE4F8D"/>
    <w:rsid w:val="00AE513A"/>
    <w:rsid w:val="00AE516E"/>
    <w:rsid w:val="00AE5175"/>
    <w:rsid w:val="00AE535D"/>
    <w:rsid w:val="00AE542B"/>
    <w:rsid w:val="00AE56C4"/>
    <w:rsid w:val="00AE59E3"/>
    <w:rsid w:val="00AE5C18"/>
    <w:rsid w:val="00AE609F"/>
    <w:rsid w:val="00AE6391"/>
    <w:rsid w:val="00AE672F"/>
    <w:rsid w:val="00AE676C"/>
    <w:rsid w:val="00AE6D96"/>
    <w:rsid w:val="00AE7080"/>
    <w:rsid w:val="00AE7131"/>
    <w:rsid w:val="00AE73B2"/>
    <w:rsid w:val="00AE7643"/>
    <w:rsid w:val="00AE7655"/>
    <w:rsid w:val="00AE78C2"/>
    <w:rsid w:val="00AE79BD"/>
    <w:rsid w:val="00AE7AC9"/>
    <w:rsid w:val="00AE7E26"/>
    <w:rsid w:val="00AE7ECE"/>
    <w:rsid w:val="00AF0287"/>
    <w:rsid w:val="00AF0338"/>
    <w:rsid w:val="00AF034B"/>
    <w:rsid w:val="00AF040D"/>
    <w:rsid w:val="00AF06F7"/>
    <w:rsid w:val="00AF079F"/>
    <w:rsid w:val="00AF07FF"/>
    <w:rsid w:val="00AF080C"/>
    <w:rsid w:val="00AF13FE"/>
    <w:rsid w:val="00AF1835"/>
    <w:rsid w:val="00AF1913"/>
    <w:rsid w:val="00AF1A42"/>
    <w:rsid w:val="00AF1B37"/>
    <w:rsid w:val="00AF1B95"/>
    <w:rsid w:val="00AF1D07"/>
    <w:rsid w:val="00AF1DF3"/>
    <w:rsid w:val="00AF1E7A"/>
    <w:rsid w:val="00AF2356"/>
    <w:rsid w:val="00AF2390"/>
    <w:rsid w:val="00AF2B56"/>
    <w:rsid w:val="00AF2BAE"/>
    <w:rsid w:val="00AF2DD5"/>
    <w:rsid w:val="00AF30AF"/>
    <w:rsid w:val="00AF32A1"/>
    <w:rsid w:val="00AF35E8"/>
    <w:rsid w:val="00AF3654"/>
    <w:rsid w:val="00AF36B4"/>
    <w:rsid w:val="00AF3A8B"/>
    <w:rsid w:val="00AF3D81"/>
    <w:rsid w:val="00AF409A"/>
    <w:rsid w:val="00AF48A6"/>
    <w:rsid w:val="00AF4955"/>
    <w:rsid w:val="00AF4BAB"/>
    <w:rsid w:val="00AF4CF5"/>
    <w:rsid w:val="00AF4D6C"/>
    <w:rsid w:val="00AF4E28"/>
    <w:rsid w:val="00AF4FE2"/>
    <w:rsid w:val="00AF5152"/>
    <w:rsid w:val="00AF5162"/>
    <w:rsid w:val="00AF5217"/>
    <w:rsid w:val="00AF5378"/>
    <w:rsid w:val="00AF5807"/>
    <w:rsid w:val="00AF5828"/>
    <w:rsid w:val="00AF58BD"/>
    <w:rsid w:val="00AF5F5C"/>
    <w:rsid w:val="00AF615D"/>
    <w:rsid w:val="00AF61A6"/>
    <w:rsid w:val="00AF6349"/>
    <w:rsid w:val="00AF6376"/>
    <w:rsid w:val="00AF65C7"/>
    <w:rsid w:val="00AF6846"/>
    <w:rsid w:val="00AF6863"/>
    <w:rsid w:val="00AF6B13"/>
    <w:rsid w:val="00AF6C11"/>
    <w:rsid w:val="00AF6C19"/>
    <w:rsid w:val="00AF6C76"/>
    <w:rsid w:val="00AF6D13"/>
    <w:rsid w:val="00AF6EE7"/>
    <w:rsid w:val="00AF6F20"/>
    <w:rsid w:val="00AF7038"/>
    <w:rsid w:val="00AF7043"/>
    <w:rsid w:val="00AF72F3"/>
    <w:rsid w:val="00AF738E"/>
    <w:rsid w:val="00AF7658"/>
    <w:rsid w:val="00AF7741"/>
    <w:rsid w:val="00AF7B03"/>
    <w:rsid w:val="00AF7CA1"/>
    <w:rsid w:val="00AF7D06"/>
    <w:rsid w:val="00AF7D51"/>
    <w:rsid w:val="00AF7D93"/>
    <w:rsid w:val="00AF7E7D"/>
    <w:rsid w:val="00B001CF"/>
    <w:rsid w:val="00B0093B"/>
    <w:rsid w:val="00B00B44"/>
    <w:rsid w:val="00B00CB6"/>
    <w:rsid w:val="00B0115E"/>
    <w:rsid w:val="00B01285"/>
    <w:rsid w:val="00B0149A"/>
    <w:rsid w:val="00B0150C"/>
    <w:rsid w:val="00B015D7"/>
    <w:rsid w:val="00B01A93"/>
    <w:rsid w:val="00B01C52"/>
    <w:rsid w:val="00B01C82"/>
    <w:rsid w:val="00B01DEA"/>
    <w:rsid w:val="00B021ED"/>
    <w:rsid w:val="00B025A6"/>
    <w:rsid w:val="00B025DF"/>
    <w:rsid w:val="00B0262B"/>
    <w:rsid w:val="00B0269B"/>
    <w:rsid w:val="00B02735"/>
    <w:rsid w:val="00B02737"/>
    <w:rsid w:val="00B02CAC"/>
    <w:rsid w:val="00B02E70"/>
    <w:rsid w:val="00B02F1B"/>
    <w:rsid w:val="00B030B7"/>
    <w:rsid w:val="00B03110"/>
    <w:rsid w:val="00B031A2"/>
    <w:rsid w:val="00B03678"/>
    <w:rsid w:val="00B037FE"/>
    <w:rsid w:val="00B03963"/>
    <w:rsid w:val="00B03FC6"/>
    <w:rsid w:val="00B03FE7"/>
    <w:rsid w:val="00B04289"/>
    <w:rsid w:val="00B04651"/>
    <w:rsid w:val="00B04893"/>
    <w:rsid w:val="00B04AC6"/>
    <w:rsid w:val="00B04B64"/>
    <w:rsid w:val="00B04FE9"/>
    <w:rsid w:val="00B05153"/>
    <w:rsid w:val="00B05538"/>
    <w:rsid w:val="00B05A12"/>
    <w:rsid w:val="00B05A27"/>
    <w:rsid w:val="00B05C4A"/>
    <w:rsid w:val="00B05CC6"/>
    <w:rsid w:val="00B05CFC"/>
    <w:rsid w:val="00B05D0D"/>
    <w:rsid w:val="00B05F44"/>
    <w:rsid w:val="00B05FB7"/>
    <w:rsid w:val="00B0602D"/>
    <w:rsid w:val="00B06038"/>
    <w:rsid w:val="00B0622C"/>
    <w:rsid w:val="00B0625F"/>
    <w:rsid w:val="00B06578"/>
    <w:rsid w:val="00B06A14"/>
    <w:rsid w:val="00B06A4E"/>
    <w:rsid w:val="00B06ACB"/>
    <w:rsid w:val="00B06C32"/>
    <w:rsid w:val="00B06EC3"/>
    <w:rsid w:val="00B07178"/>
    <w:rsid w:val="00B07213"/>
    <w:rsid w:val="00B07259"/>
    <w:rsid w:val="00B0762A"/>
    <w:rsid w:val="00B0775C"/>
    <w:rsid w:val="00B07A48"/>
    <w:rsid w:val="00B07A4A"/>
    <w:rsid w:val="00B07B2B"/>
    <w:rsid w:val="00B07E74"/>
    <w:rsid w:val="00B07F00"/>
    <w:rsid w:val="00B07FDE"/>
    <w:rsid w:val="00B10092"/>
    <w:rsid w:val="00B10278"/>
    <w:rsid w:val="00B10294"/>
    <w:rsid w:val="00B1093B"/>
    <w:rsid w:val="00B10C22"/>
    <w:rsid w:val="00B11505"/>
    <w:rsid w:val="00B117C6"/>
    <w:rsid w:val="00B117F7"/>
    <w:rsid w:val="00B11994"/>
    <w:rsid w:val="00B11A32"/>
    <w:rsid w:val="00B11ADE"/>
    <w:rsid w:val="00B12034"/>
    <w:rsid w:val="00B122DD"/>
    <w:rsid w:val="00B128A1"/>
    <w:rsid w:val="00B129D3"/>
    <w:rsid w:val="00B12B56"/>
    <w:rsid w:val="00B12B73"/>
    <w:rsid w:val="00B12BB1"/>
    <w:rsid w:val="00B12C5F"/>
    <w:rsid w:val="00B13003"/>
    <w:rsid w:val="00B130C4"/>
    <w:rsid w:val="00B131FE"/>
    <w:rsid w:val="00B13634"/>
    <w:rsid w:val="00B13675"/>
    <w:rsid w:val="00B13A17"/>
    <w:rsid w:val="00B13AA2"/>
    <w:rsid w:val="00B13D84"/>
    <w:rsid w:val="00B1406D"/>
    <w:rsid w:val="00B14369"/>
    <w:rsid w:val="00B14456"/>
    <w:rsid w:val="00B146E7"/>
    <w:rsid w:val="00B14761"/>
    <w:rsid w:val="00B147A4"/>
    <w:rsid w:val="00B147E8"/>
    <w:rsid w:val="00B149AF"/>
    <w:rsid w:val="00B14A73"/>
    <w:rsid w:val="00B14B67"/>
    <w:rsid w:val="00B14C24"/>
    <w:rsid w:val="00B14DB2"/>
    <w:rsid w:val="00B14ED1"/>
    <w:rsid w:val="00B153BC"/>
    <w:rsid w:val="00B15745"/>
    <w:rsid w:val="00B15847"/>
    <w:rsid w:val="00B1589A"/>
    <w:rsid w:val="00B159E1"/>
    <w:rsid w:val="00B15DD1"/>
    <w:rsid w:val="00B15F9D"/>
    <w:rsid w:val="00B164D4"/>
    <w:rsid w:val="00B16770"/>
    <w:rsid w:val="00B16784"/>
    <w:rsid w:val="00B167C9"/>
    <w:rsid w:val="00B16856"/>
    <w:rsid w:val="00B168ED"/>
    <w:rsid w:val="00B16CD1"/>
    <w:rsid w:val="00B16D06"/>
    <w:rsid w:val="00B16E71"/>
    <w:rsid w:val="00B16E92"/>
    <w:rsid w:val="00B17522"/>
    <w:rsid w:val="00B1773E"/>
    <w:rsid w:val="00B17757"/>
    <w:rsid w:val="00B17995"/>
    <w:rsid w:val="00B17A95"/>
    <w:rsid w:val="00B17AA9"/>
    <w:rsid w:val="00B17BB5"/>
    <w:rsid w:val="00B17C50"/>
    <w:rsid w:val="00B17CD0"/>
    <w:rsid w:val="00B17D32"/>
    <w:rsid w:val="00B17DA5"/>
    <w:rsid w:val="00B202B3"/>
    <w:rsid w:val="00B202CB"/>
    <w:rsid w:val="00B203C3"/>
    <w:rsid w:val="00B203FA"/>
    <w:rsid w:val="00B204D0"/>
    <w:rsid w:val="00B20710"/>
    <w:rsid w:val="00B208CE"/>
    <w:rsid w:val="00B20C7F"/>
    <w:rsid w:val="00B20F13"/>
    <w:rsid w:val="00B20F9F"/>
    <w:rsid w:val="00B21291"/>
    <w:rsid w:val="00B213E9"/>
    <w:rsid w:val="00B2140F"/>
    <w:rsid w:val="00B2145F"/>
    <w:rsid w:val="00B2159A"/>
    <w:rsid w:val="00B215B2"/>
    <w:rsid w:val="00B217C6"/>
    <w:rsid w:val="00B217F7"/>
    <w:rsid w:val="00B219A6"/>
    <w:rsid w:val="00B21B82"/>
    <w:rsid w:val="00B21D04"/>
    <w:rsid w:val="00B21FB4"/>
    <w:rsid w:val="00B221F3"/>
    <w:rsid w:val="00B22424"/>
    <w:rsid w:val="00B22665"/>
    <w:rsid w:val="00B226A9"/>
    <w:rsid w:val="00B228D6"/>
    <w:rsid w:val="00B228E5"/>
    <w:rsid w:val="00B22941"/>
    <w:rsid w:val="00B229D0"/>
    <w:rsid w:val="00B22E98"/>
    <w:rsid w:val="00B22FC4"/>
    <w:rsid w:val="00B2302A"/>
    <w:rsid w:val="00B230AD"/>
    <w:rsid w:val="00B23450"/>
    <w:rsid w:val="00B2353C"/>
    <w:rsid w:val="00B2358A"/>
    <w:rsid w:val="00B235BF"/>
    <w:rsid w:val="00B237E8"/>
    <w:rsid w:val="00B237F0"/>
    <w:rsid w:val="00B2390F"/>
    <w:rsid w:val="00B2395A"/>
    <w:rsid w:val="00B23A93"/>
    <w:rsid w:val="00B23E42"/>
    <w:rsid w:val="00B240A1"/>
    <w:rsid w:val="00B24142"/>
    <w:rsid w:val="00B24267"/>
    <w:rsid w:val="00B244A7"/>
    <w:rsid w:val="00B24899"/>
    <w:rsid w:val="00B2495D"/>
    <w:rsid w:val="00B24A83"/>
    <w:rsid w:val="00B24BAD"/>
    <w:rsid w:val="00B24DD0"/>
    <w:rsid w:val="00B24E37"/>
    <w:rsid w:val="00B253CE"/>
    <w:rsid w:val="00B2548F"/>
    <w:rsid w:val="00B25509"/>
    <w:rsid w:val="00B257F1"/>
    <w:rsid w:val="00B258CD"/>
    <w:rsid w:val="00B25A61"/>
    <w:rsid w:val="00B25E53"/>
    <w:rsid w:val="00B25F84"/>
    <w:rsid w:val="00B25FE1"/>
    <w:rsid w:val="00B26124"/>
    <w:rsid w:val="00B26132"/>
    <w:rsid w:val="00B26296"/>
    <w:rsid w:val="00B26452"/>
    <w:rsid w:val="00B26AAB"/>
    <w:rsid w:val="00B26AAE"/>
    <w:rsid w:val="00B26BE0"/>
    <w:rsid w:val="00B26C2B"/>
    <w:rsid w:val="00B26CB2"/>
    <w:rsid w:val="00B26CD7"/>
    <w:rsid w:val="00B26F0B"/>
    <w:rsid w:val="00B26F39"/>
    <w:rsid w:val="00B275D4"/>
    <w:rsid w:val="00B275E4"/>
    <w:rsid w:val="00B27779"/>
    <w:rsid w:val="00B27A06"/>
    <w:rsid w:val="00B27A8B"/>
    <w:rsid w:val="00B27F6C"/>
    <w:rsid w:val="00B3021C"/>
    <w:rsid w:val="00B304D7"/>
    <w:rsid w:val="00B30560"/>
    <w:rsid w:val="00B3057D"/>
    <w:rsid w:val="00B306A5"/>
    <w:rsid w:val="00B30857"/>
    <w:rsid w:val="00B30B27"/>
    <w:rsid w:val="00B30F68"/>
    <w:rsid w:val="00B3115B"/>
    <w:rsid w:val="00B317E9"/>
    <w:rsid w:val="00B3184F"/>
    <w:rsid w:val="00B31B0F"/>
    <w:rsid w:val="00B31B85"/>
    <w:rsid w:val="00B31F88"/>
    <w:rsid w:val="00B32055"/>
    <w:rsid w:val="00B320F9"/>
    <w:rsid w:val="00B3259C"/>
    <w:rsid w:val="00B325E1"/>
    <w:rsid w:val="00B32696"/>
    <w:rsid w:val="00B326B7"/>
    <w:rsid w:val="00B328CB"/>
    <w:rsid w:val="00B32A13"/>
    <w:rsid w:val="00B32D5B"/>
    <w:rsid w:val="00B32DC8"/>
    <w:rsid w:val="00B33320"/>
    <w:rsid w:val="00B339AD"/>
    <w:rsid w:val="00B33B04"/>
    <w:rsid w:val="00B33B92"/>
    <w:rsid w:val="00B33C03"/>
    <w:rsid w:val="00B33C42"/>
    <w:rsid w:val="00B33F80"/>
    <w:rsid w:val="00B34147"/>
    <w:rsid w:val="00B34177"/>
    <w:rsid w:val="00B342BC"/>
    <w:rsid w:val="00B3451C"/>
    <w:rsid w:val="00B347A6"/>
    <w:rsid w:val="00B347D5"/>
    <w:rsid w:val="00B34891"/>
    <w:rsid w:val="00B34BD8"/>
    <w:rsid w:val="00B34C93"/>
    <w:rsid w:val="00B34E8A"/>
    <w:rsid w:val="00B34FF9"/>
    <w:rsid w:val="00B351A6"/>
    <w:rsid w:val="00B3567A"/>
    <w:rsid w:val="00B358B6"/>
    <w:rsid w:val="00B35B84"/>
    <w:rsid w:val="00B35D0D"/>
    <w:rsid w:val="00B35D1F"/>
    <w:rsid w:val="00B35DED"/>
    <w:rsid w:val="00B36254"/>
    <w:rsid w:val="00B36962"/>
    <w:rsid w:val="00B36B00"/>
    <w:rsid w:val="00B36BC0"/>
    <w:rsid w:val="00B36C2F"/>
    <w:rsid w:val="00B36CD9"/>
    <w:rsid w:val="00B36FFF"/>
    <w:rsid w:val="00B37025"/>
    <w:rsid w:val="00B37038"/>
    <w:rsid w:val="00B372B6"/>
    <w:rsid w:val="00B37447"/>
    <w:rsid w:val="00B37461"/>
    <w:rsid w:val="00B376B1"/>
    <w:rsid w:val="00B378C0"/>
    <w:rsid w:val="00B37B19"/>
    <w:rsid w:val="00B37B9E"/>
    <w:rsid w:val="00B37BF1"/>
    <w:rsid w:val="00B37D84"/>
    <w:rsid w:val="00B37E3A"/>
    <w:rsid w:val="00B40097"/>
    <w:rsid w:val="00B40363"/>
    <w:rsid w:val="00B4037C"/>
    <w:rsid w:val="00B40682"/>
    <w:rsid w:val="00B407EE"/>
    <w:rsid w:val="00B40807"/>
    <w:rsid w:val="00B408C3"/>
    <w:rsid w:val="00B40E10"/>
    <w:rsid w:val="00B40E92"/>
    <w:rsid w:val="00B40F93"/>
    <w:rsid w:val="00B411F2"/>
    <w:rsid w:val="00B41496"/>
    <w:rsid w:val="00B41563"/>
    <w:rsid w:val="00B415F4"/>
    <w:rsid w:val="00B4160C"/>
    <w:rsid w:val="00B416D3"/>
    <w:rsid w:val="00B418C1"/>
    <w:rsid w:val="00B419B8"/>
    <w:rsid w:val="00B419F9"/>
    <w:rsid w:val="00B41A18"/>
    <w:rsid w:val="00B420DF"/>
    <w:rsid w:val="00B42118"/>
    <w:rsid w:val="00B42128"/>
    <w:rsid w:val="00B42562"/>
    <w:rsid w:val="00B42567"/>
    <w:rsid w:val="00B42AAA"/>
    <w:rsid w:val="00B42BF3"/>
    <w:rsid w:val="00B42C7C"/>
    <w:rsid w:val="00B42DC2"/>
    <w:rsid w:val="00B42DDA"/>
    <w:rsid w:val="00B42EF4"/>
    <w:rsid w:val="00B4317E"/>
    <w:rsid w:val="00B431D3"/>
    <w:rsid w:val="00B433B7"/>
    <w:rsid w:val="00B433EA"/>
    <w:rsid w:val="00B4346C"/>
    <w:rsid w:val="00B4354E"/>
    <w:rsid w:val="00B43553"/>
    <w:rsid w:val="00B436E6"/>
    <w:rsid w:val="00B439BD"/>
    <w:rsid w:val="00B43A03"/>
    <w:rsid w:val="00B43AB9"/>
    <w:rsid w:val="00B43D5F"/>
    <w:rsid w:val="00B43DC8"/>
    <w:rsid w:val="00B44052"/>
    <w:rsid w:val="00B44254"/>
    <w:rsid w:val="00B445C4"/>
    <w:rsid w:val="00B4462F"/>
    <w:rsid w:val="00B4477A"/>
    <w:rsid w:val="00B4483A"/>
    <w:rsid w:val="00B449D4"/>
    <w:rsid w:val="00B44A21"/>
    <w:rsid w:val="00B44ADE"/>
    <w:rsid w:val="00B44E21"/>
    <w:rsid w:val="00B44E2A"/>
    <w:rsid w:val="00B44E9B"/>
    <w:rsid w:val="00B45007"/>
    <w:rsid w:val="00B453CD"/>
    <w:rsid w:val="00B4545C"/>
    <w:rsid w:val="00B45738"/>
    <w:rsid w:val="00B457ED"/>
    <w:rsid w:val="00B45809"/>
    <w:rsid w:val="00B4580D"/>
    <w:rsid w:val="00B459BC"/>
    <w:rsid w:val="00B45ADD"/>
    <w:rsid w:val="00B45D72"/>
    <w:rsid w:val="00B45F2F"/>
    <w:rsid w:val="00B46025"/>
    <w:rsid w:val="00B463A3"/>
    <w:rsid w:val="00B46C43"/>
    <w:rsid w:val="00B46EBB"/>
    <w:rsid w:val="00B470F2"/>
    <w:rsid w:val="00B47427"/>
    <w:rsid w:val="00B47520"/>
    <w:rsid w:val="00B47795"/>
    <w:rsid w:val="00B47C46"/>
    <w:rsid w:val="00B47E9C"/>
    <w:rsid w:val="00B502AC"/>
    <w:rsid w:val="00B50392"/>
    <w:rsid w:val="00B50581"/>
    <w:rsid w:val="00B505C2"/>
    <w:rsid w:val="00B50BE3"/>
    <w:rsid w:val="00B50C5A"/>
    <w:rsid w:val="00B50FA7"/>
    <w:rsid w:val="00B51191"/>
    <w:rsid w:val="00B51228"/>
    <w:rsid w:val="00B51252"/>
    <w:rsid w:val="00B513FD"/>
    <w:rsid w:val="00B5140B"/>
    <w:rsid w:val="00B51794"/>
    <w:rsid w:val="00B518D1"/>
    <w:rsid w:val="00B519F3"/>
    <w:rsid w:val="00B51B58"/>
    <w:rsid w:val="00B51BB8"/>
    <w:rsid w:val="00B51E26"/>
    <w:rsid w:val="00B51EFB"/>
    <w:rsid w:val="00B5227B"/>
    <w:rsid w:val="00B5234F"/>
    <w:rsid w:val="00B527B6"/>
    <w:rsid w:val="00B52954"/>
    <w:rsid w:val="00B52C49"/>
    <w:rsid w:val="00B52D8C"/>
    <w:rsid w:val="00B52E70"/>
    <w:rsid w:val="00B5308E"/>
    <w:rsid w:val="00B530CD"/>
    <w:rsid w:val="00B530EA"/>
    <w:rsid w:val="00B531D1"/>
    <w:rsid w:val="00B532FF"/>
    <w:rsid w:val="00B53506"/>
    <w:rsid w:val="00B53757"/>
    <w:rsid w:val="00B53E39"/>
    <w:rsid w:val="00B53EC4"/>
    <w:rsid w:val="00B5412F"/>
    <w:rsid w:val="00B544A2"/>
    <w:rsid w:val="00B54515"/>
    <w:rsid w:val="00B546E3"/>
    <w:rsid w:val="00B54B82"/>
    <w:rsid w:val="00B54F65"/>
    <w:rsid w:val="00B552B9"/>
    <w:rsid w:val="00B55440"/>
    <w:rsid w:val="00B55481"/>
    <w:rsid w:val="00B55516"/>
    <w:rsid w:val="00B559E8"/>
    <w:rsid w:val="00B55ADA"/>
    <w:rsid w:val="00B55C13"/>
    <w:rsid w:val="00B55C40"/>
    <w:rsid w:val="00B55E19"/>
    <w:rsid w:val="00B55E1D"/>
    <w:rsid w:val="00B55FC1"/>
    <w:rsid w:val="00B561B2"/>
    <w:rsid w:val="00B562A3"/>
    <w:rsid w:val="00B56420"/>
    <w:rsid w:val="00B5647C"/>
    <w:rsid w:val="00B565B5"/>
    <w:rsid w:val="00B565D2"/>
    <w:rsid w:val="00B566F4"/>
    <w:rsid w:val="00B56B10"/>
    <w:rsid w:val="00B56C12"/>
    <w:rsid w:val="00B56C1A"/>
    <w:rsid w:val="00B56C51"/>
    <w:rsid w:val="00B56D8B"/>
    <w:rsid w:val="00B5709B"/>
    <w:rsid w:val="00B57577"/>
    <w:rsid w:val="00B575EF"/>
    <w:rsid w:val="00B57928"/>
    <w:rsid w:val="00B57BBE"/>
    <w:rsid w:val="00B57BD3"/>
    <w:rsid w:val="00B57D7A"/>
    <w:rsid w:val="00B57E6C"/>
    <w:rsid w:val="00B601C0"/>
    <w:rsid w:val="00B60376"/>
    <w:rsid w:val="00B603F3"/>
    <w:rsid w:val="00B60426"/>
    <w:rsid w:val="00B6045E"/>
    <w:rsid w:val="00B607B2"/>
    <w:rsid w:val="00B60852"/>
    <w:rsid w:val="00B608E2"/>
    <w:rsid w:val="00B60BC1"/>
    <w:rsid w:val="00B60D4E"/>
    <w:rsid w:val="00B60DB8"/>
    <w:rsid w:val="00B60FE4"/>
    <w:rsid w:val="00B6116E"/>
    <w:rsid w:val="00B61290"/>
    <w:rsid w:val="00B613E5"/>
    <w:rsid w:val="00B61754"/>
    <w:rsid w:val="00B617A8"/>
    <w:rsid w:val="00B61C52"/>
    <w:rsid w:val="00B61CD0"/>
    <w:rsid w:val="00B61F37"/>
    <w:rsid w:val="00B62061"/>
    <w:rsid w:val="00B6230D"/>
    <w:rsid w:val="00B6265C"/>
    <w:rsid w:val="00B62738"/>
    <w:rsid w:val="00B62770"/>
    <w:rsid w:val="00B62A7B"/>
    <w:rsid w:val="00B62B10"/>
    <w:rsid w:val="00B62ED3"/>
    <w:rsid w:val="00B6329B"/>
    <w:rsid w:val="00B63319"/>
    <w:rsid w:val="00B633A4"/>
    <w:rsid w:val="00B63AA8"/>
    <w:rsid w:val="00B63D30"/>
    <w:rsid w:val="00B63E18"/>
    <w:rsid w:val="00B64085"/>
    <w:rsid w:val="00B64180"/>
    <w:rsid w:val="00B641DF"/>
    <w:rsid w:val="00B646A3"/>
    <w:rsid w:val="00B6495B"/>
    <w:rsid w:val="00B64A3C"/>
    <w:rsid w:val="00B64AED"/>
    <w:rsid w:val="00B64BB9"/>
    <w:rsid w:val="00B64C94"/>
    <w:rsid w:val="00B64CD8"/>
    <w:rsid w:val="00B64D2B"/>
    <w:rsid w:val="00B64DB7"/>
    <w:rsid w:val="00B64E85"/>
    <w:rsid w:val="00B64EE2"/>
    <w:rsid w:val="00B6519A"/>
    <w:rsid w:val="00B652F7"/>
    <w:rsid w:val="00B65800"/>
    <w:rsid w:val="00B65A19"/>
    <w:rsid w:val="00B65BAE"/>
    <w:rsid w:val="00B65CB3"/>
    <w:rsid w:val="00B65D44"/>
    <w:rsid w:val="00B65FB0"/>
    <w:rsid w:val="00B6617C"/>
    <w:rsid w:val="00B6692B"/>
    <w:rsid w:val="00B66B01"/>
    <w:rsid w:val="00B66C8C"/>
    <w:rsid w:val="00B66F0C"/>
    <w:rsid w:val="00B670FF"/>
    <w:rsid w:val="00B6712B"/>
    <w:rsid w:val="00B671CD"/>
    <w:rsid w:val="00B67232"/>
    <w:rsid w:val="00B67396"/>
    <w:rsid w:val="00B67540"/>
    <w:rsid w:val="00B67725"/>
    <w:rsid w:val="00B67904"/>
    <w:rsid w:val="00B67A49"/>
    <w:rsid w:val="00B67BB7"/>
    <w:rsid w:val="00B67CAC"/>
    <w:rsid w:val="00B67D64"/>
    <w:rsid w:val="00B67E9A"/>
    <w:rsid w:val="00B67F3A"/>
    <w:rsid w:val="00B700C2"/>
    <w:rsid w:val="00B702BA"/>
    <w:rsid w:val="00B702D5"/>
    <w:rsid w:val="00B707CB"/>
    <w:rsid w:val="00B70815"/>
    <w:rsid w:val="00B7083E"/>
    <w:rsid w:val="00B70A9B"/>
    <w:rsid w:val="00B70C56"/>
    <w:rsid w:val="00B70C9A"/>
    <w:rsid w:val="00B70D67"/>
    <w:rsid w:val="00B70EC5"/>
    <w:rsid w:val="00B70F7A"/>
    <w:rsid w:val="00B710A8"/>
    <w:rsid w:val="00B716C7"/>
    <w:rsid w:val="00B71844"/>
    <w:rsid w:val="00B71C6C"/>
    <w:rsid w:val="00B72014"/>
    <w:rsid w:val="00B72142"/>
    <w:rsid w:val="00B72262"/>
    <w:rsid w:val="00B7238D"/>
    <w:rsid w:val="00B72518"/>
    <w:rsid w:val="00B72545"/>
    <w:rsid w:val="00B7258B"/>
    <w:rsid w:val="00B72896"/>
    <w:rsid w:val="00B72A58"/>
    <w:rsid w:val="00B72AC4"/>
    <w:rsid w:val="00B72D6C"/>
    <w:rsid w:val="00B72D81"/>
    <w:rsid w:val="00B72E24"/>
    <w:rsid w:val="00B730C2"/>
    <w:rsid w:val="00B730E5"/>
    <w:rsid w:val="00B7321F"/>
    <w:rsid w:val="00B732C0"/>
    <w:rsid w:val="00B735AE"/>
    <w:rsid w:val="00B738D3"/>
    <w:rsid w:val="00B73FF6"/>
    <w:rsid w:val="00B740E0"/>
    <w:rsid w:val="00B74656"/>
    <w:rsid w:val="00B747CB"/>
    <w:rsid w:val="00B74A67"/>
    <w:rsid w:val="00B74C5D"/>
    <w:rsid w:val="00B74EA6"/>
    <w:rsid w:val="00B74EC2"/>
    <w:rsid w:val="00B750B7"/>
    <w:rsid w:val="00B751D6"/>
    <w:rsid w:val="00B752EF"/>
    <w:rsid w:val="00B755C1"/>
    <w:rsid w:val="00B758C2"/>
    <w:rsid w:val="00B759DC"/>
    <w:rsid w:val="00B75B2A"/>
    <w:rsid w:val="00B75B47"/>
    <w:rsid w:val="00B75C8D"/>
    <w:rsid w:val="00B75E5C"/>
    <w:rsid w:val="00B75EF0"/>
    <w:rsid w:val="00B75FFB"/>
    <w:rsid w:val="00B76095"/>
    <w:rsid w:val="00B762AD"/>
    <w:rsid w:val="00B763D2"/>
    <w:rsid w:val="00B764DE"/>
    <w:rsid w:val="00B76650"/>
    <w:rsid w:val="00B7688E"/>
    <w:rsid w:val="00B76A8B"/>
    <w:rsid w:val="00B77209"/>
    <w:rsid w:val="00B77365"/>
    <w:rsid w:val="00B775D6"/>
    <w:rsid w:val="00B77673"/>
    <w:rsid w:val="00B776A2"/>
    <w:rsid w:val="00B7791F"/>
    <w:rsid w:val="00B77A84"/>
    <w:rsid w:val="00B77B0A"/>
    <w:rsid w:val="00B77B18"/>
    <w:rsid w:val="00B77C4E"/>
    <w:rsid w:val="00B77FFD"/>
    <w:rsid w:val="00B8027F"/>
    <w:rsid w:val="00B8074B"/>
    <w:rsid w:val="00B809FA"/>
    <w:rsid w:val="00B80AF4"/>
    <w:rsid w:val="00B80BD6"/>
    <w:rsid w:val="00B8111F"/>
    <w:rsid w:val="00B81497"/>
    <w:rsid w:val="00B81597"/>
    <w:rsid w:val="00B81A03"/>
    <w:rsid w:val="00B82331"/>
    <w:rsid w:val="00B8274B"/>
    <w:rsid w:val="00B82F5B"/>
    <w:rsid w:val="00B82FDA"/>
    <w:rsid w:val="00B8312F"/>
    <w:rsid w:val="00B83141"/>
    <w:rsid w:val="00B83169"/>
    <w:rsid w:val="00B83443"/>
    <w:rsid w:val="00B834AC"/>
    <w:rsid w:val="00B835A5"/>
    <w:rsid w:val="00B83661"/>
    <w:rsid w:val="00B83B60"/>
    <w:rsid w:val="00B83B81"/>
    <w:rsid w:val="00B83E35"/>
    <w:rsid w:val="00B83F22"/>
    <w:rsid w:val="00B84153"/>
    <w:rsid w:val="00B84411"/>
    <w:rsid w:val="00B846AC"/>
    <w:rsid w:val="00B84B91"/>
    <w:rsid w:val="00B84C65"/>
    <w:rsid w:val="00B85B93"/>
    <w:rsid w:val="00B85C35"/>
    <w:rsid w:val="00B85E98"/>
    <w:rsid w:val="00B85FA4"/>
    <w:rsid w:val="00B860BA"/>
    <w:rsid w:val="00B8625C"/>
    <w:rsid w:val="00B863B3"/>
    <w:rsid w:val="00B864EF"/>
    <w:rsid w:val="00B86834"/>
    <w:rsid w:val="00B86982"/>
    <w:rsid w:val="00B86C14"/>
    <w:rsid w:val="00B87109"/>
    <w:rsid w:val="00B871DF"/>
    <w:rsid w:val="00B87364"/>
    <w:rsid w:val="00B876F7"/>
    <w:rsid w:val="00B87701"/>
    <w:rsid w:val="00B8798F"/>
    <w:rsid w:val="00B879F0"/>
    <w:rsid w:val="00B87A93"/>
    <w:rsid w:val="00B87B70"/>
    <w:rsid w:val="00B87D66"/>
    <w:rsid w:val="00B905B3"/>
    <w:rsid w:val="00B905EC"/>
    <w:rsid w:val="00B90690"/>
    <w:rsid w:val="00B90945"/>
    <w:rsid w:val="00B90BDE"/>
    <w:rsid w:val="00B90DCC"/>
    <w:rsid w:val="00B9122D"/>
    <w:rsid w:val="00B91291"/>
    <w:rsid w:val="00B912D6"/>
    <w:rsid w:val="00B9148D"/>
    <w:rsid w:val="00B91598"/>
    <w:rsid w:val="00B915EB"/>
    <w:rsid w:val="00B91618"/>
    <w:rsid w:val="00B91971"/>
    <w:rsid w:val="00B91CFA"/>
    <w:rsid w:val="00B91D97"/>
    <w:rsid w:val="00B91F38"/>
    <w:rsid w:val="00B92195"/>
    <w:rsid w:val="00B92330"/>
    <w:rsid w:val="00B923A0"/>
    <w:rsid w:val="00B924AF"/>
    <w:rsid w:val="00B927AF"/>
    <w:rsid w:val="00B92C58"/>
    <w:rsid w:val="00B92DC5"/>
    <w:rsid w:val="00B92DCE"/>
    <w:rsid w:val="00B930A4"/>
    <w:rsid w:val="00B937EB"/>
    <w:rsid w:val="00B93E80"/>
    <w:rsid w:val="00B93F16"/>
    <w:rsid w:val="00B93FDF"/>
    <w:rsid w:val="00B94115"/>
    <w:rsid w:val="00B941F9"/>
    <w:rsid w:val="00B947F6"/>
    <w:rsid w:val="00B94946"/>
    <w:rsid w:val="00B94A0C"/>
    <w:rsid w:val="00B94F19"/>
    <w:rsid w:val="00B950ED"/>
    <w:rsid w:val="00B95161"/>
    <w:rsid w:val="00B952DF"/>
    <w:rsid w:val="00B95551"/>
    <w:rsid w:val="00B95603"/>
    <w:rsid w:val="00B956A9"/>
    <w:rsid w:val="00B958DB"/>
    <w:rsid w:val="00B95915"/>
    <w:rsid w:val="00B95969"/>
    <w:rsid w:val="00B95AFB"/>
    <w:rsid w:val="00B960AB"/>
    <w:rsid w:val="00B96166"/>
    <w:rsid w:val="00B96343"/>
    <w:rsid w:val="00B9650E"/>
    <w:rsid w:val="00B9670A"/>
    <w:rsid w:val="00B96C1A"/>
    <w:rsid w:val="00B96C6A"/>
    <w:rsid w:val="00B97396"/>
    <w:rsid w:val="00B973AF"/>
    <w:rsid w:val="00B9761E"/>
    <w:rsid w:val="00B977BF"/>
    <w:rsid w:val="00B97864"/>
    <w:rsid w:val="00B9789E"/>
    <w:rsid w:val="00B97E6B"/>
    <w:rsid w:val="00BA026D"/>
    <w:rsid w:val="00BA0930"/>
    <w:rsid w:val="00BA0D9A"/>
    <w:rsid w:val="00BA100C"/>
    <w:rsid w:val="00BA11DD"/>
    <w:rsid w:val="00BA1520"/>
    <w:rsid w:val="00BA182A"/>
    <w:rsid w:val="00BA1860"/>
    <w:rsid w:val="00BA1C16"/>
    <w:rsid w:val="00BA1D85"/>
    <w:rsid w:val="00BA1F3E"/>
    <w:rsid w:val="00BA207D"/>
    <w:rsid w:val="00BA2698"/>
    <w:rsid w:val="00BA2934"/>
    <w:rsid w:val="00BA2A06"/>
    <w:rsid w:val="00BA2C92"/>
    <w:rsid w:val="00BA2F5D"/>
    <w:rsid w:val="00BA320E"/>
    <w:rsid w:val="00BA34C1"/>
    <w:rsid w:val="00BA3654"/>
    <w:rsid w:val="00BA3692"/>
    <w:rsid w:val="00BA3835"/>
    <w:rsid w:val="00BA38BC"/>
    <w:rsid w:val="00BA38D4"/>
    <w:rsid w:val="00BA3E24"/>
    <w:rsid w:val="00BA3E7F"/>
    <w:rsid w:val="00BA3F0A"/>
    <w:rsid w:val="00BA3FA5"/>
    <w:rsid w:val="00BA41E3"/>
    <w:rsid w:val="00BA4346"/>
    <w:rsid w:val="00BA43F6"/>
    <w:rsid w:val="00BA46D0"/>
    <w:rsid w:val="00BA4B55"/>
    <w:rsid w:val="00BA4C56"/>
    <w:rsid w:val="00BA4D3C"/>
    <w:rsid w:val="00BA5211"/>
    <w:rsid w:val="00BA540C"/>
    <w:rsid w:val="00BA5444"/>
    <w:rsid w:val="00BA5880"/>
    <w:rsid w:val="00BA596D"/>
    <w:rsid w:val="00BA5BF6"/>
    <w:rsid w:val="00BA648D"/>
    <w:rsid w:val="00BA64B7"/>
    <w:rsid w:val="00BA64FD"/>
    <w:rsid w:val="00BA6507"/>
    <w:rsid w:val="00BA6E10"/>
    <w:rsid w:val="00BA7294"/>
    <w:rsid w:val="00BA75CC"/>
    <w:rsid w:val="00BA75EA"/>
    <w:rsid w:val="00BA766A"/>
    <w:rsid w:val="00BA7C7C"/>
    <w:rsid w:val="00BA7CC5"/>
    <w:rsid w:val="00BA7D07"/>
    <w:rsid w:val="00BB0239"/>
    <w:rsid w:val="00BB035C"/>
    <w:rsid w:val="00BB0721"/>
    <w:rsid w:val="00BB0BE3"/>
    <w:rsid w:val="00BB0C1F"/>
    <w:rsid w:val="00BB0DF9"/>
    <w:rsid w:val="00BB0E4C"/>
    <w:rsid w:val="00BB0F58"/>
    <w:rsid w:val="00BB1194"/>
    <w:rsid w:val="00BB1270"/>
    <w:rsid w:val="00BB12D3"/>
    <w:rsid w:val="00BB1333"/>
    <w:rsid w:val="00BB14FC"/>
    <w:rsid w:val="00BB1957"/>
    <w:rsid w:val="00BB1ACD"/>
    <w:rsid w:val="00BB1D7B"/>
    <w:rsid w:val="00BB1D9F"/>
    <w:rsid w:val="00BB1E6D"/>
    <w:rsid w:val="00BB2182"/>
    <w:rsid w:val="00BB24A1"/>
    <w:rsid w:val="00BB24DF"/>
    <w:rsid w:val="00BB25EC"/>
    <w:rsid w:val="00BB28D1"/>
    <w:rsid w:val="00BB2E38"/>
    <w:rsid w:val="00BB316F"/>
    <w:rsid w:val="00BB318E"/>
    <w:rsid w:val="00BB3553"/>
    <w:rsid w:val="00BB3838"/>
    <w:rsid w:val="00BB39B5"/>
    <w:rsid w:val="00BB3DBD"/>
    <w:rsid w:val="00BB3E43"/>
    <w:rsid w:val="00BB4403"/>
    <w:rsid w:val="00BB458A"/>
    <w:rsid w:val="00BB4742"/>
    <w:rsid w:val="00BB47B7"/>
    <w:rsid w:val="00BB496A"/>
    <w:rsid w:val="00BB4B41"/>
    <w:rsid w:val="00BB4B5B"/>
    <w:rsid w:val="00BB4BA1"/>
    <w:rsid w:val="00BB4E1A"/>
    <w:rsid w:val="00BB4E5A"/>
    <w:rsid w:val="00BB4EAE"/>
    <w:rsid w:val="00BB50E0"/>
    <w:rsid w:val="00BB51A8"/>
    <w:rsid w:val="00BB52A4"/>
    <w:rsid w:val="00BB5736"/>
    <w:rsid w:val="00BB5A85"/>
    <w:rsid w:val="00BB5CFC"/>
    <w:rsid w:val="00BB5DF7"/>
    <w:rsid w:val="00BB5FEF"/>
    <w:rsid w:val="00BB6165"/>
    <w:rsid w:val="00BB6605"/>
    <w:rsid w:val="00BB6750"/>
    <w:rsid w:val="00BB68E9"/>
    <w:rsid w:val="00BB6940"/>
    <w:rsid w:val="00BB6D03"/>
    <w:rsid w:val="00BB6F70"/>
    <w:rsid w:val="00BB70B0"/>
    <w:rsid w:val="00BB7362"/>
    <w:rsid w:val="00BB73AF"/>
    <w:rsid w:val="00BB7599"/>
    <w:rsid w:val="00BB75A0"/>
    <w:rsid w:val="00BB75C1"/>
    <w:rsid w:val="00BB7635"/>
    <w:rsid w:val="00BB7A3D"/>
    <w:rsid w:val="00BC01C4"/>
    <w:rsid w:val="00BC0398"/>
    <w:rsid w:val="00BC042A"/>
    <w:rsid w:val="00BC044A"/>
    <w:rsid w:val="00BC04E3"/>
    <w:rsid w:val="00BC055F"/>
    <w:rsid w:val="00BC0704"/>
    <w:rsid w:val="00BC0976"/>
    <w:rsid w:val="00BC0ABC"/>
    <w:rsid w:val="00BC0C74"/>
    <w:rsid w:val="00BC17A0"/>
    <w:rsid w:val="00BC18B7"/>
    <w:rsid w:val="00BC1AE8"/>
    <w:rsid w:val="00BC1D44"/>
    <w:rsid w:val="00BC1E02"/>
    <w:rsid w:val="00BC2081"/>
    <w:rsid w:val="00BC2423"/>
    <w:rsid w:val="00BC25FE"/>
    <w:rsid w:val="00BC28D9"/>
    <w:rsid w:val="00BC297B"/>
    <w:rsid w:val="00BC2B9E"/>
    <w:rsid w:val="00BC2E7B"/>
    <w:rsid w:val="00BC2EDD"/>
    <w:rsid w:val="00BC2F10"/>
    <w:rsid w:val="00BC311C"/>
    <w:rsid w:val="00BC3234"/>
    <w:rsid w:val="00BC3499"/>
    <w:rsid w:val="00BC34B9"/>
    <w:rsid w:val="00BC3719"/>
    <w:rsid w:val="00BC3911"/>
    <w:rsid w:val="00BC3AC1"/>
    <w:rsid w:val="00BC3BAB"/>
    <w:rsid w:val="00BC3C52"/>
    <w:rsid w:val="00BC3CC5"/>
    <w:rsid w:val="00BC3CE4"/>
    <w:rsid w:val="00BC3EA6"/>
    <w:rsid w:val="00BC3F02"/>
    <w:rsid w:val="00BC4212"/>
    <w:rsid w:val="00BC43C8"/>
    <w:rsid w:val="00BC4E28"/>
    <w:rsid w:val="00BC4E3A"/>
    <w:rsid w:val="00BC50B9"/>
    <w:rsid w:val="00BC5162"/>
    <w:rsid w:val="00BC5330"/>
    <w:rsid w:val="00BC549F"/>
    <w:rsid w:val="00BC55FB"/>
    <w:rsid w:val="00BC576D"/>
    <w:rsid w:val="00BC5A60"/>
    <w:rsid w:val="00BC5A6E"/>
    <w:rsid w:val="00BC5AC1"/>
    <w:rsid w:val="00BC5AE9"/>
    <w:rsid w:val="00BC5F95"/>
    <w:rsid w:val="00BC6131"/>
    <w:rsid w:val="00BC6255"/>
    <w:rsid w:val="00BC62D3"/>
    <w:rsid w:val="00BC640C"/>
    <w:rsid w:val="00BC65F7"/>
    <w:rsid w:val="00BC6C49"/>
    <w:rsid w:val="00BC6ED5"/>
    <w:rsid w:val="00BC7222"/>
    <w:rsid w:val="00BC7450"/>
    <w:rsid w:val="00BC7648"/>
    <w:rsid w:val="00BC7904"/>
    <w:rsid w:val="00BC7B70"/>
    <w:rsid w:val="00BC7CF3"/>
    <w:rsid w:val="00BC7FE0"/>
    <w:rsid w:val="00BD0117"/>
    <w:rsid w:val="00BD024D"/>
    <w:rsid w:val="00BD033A"/>
    <w:rsid w:val="00BD0560"/>
    <w:rsid w:val="00BD064A"/>
    <w:rsid w:val="00BD0684"/>
    <w:rsid w:val="00BD0F46"/>
    <w:rsid w:val="00BD1403"/>
    <w:rsid w:val="00BD14F0"/>
    <w:rsid w:val="00BD15AD"/>
    <w:rsid w:val="00BD1601"/>
    <w:rsid w:val="00BD1643"/>
    <w:rsid w:val="00BD171E"/>
    <w:rsid w:val="00BD1732"/>
    <w:rsid w:val="00BD1869"/>
    <w:rsid w:val="00BD1ADE"/>
    <w:rsid w:val="00BD1AFF"/>
    <w:rsid w:val="00BD1C48"/>
    <w:rsid w:val="00BD1CA2"/>
    <w:rsid w:val="00BD1E97"/>
    <w:rsid w:val="00BD1E9E"/>
    <w:rsid w:val="00BD2198"/>
    <w:rsid w:val="00BD224F"/>
    <w:rsid w:val="00BD229E"/>
    <w:rsid w:val="00BD2618"/>
    <w:rsid w:val="00BD26B8"/>
    <w:rsid w:val="00BD2709"/>
    <w:rsid w:val="00BD2773"/>
    <w:rsid w:val="00BD2807"/>
    <w:rsid w:val="00BD2AB1"/>
    <w:rsid w:val="00BD2B80"/>
    <w:rsid w:val="00BD3011"/>
    <w:rsid w:val="00BD39D1"/>
    <w:rsid w:val="00BD3A58"/>
    <w:rsid w:val="00BD3C0E"/>
    <w:rsid w:val="00BD3EE3"/>
    <w:rsid w:val="00BD3F17"/>
    <w:rsid w:val="00BD4156"/>
    <w:rsid w:val="00BD421A"/>
    <w:rsid w:val="00BD46EE"/>
    <w:rsid w:val="00BD475A"/>
    <w:rsid w:val="00BD47A7"/>
    <w:rsid w:val="00BD4A0D"/>
    <w:rsid w:val="00BD4B76"/>
    <w:rsid w:val="00BD4BD8"/>
    <w:rsid w:val="00BD4BF2"/>
    <w:rsid w:val="00BD4F45"/>
    <w:rsid w:val="00BD4F47"/>
    <w:rsid w:val="00BD53A7"/>
    <w:rsid w:val="00BD554B"/>
    <w:rsid w:val="00BD5962"/>
    <w:rsid w:val="00BD5980"/>
    <w:rsid w:val="00BD5E56"/>
    <w:rsid w:val="00BD608B"/>
    <w:rsid w:val="00BD60DC"/>
    <w:rsid w:val="00BD661D"/>
    <w:rsid w:val="00BD666E"/>
    <w:rsid w:val="00BD68EE"/>
    <w:rsid w:val="00BD6929"/>
    <w:rsid w:val="00BD6939"/>
    <w:rsid w:val="00BD6A29"/>
    <w:rsid w:val="00BD6C32"/>
    <w:rsid w:val="00BD6D56"/>
    <w:rsid w:val="00BD6DD3"/>
    <w:rsid w:val="00BD7130"/>
    <w:rsid w:val="00BD747A"/>
    <w:rsid w:val="00BD7608"/>
    <w:rsid w:val="00BD7623"/>
    <w:rsid w:val="00BD7651"/>
    <w:rsid w:val="00BD79F4"/>
    <w:rsid w:val="00BD7CDB"/>
    <w:rsid w:val="00BD7EA5"/>
    <w:rsid w:val="00BD7EC9"/>
    <w:rsid w:val="00BD7F98"/>
    <w:rsid w:val="00BE0065"/>
    <w:rsid w:val="00BE006F"/>
    <w:rsid w:val="00BE04DB"/>
    <w:rsid w:val="00BE058F"/>
    <w:rsid w:val="00BE07CF"/>
    <w:rsid w:val="00BE091A"/>
    <w:rsid w:val="00BE0B94"/>
    <w:rsid w:val="00BE0CE6"/>
    <w:rsid w:val="00BE1010"/>
    <w:rsid w:val="00BE10CE"/>
    <w:rsid w:val="00BE1134"/>
    <w:rsid w:val="00BE143B"/>
    <w:rsid w:val="00BE160D"/>
    <w:rsid w:val="00BE1B23"/>
    <w:rsid w:val="00BE1B8D"/>
    <w:rsid w:val="00BE20FE"/>
    <w:rsid w:val="00BE21A6"/>
    <w:rsid w:val="00BE229F"/>
    <w:rsid w:val="00BE24E3"/>
    <w:rsid w:val="00BE2528"/>
    <w:rsid w:val="00BE258E"/>
    <w:rsid w:val="00BE2A6B"/>
    <w:rsid w:val="00BE2F01"/>
    <w:rsid w:val="00BE307E"/>
    <w:rsid w:val="00BE315A"/>
    <w:rsid w:val="00BE3216"/>
    <w:rsid w:val="00BE3B88"/>
    <w:rsid w:val="00BE3CE5"/>
    <w:rsid w:val="00BE3CF2"/>
    <w:rsid w:val="00BE3CFD"/>
    <w:rsid w:val="00BE4347"/>
    <w:rsid w:val="00BE480C"/>
    <w:rsid w:val="00BE4945"/>
    <w:rsid w:val="00BE4AF4"/>
    <w:rsid w:val="00BE4E70"/>
    <w:rsid w:val="00BE5400"/>
    <w:rsid w:val="00BE5452"/>
    <w:rsid w:val="00BE58F6"/>
    <w:rsid w:val="00BE5986"/>
    <w:rsid w:val="00BE5EBE"/>
    <w:rsid w:val="00BE638E"/>
    <w:rsid w:val="00BE63AF"/>
    <w:rsid w:val="00BE64A7"/>
    <w:rsid w:val="00BE668A"/>
    <w:rsid w:val="00BE66F0"/>
    <w:rsid w:val="00BE671B"/>
    <w:rsid w:val="00BE68A1"/>
    <w:rsid w:val="00BE6AF4"/>
    <w:rsid w:val="00BE6BF2"/>
    <w:rsid w:val="00BE6E2F"/>
    <w:rsid w:val="00BE7010"/>
    <w:rsid w:val="00BE705A"/>
    <w:rsid w:val="00BE72EF"/>
    <w:rsid w:val="00BE7614"/>
    <w:rsid w:val="00BE796A"/>
    <w:rsid w:val="00BE7B02"/>
    <w:rsid w:val="00BF017B"/>
    <w:rsid w:val="00BF0287"/>
    <w:rsid w:val="00BF0321"/>
    <w:rsid w:val="00BF07D9"/>
    <w:rsid w:val="00BF092F"/>
    <w:rsid w:val="00BF0B5D"/>
    <w:rsid w:val="00BF0D7E"/>
    <w:rsid w:val="00BF0FAD"/>
    <w:rsid w:val="00BF1194"/>
    <w:rsid w:val="00BF11A1"/>
    <w:rsid w:val="00BF1227"/>
    <w:rsid w:val="00BF156D"/>
    <w:rsid w:val="00BF16B8"/>
    <w:rsid w:val="00BF17B8"/>
    <w:rsid w:val="00BF1D21"/>
    <w:rsid w:val="00BF2021"/>
    <w:rsid w:val="00BF204C"/>
    <w:rsid w:val="00BF204E"/>
    <w:rsid w:val="00BF22DB"/>
    <w:rsid w:val="00BF2416"/>
    <w:rsid w:val="00BF2496"/>
    <w:rsid w:val="00BF26EF"/>
    <w:rsid w:val="00BF271D"/>
    <w:rsid w:val="00BF2940"/>
    <w:rsid w:val="00BF296C"/>
    <w:rsid w:val="00BF29CA"/>
    <w:rsid w:val="00BF29F6"/>
    <w:rsid w:val="00BF2A48"/>
    <w:rsid w:val="00BF2AE6"/>
    <w:rsid w:val="00BF32A4"/>
    <w:rsid w:val="00BF32C2"/>
    <w:rsid w:val="00BF32EE"/>
    <w:rsid w:val="00BF34F7"/>
    <w:rsid w:val="00BF3640"/>
    <w:rsid w:val="00BF36AA"/>
    <w:rsid w:val="00BF37BA"/>
    <w:rsid w:val="00BF388F"/>
    <w:rsid w:val="00BF3969"/>
    <w:rsid w:val="00BF3A29"/>
    <w:rsid w:val="00BF3D88"/>
    <w:rsid w:val="00BF3DF8"/>
    <w:rsid w:val="00BF415E"/>
    <w:rsid w:val="00BF4205"/>
    <w:rsid w:val="00BF42E4"/>
    <w:rsid w:val="00BF42EC"/>
    <w:rsid w:val="00BF4971"/>
    <w:rsid w:val="00BF4FA7"/>
    <w:rsid w:val="00BF51CC"/>
    <w:rsid w:val="00BF527E"/>
    <w:rsid w:val="00BF5294"/>
    <w:rsid w:val="00BF5491"/>
    <w:rsid w:val="00BF54B0"/>
    <w:rsid w:val="00BF54F3"/>
    <w:rsid w:val="00BF5C87"/>
    <w:rsid w:val="00BF5D4A"/>
    <w:rsid w:val="00BF5D6A"/>
    <w:rsid w:val="00BF5D6B"/>
    <w:rsid w:val="00BF5FA5"/>
    <w:rsid w:val="00BF6027"/>
    <w:rsid w:val="00BF64B3"/>
    <w:rsid w:val="00BF67C6"/>
    <w:rsid w:val="00BF6A58"/>
    <w:rsid w:val="00BF6DE5"/>
    <w:rsid w:val="00BF705C"/>
    <w:rsid w:val="00BF7250"/>
    <w:rsid w:val="00BF7AC5"/>
    <w:rsid w:val="00C00081"/>
    <w:rsid w:val="00C00100"/>
    <w:rsid w:val="00C00283"/>
    <w:rsid w:val="00C00368"/>
    <w:rsid w:val="00C009DC"/>
    <w:rsid w:val="00C00B20"/>
    <w:rsid w:val="00C00DB4"/>
    <w:rsid w:val="00C00F6D"/>
    <w:rsid w:val="00C00F7F"/>
    <w:rsid w:val="00C010D0"/>
    <w:rsid w:val="00C0113D"/>
    <w:rsid w:val="00C011FE"/>
    <w:rsid w:val="00C0187E"/>
    <w:rsid w:val="00C0189C"/>
    <w:rsid w:val="00C019B2"/>
    <w:rsid w:val="00C019BE"/>
    <w:rsid w:val="00C01E49"/>
    <w:rsid w:val="00C01EC1"/>
    <w:rsid w:val="00C02350"/>
    <w:rsid w:val="00C026E7"/>
    <w:rsid w:val="00C02814"/>
    <w:rsid w:val="00C02AED"/>
    <w:rsid w:val="00C02B96"/>
    <w:rsid w:val="00C02D79"/>
    <w:rsid w:val="00C02E2D"/>
    <w:rsid w:val="00C03640"/>
    <w:rsid w:val="00C037CC"/>
    <w:rsid w:val="00C03B99"/>
    <w:rsid w:val="00C0406E"/>
    <w:rsid w:val="00C04A02"/>
    <w:rsid w:val="00C04D8F"/>
    <w:rsid w:val="00C0506D"/>
    <w:rsid w:val="00C0523D"/>
    <w:rsid w:val="00C05304"/>
    <w:rsid w:val="00C05458"/>
    <w:rsid w:val="00C05543"/>
    <w:rsid w:val="00C055D9"/>
    <w:rsid w:val="00C05828"/>
    <w:rsid w:val="00C05AF2"/>
    <w:rsid w:val="00C05B4C"/>
    <w:rsid w:val="00C05B90"/>
    <w:rsid w:val="00C05BB1"/>
    <w:rsid w:val="00C0602C"/>
    <w:rsid w:val="00C06233"/>
    <w:rsid w:val="00C06346"/>
    <w:rsid w:val="00C06592"/>
    <w:rsid w:val="00C065EF"/>
    <w:rsid w:val="00C067E9"/>
    <w:rsid w:val="00C06A60"/>
    <w:rsid w:val="00C06B4D"/>
    <w:rsid w:val="00C06EC1"/>
    <w:rsid w:val="00C07357"/>
    <w:rsid w:val="00C0782C"/>
    <w:rsid w:val="00C0786C"/>
    <w:rsid w:val="00C078DC"/>
    <w:rsid w:val="00C07941"/>
    <w:rsid w:val="00C07A00"/>
    <w:rsid w:val="00C07AED"/>
    <w:rsid w:val="00C07B56"/>
    <w:rsid w:val="00C07C1A"/>
    <w:rsid w:val="00C07C7E"/>
    <w:rsid w:val="00C10029"/>
    <w:rsid w:val="00C1006C"/>
    <w:rsid w:val="00C101F9"/>
    <w:rsid w:val="00C1032F"/>
    <w:rsid w:val="00C1039E"/>
    <w:rsid w:val="00C106D5"/>
    <w:rsid w:val="00C1073A"/>
    <w:rsid w:val="00C108A5"/>
    <w:rsid w:val="00C10A52"/>
    <w:rsid w:val="00C10BAA"/>
    <w:rsid w:val="00C10D9B"/>
    <w:rsid w:val="00C11145"/>
    <w:rsid w:val="00C11189"/>
    <w:rsid w:val="00C114DE"/>
    <w:rsid w:val="00C115F4"/>
    <w:rsid w:val="00C1161D"/>
    <w:rsid w:val="00C11FE6"/>
    <w:rsid w:val="00C121A8"/>
    <w:rsid w:val="00C12527"/>
    <w:rsid w:val="00C12583"/>
    <w:rsid w:val="00C1269F"/>
    <w:rsid w:val="00C1283F"/>
    <w:rsid w:val="00C12910"/>
    <w:rsid w:val="00C12AD6"/>
    <w:rsid w:val="00C12D6F"/>
    <w:rsid w:val="00C12F60"/>
    <w:rsid w:val="00C130AE"/>
    <w:rsid w:val="00C13197"/>
    <w:rsid w:val="00C13277"/>
    <w:rsid w:val="00C134A1"/>
    <w:rsid w:val="00C134C5"/>
    <w:rsid w:val="00C135A5"/>
    <w:rsid w:val="00C1368E"/>
    <w:rsid w:val="00C137FF"/>
    <w:rsid w:val="00C13A0C"/>
    <w:rsid w:val="00C13D2E"/>
    <w:rsid w:val="00C13DCE"/>
    <w:rsid w:val="00C142AD"/>
    <w:rsid w:val="00C1434C"/>
    <w:rsid w:val="00C14455"/>
    <w:rsid w:val="00C1475C"/>
    <w:rsid w:val="00C14EFE"/>
    <w:rsid w:val="00C14F1F"/>
    <w:rsid w:val="00C151C1"/>
    <w:rsid w:val="00C151F3"/>
    <w:rsid w:val="00C152D3"/>
    <w:rsid w:val="00C152EB"/>
    <w:rsid w:val="00C15335"/>
    <w:rsid w:val="00C1542C"/>
    <w:rsid w:val="00C15434"/>
    <w:rsid w:val="00C1548B"/>
    <w:rsid w:val="00C1595F"/>
    <w:rsid w:val="00C15A35"/>
    <w:rsid w:val="00C162D7"/>
    <w:rsid w:val="00C1647F"/>
    <w:rsid w:val="00C16637"/>
    <w:rsid w:val="00C16883"/>
    <w:rsid w:val="00C17185"/>
    <w:rsid w:val="00C17872"/>
    <w:rsid w:val="00C17AF0"/>
    <w:rsid w:val="00C17B6D"/>
    <w:rsid w:val="00C17B6E"/>
    <w:rsid w:val="00C17F0D"/>
    <w:rsid w:val="00C17F4F"/>
    <w:rsid w:val="00C17FFD"/>
    <w:rsid w:val="00C2002F"/>
    <w:rsid w:val="00C20063"/>
    <w:rsid w:val="00C20384"/>
    <w:rsid w:val="00C20711"/>
    <w:rsid w:val="00C20B62"/>
    <w:rsid w:val="00C20C01"/>
    <w:rsid w:val="00C21171"/>
    <w:rsid w:val="00C211DB"/>
    <w:rsid w:val="00C21246"/>
    <w:rsid w:val="00C21482"/>
    <w:rsid w:val="00C216B6"/>
    <w:rsid w:val="00C2179D"/>
    <w:rsid w:val="00C21A68"/>
    <w:rsid w:val="00C21F10"/>
    <w:rsid w:val="00C221BD"/>
    <w:rsid w:val="00C222C9"/>
    <w:rsid w:val="00C22A0F"/>
    <w:rsid w:val="00C22C83"/>
    <w:rsid w:val="00C22C85"/>
    <w:rsid w:val="00C22D02"/>
    <w:rsid w:val="00C230AC"/>
    <w:rsid w:val="00C232AA"/>
    <w:rsid w:val="00C232C3"/>
    <w:rsid w:val="00C23707"/>
    <w:rsid w:val="00C2376D"/>
    <w:rsid w:val="00C238E8"/>
    <w:rsid w:val="00C23B0A"/>
    <w:rsid w:val="00C23EA5"/>
    <w:rsid w:val="00C24044"/>
    <w:rsid w:val="00C24374"/>
    <w:rsid w:val="00C247C9"/>
    <w:rsid w:val="00C24817"/>
    <w:rsid w:val="00C249E7"/>
    <w:rsid w:val="00C24A17"/>
    <w:rsid w:val="00C24BF6"/>
    <w:rsid w:val="00C24BF9"/>
    <w:rsid w:val="00C24C90"/>
    <w:rsid w:val="00C24CDE"/>
    <w:rsid w:val="00C24F2D"/>
    <w:rsid w:val="00C25112"/>
    <w:rsid w:val="00C252E3"/>
    <w:rsid w:val="00C25448"/>
    <w:rsid w:val="00C25615"/>
    <w:rsid w:val="00C2565D"/>
    <w:rsid w:val="00C25728"/>
    <w:rsid w:val="00C25CE3"/>
    <w:rsid w:val="00C25EA4"/>
    <w:rsid w:val="00C26260"/>
    <w:rsid w:val="00C26432"/>
    <w:rsid w:val="00C2647A"/>
    <w:rsid w:val="00C264C2"/>
    <w:rsid w:val="00C2659E"/>
    <w:rsid w:val="00C26722"/>
    <w:rsid w:val="00C269D4"/>
    <w:rsid w:val="00C26AB7"/>
    <w:rsid w:val="00C26CA5"/>
    <w:rsid w:val="00C271CE"/>
    <w:rsid w:val="00C27388"/>
    <w:rsid w:val="00C276EF"/>
    <w:rsid w:val="00C27780"/>
    <w:rsid w:val="00C27804"/>
    <w:rsid w:val="00C27836"/>
    <w:rsid w:val="00C27B1F"/>
    <w:rsid w:val="00C27B25"/>
    <w:rsid w:val="00C300CC"/>
    <w:rsid w:val="00C3042F"/>
    <w:rsid w:val="00C306C5"/>
    <w:rsid w:val="00C3078A"/>
    <w:rsid w:val="00C307E5"/>
    <w:rsid w:val="00C30817"/>
    <w:rsid w:val="00C30CD8"/>
    <w:rsid w:val="00C30EA5"/>
    <w:rsid w:val="00C31136"/>
    <w:rsid w:val="00C3138E"/>
    <w:rsid w:val="00C31692"/>
    <w:rsid w:val="00C3170A"/>
    <w:rsid w:val="00C3174E"/>
    <w:rsid w:val="00C31812"/>
    <w:rsid w:val="00C31B65"/>
    <w:rsid w:val="00C31CBC"/>
    <w:rsid w:val="00C31CD1"/>
    <w:rsid w:val="00C3200C"/>
    <w:rsid w:val="00C322AA"/>
    <w:rsid w:val="00C3234D"/>
    <w:rsid w:val="00C325BA"/>
    <w:rsid w:val="00C326B6"/>
    <w:rsid w:val="00C327B5"/>
    <w:rsid w:val="00C32A6D"/>
    <w:rsid w:val="00C32E81"/>
    <w:rsid w:val="00C3352E"/>
    <w:rsid w:val="00C3383A"/>
    <w:rsid w:val="00C3393E"/>
    <w:rsid w:val="00C33A91"/>
    <w:rsid w:val="00C33E41"/>
    <w:rsid w:val="00C3419C"/>
    <w:rsid w:val="00C34321"/>
    <w:rsid w:val="00C3445E"/>
    <w:rsid w:val="00C3447A"/>
    <w:rsid w:val="00C34653"/>
    <w:rsid w:val="00C346E3"/>
    <w:rsid w:val="00C34870"/>
    <w:rsid w:val="00C34886"/>
    <w:rsid w:val="00C34F9C"/>
    <w:rsid w:val="00C3519F"/>
    <w:rsid w:val="00C352AE"/>
    <w:rsid w:val="00C3534B"/>
    <w:rsid w:val="00C3542F"/>
    <w:rsid w:val="00C3566C"/>
    <w:rsid w:val="00C35739"/>
    <w:rsid w:val="00C35836"/>
    <w:rsid w:val="00C35A5E"/>
    <w:rsid w:val="00C35B94"/>
    <w:rsid w:val="00C35CFE"/>
    <w:rsid w:val="00C35FCF"/>
    <w:rsid w:val="00C3626B"/>
    <w:rsid w:val="00C36352"/>
    <w:rsid w:val="00C368EE"/>
    <w:rsid w:val="00C36A11"/>
    <w:rsid w:val="00C36A5B"/>
    <w:rsid w:val="00C36AF1"/>
    <w:rsid w:val="00C36CC9"/>
    <w:rsid w:val="00C36CF8"/>
    <w:rsid w:val="00C36D60"/>
    <w:rsid w:val="00C36EF7"/>
    <w:rsid w:val="00C370BC"/>
    <w:rsid w:val="00C3742D"/>
    <w:rsid w:val="00C374E2"/>
    <w:rsid w:val="00C37645"/>
    <w:rsid w:val="00C37775"/>
    <w:rsid w:val="00C3777A"/>
    <w:rsid w:val="00C37A6A"/>
    <w:rsid w:val="00C37F21"/>
    <w:rsid w:val="00C37F9F"/>
    <w:rsid w:val="00C400DB"/>
    <w:rsid w:val="00C400E0"/>
    <w:rsid w:val="00C407D4"/>
    <w:rsid w:val="00C409B6"/>
    <w:rsid w:val="00C41168"/>
    <w:rsid w:val="00C41205"/>
    <w:rsid w:val="00C4168A"/>
    <w:rsid w:val="00C418D1"/>
    <w:rsid w:val="00C41A05"/>
    <w:rsid w:val="00C41A97"/>
    <w:rsid w:val="00C41B3C"/>
    <w:rsid w:val="00C41BAD"/>
    <w:rsid w:val="00C41F25"/>
    <w:rsid w:val="00C41FD1"/>
    <w:rsid w:val="00C4229B"/>
    <w:rsid w:val="00C42393"/>
    <w:rsid w:val="00C42484"/>
    <w:rsid w:val="00C424A3"/>
    <w:rsid w:val="00C424B8"/>
    <w:rsid w:val="00C42595"/>
    <w:rsid w:val="00C425BE"/>
    <w:rsid w:val="00C425D7"/>
    <w:rsid w:val="00C426C9"/>
    <w:rsid w:val="00C42717"/>
    <w:rsid w:val="00C42A91"/>
    <w:rsid w:val="00C42AFB"/>
    <w:rsid w:val="00C42C29"/>
    <w:rsid w:val="00C42E3B"/>
    <w:rsid w:val="00C42F1A"/>
    <w:rsid w:val="00C4307C"/>
    <w:rsid w:val="00C4330B"/>
    <w:rsid w:val="00C433B4"/>
    <w:rsid w:val="00C4369E"/>
    <w:rsid w:val="00C4381B"/>
    <w:rsid w:val="00C43D68"/>
    <w:rsid w:val="00C44397"/>
    <w:rsid w:val="00C446B0"/>
    <w:rsid w:val="00C446FD"/>
    <w:rsid w:val="00C44994"/>
    <w:rsid w:val="00C44A66"/>
    <w:rsid w:val="00C44B94"/>
    <w:rsid w:val="00C44DD3"/>
    <w:rsid w:val="00C44F6E"/>
    <w:rsid w:val="00C451EA"/>
    <w:rsid w:val="00C45218"/>
    <w:rsid w:val="00C453F6"/>
    <w:rsid w:val="00C4568E"/>
    <w:rsid w:val="00C45998"/>
    <w:rsid w:val="00C459FF"/>
    <w:rsid w:val="00C45A75"/>
    <w:rsid w:val="00C45B8D"/>
    <w:rsid w:val="00C45C8F"/>
    <w:rsid w:val="00C45CAE"/>
    <w:rsid w:val="00C45EF1"/>
    <w:rsid w:val="00C46191"/>
    <w:rsid w:val="00C4621D"/>
    <w:rsid w:val="00C4622D"/>
    <w:rsid w:val="00C4640F"/>
    <w:rsid w:val="00C46530"/>
    <w:rsid w:val="00C4659D"/>
    <w:rsid w:val="00C467E0"/>
    <w:rsid w:val="00C46CB2"/>
    <w:rsid w:val="00C46D33"/>
    <w:rsid w:val="00C46E6C"/>
    <w:rsid w:val="00C47050"/>
    <w:rsid w:val="00C470CB"/>
    <w:rsid w:val="00C470D5"/>
    <w:rsid w:val="00C47113"/>
    <w:rsid w:val="00C47237"/>
    <w:rsid w:val="00C47238"/>
    <w:rsid w:val="00C472FA"/>
    <w:rsid w:val="00C473C0"/>
    <w:rsid w:val="00C477AD"/>
    <w:rsid w:val="00C47884"/>
    <w:rsid w:val="00C4798D"/>
    <w:rsid w:val="00C479D8"/>
    <w:rsid w:val="00C47BB3"/>
    <w:rsid w:val="00C47C8A"/>
    <w:rsid w:val="00C47CA2"/>
    <w:rsid w:val="00C503C9"/>
    <w:rsid w:val="00C50441"/>
    <w:rsid w:val="00C509AD"/>
    <w:rsid w:val="00C50C25"/>
    <w:rsid w:val="00C50D68"/>
    <w:rsid w:val="00C50F66"/>
    <w:rsid w:val="00C51FD6"/>
    <w:rsid w:val="00C51FF6"/>
    <w:rsid w:val="00C52050"/>
    <w:rsid w:val="00C5207A"/>
    <w:rsid w:val="00C522A8"/>
    <w:rsid w:val="00C52337"/>
    <w:rsid w:val="00C523F6"/>
    <w:rsid w:val="00C528CD"/>
    <w:rsid w:val="00C529FF"/>
    <w:rsid w:val="00C52B80"/>
    <w:rsid w:val="00C52E3C"/>
    <w:rsid w:val="00C5335A"/>
    <w:rsid w:val="00C53C7D"/>
    <w:rsid w:val="00C53CC8"/>
    <w:rsid w:val="00C541A9"/>
    <w:rsid w:val="00C5433A"/>
    <w:rsid w:val="00C543B0"/>
    <w:rsid w:val="00C5446A"/>
    <w:rsid w:val="00C5452F"/>
    <w:rsid w:val="00C545A6"/>
    <w:rsid w:val="00C54692"/>
    <w:rsid w:val="00C54763"/>
    <w:rsid w:val="00C547E7"/>
    <w:rsid w:val="00C54818"/>
    <w:rsid w:val="00C54A3F"/>
    <w:rsid w:val="00C54ADC"/>
    <w:rsid w:val="00C54D73"/>
    <w:rsid w:val="00C54E28"/>
    <w:rsid w:val="00C5501E"/>
    <w:rsid w:val="00C550DF"/>
    <w:rsid w:val="00C5553E"/>
    <w:rsid w:val="00C556CC"/>
    <w:rsid w:val="00C55737"/>
    <w:rsid w:val="00C558C1"/>
    <w:rsid w:val="00C5599B"/>
    <w:rsid w:val="00C559A8"/>
    <w:rsid w:val="00C55C01"/>
    <w:rsid w:val="00C55C39"/>
    <w:rsid w:val="00C55FD3"/>
    <w:rsid w:val="00C56045"/>
    <w:rsid w:val="00C5605B"/>
    <w:rsid w:val="00C562ED"/>
    <w:rsid w:val="00C56342"/>
    <w:rsid w:val="00C5648E"/>
    <w:rsid w:val="00C566E6"/>
    <w:rsid w:val="00C568CE"/>
    <w:rsid w:val="00C56B4B"/>
    <w:rsid w:val="00C56B6C"/>
    <w:rsid w:val="00C56C50"/>
    <w:rsid w:val="00C56C64"/>
    <w:rsid w:val="00C570A6"/>
    <w:rsid w:val="00C5722E"/>
    <w:rsid w:val="00C57298"/>
    <w:rsid w:val="00C573EF"/>
    <w:rsid w:val="00C575F9"/>
    <w:rsid w:val="00C57761"/>
    <w:rsid w:val="00C5787D"/>
    <w:rsid w:val="00C57CAF"/>
    <w:rsid w:val="00C57E49"/>
    <w:rsid w:val="00C60036"/>
    <w:rsid w:val="00C600AA"/>
    <w:rsid w:val="00C600C5"/>
    <w:rsid w:val="00C602C7"/>
    <w:rsid w:val="00C602FF"/>
    <w:rsid w:val="00C60763"/>
    <w:rsid w:val="00C60966"/>
    <w:rsid w:val="00C60AFE"/>
    <w:rsid w:val="00C60C41"/>
    <w:rsid w:val="00C60D31"/>
    <w:rsid w:val="00C60DFA"/>
    <w:rsid w:val="00C6127C"/>
    <w:rsid w:val="00C61454"/>
    <w:rsid w:val="00C6153C"/>
    <w:rsid w:val="00C615E0"/>
    <w:rsid w:val="00C61602"/>
    <w:rsid w:val="00C61795"/>
    <w:rsid w:val="00C61C73"/>
    <w:rsid w:val="00C61D21"/>
    <w:rsid w:val="00C61EB7"/>
    <w:rsid w:val="00C6218A"/>
    <w:rsid w:val="00C622BD"/>
    <w:rsid w:val="00C622DB"/>
    <w:rsid w:val="00C62562"/>
    <w:rsid w:val="00C62700"/>
    <w:rsid w:val="00C627B3"/>
    <w:rsid w:val="00C627F1"/>
    <w:rsid w:val="00C628E5"/>
    <w:rsid w:val="00C62977"/>
    <w:rsid w:val="00C62A10"/>
    <w:rsid w:val="00C62AE8"/>
    <w:rsid w:val="00C63179"/>
    <w:rsid w:val="00C6320F"/>
    <w:rsid w:val="00C632BE"/>
    <w:rsid w:val="00C63340"/>
    <w:rsid w:val="00C635F1"/>
    <w:rsid w:val="00C637FE"/>
    <w:rsid w:val="00C63815"/>
    <w:rsid w:val="00C6388F"/>
    <w:rsid w:val="00C638D3"/>
    <w:rsid w:val="00C639DD"/>
    <w:rsid w:val="00C63E1F"/>
    <w:rsid w:val="00C6414C"/>
    <w:rsid w:val="00C641B5"/>
    <w:rsid w:val="00C647E1"/>
    <w:rsid w:val="00C64844"/>
    <w:rsid w:val="00C648E6"/>
    <w:rsid w:val="00C64A78"/>
    <w:rsid w:val="00C64B9A"/>
    <w:rsid w:val="00C64CA8"/>
    <w:rsid w:val="00C64E94"/>
    <w:rsid w:val="00C64F45"/>
    <w:rsid w:val="00C651D3"/>
    <w:rsid w:val="00C652ED"/>
    <w:rsid w:val="00C65355"/>
    <w:rsid w:val="00C6539A"/>
    <w:rsid w:val="00C656E4"/>
    <w:rsid w:val="00C658DF"/>
    <w:rsid w:val="00C65918"/>
    <w:rsid w:val="00C65A89"/>
    <w:rsid w:val="00C65A9E"/>
    <w:rsid w:val="00C65CEE"/>
    <w:rsid w:val="00C65F62"/>
    <w:rsid w:val="00C660D9"/>
    <w:rsid w:val="00C66482"/>
    <w:rsid w:val="00C66489"/>
    <w:rsid w:val="00C6663D"/>
    <w:rsid w:val="00C66797"/>
    <w:rsid w:val="00C66A34"/>
    <w:rsid w:val="00C66D9A"/>
    <w:rsid w:val="00C66DC8"/>
    <w:rsid w:val="00C66EB9"/>
    <w:rsid w:val="00C671A9"/>
    <w:rsid w:val="00C674AC"/>
    <w:rsid w:val="00C67752"/>
    <w:rsid w:val="00C6781C"/>
    <w:rsid w:val="00C679C1"/>
    <w:rsid w:val="00C67A1B"/>
    <w:rsid w:val="00C67A78"/>
    <w:rsid w:val="00C67A9D"/>
    <w:rsid w:val="00C67AB9"/>
    <w:rsid w:val="00C67EDC"/>
    <w:rsid w:val="00C7057B"/>
    <w:rsid w:val="00C706E2"/>
    <w:rsid w:val="00C708BB"/>
    <w:rsid w:val="00C70CD6"/>
    <w:rsid w:val="00C70E23"/>
    <w:rsid w:val="00C70EB8"/>
    <w:rsid w:val="00C70F13"/>
    <w:rsid w:val="00C7129D"/>
    <w:rsid w:val="00C71658"/>
    <w:rsid w:val="00C717A8"/>
    <w:rsid w:val="00C71977"/>
    <w:rsid w:val="00C71D7D"/>
    <w:rsid w:val="00C71EDC"/>
    <w:rsid w:val="00C7208C"/>
    <w:rsid w:val="00C72238"/>
    <w:rsid w:val="00C72404"/>
    <w:rsid w:val="00C72614"/>
    <w:rsid w:val="00C7262A"/>
    <w:rsid w:val="00C727A1"/>
    <w:rsid w:val="00C7291F"/>
    <w:rsid w:val="00C72921"/>
    <w:rsid w:val="00C72B81"/>
    <w:rsid w:val="00C72BD5"/>
    <w:rsid w:val="00C72D4F"/>
    <w:rsid w:val="00C72EC4"/>
    <w:rsid w:val="00C7307A"/>
    <w:rsid w:val="00C7326E"/>
    <w:rsid w:val="00C733F5"/>
    <w:rsid w:val="00C7360B"/>
    <w:rsid w:val="00C73679"/>
    <w:rsid w:val="00C739EC"/>
    <w:rsid w:val="00C73C5B"/>
    <w:rsid w:val="00C73E2C"/>
    <w:rsid w:val="00C7406D"/>
    <w:rsid w:val="00C745E1"/>
    <w:rsid w:val="00C748C9"/>
    <w:rsid w:val="00C749F7"/>
    <w:rsid w:val="00C74A96"/>
    <w:rsid w:val="00C7501E"/>
    <w:rsid w:val="00C75158"/>
    <w:rsid w:val="00C75161"/>
    <w:rsid w:val="00C756E4"/>
    <w:rsid w:val="00C757A1"/>
    <w:rsid w:val="00C75C2E"/>
    <w:rsid w:val="00C75D12"/>
    <w:rsid w:val="00C75E7A"/>
    <w:rsid w:val="00C76482"/>
    <w:rsid w:val="00C764C2"/>
    <w:rsid w:val="00C764CD"/>
    <w:rsid w:val="00C7678A"/>
    <w:rsid w:val="00C76988"/>
    <w:rsid w:val="00C76C36"/>
    <w:rsid w:val="00C76C72"/>
    <w:rsid w:val="00C76CDC"/>
    <w:rsid w:val="00C76DA0"/>
    <w:rsid w:val="00C76F17"/>
    <w:rsid w:val="00C7701C"/>
    <w:rsid w:val="00C7705C"/>
    <w:rsid w:val="00C771A2"/>
    <w:rsid w:val="00C772D7"/>
    <w:rsid w:val="00C772F9"/>
    <w:rsid w:val="00C7736C"/>
    <w:rsid w:val="00C7756B"/>
    <w:rsid w:val="00C776D5"/>
    <w:rsid w:val="00C779BC"/>
    <w:rsid w:val="00C77A8F"/>
    <w:rsid w:val="00C77ADD"/>
    <w:rsid w:val="00C77EC5"/>
    <w:rsid w:val="00C77F9F"/>
    <w:rsid w:val="00C77FEC"/>
    <w:rsid w:val="00C80331"/>
    <w:rsid w:val="00C80893"/>
    <w:rsid w:val="00C809E8"/>
    <w:rsid w:val="00C80AC2"/>
    <w:rsid w:val="00C80C29"/>
    <w:rsid w:val="00C80DFC"/>
    <w:rsid w:val="00C80EFA"/>
    <w:rsid w:val="00C81210"/>
    <w:rsid w:val="00C8138D"/>
    <w:rsid w:val="00C8141A"/>
    <w:rsid w:val="00C814B5"/>
    <w:rsid w:val="00C81948"/>
    <w:rsid w:val="00C81961"/>
    <w:rsid w:val="00C819A0"/>
    <w:rsid w:val="00C81A06"/>
    <w:rsid w:val="00C81BA0"/>
    <w:rsid w:val="00C81CBC"/>
    <w:rsid w:val="00C8234A"/>
    <w:rsid w:val="00C8245B"/>
    <w:rsid w:val="00C82555"/>
    <w:rsid w:val="00C825A1"/>
    <w:rsid w:val="00C826B6"/>
    <w:rsid w:val="00C8294D"/>
    <w:rsid w:val="00C82A12"/>
    <w:rsid w:val="00C82AFE"/>
    <w:rsid w:val="00C82B3E"/>
    <w:rsid w:val="00C82CC6"/>
    <w:rsid w:val="00C82F0B"/>
    <w:rsid w:val="00C8327C"/>
    <w:rsid w:val="00C834D4"/>
    <w:rsid w:val="00C834FD"/>
    <w:rsid w:val="00C835DB"/>
    <w:rsid w:val="00C837A5"/>
    <w:rsid w:val="00C839A3"/>
    <w:rsid w:val="00C83A0D"/>
    <w:rsid w:val="00C83A0F"/>
    <w:rsid w:val="00C83A4C"/>
    <w:rsid w:val="00C83A7F"/>
    <w:rsid w:val="00C83C48"/>
    <w:rsid w:val="00C83CF9"/>
    <w:rsid w:val="00C83D5F"/>
    <w:rsid w:val="00C83D6B"/>
    <w:rsid w:val="00C83DD7"/>
    <w:rsid w:val="00C83E1C"/>
    <w:rsid w:val="00C83EC6"/>
    <w:rsid w:val="00C8409B"/>
    <w:rsid w:val="00C840BD"/>
    <w:rsid w:val="00C8414F"/>
    <w:rsid w:val="00C8415F"/>
    <w:rsid w:val="00C84215"/>
    <w:rsid w:val="00C84462"/>
    <w:rsid w:val="00C8483A"/>
    <w:rsid w:val="00C84906"/>
    <w:rsid w:val="00C84953"/>
    <w:rsid w:val="00C84962"/>
    <w:rsid w:val="00C849F9"/>
    <w:rsid w:val="00C84AF1"/>
    <w:rsid w:val="00C84DDC"/>
    <w:rsid w:val="00C84EC9"/>
    <w:rsid w:val="00C852DA"/>
    <w:rsid w:val="00C85579"/>
    <w:rsid w:val="00C85615"/>
    <w:rsid w:val="00C8593B"/>
    <w:rsid w:val="00C859BD"/>
    <w:rsid w:val="00C85C0D"/>
    <w:rsid w:val="00C85EAA"/>
    <w:rsid w:val="00C861AF"/>
    <w:rsid w:val="00C86259"/>
    <w:rsid w:val="00C8686B"/>
    <w:rsid w:val="00C868EF"/>
    <w:rsid w:val="00C86963"/>
    <w:rsid w:val="00C86A4F"/>
    <w:rsid w:val="00C86BEB"/>
    <w:rsid w:val="00C86CE0"/>
    <w:rsid w:val="00C86D76"/>
    <w:rsid w:val="00C86F55"/>
    <w:rsid w:val="00C87045"/>
    <w:rsid w:val="00C877D8"/>
    <w:rsid w:val="00C87893"/>
    <w:rsid w:val="00C87A13"/>
    <w:rsid w:val="00C87AC7"/>
    <w:rsid w:val="00C87CDF"/>
    <w:rsid w:val="00C9001B"/>
    <w:rsid w:val="00C901A9"/>
    <w:rsid w:val="00C9073B"/>
    <w:rsid w:val="00C90A6C"/>
    <w:rsid w:val="00C90D05"/>
    <w:rsid w:val="00C90D75"/>
    <w:rsid w:val="00C91193"/>
    <w:rsid w:val="00C91C14"/>
    <w:rsid w:val="00C91E83"/>
    <w:rsid w:val="00C91EAB"/>
    <w:rsid w:val="00C922E4"/>
    <w:rsid w:val="00C9234D"/>
    <w:rsid w:val="00C92382"/>
    <w:rsid w:val="00C925C8"/>
    <w:rsid w:val="00C9264C"/>
    <w:rsid w:val="00C926AC"/>
    <w:rsid w:val="00C928A7"/>
    <w:rsid w:val="00C92A12"/>
    <w:rsid w:val="00C92B1F"/>
    <w:rsid w:val="00C92E3F"/>
    <w:rsid w:val="00C930FB"/>
    <w:rsid w:val="00C93553"/>
    <w:rsid w:val="00C93785"/>
    <w:rsid w:val="00C93832"/>
    <w:rsid w:val="00C93E59"/>
    <w:rsid w:val="00C94330"/>
    <w:rsid w:val="00C94734"/>
    <w:rsid w:val="00C947A9"/>
    <w:rsid w:val="00C949B2"/>
    <w:rsid w:val="00C94D09"/>
    <w:rsid w:val="00C94D25"/>
    <w:rsid w:val="00C950FE"/>
    <w:rsid w:val="00C951FD"/>
    <w:rsid w:val="00C95263"/>
    <w:rsid w:val="00C955CB"/>
    <w:rsid w:val="00C9565A"/>
    <w:rsid w:val="00C956BB"/>
    <w:rsid w:val="00C9571A"/>
    <w:rsid w:val="00C9583E"/>
    <w:rsid w:val="00C95A21"/>
    <w:rsid w:val="00C95B40"/>
    <w:rsid w:val="00C95C72"/>
    <w:rsid w:val="00C95CFE"/>
    <w:rsid w:val="00C95DA1"/>
    <w:rsid w:val="00C95E6D"/>
    <w:rsid w:val="00C95F61"/>
    <w:rsid w:val="00C963B7"/>
    <w:rsid w:val="00C96459"/>
    <w:rsid w:val="00C96494"/>
    <w:rsid w:val="00C964FA"/>
    <w:rsid w:val="00C96B37"/>
    <w:rsid w:val="00C96BC1"/>
    <w:rsid w:val="00C96CFC"/>
    <w:rsid w:val="00C9700B"/>
    <w:rsid w:val="00C97250"/>
    <w:rsid w:val="00C977E3"/>
    <w:rsid w:val="00C9783B"/>
    <w:rsid w:val="00C979B2"/>
    <w:rsid w:val="00C97B47"/>
    <w:rsid w:val="00C97C33"/>
    <w:rsid w:val="00C97EA2"/>
    <w:rsid w:val="00C97F47"/>
    <w:rsid w:val="00CA00ED"/>
    <w:rsid w:val="00CA0190"/>
    <w:rsid w:val="00CA0342"/>
    <w:rsid w:val="00CA0348"/>
    <w:rsid w:val="00CA03F2"/>
    <w:rsid w:val="00CA0D2E"/>
    <w:rsid w:val="00CA1173"/>
    <w:rsid w:val="00CA13B5"/>
    <w:rsid w:val="00CA1400"/>
    <w:rsid w:val="00CA1524"/>
    <w:rsid w:val="00CA15FA"/>
    <w:rsid w:val="00CA1C39"/>
    <w:rsid w:val="00CA1F11"/>
    <w:rsid w:val="00CA205C"/>
    <w:rsid w:val="00CA21BF"/>
    <w:rsid w:val="00CA2245"/>
    <w:rsid w:val="00CA238F"/>
    <w:rsid w:val="00CA2422"/>
    <w:rsid w:val="00CA2464"/>
    <w:rsid w:val="00CA27AD"/>
    <w:rsid w:val="00CA27D3"/>
    <w:rsid w:val="00CA290C"/>
    <w:rsid w:val="00CA30A6"/>
    <w:rsid w:val="00CA32B1"/>
    <w:rsid w:val="00CA33B5"/>
    <w:rsid w:val="00CA3BF3"/>
    <w:rsid w:val="00CA3CB9"/>
    <w:rsid w:val="00CA402C"/>
    <w:rsid w:val="00CA4400"/>
    <w:rsid w:val="00CA4579"/>
    <w:rsid w:val="00CA4E90"/>
    <w:rsid w:val="00CA56A1"/>
    <w:rsid w:val="00CA5724"/>
    <w:rsid w:val="00CA5A01"/>
    <w:rsid w:val="00CA5ACC"/>
    <w:rsid w:val="00CA5CC4"/>
    <w:rsid w:val="00CA5D28"/>
    <w:rsid w:val="00CA5ED9"/>
    <w:rsid w:val="00CA6050"/>
    <w:rsid w:val="00CA61BF"/>
    <w:rsid w:val="00CA6528"/>
    <w:rsid w:val="00CA6876"/>
    <w:rsid w:val="00CA68D3"/>
    <w:rsid w:val="00CA6CDD"/>
    <w:rsid w:val="00CA6D0F"/>
    <w:rsid w:val="00CA6E90"/>
    <w:rsid w:val="00CA6F3F"/>
    <w:rsid w:val="00CA7165"/>
    <w:rsid w:val="00CB017F"/>
    <w:rsid w:val="00CB02AA"/>
    <w:rsid w:val="00CB04A6"/>
    <w:rsid w:val="00CB05DA"/>
    <w:rsid w:val="00CB07C5"/>
    <w:rsid w:val="00CB07FB"/>
    <w:rsid w:val="00CB09EC"/>
    <w:rsid w:val="00CB1145"/>
    <w:rsid w:val="00CB139E"/>
    <w:rsid w:val="00CB1408"/>
    <w:rsid w:val="00CB150D"/>
    <w:rsid w:val="00CB174F"/>
    <w:rsid w:val="00CB1B8F"/>
    <w:rsid w:val="00CB1BF8"/>
    <w:rsid w:val="00CB1C8F"/>
    <w:rsid w:val="00CB1D6B"/>
    <w:rsid w:val="00CB1F6B"/>
    <w:rsid w:val="00CB1F9E"/>
    <w:rsid w:val="00CB2146"/>
    <w:rsid w:val="00CB233C"/>
    <w:rsid w:val="00CB233F"/>
    <w:rsid w:val="00CB2390"/>
    <w:rsid w:val="00CB23EF"/>
    <w:rsid w:val="00CB2591"/>
    <w:rsid w:val="00CB289A"/>
    <w:rsid w:val="00CB2911"/>
    <w:rsid w:val="00CB29A5"/>
    <w:rsid w:val="00CB2AB2"/>
    <w:rsid w:val="00CB2B83"/>
    <w:rsid w:val="00CB2E67"/>
    <w:rsid w:val="00CB2E72"/>
    <w:rsid w:val="00CB2FD4"/>
    <w:rsid w:val="00CB309A"/>
    <w:rsid w:val="00CB30AA"/>
    <w:rsid w:val="00CB371A"/>
    <w:rsid w:val="00CB3731"/>
    <w:rsid w:val="00CB37F5"/>
    <w:rsid w:val="00CB3832"/>
    <w:rsid w:val="00CB3B05"/>
    <w:rsid w:val="00CB3B37"/>
    <w:rsid w:val="00CB3C2B"/>
    <w:rsid w:val="00CB3E95"/>
    <w:rsid w:val="00CB3F00"/>
    <w:rsid w:val="00CB3FB9"/>
    <w:rsid w:val="00CB41E2"/>
    <w:rsid w:val="00CB4250"/>
    <w:rsid w:val="00CB45F3"/>
    <w:rsid w:val="00CB4BFB"/>
    <w:rsid w:val="00CB52FB"/>
    <w:rsid w:val="00CB5338"/>
    <w:rsid w:val="00CB539C"/>
    <w:rsid w:val="00CB53E2"/>
    <w:rsid w:val="00CB540F"/>
    <w:rsid w:val="00CB5435"/>
    <w:rsid w:val="00CB5541"/>
    <w:rsid w:val="00CB5AF1"/>
    <w:rsid w:val="00CB5C36"/>
    <w:rsid w:val="00CB5C47"/>
    <w:rsid w:val="00CB5C53"/>
    <w:rsid w:val="00CB60F1"/>
    <w:rsid w:val="00CB61EF"/>
    <w:rsid w:val="00CB652C"/>
    <w:rsid w:val="00CB6538"/>
    <w:rsid w:val="00CB6585"/>
    <w:rsid w:val="00CB65EE"/>
    <w:rsid w:val="00CB6841"/>
    <w:rsid w:val="00CB69DE"/>
    <w:rsid w:val="00CB6B3A"/>
    <w:rsid w:val="00CB6F1C"/>
    <w:rsid w:val="00CB6FDC"/>
    <w:rsid w:val="00CB6FEC"/>
    <w:rsid w:val="00CB737E"/>
    <w:rsid w:val="00CB740A"/>
    <w:rsid w:val="00CB7684"/>
    <w:rsid w:val="00CB7751"/>
    <w:rsid w:val="00CB77BE"/>
    <w:rsid w:val="00CB77DA"/>
    <w:rsid w:val="00CB7B5C"/>
    <w:rsid w:val="00CB7BDA"/>
    <w:rsid w:val="00CB7C84"/>
    <w:rsid w:val="00CB7CD0"/>
    <w:rsid w:val="00CB7F00"/>
    <w:rsid w:val="00CB7FB9"/>
    <w:rsid w:val="00CC00E4"/>
    <w:rsid w:val="00CC02AD"/>
    <w:rsid w:val="00CC03DA"/>
    <w:rsid w:val="00CC07FC"/>
    <w:rsid w:val="00CC085E"/>
    <w:rsid w:val="00CC09D8"/>
    <w:rsid w:val="00CC0A34"/>
    <w:rsid w:val="00CC10AF"/>
    <w:rsid w:val="00CC11FC"/>
    <w:rsid w:val="00CC1288"/>
    <w:rsid w:val="00CC156F"/>
    <w:rsid w:val="00CC15C3"/>
    <w:rsid w:val="00CC18B2"/>
    <w:rsid w:val="00CC1A0B"/>
    <w:rsid w:val="00CC1DF1"/>
    <w:rsid w:val="00CC243B"/>
    <w:rsid w:val="00CC24B0"/>
    <w:rsid w:val="00CC24FF"/>
    <w:rsid w:val="00CC253C"/>
    <w:rsid w:val="00CC274D"/>
    <w:rsid w:val="00CC2800"/>
    <w:rsid w:val="00CC2A34"/>
    <w:rsid w:val="00CC2B9D"/>
    <w:rsid w:val="00CC2BD3"/>
    <w:rsid w:val="00CC2CB0"/>
    <w:rsid w:val="00CC2E03"/>
    <w:rsid w:val="00CC335C"/>
    <w:rsid w:val="00CC393B"/>
    <w:rsid w:val="00CC3AE0"/>
    <w:rsid w:val="00CC3B0A"/>
    <w:rsid w:val="00CC3C4A"/>
    <w:rsid w:val="00CC3EFF"/>
    <w:rsid w:val="00CC4079"/>
    <w:rsid w:val="00CC4099"/>
    <w:rsid w:val="00CC445A"/>
    <w:rsid w:val="00CC4562"/>
    <w:rsid w:val="00CC45C2"/>
    <w:rsid w:val="00CC4698"/>
    <w:rsid w:val="00CC4794"/>
    <w:rsid w:val="00CC49AA"/>
    <w:rsid w:val="00CC4A61"/>
    <w:rsid w:val="00CC4B10"/>
    <w:rsid w:val="00CC4B1E"/>
    <w:rsid w:val="00CC4B2B"/>
    <w:rsid w:val="00CC4B6D"/>
    <w:rsid w:val="00CC4E3A"/>
    <w:rsid w:val="00CC4E6A"/>
    <w:rsid w:val="00CC4EE4"/>
    <w:rsid w:val="00CC513E"/>
    <w:rsid w:val="00CC518E"/>
    <w:rsid w:val="00CC5638"/>
    <w:rsid w:val="00CC5A50"/>
    <w:rsid w:val="00CC5B68"/>
    <w:rsid w:val="00CC5CC4"/>
    <w:rsid w:val="00CC5D36"/>
    <w:rsid w:val="00CC5F9B"/>
    <w:rsid w:val="00CC5FD9"/>
    <w:rsid w:val="00CC6A16"/>
    <w:rsid w:val="00CC715D"/>
    <w:rsid w:val="00CC7379"/>
    <w:rsid w:val="00CC7525"/>
    <w:rsid w:val="00CC765D"/>
    <w:rsid w:val="00CC777B"/>
    <w:rsid w:val="00CC7B56"/>
    <w:rsid w:val="00CC7CEC"/>
    <w:rsid w:val="00CD00CC"/>
    <w:rsid w:val="00CD00D6"/>
    <w:rsid w:val="00CD024C"/>
    <w:rsid w:val="00CD036B"/>
    <w:rsid w:val="00CD04AF"/>
    <w:rsid w:val="00CD04EA"/>
    <w:rsid w:val="00CD051D"/>
    <w:rsid w:val="00CD0615"/>
    <w:rsid w:val="00CD0D21"/>
    <w:rsid w:val="00CD0ECC"/>
    <w:rsid w:val="00CD0FF9"/>
    <w:rsid w:val="00CD1053"/>
    <w:rsid w:val="00CD10BB"/>
    <w:rsid w:val="00CD10FA"/>
    <w:rsid w:val="00CD13F5"/>
    <w:rsid w:val="00CD172B"/>
    <w:rsid w:val="00CD1889"/>
    <w:rsid w:val="00CD18B8"/>
    <w:rsid w:val="00CD1A47"/>
    <w:rsid w:val="00CD1F08"/>
    <w:rsid w:val="00CD23AF"/>
    <w:rsid w:val="00CD23FC"/>
    <w:rsid w:val="00CD24B1"/>
    <w:rsid w:val="00CD25AD"/>
    <w:rsid w:val="00CD262E"/>
    <w:rsid w:val="00CD26E2"/>
    <w:rsid w:val="00CD2788"/>
    <w:rsid w:val="00CD2799"/>
    <w:rsid w:val="00CD2AF7"/>
    <w:rsid w:val="00CD2E68"/>
    <w:rsid w:val="00CD2EEB"/>
    <w:rsid w:val="00CD2F1D"/>
    <w:rsid w:val="00CD31B2"/>
    <w:rsid w:val="00CD3963"/>
    <w:rsid w:val="00CD4086"/>
    <w:rsid w:val="00CD4112"/>
    <w:rsid w:val="00CD4327"/>
    <w:rsid w:val="00CD436B"/>
    <w:rsid w:val="00CD4373"/>
    <w:rsid w:val="00CD4443"/>
    <w:rsid w:val="00CD4469"/>
    <w:rsid w:val="00CD45BC"/>
    <w:rsid w:val="00CD482D"/>
    <w:rsid w:val="00CD4DEB"/>
    <w:rsid w:val="00CD4FBB"/>
    <w:rsid w:val="00CD5239"/>
    <w:rsid w:val="00CD54A8"/>
    <w:rsid w:val="00CD55F8"/>
    <w:rsid w:val="00CD5817"/>
    <w:rsid w:val="00CD5821"/>
    <w:rsid w:val="00CD5BA9"/>
    <w:rsid w:val="00CD5E49"/>
    <w:rsid w:val="00CD5FFD"/>
    <w:rsid w:val="00CD610C"/>
    <w:rsid w:val="00CD6620"/>
    <w:rsid w:val="00CD66B4"/>
    <w:rsid w:val="00CD6784"/>
    <w:rsid w:val="00CD67BB"/>
    <w:rsid w:val="00CD6D0F"/>
    <w:rsid w:val="00CD6D3C"/>
    <w:rsid w:val="00CD6E42"/>
    <w:rsid w:val="00CD6E53"/>
    <w:rsid w:val="00CD7003"/>
    <w:rsid w:val="00CD7033"/>
    <w:rsid w:val="00CD717B"/>
    <w:rsid w:val="00CD7529"/>
    <w:rsid w:val="00CD75B9"/>
    <w:rsid w:val="00CD770D"/>
    <w:rsid w:val="00CD7914"/>
    <w:rsid w:val="00CD79A1"/>
    <w:rsid w:val="00CD7A64"/>
    <w:rsid w:val="00CD7ABC"/>
    <w:rsid w:val="00CD7CFC"/>
    <w:rsid w:val="00CD7DA2"/>
    <w:rsid w:val="00CD7EBF"/>
    <w:rsid w:val="00CE0159"/>
    <w:rsid w:val="00CE0180"/>
    <w:rsid w:val="00CE0386"/>
    <w:rsid w:val="00CE0438"/>
    <w:rsid w:val="00CE0483"/>
    <w:rsid w:val="00CE0628"/>
    <w:rsid w:val="00CE085C"/>
    <w:rsid w:val="00CE0875"/>
    <w:rsid w:val="00CE089F"/>
    <w:rsid w:val="00CE0A06"/>
    <w:rsid w:val="00CE0EF5"/>
    <w:rsid w:val="00CE108C"/>
    <w:rsid w:val="00CE1135"/>
    <w:rsid w:val="00CE1441"/>
    <w:rsid w:val="00CE148F"/>
    <w:rsid w:val="00CE15FF"/>
    <w:rsid w:val="00CE18AF"/>
    <w:rsid w:val="00CE2150"/>
    <w:rsid w:val="00CE22F9"/>
    <w:rsid w:val="00CE230E"/>
    <w:rsid w:val="00CE2407"/>
    <w:rsid w:val="00CE279B"/>
    <w:rsid w:val="00CE2A10"/>
    <w:rsid w:val="00CE2AD8"/>
    <w:rsid w:val="00CE2E82"/>
    <w:rsid w:val="00CE2F1D"/>
    <w:rsid w:val="00CE3077"/>
    <w:rsid w:val="00CE31D5"/>
    <w:rsid w:val="00CE32DE"/>
    <w:rsid w:val="00CE367E"/>
    <w:rsid w:val="00CE36D8"/>
    <w:rsid w:val="00CE37EB"/>
    <w:rsid w:val="00CE3892"/>
    <w:rsid w:val="00CE3C3A"/>
    <w:rsid w:val="00CE4064"/>
    <w:rsid w:val="00CE485C"/>
    <w:rsid w:val="00CE494F"/>
    <w:rsid w:val="00CE4970"/>
    <w:rsid w:val="00CE4FE4"/>
    <w:rsid w:val="00CE503D"/>
    <w:rsid w:val="00CE5060"/>
    <w:rsid w:val="00CE5064"/>
    <w:rsid w:val="00CE5407"/>
    <w:rsid w:val="00CE5510"/>
    <w:rsid w:val="00CE556B"/>
    <w:rsid w:val="00CE5817"/>
    <w:rsid w:val="00CE5A09"/>
    <w:rsid w:val="00CE5B33"/>
    <w:rsid w:val="00CE5CE4"/>
    <w:rsid w:val="00CE5FDB"/>
    <w:rsid w:val="00CE6080"/>
    <w:rsid w:val="00CE6171"/>
    <w:rsid w:val="00CE625F"/>
    <w:rsid w:val="00CE6792"/>
    <w:rsid w:val="00CE688F"/>
    <w:rsid w:val="00CE68D3"/>
    <w:rsid w:val="00CE6A6B"/>
    <w:rsid w:val="00CE6C44"/>
    <w:rsid w:val="00CE708C"/>
    <w:rsid w:val="00CE71CD"/>
    <w:rsid w:val="00CE7422"/>
    <w:rsid w:val="00CE7472"/>
    <w:rsid w:val="00CE753C"/>
    <w:rsid w:val="00CE77D2"/>
    <w:rsid w:val="00CE79DD"/>
    <w:rsid w:val="00CE7DE8"/>
    <w:rsid w:val="00CE7ED7"/>
    <w:rsid w:val="00CE7F2D"/>
    <w:rsid w:val="00CF0125"/>
    <w:rsid w:val="00CF0276"/>
    <w:rsid w:val="00CF02CF"/>
    <w:rsid w:val="00CF02E0"/>
    <w:rsid w:val="00CF0328"/>
    <w:rsid w:val="00CF03DC"/>
    <w:rsid w:val="00CF05F9"/>
    <w:rsid w:val="00CF0645"/>
    <w:rsid w:val="00CF0664"/>
    <w:rsid w:val="00CF0B9A"/>
    <w:rsid w:val="00CF1269"/>
    <w:rsid w:val="00CF12BF"/>
    <w:rsid w:val="00CF136F"/>
    <w:rsid w:val="00CF1686"/>
    <w:rsid w:val="00CF16C6"/>
    <w:rsid w:val="00CF1871"/>
    <w:rsid w:val="00CF193E"/>
    <w:rsid w:val="00CF19CB"/>
    <w:rsid w:val="00CF1A05"/>
    <w:rsid w:val="00CF1A06"/>
    <w:rsid w:val="00CF1A94"/>
    <w:rsid w:val="00CF1AF3"/>
    <w:rsid w:val="00CF1B25"/>
    <w:rsid w:val="00CF1D4C"/>
    <w:rsid w:val="00CF1E66"/>
    <w:rsid w:val="00CF1FB7"/>
    <w:rsid w:val="00CF1FCD"/>
    <w:rsid w:val="00CF258A"/>
    <w:rsid w:val="00CF29C5"/>
    <w:rsid w:val="00CF2B43"/>
    <w:rsid w:val="00CF2BDA"/>
    <w:rsid w:val="00CF2D3E"/>
    <w:rsid w:val="00CF2DF0"/>
    <w:rsid w:val="00CF2E4D"/>
    <w:rsid w:val="00CF30F2"/>
    <w:rsid w:val="00CF3145"/>
    <w:rsid w:val="00CF3676"/>
    <w:rsid w:val="00CF38DD"/>
    <w:rsid w:val="00CF3A43"/>
    <w:rsid w:val="00CF40AC"/>
    <w:rsid w:val="00CF4133"/>
    <w:rsid w:val="00CF42CC"/>
    <w:rsid w:val="00CF477F"/>
    <w:rsid w:val="00CF4BA4"/>
    <w:rsid w:val="00CF4C84"/>
    <w:rsid w:val="00CF4D36"/>
    <w:rsid w:val="00CF4D7F"/>
    <w:rsid w:val="00CF50B0"/>
    <w:rsid w:val="00CF522B"/>
    <w:rsid w:val="00CF5236"/>
    <w:rsid w:val="00CF577E"/>
    <w:rsid w:val="00CF5817"/>
    <w:rsid w:val="00CF59E9"/>
    <w:rsid w:val="00CF61EF"/>
    <w:rsid w:val="00CF6207"/>
    <w:rsid w:val="00CF6244"/>
    <w:rsid w:val="00CF6287"/>
    <w:rsid w:val="00CF6A3E"/>
    <w:rsid w:val="00CF6C70"/>
    <w:rsid w:val="00CF6F2A"/>
    <w:rsid w:val="00CF7024"/>
    <w:rsid w:val="00CF7839"/>
    <w:rsid w:val="00CF793C"/>
    <w:rsid w:val="00CF79BF"/>
    <w:rsid w:val="00CF7DFF"/>
    <w:rsid w:val="00CF7E7C"/>
    <w:rsid w:val="00D00469"/>
    <w:rsid w:val="00D00AA0"/>
    <w:rsid w:val="00D00B1E"/>
    <w:rsid w:val="00D00B3A"/>
    <w:rsid w:val="00D00D56"/>
    <w:rsid w:val="00D00E5E"/>
    <w:rsid w:val="00D011E3"/>
    <w:rsid w:val="00D0143C"/>
    <w:rsid w:val="00D01582"/>
    <w:rsid w:val="00D01595"/>
    <w:rsid w:val="00D0187D"/>
    <w:rsid w:val="00D01885"/>
    <w:rsid w:val="00D0188E"/>
    <w:rsid w:val="00D0191D"/>
    <w:rsid w:val="00D01B31"/>
    <w:rsid w:val="00D01BB4"/>
    <w:rsid w:val="00D02127"/>
    <w:rsid w:val="00D025CC"/>
    <w:rsid w:val="00D02994"/>
    <w:rsid w:val="00D02D68"/>
    <w:rsid w:val="00D02D74"/>
    <w:rsid w:val="00D03231"/>
    <w:rsid w:val="00D03382"/>
    <w:rsid w:val="00D033E1"/>
    <w:rsid w:val="00D036EB"/>
    <w:rsid w:val="00D0375D"/>
    <w:rsid w:val="00D0395A"/>
    <w:rsid w:val="00D03976"/>
    <w:rsid w:val="00D03C65"/>
    <w:rsid w:val="00D03EFD"/>
    <w:rsid w:val="00D041AF"/>
    <w:rsid w:val="00D041C0"/>
    <w:rsid w:val="00D04326"/>
    <w:rsid w:val="00D04359"/>
    <w:rsid w:val="00D047B5"/>
    <w:rsid w:val="00D048C2"/>
    <w:rsid w:val="00D04C21"/>
    <w:rsid w:val="00D04CB8"/>
    <w:rsid w:val="00D04D88"/>
    <w:rsid w:val="00D04F2F"/>
    <w:rsid w:val="00D0547F"/>
    <w:rsid w:val="00D0564D"/>
    <w:rsid w:val="00D05C66"/>
    <w:rsid w:val="00D05C6E"/>
    <w:rsid w:val="00D05CAF"/>
    <w:rsid w:val="00D05FAD"/>
    <w:rsid w:val="00D061B8"/>
    <w:rsid w:val="00D0625B"/>
    <w:rsid w:val="00D064B3"/>
    <w:rsid w:val="00D06C24"/>
    <w:rsid w:val="00D071CA"/>
    <w:rsid w:val="00D07274"/>
    <w:rsid w:val="00D07295"/>
    <w:rsid w:val="00D07599"/>
    <w:rsid w:val="00D077DC"/>
    <w:rsid w:val="00D07A95"/>
    <w:rsid w:val="00D07AEF"/>
    <w:rsid w:val="00D07FC0"/>
    <w:rsid w:val="00D10053"/>
    <w:rsid w:val="00D100BC"/>
    <w:rsid w:val="00D101D6"/>
    <w:rsid w:val="00D102C4"/>
    <w:rsid w:val="00D10318"/>
    <w:rsid w:val="00D105E3"/>
    <w:rsid w:val="00D1065B"/>
    <w:rsid w:val="00D107C9"/>
    <w:rsid w:val="00D10911"/>
    <w:rsid w:val="00D10A5B"/>
    <w:rsid w:val="00D10B94"/>
    <w:rsid w:val="00D10BC6"/>
    <w:rsid w:val="00D10ED6"/>
    <w:rsid w:val="00D110DB"/>
    <w:rsid w:val="00D111AE"/>
    <w:rsid w:val="00D1149D"/>
    <w:rsid w:val="00D11DBB"/>
    <w:rsid w:val="00D1207B"/>
    <w:rsid w:val="00D12670"/>
    <w:rsid w:val="00D1274E"/>
    <w:rsid w:val="00D1282F"/>
    <w:rsid w:val="00D12EAD"/>
    <w:rsid w:val="00D12F12"/>
    <w:rsid w:val="00D12F96"/>
    <w:rsid w:val="00D12FEB"/>
    <w:rsid w:val="00D132AC"/>
    <w:rsid w:val="00D13566"/>
    <w:rsid w:val="00D136A0"/>
    <w:rsid w:val="00D137DB"/>
    <w:rsid w:val="00D137EF"/>
    <w:rsid w:val="00D13801"/>
    <w:rsid w:val="00D13B61"/>
    <w:rsid w:val="00D142DB"/>
    <w:rsid w:val="00D1466A"/>
    <w:rsid w:val="00D14727"/>
    <w:rsid w:val="00D14891"/>
    <w:rsid w:val="00D148F3"/>
    <w:rsid w:val="00D14B60"/>
    <w:rsid w:val="00D14F3A"/>
    <w:rsid w:val="00D150C7"/>
    <w:rsid w:val="00D15818"/>
    <w:rsid w:val="00D1588D"/>
    <w:rsid w:val="00D15DB6"/>
    <w:rsid w:val="00D15F85"/>
    <w:rsid w:val="00D160FA"/>
    <w:rsid w:val="00D162DD"/>
    <w:rsid w:val="00D16318"/>
    <w:rsid w:val="00D165F1"/>
    <w:rsid w:val="00D1669D"/>
    <w:rsid w:val="00D16748"/>
    <w:rsid w:val="00D169F3"/>
    <w:rsid w:val="00D16B58"/>
    <w:rsid w:val="00D16EF8"/>
    <w:rsid w:val="00D16FA8"/>
    <w:rsid w:val="00D1700E"/>
    <w:rsid w:val="00D17124"/>
    <w:rsid w:val="00D17139"/>
    <w:rsid w:val="00D17359"/>
    <w:rsid w:val="00D174D3"/>
    <w:rsid w:val="00D178C9"/>
    <w:rsid w:val="00D17B27"/>
    <w:rsid w:val="00D17BF0"/>
    <w:rsid w:val="00D20120"/>
    <w:rsid w:val="00D203D4"/>
    <w:rsid w:val="00D20471"/>
    <w:rsid w:val="00D204F1"/>
    <w:rsid w:val="00D2055A"/>
    <w:rsid w:val="00D207F5"/>
    <w:rsid w:val="00D20CA5"/>
    <w:rsid w:val="00D20F7F"/>
    <w:rsid w:val="00D21097"/>
    <w:rsid w:val="00D21BF8"/>
    <w:rsid w:val="00D21F5C"/>
    <w:rsid w:val="00D2216F"/>
    <w:rsid w:val="00D221B8"/>
    <w:rsid w:val="00D2244A"/>
    <w:rsid w:val="00D22812"/>
    <w:rsid w:val="00D2283F"/>
    <w:rsid w:val="00D228F5"/>
    <w:rsid w:val="00D2324B"/>
    <w:rsid w:val="00D233EB"/>
    <w:rsid w:val="00D234D1"/>
    <w:rsid w:val="00D23602"/>
    <w:rsid w:val="00D236D1"/>
    <w:rsid w:val="00D2370F"/>
    <w:rsid w:val="00D2375E"/>
    <w:rsid w:val="00D2380F"/>
    <w:rsid w:val="00D23849"/>
    <w:rsid w:val="00D23C7D"/>
    <w:rsid w:val="00D23D04"/>
    <w:rsid w:val="00D23D30"/>
    <w:rsid w:val="00D23DF3"/>
    <w:rsid w:val="00D23EF5"/>
    <w:rsid w:val="00D2410C"/>
    <w:rsid w:val="00D24410"/>
    <w:rsid w:val="00D244B8"/>
    <w:rsid w:val="00D24982"/>
    <w:rsid w:val="00D250A5"/>
    <w:rsid w:val="00D254B1"/>
    <w:rsid w:val="00D256A2"/>
    <w:rsid w:val="00D25A59"/>
    <w:rsid w:val="00D25CC0"/>
    <w:rsid w:val="00D25D65"/>
    <w:rsid w:val="00D25F64"/>
    <w:rsid w:val="00D25FEC"/>
    <w:rsid w:val="00D26247"/>
    <w:rsid w:val="00D26288"/>
    <w:rsid w:val="00D26403"/>
    <w:rsid w:val="00D2675A"/>
    <w:rsid w:val="00D26B26"/>
    <w:rsid w:val="00D26B9D"/>
    <w:rsid w:val="00D270AF"/>
    <w:rsid w:val="00D27248"/>
    <w:rsid w:val="00D2729A"/>
    <w:rsid w:val="00D273DE"/>
    <w:rsid w:val="00D27420"/>
    <w:rsid w:val="00D27729"/>
    <w:rsid w:val="00D279B1"/>
    <w:rsid w:val="00D27C18"/>
    <w:rsid w:val="00D27C8E"/>
    <w:rsid w:val="00D27E59"/>
    <w:rsid w:val="00D301CB"/>
    <w:rsid w:val="00D30402"/>
    <w:rsid w:val="00D30A32"/>
    <w:rsid w:val="00D30B8D"/>
    <w:rsid w:val="00D30DEE"/>
    <w:rsid w:val="00D311E9"/>
    <w:rsid w:val="00D31229"/>
    <w:rsid w:val="00D3162A"/>
    <w:rsid w:val="00D316C8"/>
    <w:rsid w:val="00D31916"/>
    <w:rsid w:val="00D3191B"/>
    <w:rsid w:val="00D31992"/>
    <w:rsid w:val="00D31B71"/>
    <w:rsid w:val="00D31CD2"/>
    <w:rsid w:val="00D32164"/>
    <w:rsid w:val="00D32383"/>
    <w:rsid w:val="00D32409"/>
    <w:rsid w:val="00D32652"/>
    <w:rsid w:val="00D32CFA"/>
    <w:rsid w:val="00D32EC2"/>
    <w:rsid w:val="00D337B7"/>
    <w:rsid w:val="00D339C0"/>
    <w:rsid w:val="00D33E01"/>
    <w:rsid w:val="00D33EAD"/>
    <w:rsid w:val="00D34000"/>
    <w:rsid w:val="00D34275"/>
    <w:rsid w:val="00D3436D"/>
    <w:rsid w:val="00D34466"/>
    <w:rsid w:val="00D3451F"/>
    <w:rsid w:val="00D34600"/>
    <w:rsid w:val="00D3477E"/>
    <w:rsid w:val="00D349DD"/>
    <w:rsid w:val="00D34B73"/>
    <w:rsid w:val="00D34BD5"/>
    <w:rsid w:val="00D34F58"/>
    <w:rsid w:val="00D3500A"/>
    <w:rsid w:val="00D35123"/>
    <w:rsid w:val="00D35303"/>
    <w:rsid w:val="00D35A79"/>
    <w:rsid w:val="00D35ABF"/>
    <w:rsid w:val="00D35D50"/>
    <w:rsid w:val="00D35DD6"/>
    <w:rsid w:val="00D35F45"/>
    <w:rsid w:val="00D3606B"/>
    <w:rsid w:val="00D363ED"/>
    <w:rsid w:val="00D365F8"/>
    <w:rsid w:val="00D366F5"/>
    <w:rsid w:val="00D368F8"/>
    <w:rsid w:val="00D36A4A"/>
    <w:rsid w:val="00D36CF7"/>
    <w:rsid w:val="00D36DD3"/>
    <w:rsid w:val="00D36EDC"/>
    <w:rsid w:val="00D3737E"/>
    <w:rsid w:val="00D376D9"/>
    <w:rsid w:val="00D37851"/>
    <w:rsid w:val="00D37C64"/>
    <w:rsid w:val="00D37CBA"/>
    <w:rsid w:val="00D37E9D"/>
    <w:rsid w:val="00D40827"/>
    <w:rsid w:val="00D408FA"/>
    <w:rsid w:val="00D40D3E"/>
    <w:rsid w:val="00D40F1C"/>
    <w:rsid w:val="00D4121B"/>
    <w:rsid w:val="00D4137D"/>
    <w:rsid w:val="00D41531"/>
    <w:rsid w:val="00D41B23"/>
    <w:rsid w:val="00D41C1F"/>
    <w:rsid w:val="00D41D63"/>
    <w:rsid w:val="00D41E9A"/>
    <w:rsid w:val="00D41F2F"/>
    <w:rsid w:val="00D4213B"/>
    <w:rsid w:val="00D423E7"/>
    <w:rsid w:val="00D42477"/>
    <w:rsid w:val="00D4266A"/>
    <w:rsid w:val="00D4292C"/>
    <w:rsid w:val="00D42968"/>
    <w:rsid w:val="00D429CF"/>
    <w:rsid w:val="00D42AAD"/>
    <w:rsid w:val="00D42CD1"/>
    <w:rsid w:val="00D42CD4"/>
    <w:rsid w:val="00D42D96"/>
    <w:rsid w:val="00D42E8C"/>
    <w:rsid w:val="00D42F6E"/>
    <w:rsid w:val="00D4317E"/>
    <w:rsid w:val="00D43474"/>
    <w:rsid w:val="00D43A52"/>
    <w:rsid w:val="00D43E2A"/>
    <w:rsid w:val="00D4408D"/>
    <w:rsid w:val="00D44506"/>
    <w:rsid w:val="00D44877"/>
    <w:rsid w:val="00D44E0B"/>
    <w:rsid w:val="00D44F94"/>
    <w:rsid w:val="00D4508B"/>
    <w:rsid w:val="00D45236"/>
    <w:rsid w:val="00D4534F"/>
    <w:rsid w:val="00D455A9"/>
    <w:rsid w:val="00D456BA"/>
    <w:rsid w:val="00D45752"/>
    <w:rsid w:val="00D4579D"/>
    <w:rsid w:val="00D45910"/>
    <w:rsid w:val="00D45BB0"/>
    <w:rsid w:val="00D45E31"/>
    <w:rsid w:val="00D45FAF"/>
    <w:rsid w:val="00D46321"/>
    <w:rsid w:val="00D46561"/>
    <w:rsid w:val="00D465CD"/>
    <w:rsid w:val="00D466FD"/>
    <w:rsid w:val="00D46A33"/>
    <w:rsid w:val="00D46B96"/>
    <w:rsid w:val="00D46F6B"/>
    <w:rsid w:val="00D4737F"/>
    <w:rsid w:val="00D474A8"/>
    <w:rsid w:val="00D4782D"/>
    <w:rsid w:val="00D4791F"/>
    <w:rsid w:val="00D47B25"/>
    <w:rsid w:val="00D47B8D"/>
    <w:rsid w:val="00D47E12"/>
    <w:rsid w:val="00D47E59"/>
    <w:rsid w:val="00D47ECA"/>
    <w:rsid w:val="00D47EE7"/>
    <w:rsid w:val="00D5001A"/>
    <w:rsid w:val="00D500A7"/>
    <w:rsid w:val="00D501B1"/>
    <w:rsid w:val="00D50251"/>
    <w:rsid w:val="00D5073E"/>
    <w:rsid w:val="00D50765"/>
    <w:rsid w:val="00D508B5"/>
    <w:rsid w:val="00D50BFF"/>
    <w:rsid w:val="00D5113F"/>
    <w:rsid w:val="00D51365"/>
    <w:rsid w:val="00D514E2"/>
    <w:rsid w:val="00D5155E"/>
    <w:rsid w:val="00D51886"/>
    <w:rsid w:val="00D51888"/>
    <w:rsid w:val="00D5196D"/>
    <w:rsid w:val="00D51DF2"/>
    <w:rsid w:val="00D51FC5"/>
    <w:rsid w:val="00D5211F"/>
    <w:rsid w:val="00D52596"/>
    <w:rsid w:val="00D52CC6"/>
    <w:rsid w:val="00D52E01"/>
    <w:rsid w:val="00D52FD6"/>
    <w:rsid w:val="00D536BC"/>
    <w:rsid w:val="00D53905"/>
    <w:rsid w:val="00D53D41"/>
    <w:rsid w:val="00D54011"/>
    <w:rsid w:val="00D5424D"/>
    <w:rsid w:val="00D542D1"/>
    <w:rsid w:val="00D546E2"/>
    <w:rsid w:val="00D54BA8"/>
    <w:rsid w:val="00D550B8"/>
    <w:rsid w:val="00D55233"/>
    <w:rsid w:val="00D552B2"/>
    <w:rsid w:val="00D5561F"/>
    <w:rsid w:val="00D55861"/>
    <w:rsid w:val="00D55943"/>
    <w:rsid w:val="00D55AB6"/>
    <w:rsid w:val="00D55B0C"/>
    <w:rsid w:val="00D55FDC"/>
    <w:rsid w:val="00D560DF"/>
    <w:rsid w:val="00D56130"/>
    <w:rsid w:val="00D563D0"/>
    <w:rsid w:val="00D565D6"/>
    <w:rsid w:val="00D5682B"/>
    <w:rsid w:val="00D569A8"/>
    <w:rsid w:val="00D56AA5"/>
    <w:rsid w:val="00D56B1C"/>
    <w:rsid w:val="00D56B43"/>
    <w:rsid w:val="00D56BD5"/>
    <w:rsid w:val="00D56CAE"/>
    <w:rsid w:val="00D56FCD"/>
    <w:rsid w:val="00D5718D"/>
    <w:rsid w:val="00D5730E"/>
    <w:rsid w:val="00D57387"/>
    <w:rsid w:val="00D573E6"/>
    <w:rsid w:val="00D5759A"/>
    <w:rsid w:val="00D57633"/>
    <w:rsid w:val="00D57661"/>
    <w:rsid w:val="00D6048C"/>
    <w:rsid w:val="00D604ED"/>
    <w:rsid w:val="00D606A8"/>
    <w:rsid w:val="00D60802"/>
    <w:rsid w:val="00D60B9A"/>
    <w:rsid w:val="00D61010"/>
    <w:rsid w:val="00D61195"/>
    <w:rsid w:val="00D611E6"/>
    <w:rsid w:val="00D61247"/>
    <w:rsid w:val="00D61488"/>
    <w:rsid w:val="00D61CA6"/>
    <w:rsid w:val="00D61DA2"/>
    <w:rsid w:val="00D61E31"/>
    <w:rsid w:val="00D61FA5"/>
    <w:rsid w:val="00D620F0"/>
    <w:rsid w:val="00D62295"/>
    <w:rsid w:val="00D623DD"/>
    <w:rsid w:val="00D62986"/>
    <w:rsid w:val="00D62AC1"/>
    <w:rsid w:val="00D62B0A"/>
    <w:rsid w:val="00D62CFB"/>
    <w:rsid w:val="00D62D25"/>
    <w:rsid w:val="00D63511"/>
    <w:rsid w:val="00D6357A"/>
    <w:rsid w:val="00D63774"/>
    <w:rsid w:val="00D63CE8"/>
    <w:rsid w:val="00D63E39"/>
    <w:rsid w:val="00D63FF2"/>
    <w:rsid w:val="00D640A4"/>
    <w:rsid w:val="00D64546"/>
    <w:rsid w:val="00D645E9"/>
    <w:rsid w:val="00D646FA"/>
    <w:rsid w:val="00D647BD"/>
    <w:rsid w:val="00D6485A"/>
    <w:rsid w:val="00D648EC"/>
    <w:rsid w:val="00D64903"/>
    <w:rsid w:val="00D64930"/>
    <w:rsid w:val="00D64A00"/>
    <w:rsid w:val="00D64E11"/>
    <w:rsid w:val="00D64F8D"/>
    <w:rsid w:val="00D64FA4"/>
    <w:rsid w:val="00D651C6"/>
    <w:rsid w:val="00D653CA"/>
    <w:rsid w:val="00D654C6"/>
    <w:rsid w:val="00D65838"/>
    <w:rsid w:val="00D65A2E"/>
    <w:rsid w:val="00D65D38"/>
    <w:rsid w:val="00D65D88"/>
    <w:rsid w:val="00D65E76"/>
    <w:rsid w:val="00D65ED0"/>
    <w:rsid w:val="00D65F6C"/>
    <w:rsid w:val="00D66124"/>
    <w:rsid w:val="00D66508"/>
    <w:rsid w:val="00D6658E"/>
    <w:rsid w:val="00D66611"/>
    <w:rsid w:val="00D6677C"/>
    <w:rsid w:val="00D6678B"/>
    <w:rsid w:val="00D66797"/>
    <w:rsid w:val="00D66919"/>
    <w:rsid w:val="00D66ABD"/>
    <w:rsid w:val="00D66B50"/>
    <w:rsid w:val="00D66BC1"/>
    <w:rsid w:val="00D66CA1"/>
    <w:rsid w:val="00D66DD9"/>
    <w:rsid w:val="00D670C8"/>
    <w:rsid w:val="00D676AF"/>
    <w:rsid w:val="00D677AB"/>
    <w:rsid w:val="00D6791F"/>
    <w:rsid w:val="00D67963"/>
    <w:rsid w:val="00D70204"/>
    <w:rsid w:val="00D704E2"/>
    <w:rsid w:val="00D70C45"/>
    <w:rsid w:val="00D70D9B"/>
    <w:rsid w:val="00D70F2A"/>
    <w:rsid w:val="00D713AB"/>
    <w:rsid w:val="00D714E3"/>
    <w:rsid w:val="00D7157D"/>
    <w:rsid w:val="00D71723"/>
    <w:rsid w:val="00D7180B"/>
    <w:rsid w:val="00D71823"/>
    <w:rsid w:val="00D71997"/>
    <w:rsid w:val="00D72267"/>
    <w:rsid w:val="00D72521"/>
    <w:rsid w:val="00D72AE7"/>
    <w:rsid w:val="00D73375"/>
    <w:rsid w:val="00D73410"/>
    <w:rsid w:val="00D73553"/>
    <w:rsid w:val="00D73641"/>
    <w:rsid w:val="00D736C0"/>
    <w:rsid w:val="00D73702"/>
    <w:rsid w:val="00D73716"/>
    <w:rsid w:val="00D738DD"/>
    <w:rsid w:val="00D73D0B"/>
    <w:rsid w:val="00D73F5B"/>
    <w:rsid w:val="00D73FCC"/>
    <w:rsid w:val="00D740DF"/>
    <w:rsid w:val="00D7426A"/>
    <w:rsid w:val="00D7458D"/>
    <w:rsid w:val="00D74590"/>
    <w:rsid w:val="00D74605"/>
    <w:rsid w:val="00D7474F"/>
    <w:rsid w:val="00D74996"/>
    <w:rsid w:val="00D74D69"/>
    <w:rsid w:val="00D74F0D"/>
    <w:rsid w:val="00D75215"/>
    <w:rsid w:val="00D7547C"/>
    <w:rsid w:val="00D754DC"/>
    <w:rsid w:val="00D75681"/>
    <w:rsid w:val="00D75A1C"/>
    <w:rsid w:val="00D75ABF"/>
    <w:rsid w:val="00D75C41"/>
    <w:rsid w:val="00D75C4C"/>
    <w:rsid w:val="00D75D47"/>
    <w:rsid w:val="00D75DEB"/>
    <w:rsid w:val="00D75E57"/>
    <w:rsid w:val="00D76010"/>
    <w:rsid w:val="00D7622D"/>
    <w:rsid w:val="00D7643C"/>
    <w:rsid w:val="00D764B4"/>
    <w:rsid w:val="00D76A39"/>
    <w:rsid w:val="00D76C69"/>
    <w:rsid w:val="00D76E5D"/>
    <w:rsid w:val="00D76F51"/>
    <w:rsid w:val="00D76FB6"/>
    <w:rsid w:val="00D76FF0"/>
    <w:rsid w:val="00D7708C"/>
    <w:rsid w:val="00D770DB"/>
    <w:rsid w:val="00D7765F"/>
    <w:rsid w:val="00D77F8F"/>
    <w:rsid w:val="00D8009B"/>
    <w:rsid w:val="00D800DE"/>
    <w:rsid w:val="00D80598"/>
    <w:rsid w:val="00D80695"/>
    <w:rsid w:val="00D80A56"/>
    <w:rsid w:val="00D80DF5"/>
    <w:rsid w:val="00D80E49"/>
    <w:rsid w:val="00D80E91"/>
    <w:rsid w:val="00D811B1"/>
    <w:rsid w:val="00D81907"/>
    <w:rsid w:val="00D81A9C"/>
    <w:rsid w:val="00D81ADE"/>
    <w:rsid w:val="00D81E48"/>
    <w:rsid w:val="00D81EE2"/>
    <w:rsid w:val="00D81F13"/>
    <w:rsid w:val="00D81F84"/>
    <w:rsid w:val="00D8210B"/>
    <w:rsid w:val="00D82135"/>
    <w:rsid w:val="00D821DE"/>
    <w:rsid w:val="00D823E8"/>
    <w:rsid w:val="00D82AEC"/>
    <w:rsid w:val="00D82B10"/>
    <w:rsid w:val="00D82BCA"/>
    <w:rsid w:val="00D82F24"/>
    <w:rsid w:val="00D83372"/>
    <w:rsid w:val="00D83399"/>
    <w:rsid w:val="00D837BD"/>
    <w:rsid w:val="00D83920"/>
    <w:rsid w:val="00D83937"/>
    <w:rsid w:val="00D839CA"/>
    <w:rsid w:val="00D83D49"/>
    <w:rsid w:val="00D83E94"/>
    <w:rsid w:val="00D841EA"/>
    <w:rsid w:val="00D84247"/>
    <w:rsid w:val="00D842EF"/>
    <w:rsid w:val="00D843D7"/>
    <w:rsid w:val="00D844F4"/>
    <w:rsid w:val="00D84A8B"/>
    <w:rsid w:val="00D84EFC"/>
    <w:rsid w:val="00D84F01"/>
    <w:rsid w:val="00D8505E"/>
    <w:rsid w:val="00D85163"/>
    <w:rsid w:val="00D8533E"/>
    <w:rsid w:val="00D85347"/>
    <w:rsid w:val="00D85399"/>
    <w:rsid w:val="00D85439"/>
    <w:rsid w:val="00D85466"/>
    <w:rsid w:val="00D85A77"/>
    <w:rsid w:val="00D85C9B"/>
    <w:rsid w:val="00D85E7B"/>
    <w:rsid w:val="00D85F51"/>
    <w:rsid w:val="00D860BF"/>
    <w:rsid w:val="00D87228"/>
    <w:rsid w:val="00D8740C"/>
    <w:rsid w:val="00D8743F"/>
    <w:rsid w:val="00D87573"/>
    <w:rsid w:val="00D87C00"/>
    <w:rsid w:val="00D87DAC"/>
    <w:rsid w:val="00D87E34"/>
    <w:rsid w:val="00D900EC"/>
    <w:rsid w:val="00D9049A"/>
    <w:rsid w:val="00D90849"/>
    <w:rsid w:val="00D9085A"/>
    <w:rsid w:val="00D9089F"/>
    <w:rsid w:val="00D908BD"/>
    <w:rsid w:val="00D90A89"/>
    <w:rsid w:val="00D90C3A"/>
    <w:rsid w:val="00D90D37"/>
    <w:rsid w:val="00D91056"/>
    <w:rsid w:val="00D915C3"/>
    <w:rsid w:val="00D91ADB"/>
    <w:rsid w:val="00D91E3A"/>
    <w:rsid w:val="00D91F98"/>
    <w:rsid w:val="00D92147"/>
    <w:rsid w:val="00D9233D"/>
    <w:rsid w:val="00D92C24"/>
    <w:rsid w:val="00D92DF2"/>
    <w:rsid w:val="00D934B6"/>
    <w:rsid w:val="00D934F5"/>
    <w:rsid w:val="00D938FA"/>
    <w:rsid w:val="00D939C2"/>
    <w:rsid w:val="00D93A1D"/>
    <w:rsid w:val="00D93BE0"/>
    <w:rsid w:val="00D93C45"/>
    <w:rsid w:val="00D93D05"/>
    <w:rsid w:val="00D94176"/>
    <w:rsid w:val="00D9422B"/>
    <w:rsid w:val="00D94433"/>
    <w:rsid w:val="00D944FD"/>
    <w:rsid w:val="00D9456E"/>
    <w:rsid w:val="00D94855"/>
    <w:rsid w:val="00D94AA5"/>
    <w:rsid w:val="00D94F7A"/>
    <w:rsid w:val="00D95189"/>
    <w:rsid w:val="00D95645"/>
    <w:rsid w:val="00D95931"/>
    <w:rsid w:val="00D959CE"/>
    <w:rsid w:val="00D95C2B"/>
    <w:rsid w:val="00D95E72"/>
    <w:rsid w:val="00D95EC7"/>
    <w:rsid w:val="00D96020"/>
    <w:rsid w:val="00D96316"/>
    <w:rsid w:val="00D963BD"/>
    <w:rsid w:val="00D96541"/>
    <w:rsid w:val="00D965CB"/>
    <w:rsid w:val="00D96737"/>
    <w:rsid w:val="00D96A35"/>
    <w:rsid w:val="00D96AC9"/>
    <w:rsid w:val="00D96BF2"/>
    <w:rsid w:val="00D96CEE"/>
    <w:rsid w:val="00D96D43"/>
    <w:rsid w:val="00D96E0F"/>
    <w:rsid w:val="00D96E51"/>
    <w:rsid w:val="00D96EB7"/>
    <w:rsid w:val="00D97086"/>
    <w:rsid w:val="00D970F7"/>
    <w:rsid w:val="00D9768A"/>
    <w:rsid w:val="00D9770B"/>
    <w:rsid w:val="00D97795"/>
    <w:rsid w:val="00D9792B"/>
    <w:rsid w:val="00D9796D"/>
    <w:rsid w:val="00D97A76"/>
    <w:rsid w:val="00D97D13"/>
    <w:rsid w:val="00D97D52"/>
    <w:rsid w:val="00D97D91"/>
    <w:rsid w:val="00DA0027"/>
    <w:rsid w:val="00DA00B4"/>
    <w:rsid w:val="00DA0270"/>
    <w:rsid w:val="00DA027A"/>
    <w:rsid w:val="00DA0961"/>
    <w:rsid w:val="00DA09D1"/>
    <w:rsid w:val="00DA0D1D"/>
    <w:rsid w:val="00DA0E37"/>
    <w:rsid w:val="00DA0FA5"/>
    <w:rsid w:val="00DA111B"/>
    <w:rsid w:val="00DA119E"/>
    <w:rsid w:val="00DA1607"/>
    <w:rsid w:val="00DA166F"/>
    <w:rsid w:val="00DA167E"/>
    <w:rsid w:val="00DA186A"/>
    <w:rsid w:val="00DA18D8"/>
    <w:rsid w:val="00DA1AB4"/>
    <w:rsid w:val="00DA1C0A"/>
    <w:rsid w:val="00DA1C6C"/>
    <w:rsid w:val="00DA1DC1"/>
    <w:rsid w:val="00DA219E"/>
    <w:rsid w:val="00DA241A"/>
    <w:rsid w:val="00DA24C6"/>
    <w:rsid w:val="00DA25CD"/>
    <w:rsid w:val="00DA283A"/>
    <w:rsid w:val="00DA2C07"/>
    <w:rsid w:val="00DA2D0F"/>
    <w:rsid w:val="00DA30F5"/>
    <w:rsid w:val="00DA3130"/>
    <w:rsid w:val="00DA35B0"/>
    <w:rsid w:val="00DA3627"/>
    <w:rsid w:val="00DA3B63"/>
    <w:rsid w:val="00DA3C72"/>
    <w:rsid w:val="00DA3C93"/>
    <w:rsid w:val="00DA3CC9"/>
    <w:rsid w:val="00DA3ED6"/>
    <w:rsid w:val="00DA4038"/>
    <w:rsid w:val="00DA40E4"/>
    <w:rsid w:val="00DA424C"/>
    <w:rsid w:val="00DA440F"/>
    <w:rsid w:val="00DA4A5B"/>
    <w:rsid w:val="00DA4AD4"/>
    <w:rsid w:val="00DA4B89"/>
    <w:rsid w:val="00DA4BEA"/>
    <w:rsid w:val="00DA4D50"/>
    <w:rsid w:val="00DA4EAF"/>
    <w:rsid w:val="00DA5150"/>
    <w:rsid w:val="00DA5152"/>
    <w:rsid w:val="00DA525B"/>
    <w:rsid w:val="00DA5293"/>
    <w:rsid w:val="00DA5C80"/>
    <w:rsid w:val="00DA5E97"/>
    <w:rsid w:val="00DA62AA"/>
    <w:rsid w:val="00DA62BA"/>
    <w:rsid w:val="00DA64C6"/>
    <w:rsid w:val="00DA64CE"/>
    <w:rsid w:val="00DA65C7"/>
    <w:rsid w:val="00DA66D3"/>
    <w:rsid w:val="00DA6A2E"/>
    <w:rsid w:val="00DA6D52"/>
    <w:rsid w:val="00DA6F14"/>
    <w:rsid w:val="00DA7142"/>
    <w:rsid w:val="00DA718E"/>
    <w:rsid w:val="00DA7735"/>
    <w:rsid w:val="00DA7781"/>
    <w:rsid w:val="00DA7DCA"/>
    <w:rsid w:val="00DA7E18"/>
    <w:rsid w:val="00DB001F"/>
    <w:rsid w:val="00DB00E9"/>
    <w:rsid w:val="00DB0104"/>
    <w:rsid w:val="00DB0946"/>
    <w:rsid w:val="00DB0A5D"/>
    <w:rsid w:val="00DB0A7F"/>
    <w:rsid w:val="00DB0E6D"/>
    <w:rsid w:val="00DB101D"/>
    <w:rsid w:val="00DB18ED"/>
    <w:rsid w:val="00DB18EE"/>
    <w:rsid w:val="00DB19E1"/>
    <w:rsid w:val="00DB1B5C"/>
    <w:rsid w:val="00DB1CAC"/>
    <w:rsid w:val="00DB1DB1"/>
    <w:rsid w:val="00DB1DC6"/>
    <w:rsid w:val="00DB1E53"/>
    <w:rsid w:val="00DB1FC1"/>
    <w:rsid w:val="00DB1FF6"/>
    <w:rsid w:val="00DB2154"/>
    <w:rsid w:val="00DB2284"/>
    <w:rsid w:val="00DB231A"/>
    <w:rsid w:val="00DB275E"/>
    <w:rsid w:val="00DB2775"/>
    <w:rsid w:val="00DB28AC"/>
    <w:rsid w:val="00DB2986"/>
    <w:rsid w:val="00DB2ABE"/>
    <w:rsid w:val="00DB2C40"/>
    <w:rsid w:val="00DB2E05"/>
    <w:rsid w:val="00DB2F2A"/>
    <w:rsid w:val="00DB30A4"/>
    <w:rsid w:val="00DB340A"/>
    <w:rsid w:val="00DB35E6"/>
    <w:rsid w:val="00DB3798"/>
    <w:rsid w:val="00DB39A1"/>
    <w:rsid w:val="00DB39F1"/>
    <w:rsid w:val="00DB3B0A"/>
    <w:rsid w:val="00DB3C2F"/>
    <w:rsid w:val="00DB3D00"/>
    <w:rsid w:val="00DB4089"/>
    <w:rsid w:val="00DB415C"/>
    <w:rsid w:val="00DB4558"/>
    <w:rsid w:val="00DB46EB"/>
    <w:rsid w:val="00DB476A"/>
    <w:rsid w:val="00DB4CA9"/>
    <w:rsid w:val="00DB4CF5"/>
    <w:rsid w:val="00DB4D79"/>
    <w:rsid w:val="00DB50CF"/>
    <w:rsid w:val="00DB5349"/>
    <w:rsid w:val="00DB537E"/>
    <w:rsid w:val="00DB53BA"/>
    <w:rsid w:val="00DB542F"/>
    <w:rsid w:val="00DB5705"/>
    <w:rsid w:val="00DB5783"/>
    <w:rsid w:val="00DB59B4"/>
    <w:rsid w:val="00DB5BA7"/>
    <w:rsid w:val="00DB5CDC"/>
    <w:rsid w:val="00DB5E91"/>
    <w:rsid w:val="00DB5F11"/>
    <w:rsid w:val="00DB5F25"/>
    <w:rsid w:val="00DB60AB"/>
    <w:rsid w:val="00DB6183"/>
    <w:rsid w:val="00DB67AF"/>
    <w:rsid w:val="00DB683B"/>
    <w:rsid w:val="00DB6DAD"/>
    <w:rsid w:val="00DB7096"/>
    <w:rsid w:val="00DB7D84"/>
    <w:rsid w:val="00DB7E0F"/>
    <w:rsid w:val="00DB7F88"/>
    <w:rsid w:val="00DC04B2"/>
    <w:rsid w:val="00DC04D8"/>
    <w:rsid w:val="00DC04FA"/>
    <w:rsid w:val="00DC086D"/>
    <w:rsid w:val="00DC0AD5"/>
    <w:rsid w:val="00DC0DBA"/>
    <w:rsid w:val="00DC0EA6"/>
    <w:rsid w:val="00DC10C5"/>
    <w:rsid w:val="00DC1162"/>
    <w:rsid w:val="00DC157E"/>
    <w:rsid w:val="00DC16F4"/>
    <w:rsid w:val="00DC18DB"/>
    <w:rsid w:val="00DC18E0"/>
    <w:rsid w:val="00DC1D00"/>
    <w:rsid w:val="00DC1E56"/>
    <w:rsid w:val="00DC26A3"/>
    <w:rsid w:val="00DC26AA"/>
    <w:rsid w:val="00DC2813"/>
    <w:rsid w:val="00DC2C01"/>
    <w:rsid w:val="00DC2DFC"/>
    <w:rsid w:val="00DC2E34"/>
    <w:rsid w:val="00DC2F06"/>
    <w:rsid w:val="00DC32A4"/>
    <w:rsid w:val="00DC331E"/>
    <w:rsid w:val="00DC3376"/>
    <w:rsid w:val="00DC35BB"/>
    <w:rsid w:val="00DC362B"/>
    <w:rsid w:val="00DC3812"/>
    <w:rsid w:val="00DC3ABA"/>
    <w:rsid w:val="00DC3C3E"/>
    <w:rsid w:val="00DC3CB9"/>
    <w:rsid w:val="00DC3EF0"/>
    <w:rsid w:val="00DC3F5B"/>
    <w:rsid w:val="00DC3FDC"/>
    <w:rsid w:val="00DC43F3"/>
    <w:rsid w:val="00DC451D"/>
    <w:rsid w:val="00DC45B0"/>
    <w:rsid w:val="00DC48A4"/>
    <w:rsid w:val="00DC48E2"/>
    <w:rsid w:val="00DC4958"/>
    <w:rsid w:val="00DC4EBB"/>
    <w:rsid w:val="00DC50AA"/>
    <w:rsid w:val="00DC5466"/>
    <w:rsid w:val="00DC5A10"/>
    <w:rsid w:val="00DC5B61"/>
    <w:rsid w:val="00DC5B90"/>
    <w:rsid w:val="00DC5D71"/>
    <w:rsid w:val="00DC5EDB"/>
    <w:rsid w:val="00DC5EF1"/>
    <w:rsid w:val="00DC61B5"/>
    <w:rsid w:val="00DC6294"/>
    <w:rsid w:val="00DC6485"/>
    <w:rsid w:val="00DC651E"/>
    <w:rsid w:val="00DC69DC"/>
    <w:rsid w:val="00DC6A17"/>
    <w:rsid w:val="00DC6AF8"/>
    <w:rsid w:val="00DC7143"/>
    <w:rsid w:val="00DC723C"/>
    <w:rsid w:val="00DC72E8"/>
    <w:rsid w:val="00DC7304"/>
    <w:rsid w:val="00DC762A"/>
    <w:rsid w:val="00DC7678"/>
    <w:rsid w:val="00DC7815"/>
    <w:rsid w:val="00DC7C31"/>
    <w:rsid w:val="00DD00C7"/>
    <w:rsid w:val="00DD00F0"/>
    <w:rsid w:val="00DD0156"/>
    <w:rsid w:val="00DD04D8"/>
    <w:rsid w:val="00DD0A19"/>
    <w:rsid w:val="00DD0A64"/>
    <w:rsid w:val="00DD0DB5"/>
    <w:rsid w:val="00DD0F3A"/>
    <w:rsid w:val="00DD10D0"/>
    <w:rsid w:val="00DD16B6"/>
    <w:rsid w:val="00DD1C58"/>
    <w:rsid w:val="00DD1DD2"/>
    <w:rsid w:val="00DD1DE7"/>
    <w:rsid w:val="00DD2B74"/>
    <w:rsid w:val="00DD2BA5"/>
    <w:rsid w:val="00DD2CA7"/>
    <w:rsid w:val="00DD2D4A"/>
    <w:rsid w:val="00DD2EB1"/>
    <w:rsid w:val="00DD2FA4"/>
    <w:rsid w:val="00DD2FCC"/>
    <w:rsid w:val="00DD334F"/>
    <w:rsid w:val="00DD37C6"/>
    <w:rsid w:val="00DD38C1"/>
    <w:rsid w:val="00DD3C0D"/>
    <w:rsid w:val="00DD3D92"/>
    <w:rsid w:val="00DD3D9A"/>
    <w:rsid w:val="00DD3EA0"/>
    <w:rsid w:val="00DD415F"/>
    <w:rsid w:val="00DD41AE"/>
    <w:rsid w:val="00DD41CF"/>
    <w:rsid w:val="00DD421A"/>
    <w:rsid w:val="00DD42AD"/>
    <w:rsid w:val="00DD4314"/>
    <w:rsid w:val="00DD4C9E"/>
    <w:rsid w:val="00DD4E6F"/>
    <w:rsid w:val="00DD4E98"/>
    <w:rsid w:val="00DD5134"/>
    <w:rsid w:val="00DD523F"/>
    <w:rsid w:val="00DD52AD"/>
    <w:rsid w:val="00DD531E"/>
    <w:rsid w:val="00DD5779"/>
    <w:rsid w:val="00DD5820"/>
    <w:rsid w:val="00DD5B41"/>
    <w:rsid w:val="00DD5D48"/>
    <w:rsid w:val="00DD5E24"/>
    <w:rsid w:val="00DD5F6A"/>
    <w:rsid w:val="00DD614C"/>
    <w:rsid w:val="00DD6218"/>
    <w:rsid w:val="00DD6243"/>
    <w:rsid w:val="00DD6307"/>
    <w:rsid w:val="00DD6312"/>
    <w:rsid w:val="00DD658F"/>
    <w:rsid w:val="00DD69CE"/>
    <w:rsid w:val="00DD6C53"/>
    <w:rsid w:val="00DD6F51"/>
    <w:rsid w:val="00DD71F1"/>
    <w:rsid w:val="00DD796B"/>
    <w:rsid w:val="00DD7CEA"/>
    <w:rsid w:val="00DD7F4A"/>
    <w:rsid w:val="00DE00AC"/>
    <w:rsid w:val="00DE086E"/>
    <w:rsid w:val="00DE094E"/>
    <w:rsid w:val="00DE0D85"/>
    <w:rsid w:val="00DE0E1D"/>
    <w:rsid w:val="00DE0EDD"/>
    <w:rsid w:val="00DE0F7D"/>
    <w:rsid w:val="00DE10E0"/>
    <w:rsid w:val="00DE1410"/>
    <w:rsid w:val="00DE1A3C"/>
    <w:rsid w:val="00DE231F"/>
    <w:rsid w:val="00DE2395"/>
    <w:rsid w:val="00DE2488"/>
    <w:rsid w:val="00DE2584"/>
    <w:rsid w:val="00DE2594"/>
    <w:rsid w:val="00DE2838"/>
    <w:rsid w:val="00DE2922"/>
    <w:rsid w:val="00DE29E3"/>
    <w:rsid w:val="00DE3031"/>
    <w:rsid w:val="00DE3304"/>
    <w:rsid w:val="00DE338E"/>
    <w:rsid w:val="00DE3551"/>
    <w:rsid w:val="00DE36D8"/>
    <w:rsid w:val="00DE37D2"/>
    <w:rsid w:val="00DE38D8"/>
    <w:rsid w:val="00DE3D44"/>
    <w:rsid w:val="00DE3D8D"/>
    <w:rsid w:val="00DE3E24"/>
    <w:rsid w:val="00DE409D"/>
    <w:rsid w:val="00DE40B3"/>
    <w:rsid w:val="00DE442A"/>
    <w:rsid w:val="00DE495C"/>
    <w:rsid w:val="00DE49E9"/>
    <w:rsid w:val="00DE49FF"/>
    <w:rsid w:val="00DE4D56"/>
    <w:rsid w:val="00DE4DAA"/>
    <w:rsid w:val="00DE5125"/>
    <w:rsid w:val="00DE5548"/>
    <w:rsid w:val="00DE55E6"/>
    <w:rsid w:val="00DE58CD"/>
    <w:rsid w:val="00DE6488"/>
    <w:rsid w:val="00DE64F1"/>
    <w:rsid w:val="00DE6658"/>
    <w:rsid w:val="00DE6A5B"/>
    <w:rsid w:val="00DE6E13"/>
    <w:rsid w:val="00DE6E15"/>
    <w:rsid w:val="00DE6E9F"/>
    <w:rsid w:val="00DE71C7"/>
    <w:rsid w:val="00DE7439"/>
    <w:rsid w:val="00DE7921"/>
    <w:rsid w:val="00DE7FCC"/>
    <w:rsid w:val="00DF0009"/>
    <w:rsid w:val="00DF01E5"/>
    <w:rsid w:val="00DF06C9"/>
    <w:rsid w:val="00DF07EA"/>
    <w:rsid w:val="00DF08AE"/>
    <w:rsid w:val="00DF08CF"/>
    <w:rsid w:val="00DF0A0B"/>
    <w:rsid w:val="00DF0F81"/>
    <w:rsid w:val="00DF12C4"/>
    <w:rsid w:val="00DF141D"/>
    <w:rsid w:val="00DF1555"/>
    <w:rsid w:val="00DF17CC"/>
    <w:rsid w:val="00DF1802"/>
    <w:rsid w:val="00DF1A24"/>
    <w:rsid w:val="00DF1A46"/>
    <w:rsid w:val="00DF21EF"/>
    <w:rsid w:val="00DF21F3"/>
    <w:rsid w:val="00DF224F"/>
    <w:rsid w:val="00DF2577"/>
    <w:rsid w:val="00DF28C0"/>
    <w:rsid w:val="00DF2A3A"/>
    <w:rsid w:val="00DF2ADC"/>
    <w:rsid w:val="00DF2B42"/>
    <w:rsid w:val="00DF2C86"/>
    <w:rsid w:val="00DF307A"/>
    <w:rsid w:val="00DF315A"/>
    <w:rsid w:val="00DF3288"/>
    <w:rsid w:val="00DF331D"/>
    <w:rsid w:val="00DF3660"/>
    <w:rsid w:val="00DF3698"/>
    <w:rsid w:val="00DF36A0"/>
    <w:rsid w:val="00DF38B9"/>
    <w:rsid w:val="00DF3B29"/>
    <w:rsid w:val="00DF3C07"/>
    <w:rsid w:val="00DF3D42"/>
    <w:rsid w:val="00DF3DCD"/>
    <w:rsid w:val="00DF3E31"/>
    <w:rsid w:val="00DF3E3A"/>
    <w:rsid w:val="00DF4078"/>
    <w:rsid w:val="00DF416B"/>
    <w:rsid w:val="00DF4388"/>
    <w:rsid w:val="00DF44CF"/>
    <w:rsid w:val="00DF455E"/>
    <w:rsid w:val="00DF456A"/>
    <w:rsid w:val="00DF4675"/>
    <w:rsid w:val="00DF476B"/>
    <w:rsid w:val="00DF48C9"/>
    <w:rsid w:val="00DF4993"/>
    <w:rsid w:val="00DF49F8"/>
    <w:rsid w:val="00DF4C63"/>
    <w:rsid w:val="00DF4FDB"/>
    <w:rsid w:val="00DF4FF8"/>
    <w:rsid w:val="00DF51A7"/>
    <w:rsid w:val="00DF5258"/>
    <w:rsid w:val="00DF538F"/>
    <w:rsid w:val="00DF55A3"/>
    <w:rsid w:val="00DF6013"/>
    <w:rsid w:val="00DF605B"/>
    <w:rsid w:val="00DF6073"/>
    <w:rsid w:val="00DF60CA"/>
    <w:rsid w:val="00DF60ED"/>
    <w:rsid w:val="00DF6120"/>
    <w:rsid w:val="00DF61B5"/>
    <w:rsid w:val="00DF6272"/>
    <w:rsid w:val="00DF649D"/>
    <w:rsid w:val="00DF6776"/>
    <w:rsid w:val="00DF6804"/>
    <w:rsid w:val="00DF68AA"/>
    <w:rsid w:val="00DF6C66"/>
    <w:rsid w:val="00DF6E61"/>
    <w:rsid w:val="00DF6EC0"/>
    <w:rsid w:val="00DF7080"/>
    <w:rsid w:val="00DF7247"/>
    <w:rsid w:val="00DF72AD"/>
    <w:rsid w:val="00DF72D3"/>
    <w:rsid w:val="00DF7348"/>
    <w:rsid w:val="00DF7716"/>
    <w:rsid w:val="00DF77DB"/>
    <w:rsid w:val="00DF7803"/>
    <w:rsid w:val="00DF7858"/>
    <w:rsid w:val="00DF7C50"/>
    <w:rsid w:val="00DF7D40"/>
    <w:rsid w:val="00DF7DAC"/>
    <w:rsid w:val="00E00000"/>
    <w:rsid w:val="00E0021D"/>
    <w:rsid w:val="00E0038B"/>
    <w:rsid w:val="00E0043A"/>
    <w:rsid w:val="00E00624"/>
    <w:rsid w:val="00E00DA9"/>
    <w:rsid w:val="00E00EDD"/>
    <w:rsid w:val="00E0177E"/>
    <w:rsid w:val="00E01787"/>
    <w:rsid w:val="00E018AA"/>
    <w:rsid w:val="00E0191A"/>
    <w:rsid w:val="00E019B9"/>
    <w:rsid w:val="00E01ACE"/>
    <w:rsid w:val="00E01D40"/>
    <w:rsid w:val="00E02625"/>
    <w:rsid w:val="00E02639"/>
    <w:rsid w:val="00E02DA9"/>
    <w:rsid w:val="00E02DEB"/>
    <w:rsid w:val="00E0303C"/>
    <w:rsid w:val="00E031DF"/>
    <w:rsid w:val="00E03216"/>
    <w:rsid w:val="00E03391"/>
    <w:rsid w:val="00E0378D"/>
    <w:rsid w:val="00E03835"/>
    <w:rsid w:val="00E03929"/>
    <w:rsid w:val="00E03A73"/>
    <w:rsid w:val="00E03EE0"/>
    <w:rsid w:val="00E042EC"/>
    <w:rsid w:val="00E044E7"/>
    <w:rsid w:val="00E044EE"/>
    <w:rsid w:val="00E0460D"/>
    <w:rsid w:val="00E04628"/>
    <w:rsid w:val="00E0473F"/>
    <w:rsid w:val="00E04C8E"/>
    <w:rsid w:val="00E04D3E"/>
    <w:rsid w:val="00E04E05"/>
    <w:rsid w:val="00E0547C"/>
    <w:rsid w:val="00E05672"/>
    <w:rsid w:val="00E056E9"/>
    <w:rsid w:val="00E0574E"/>
    <w:rsid w:val="00E05C81"/>
    <w:rsid w:val="00E05DA9"/>
    <w:rsid w:val="00E06635"/>
    <w:rsid w:val="00E067C2"/>
    <w:rsid w:val="00E0680B"/>
    <w:rsid w:val="00E0680C"/>
    <w:rsid w:val="00E069D6"/>
    <w:rsid w:val="00E06A2A"/>
    <w:rsid w:val="00E06FFB"/>
    <w:rsid w:val="00E07020"/>
    <w:rsid w:val="00E07111"/>
    <w:rsid w:val="00E07195"/>
    <w:rsid w:val="00E074EF"/>
    <w:rsid w:val="00E076B5"/>
    <w:rsid w:val="00E078DE"/>
    <w:rsid w:val="00E07A75"/>
    <w:rsid w:val="00E07C65"/>
    <w:rsid w:val="00E07D82"/>
    <w:rsid w:val="00E07F6B"/>
    <w:rsid w:val="00E07F96"/>
    <w:rsid w:val="00E10001"/>
    <w:rsid w:val="00E10427"/>
    <w:rsid w:val="00E106A1"/>
    <w:rsid w:val="00E106FF"/>
    <w:rsid w:val="00E1076A"/>
    <w:rsid w:val="00E1088D"/>
    <w:rsid w:val="00E10999"/>
    <w:rsid w:val="00E10A88"/>
    <w:rsid w:val="00E10B76"/>
    <w:rsid w:val="00E10D7D"/>
    <w:rsid w:val="00E11084"/>
    <w:rsid w:val="00E111A4"/>
    <w:rsid w:val="00E11263"/>
    <w:rsid w:val="00E112E0"/>
    <w:rsid w:val="00E1178E"/>
    <w:rsid w:val="00E117E5"/>
    <w:rsid w:val="00E11946"/>
    <w:rsid w:val="00E11988"/>
    <w:rsid w:val="00E11A8D"/>
    <w:rsid w:val="00E11B9D"/>
    <w:rsid w:val="00E120CE"/>
    <w:rsid w:val="00E121E9"/>
    <w:rsid w:val="00E1229C"/>
    <w:rsid w:val="00E12723"/>
    <w:rsid w:val="00E128C9"/>
    <w:rsid w:val="00E12F3E"/>
    <w:rsid w:val="00E130B6"/>
    <w:rsid w:val="00E1315A"/>
    <w:rsid w:val="00E13295"/>
    <w:rsid w:val="00E1332B"/>
    <w:rsid w:val="00E133C4"/>
    <w:rsid w:val="00E134DD"/>
    <w:rsid w:val="00E13A59"/>
    <w:rsid w:val="00E13CBC"/>
    <w:rsid w:val="00E13CEA"/>
    <w:rsid w:val="00E14074"/>
    <w:rsid w:val="00E14244"/>
    <w:rsid w:val="00E142B1"/>
    <w:rsid w:val="00E142C4"/>
    <w:rsid w:val="00E143B9"/>
    <w:rsid w:val="00E1449A"/>
    <w:rsid w:val="00E1465A"/>
    <w:rsid w:val="00E14AB6"/>
    <w:rsid w:val="00E14BE2"/>
    <w:rsid w:val="00E14C35"/>
    <w:rsid w:val="00E15526"/>
    <w:rsid w:val="00E15527"/>
    <w:rsid w:val="00E155BF"/>
    <w:rsid w:val="00E156ED"/>
    <w:rsid w:val="00E159A4"/>
    <w:rsid w:val="00E15C1A"/>
    <w:rsid w:val="00E15C5F"/>
    <w:rsid w:val="00E15CC7"/>
    <w:rsid w:val="00E15EAB"/>
    <w:rsid w:val="00E15FB7"/>
    <w:rsid w:val="00E15FC9"/>
    <w:rsid w:val="00E16103"/>
    <w:rsid w:val="00E161CE"/>
    <w:rsid w:val="00E16211"/>
    <w:rsid w:val="00E167A5"/>
    <w:rsid w:val="00E167E2"/>
    <w:rsid w:val="00E16AE5"/>
    <w:rsid w:val="00E16C21"/>
    <w:rsid w:val="00E16E02"/>
    <w:rsid w:val="00E1715B"/>
    <w:rsid w:val="00E17374"/>
    <w:rsid w:val="00E173CC"/>
    <w:rsid w:val="00E17458"/>
    <w:rsid w:val="00E1765B"/>
    <w:rsid w:val="00E17672"/>
    <w:rsid w:val="00E17B3F"/>
    <w:rsid w:val="00E17B42"/>
    <w:rsid w:val="00E17C0D"/>
    <w:rsid w:val="00E17D44"/>
    <w:rsid w:val="00E17F36"/>
    <w:rsid w:val="00E200C2"/>
    <w:rsid w:val="00E201BE"/>
    <w:rsid w:val="00E206A9"/>
    <w:rsid w:val="00E20B3E"/>
    <w:rsid w:val="00E20B74"/>
    <w:rsid w:val="00E20B8C"/>
    <w:rsid w:val="00E20C3D"/>
    <w:rsid w:val="00E20E81"/>
    <w:rsid w:val="00E20F3D"/>
    <w:rsid w:val="00E20F8E"/>
    <w:rsid w:val="00E2112C"/>
    <w:rsid w:val="00E21585"/>
    <w:rsid w:val="00E216AB"/>
    <w:rsid w:val="00E21704"/>
    <w:rsid w:val="00E21808"/>
    <w:rsid w:val="00E21A74"/>
    <w:rsid w:val="00E21C08"/>
    <w:rsid w:val="00E21CE6"/>
    <w:rsid w:val="00E22048"/>
    <w:rsid w:val="00E22206"/>
    <w:rsid w:val="00E229F8"/>
    <w:rsid w:val="00E22ABF"/>
    <w:rsid w:val="00E22B0D"/>
    <w:rsid w:val="00E23121"/>
    <w:rsid w:val="00E233FB"/>
    <w:rsid w:val="00E23411"/>
    <w:rsid w:val="00E23724"/>
    <w:rsid w:val="00E23B87"/>
    <w:rsid w:val="00E23D5E"/>
    <w:rsid w:val="00E246DE"/>
    <w:rsid w:val="00E24A1E"/>
    <w:rsid w:val="00E24FE1"/>
    <w:rsid w:val="00E25248"/>
    <w:rsid w:val="00E25378"/>
    <w:rsid w:val="00E255CB"/>
    <w:rsid w:val="00E25924"/>
    <w:rsid w:val="00E25A13"/>
    <w:rsid w:val="00E25AA8"/>
    <w:rsid w:val="00E25E79"/>
    <w:rsid w:val="00E26024"/>
    <w:rsid w:val="00E265C2"/>
    <w:rsid w:val="00E26876"/>
    <w:rsid w:val="00E26936"/>
    <w:rsid w:val="00E26A13"/>
    <w:rsid w:val="00E26C02"/>
    <w:rsid w:val="00E26C91"/>
    <w:rsid w:val="00E26DE7"/>
    <w:rsid w:val="00E26DEA"/>
    <w:rsid w:val="00E27029"/>
    <w:rsid w:val="00E2717A"/>
    <w:rsid w:val="00E271B2"/>
    <w:rsid w:val="00E2738B"/>
    <w:rsid w:val="00E2744D"/>
    <w:rsid w:val="00E27575"/>
    <w:rsid w:val="00E275EA"/>
    <w:rsid w:val="00E27711"/>
    <w:rsid w:val="00E27A05"/>
    <w:rsid w:val="00E27B19"/>
    <w:rsid w:val="00E27CDB"/>
    <w:rsid w:val="00E27F41"/>
    <w:rsid w:val="00E300D7"/>
    <w:rsid w:val="00E30425"/>
    <w:rsid w:val="00E306BE"/>
    <w:rsid w:val="00E307F1"/>
    <w:rsid w:val="00E3080A"/>
    <w:rsid w:val="00E30931"/>
    <w:rsid w:val="00E30CF3"/>
    <w:rsid w:val="00E30F70"/>
    <w:rsid w:val="00E31155"/>
    <w:rsid w:val="00E31597"/>
    <w:rsid w:val="00E31599"/>
    <w:rsid w:val="00E319CD"/>
    <w:rsid w:val="00E31A30"/>
    <w:rsid w:val="00E31E7A"/>
    <w:rsid w:val="00E31F3E"/>
    <w:rsid w:val="00E3213B"/>
    <w:rsid w:val="00E321B7"/>
    <w:rsid w:val="00E32242"/>
    <w:rsid w:val="00E3243C"/>
    <w:rsid w:val="00E325B0"/>
    <w:rsid w:val="00E326EE"/>
    <w:rsid w:val="00E32A23"/>
    <w:rsid w:val="00E32BA4"/>
    <w:rsid w:val="00E32D9C"/>
    <w:rsid w:val="00E32E64"/>
    <w:rsid w:val="00E32F49"/>
    <w:rsid w:val="00E33251"/>
    <w:rsid w:val="00E33300"/>
    <w:rsid w:val="00E333D1"/>
    <w:rsid w:val="00E334A9"/>
    <w:rsid w:val="00E33B98"/>
    <w:rsid w:val="00E33EBC"/>
    <w:rsid w:val="00E3403C"/>
    <w:rsid w:val="00E34304"/>
    <w:rsid w:val="00E34309"/>
    <w:rsid w:val="00E34520"/>
    <w:rsid w:val="00E3471B"/>
    <w:rsid w:val="00E3472D"/>
    <w:rsid w:val="00E34E40"/>
    <w:rsid w:val="00E34E87"/>
    <w:rsid w:val="00E34F70"/>
    <w:rsid w:val="00E350DD"/>
    <w:rsid w:val="00E356D0"/>
    <w:rsid w:val="00E356FC"/>
    <w:rsid w:val="00E35995"/>
    <w:rsid w:val="00E359B9"/>
    <w:rsid w:val="00E35EF1"/>
    <w:rsid w:val="00E36051"/>
    <w:rsid w:val="00E36136"/>
    <w:rsid w:val="00E363A3"/>
    <w:rsid w:val="00E3655E"/>
    <w:rsid w:val="00E368CB"/>
    <w:rsid w:val="00E36BFD"/>
    <w:rsid w:val="00E36DA4"/>
    <w:rsid w:val="00E36DF6"/>
    <w:rsid w:val="00E36E59"/>
    <w:rsid w:val="00E37167"/>
    <w:rsid w:val="00E37362"/>
    <w:rsid w:val="00E37453"/>
    <w:rsid w:val="00E375F8"/>
    <w:rsid w:val="00E376C0"/>
    <w:rsid w:val="00E378CF"/>
    <w:rsid w:val="00E37B51"/>
    <w:rsid w:val="00E4007E"/>
    <w:rsid w:val="00E400AA"/>
    <w:rsid w:val="00E402E3"/>
    <w:rsid w:val="00E403F0"/>
    <w:rsid w:val="00E40887"/>
    <w:rsid w:val="00E40AF0"/>
    <w:rsid w:val="00E40BD5"/>
    <w:rsid w:val="00E40D74"/>
    <w:rsid w:val="00E40DAD"/>
    <w:rsid w:val="00E40FB3"/>
    <w:rsid w:val="00E410D7"/>
    <w:rsid w:val="00E4112A"/>
    <w:rsid w:val="00E4119A"/>
    <w:rsid w:val="00E411D9"/>
    <w:rsid w:val="00E412FF"/>
    <w:rsid w:val="00E4151C"/>
    <w:rsid w:val="00E417CE"/>
    <w:rsid w:val="00E41A1D"/>
    <w:rsid w:val="00E41B25"/>
    <w:rsid w:val="00E41ED6"/>
    <w:rsid w:val="00E42100"/>
    <w:rsid w:val="00E42247"/>
    <w:rsid w:val="00E42264"/>
    <w:rsid w:val="00E42319"/>
    <w:rsid w:val="00E423BA"/>
    <w:rsid w:val="00E42988"/>
    <w:rsid w:val="00E42A05"/>
    <w:rsid w:val="00E42AB6"/>
    <w:rsid w:val="00E42B86"/>
    <w:rsid w:val="00E42BC5"/>
    <w:rsid w:val="00E42CC6"/>
    <w:rsid w:val="00E42D2A"/>
    <w:rsid w:val="00E42E41"/>
    <w:rsid w:val="00E43115"/>
    <w:rsid w:val="00E4311B"/>
    <w:rsid w:val="00E432F5"/>
    <w:rsid w:val="00E4332B"/>
    <w:rsid w:val="00E43413"/>
    <w:rsid w:val="00E4350C"/>
    <w:rsid w:val="00E43AD9"/>
    <w:rsid w:val="00E43C52"/>
    <w:rsid w:val="00E43D00"/>
    <w:rsid w:val="00E43E40"/>
    <w:rsid w:val="00E43F26"/>
    <w:rsid w:val="00E440C6"/>
    <w:rsid w:val="00E44155"/>
    <w:rsid w:val="00E44247"/>
    <w:rsid w:val="00E4427C"/>
    <w:rsid w:val="00E44318"/>
    <w:rsid w:val="00E444E1"/>
    <w:rsid w:val="00E44770"/>
    <w:rsid w:val="00E44789"/>
    <w:rsid w:val="00E44803"/>
    <w:rsid w:val="00E44AAE"/>
    <w:rsid w:val="00E44BCE"/>
    <w:rsid w:val="00E44C41"/>
    <w:rsid w:val="00E44C48"/>
    <w:rsid w:val="00E44D17"/>
    <w:rsid w:val="00E44EED"/>
    <w:rsid w:val="00E451B7"/>
    <w:rsid w:val="00E4578E"/>
    <w:rsid w:val="00E45822"/>
    <w:rsid w:val="00E45AFE"/>
    <w:rsid w:val="00E45B8D"/>
    <w:rsid w:val="00E45D90"/>
    <w:rsid w:val="00E45EEC"/>
    <w:rsid w:val="00E45F91"/>
    <w:rsid w:val="00E46201"/>
    <w:rsid w:val="00E46269"/>
    <w:rsid w:val="00E46D8F"/>
    <w:rsid w:val="00E46EB9"/>
    <w:rsid w:val="00E471E3"/>
    <w:rsid w:val="00E47876"/>
    <w:rsid w:val="00E47884"/>
    <w:rsid w:val="00E47B26"/>
    <w:rsid w:val="00E47C25"/>
    <w:rsid w:val="00E506E6"/>
    <w:rsid w:val="00E507EB"/>
    <w:rsid w:val="00E50872"/>
    <w:rsid w:val="00E5091F"/>
    <w:rsid w:val="00E50F7B"/>
    <w:rsid w:val="00E51396"/>
    <w:rsid w:val="00E51398"/>
    <w:rsid w:val="00E5146F"/>
    <w:rsid w:val="00E5153F"/>
    <w:rsid w:val="00E5158A"/>
    <w:rsid w:val="00E5160F"/>
    <w:rsid w:val="00E51ABF"/>
    <w:rsid w:val="00E51B38"/>
    <w:rsid w:val="00E51DC9"/>
    <w:rsid w:val="00E5207E"/>
    <w:rsid w:val="00E52373"/>
    <w:rsid w:val="00E5265A"/>
    <w:rsid w:val="00E5287C"/>
    <w:rsid w:val="00E52C9A"/>
    <w:rsid w:val="00E530B8"/>
    <w:rsid w:val="00E53269"/>
    <w:rsid w:val="00E5339A"/>
    <w:rsid w:val="00E53458"/>
    <w:rsid w:val="00E53645"/>
    <w:rsid w:val="00E53675"/>
    <w:rsid w:val="00E53880"/>
    <w:rsid w:val="00E53A27"/>
    <w:rsid w:val="00E53A5A"/>
    <w:rsid w:val="00E53B91"/>
    <w:rsid w:val="00E53BCD"/>
    <w:rsid w:val="00E53DF7"/>
    <w:rsid w:val="00E53F40"/>
    <w:rsid w:val="00E53FF7"/>
    <w:rsid w:val="00E541BD"/>
    <w:rsid w:val="00E544EE"/>
    <w:rsid w:val="00E546D1"/>
    <w:rsid w:val="00E54A42"/>
    <w:rsid w:val="00E54B17"/>
    <w:rsid w:val="00E54B1F"/>
    <w:rsid w:val="00E54B41"/>
    <w:rsid w:val="00E54C32"/>
    <w:rsid w:val="00E55029"/>
    <w:rsid w:val="00E55289"/>
    <w:rsid w:val="00E552B9"/>
    <w:rsid w:val="00E552BF"/>
    <w:rsid w:val="00E55346"/>
    <w:rsid w:val="00E55518"/>
    <w:rsid w:val="00E555FF"/>
    <w:rsid w:val="00E55620"/>
    <w:rsid w:val="00E5562C"/>
    <w:rsid w:val="00E55755"/>
    <w:rsid w:val="00E55B53"/>
    <w:rsid w:val="00E55B9C"/>
    <w:rsid w:val="00E562C9"/>
    <w:rsid w:val="00E5653C"/>
    <w:rsid w:val="00E5658D"/>
    <w:rsid w:val="00E56593"/>
    <w:rsid w:val="00E56AA8"/>
    <w:rsid w:val="00E56AD9"/>
    <w:rsid w:val="00E56BA9"/>
    <w:rsid w:val="00E56BEA"/>
    <w:rsid w:val="00E56EB0"/>
    <w:rsid w:val="00E56F14"/>
    <w:rsid w:val="00E5711D"/>
    <w:rsid w:val="00E57417"/>
    <w:rsid w:val="00E574C0"/>
    <w:rsid w:val="00E57574"/>
    <w:rsid w:val="00E5765E"/>
    <w:rsid w:val="00E57697"/>
    <w:rsid w:val="00E5771C"/>
    <w:rsid w:val="00E577C2"/>
    <w:rsid w:val="00E577DB"/>
    <w:rsid w:val="00E579B3"/>
    <w:rsid w:val="00E579DF"/>
    <w:rsid w:val="00E57EF5"/>
    <w:rsid w:val="00E57FE6"/>
    <w:rsid w:val="00E6001A"/>
    <w:rsid w:val="00E601F3"/>
    <w:rsid w:val="00E6028D"/>
    <w:rsid w:val="00E603CC"/>
    <w:rsid w:val="00E60462"/>
    <w:rsid w:val="00E60530"/>
    <w:rsid w:val="00E6068F"/>
    <w:rsid w:val="00E608C8"/>
    <w:rsid w:val="00E60B74"/>
    <w:rsid w:val="00E60B88"/>
    <w:rsid w:val="00E60D63"/>
    <w:rsid w:val="00E60E5C"/>
    <w:rsid w:val="00E60F84"/>
    <w:rsid w:val="00E6106F"/>
    <w:rsid w:val="00E611A5"/>
    <w:rsid w:val="00E611C8"/>
    <w:rsid w:val="00E6120E"/>
    <w:rsid w:val="00E613B8"/>
    <w:rsid w:val="00E614DB"/>
    <w:rsid w:val="00E6183F"/>
    <w:rsid w:val="00E618B2"/>
    <w:rsid w:val="00E61B86"/>
    <w:rsid w:val="00E61CD8"/>
    <w:rsid w:val="00E61F75"/>
    <w:rsid w:val="00E6200B"/>
    <w:rsid w:val="00E6235B"/>
    <w:rsid w:val="00E625E0"/>
    <w:rsid w:val="00E6278D"/>
    <w:rsid w:val="00E62B2F"/>
    <w:rsid w:val="00E62B88"/>
    <w:rsid w:val="00E62DD1"/>
    <w:rsid w:val="00E62DFB"/>
    <w:rsid w:val="00E62F88"/>
    <w:rsid w:val="00E632D0"/>
    <w:rsid w:val="00E632D8"/>
    <w:rsid w:val="00E632FD"/>
    <w:rsid w:val="00E634E0"/>
    <w:rsid w:val="00E63809"/>
    <w:rsid w:val="00E63856"/>
    <w:rsid w:val="00E638A7"/>
    <w:rsid w:val="00E6399D"/>
    <w:rsid w:val="00E63AB6"/>
    <w:rsid w:val="00E63DC0"/>
    <w:rsid w:val="00E63ED8"/>
    <w:rsid w:val="00E64087"/>
    <w:rsid w:val="00E64104"/>
    <w:rsid w:val="00E641EB"/>
    <w:rsid w:val="00E64318"/>
    <w:rsid w:val="00E645B4"/>
    <w:rsid w:val="00E64975"/>
    <w:rsid w:val="00E64AFD"/>
    <w:rsid w:val="00E64B59"/>
    <w:rsid w:val="00E64CC0"/>
    <w:rsid w:val="00E64ECA"/>
    <w:rsid w:val="00E6513A"/>
    <w:rsid w:val="00E656FD"/>
    <w:rsid w:val="00E65775"/>
    <w:rsid w:val="00E6643B"/>
    <w:rsid w:val="00E664E5"/>
    <w:rsid w:val="00E66546"/>
    <w:rsid w:val="00E6678C"/>
    <w:rsid w:val="00E667D1"/>
    <w:rsid w:val="00E6680B"/>
    <w:rsid w:val="00E66893"/>
    <w:rsid w:val="00E668CB"/>
    <w:rsid w:val="00E66927"/>
    <w:rsid w:val="00E66C9D"/>
    <w:rsid w:val="00E66ED9"/>
    <w:rsid w:val="00E66FE9"/>
    <w:rsid w:val="00E67090"/>
    <w:rsid w:val="00E672B9"/>
    <w:rsid w:val="00E673F3"/>
    <w:rsid w:val="00E67540"/>
    <w:rsid w:val="00E675DD"/>
    <w:rsid w:val="00E67BDE"/>
    <w:rsid w:val="00E7003F"/>
    <w:rsid w:val="00E70461"/>
    <w:rsid w:val="00E705C1"/>
    <w:rsid w:val="00E70646"/>
    <w:rsid w:val="00E70709"/>
    <w:rsid w:val="00E7070D"/>
    <w:rsid w:val="00E7079D"/>
    <w:rsid w:val="00E70AA4"/>
    <w:rsid w:val="00E70BF7"/>
    <w:rsid w:val="00E70CCE"/>
    <w:rsid w:val="00E70CED"/>
    <w:rsid w:val="00E70E44"/>
    <w:rsid w:val="00E71302"/>
    <w:rsid w:val="00E7148C"/>
    <w:rsid w:val="00E71543"/>
    <w:rsid w:val="00E715A8"/>
    <w:rsid w:val="00E716A0"/>
    <w:rsid w:val="00E71743"/>
    <w:rsid w:val="00E71886"/>
    <w:rsid w:val="00E719B7"/>
    <w:rsid w:val="00E71AFD"/>
    <w:rsid w:val="00E71CA1"/>
    <w:rsid w:val="00E71D1B"/>
    <w:rsid w:val="00E71E35"/>
    <w:rsid w:val="00E71E6A"/>
    <w:rsid w:val="00E72007"/>
    <w:rsid w:val="00E7242E"/>
    <w:rsid w:val="00E724BF"/>
    <w:rsid w:val="00E725B1"/>
    <w:rsid w:val="00E725C9"/>
    <w:rsid w:val="00E72C4A"/>
    <w:rsid w:val="00E72DB7"/>
    <w:rsid w:val="00E72FFD"/>
    <w:rsid w:val="00E73075"/>
    <w:rsid w:val="00E733B8"/>
    <w:rsid w:val="00E73661"/>
    <w:rsid w:val="00E736F8"/>
    <w:rsid w:val="00E73788"/>
    <w:rsid w:val="00E7379B"/>
    <w:rsid w:val="00E73A74"/>
    <w:rsid w:val="00E73C58"/>
    <w:rsid w:val="00E73EAC"/>
    <w:rsid w:val="00E7405B"/>
    <w:rsid w:val="00E74248"/>
    <w:rsid w:val="00E74541"/>
    <w:rsid w:val="00E7484F"/>
    <w:rsid w:val="00E74E1A"/>
    <w:rsid w:val="00E74E83"/>
    <w:rsid w:val="00E7530A"/>
    <w:rsid w:val="00E75455"/>
    <w:rsid w:val="00E755C8"/>
    <w:rsid w:val="00E75741"/>
    <w:rsid w:val="00E7583D"/>
    <w:rsid w:val="00E75A01"/>
    <w:rsid w:val="00E75A6B"/>
    <w:rsid w:val="00E75D09"/>
    <w:rsid w:val="00E75D2A"/>
    <w:rsid w:val="00E75E3D"/>
    <w:rsid w:val="00E75F18"/>
    <w:rsid w:val="00E76024"/>
    <w:rsid w:val="00E7603D"/>
    <w:rsid w:val="00E76746"/>
    <w:rsid w:val="00E76B16"/>
    <w:rsid w:val="00E76C24"/>
    <w:rsid w:val="00E76EA4"/>
    <w:rsid w:val="00E77017"/>
    <w:rsid w:val="00E771F4"/>
    <w:rsid w:val="00E7741B"/>
    <w:rsid w:val="00E77A33"/>
    <w:rsid w:val="00E77A50"/>
    <w:rsid w:val="00E77B05"/>
    <w:rsid w:val="00E77CB5"/>
    <w:rsid w:val="00E77E55"/>
    <w:rsid w:val="00E79009"/>
    <w:rsid w:val="00E800F4"/>
    <w:rsid w:val="00E80778"/>
    <w:rsid w:val="00E809B4"/>
    <w:rsid w:val="00E80A09"/>
    <w:rsid w:val="00E80AB0"/>
    <w:rsid w:val="00E80B79"/>
    <w:rsid w:val="00E80C14"/>
    <w:rsid w:val="00E80C5B"/>
    <w:rsid w:val="00E80D5E"/>
    <w:rsid w:val="00E80EEA"/>
    <w:rsid w:val="00E80F2C"/>
    <w:rsid w:val="00E80F9A"/>
    <w:rsid w:val="00E81278"/>
    <w:rsid w:val="00E8136F"/>
    <w:rsid w:val="00E815E3"/>
    <w:rsid w:val="00E81811"/>
    <w:rsid w:val="00E81E90"/>
    <w:rsid w:val="00E823A7"/>
    <w:rsid w:val="00E823B5"/>
    <w:rsid w:val="00E8260C"/>
    <w:rsid w:val="00E829B7"/>
    <w:rsid w:val="00E82D9D"/>
    <w:rsid w:val="00E82EB1"/>
    <w:rsid w:val="00E835EF"/>
    <w:rsid w:val="00E83691"/>
    <w:rsid w:val="00E8373E"/>
    <w:rsid w:val="00E83A14"/>
    <w:rsid w:val="00E83AD7"/>
    <w:rsid w:val="00E83D04"/>
    <w:rsid w:val="00E83E26"/>
    <w:rsid w:val="00E841E7"/>
    <w:rsid w:val="00E842F7"/>
    <w:rsid w:val="00E84336"/>
    <w:rsid w:val="00E84450"/>
    <w:rsid w:val="00E8456F"/>
    <w:rsid w:val="00E84588"/>
    <w:rsid w:val="00E84AAC"/>
    <w:rsid w:val="00E84D45"/>
    <w:rsid w:val="00E84DBF"/>
    <w:rsid w:val="00E84E1A"/>
    <w:rsid w:val="00E8527E"/>
    <w:rsid w:val="00E8540F"/>
    <w:rsid w:val="00E8556B"/>
    <w:rsid w:val="00E857F7"/>
    <w:rsid w:val="00E85D8E"/>
    <w:rsid w:val="00E85E39"/>
    <w:rsid w:val="00E85FF3"/>
    <w:rsid w:val="00E8633D"/>
    <w:rsid w:val="00E86368"/>
    <w:rsid w:val="00E863B3"/>
    <w:rsid w:val="00E863BA"/>
    <w:rsid w:val="00E86597"/>
    <w:rsid w:val="00E86BE5"/>
    <w:rsid w:val="00E86CA5"/>
    <w:rsid w:val="00E86EB2"/>
    <w:rsid w:val="00E86EB4"/>
    <w:rsid w:val="00E86F97"/>
    <w:rsid w:val="00E86FD3"/>
    <w:rsid w:val="00E87006"/>
    <w:rsid w:val="00E87221"/>
    <w:rsid w:val="00E87269"/>
    <w:rsid w:val="00E873C1"/>
    <w:rsid w:val="00E873C7"/>
    <w:rsid w:val="00E8745B"/>
    <w:rsid w:val="00E87940"/>
    <w:rsid w:val="00E87A9B"/>
    <w:rsid w:val="00E87C4F"/>
    <w:rsid w:val="00E87F5D"/>
    <w:rsid w:val="00E90195"/>
    <w:rsid w:val="00E90271"/>
    <w:rsid w:val="00E9037A"/>
    <w:rsid w:val="00E903E3"/>
    <w:rsid w:val="00E905F3"/>
    <w:rsid w:val="00E90783"/>
    <w:rsid w:val="00E907C5"/>
    <w:rsid w:val="00E908C8"/>
    <w:rsid w:val="00E909B0"/>
    <w:rsid w:val="00E90EE4"/>
    <w:rsid w:val="00E90F57"/>
    <w:rsid w:val="00E910D9"/>
    <w:rsid w:val="00E9118D"/>
    <w:rsid w:val="00E9121E"/>
    <w:rsid w:val="00E9140B"/>
    <w:rsid w:val="00E91717"/>
    <w:rsid w:val="00E91733"/>
    <w:rsid w:val="00E91E9E"/>
    <w:rsid w:val="00E91F81"/>
    <w:rsid w:val="00E9207C"/>
    <w:rsid w:val="00E922C1"/>
    <w:rsid w:val="00E924EF"/>
    <w:rsid w:val="00E92668"/>
    <w:rsid w:val="00E927AB"/>
    <w:rsid w:val="00E931B4"/>
    <w:rsid w:val="00E93281"/>
    <w:rsid w:val="00E93352"/>
    <w:rsid w:val="00E9344D"/>
    <w:rsid w:val="00E935ED"/>
    <w:rsid w:val="00E93CE4"/>
    <w:rsid w:val="00E93E89"/>
    <w:rsid w:val="00E940F0"/>
    <w:rsid w:val="00E9431A"/>
    <w:rsid w:val="00E94580"/>
    <w:rsid w:val="00E946AB"/>
    <w:rsid w:val="00E946E8"/>
    <w:rsid w:val="00E9497B"/>
    <w:rsid w:val="00E94B72"/>
    <w:rsid w:val="00E94BBC"/>
    <w:rsid w:val="00E94E6C"/>
    <w:rsid w:val="00E94EF6"/>
    <w:rsid w:val="00E94F59"/>
    <w:rsid w:val="00E94F76"/>
    <w:rsid w:val="00E9514C"/>
    <w:rsid w:val="00E95333"/>
    <w:rsid w:val="00E9546F"/>
    <w:rsid w:val="00E95491"/>
    <w:rsid w:val="00E95629"/>
    <w:rsid w:val="00E95D70"/>
    <w:rsid w:val="00E95FC6"/>
    <w:rsid w:val="00E964DF"/>
    <w:rsid w:val="00E9654D"/>
    <w:rsid w:val="00E96673"/>
    <w:rsid w:val="00E96B45"/>
    <w:rsid w:val="00E96D8D"/>
    <w:rsid w:val="00E972B7"/>
    <w:rsid w:val="00E975AB"/>
    <w:rsid w:val="00E97808"/>
    <w:rsid w:val="00E9786A"/>
    <w:rsid w:val="00E97A71"/>
    <w:rsid w:val="00E97AD3"/>
    <w:rsid w:val="00E97C2A"/>
    <w:rsid w:val="00E97CA1"/>
    <w:rsid w:val="00E97E34"/>
    <w:rsid w:val="00EA0134"/>
    <w:rsid w:val="00EA0152"/>
    <w:rsid w:val="00EA0345"/>
    <w:rsid w:val="00EA048A"/>
    <w:rsid w:val="00EA0603"/>
    <w:rsid w:val="00EA0A0B"/>
    <w:rsid w:val="00EA0DB7"/>
    <w:rsid w:val="00EA0E9F"/>
    <w:rsid w:val="00EA0F0C"/>
    <w:rsid w:val="00EA1183"/>
    <w:rsid w:val="00EA16A9"/>
    <w:rsid w:val="00EA18C5"/>
    <w:rsid w:val="00EA190D"/>
    <w:rsid w:val="00EA1A41"/>
    <w:rsid w:val="00EA1D16"/>
    <w:rsid w:val="00EA1F74"/>
    <w:rsid w:val="00EA222F"/>
    <w:rsid w:val="00EA22F2"/>
    <w:rsid w:val="00EA25FD"/>
    <w:rsid w:val="00EA29EE"/>
    <w:rsid w:val="00EA2A18"/>
    <w:rsid w:val="00EA2BD2"/>
    <w:rsid w:val="00EA2E1D"/>
    <w:rsid w:val="00EA2FDB"/>
    <w:rsid w:val="00EA318C"/>
    <w:rsid w:val="00EA3232"/>
    <w:rsid w:val="00EA35CF"/>
    <w:rsid w:val="00EA3612"/>
    <w:rsid w:val="00EA370A"/>
    <w:rsid w:val="00EA391E"/>
    <w:rsid w:val="00EA39C2"/>
    <w:rsid w:val="00EA3AC5"/>
    <w:rsid w:val="00EA3B9B"/>
    <w:rsid w:val="00EA3C2B"/>
    <w:rsid w:val="00EA3C5E"/>
    <w:rsid w:val="00EA3F13"/>
    <w:rsid w:val="00EA3F34"/>
    <w:rsid w:val="00EA4075"/>
    <w:rsid w:val="00EA4310"/>
    <w:rsid w:val="00EA441E"/>
    <w:rsid w:val="00EA443E"/>
    <w:rsid w:val="00EA4467"/>
    <w:rsid w:val="00EA4479"/>
    <w:rsid w:val="00EA4946"/>
    <w:rsid w:val="00EA49DF"/>
    <w:rsid w:val="00EA4B38"/>
    <w:rsid w:val="00EA4D32"/>
    <w:rsid w:val="00EA4F14"/>
    <w:rsid w:val="00EA518E"/>
    <w:rsid w:val="00EA555D"/>
    <w:rsid w:val="00EA56F5"/>
    <w:rsid w:val="00EA57CF"/>
    <w:rsid w:val="00EA5B4A"/>
    <w:rsid w:val="00EA635B"/>
    <w:rsid w:val="00EA64FB"/>
    <w:rsid w:val="00EA6597"/>
    <w:rsid w:val="00EA65FB"/>
    <w:rsid w:val="00EA667C"/>
    <w:rsid w:val="00EA66C8"/>
    <w:rsid w:val="00EA6811"/>
    <w:rsid w:val="00EA68A8"/>
    <w:rsid w:val="00EA68E7"/>
    <w:rsid w:val="00EA6909"/>
    <w:rsid w:val="00EA6B15"/>
    <w:rsid w:val="00EA6D2D"/>
    <w:rsid w:val="00EA6DB1"/>
    <w:rsid w:val="00EA6EA9"/>
    <w:rsid w:val="00EA6EAA"/>
    <w:rsid w:val="00EA7245"/>
    <w:rsid w:val="00EA7594"/>
    <w:rsid w:val="00EA7C87"/>
    <w:rsid w:val="00EA7D18"/>
    <w:rsid w:val="00EA7EF7"/>
    <w:rsid w:val="00EB061D"/>
    <w:rsid w:val="00EB0956"/>
    <w:rsid w:val="00EB0980"/>
    <w:rsid w:val="00EB0BEA"/>
    <w:rsid w:val="00EB0C1B"/>
    <w:rsid w:val="00EB0C39"/>
    <w:rsid w:val="00EB0E8B"/>
    <w:rsid w:val="00EB0F81"/>
    <w:rsid w:val="00EB11D5"/>
    <w:rsid w:val="00EB157F"/>
    <w:rsid w:val="00EB1744"/>
    <w:rsid w:val="00EB1848"/>
    <w:rsid w:val="00EB19FC"/>
    <w:rsid w:val="00EB1C9E"/>
    <w:rsid w:val="00EB1CB2"/>
    <w:rsid w:val="00EB2182"/>
    <w:rsid w:val="00EB2183"/>
    <w:rsid w:val="00EB2235"/>
    <w:rsid w:val="00EB2633"/>
    <w:rsid w:val="00EB2800"/>
    <w:rsid w:val="00EB28DD"/>
    <w:rsid w:val="00EB2DC6"/>
    <w:rsid w:val="00EB2EB0"/>
    <w:rsid w:val="00EB302B"/>
    <w:rsid w:val="00EB3032"/>
    <w:rsid w:val="00EB35A8"/>
    <w:rsid w:val="00EB3814"/>
    <w:rsid w:val="00EB39D4"/>
    <w:rsid w:val="00EB3AB0"/>
    <w:rsid w:val="00EB3D99"/>
    <w:rsid w:val="00EB3DC6"/>
    <w:rsid w:val="00EB43E7"/>
    <w:rsid w:val="00EB471D"/>
    <w:rsid w:val="00EB476E"/>
    <w:rsid w:val="00EB48AD"/>
    <w:rsid w:val="00EB4B01"/>
    <w:rsid w:val="00EB4C01"/>
    <w:rsid w:val="00EB4C54"/>
    <w:rsid w:val="00EB4C7C"/>
    <w:rsid w:val="00EB4CD5"/>
    <w:rsid w:val="00EB4CDF"/>
    <w:rsid w:val="00EB4F43"/>
    <w:rsid w:val="00EB5123"/>
    <w:rsid w:val="00EB5565"/>
    <w:rsid w:val="00EB55EB"/>
    <w:rsid w:val="00EB5748"/>
    <w:rsid w:val="00EB5854"/>
    <w:rsid w:val="00EB5CD2"/>
    <w:rsid w:val="00EB62A5"/>
    <w:rsid w:val="00EB6413"/>
    <w:rsid w:val="00EB6430"/>
    <w:rsid w:val="00EB6437"/>
    <w:rsid w:val="00EB6486"/>
    <w:rsid w:val="00EB6594"/>
    <w:rsid w:val="00EB67BE"/>
    <w:rsid w:val="00EB68A7"/>
    <w:rsid w:val="00EB6973"/>
    <w:rsid w:val="00EB6C51"/>
    <w:rsid w:val="00EB6C93"/>
    <w:rsid w:val="00EB7001"/>
    <w:rsid w:val="00EB72E7"/>
    <w:rsid w:val="00EB73ED"/>
    <w:rsid w:val="00EB7559"/>
    <w:rsid w:val="00EB786E"/>
    <w:rsid w:val="00EB7C61"/>
    <w:rsid w:val="00EB7F83"/>
    <w:rsid w:val="00EC0086"/>
    <w:rsid w:val="00EC0265"/>
    <w:rsid w:val="00EC055B"/>
    <w:rsid w:val="00EC0698"/>
    <w:rsid w:val="00EC08B9"/>
    <w:rsid w:val="00EC0902"/>
    <w:rsid w:val="00EC099A"/>
    <w:rsid w:val="00EC0A48"/>
    <w:rsid w:val="00EC0B40"/>
    <w:rsid w:val="00EC0C6D"/>
    <w:rsid w:val="00EC0CEA"/>
    <w:rsid w:val="00EC0F0E"/>
    <w:rsid w:val="00EC0F43"/>
    <w:rsid w:val="00EC1186"/>
    <w:rsid w:val="00EC137B"/>
    <w:rsid w:val="00EC13ED"/>
    <w:rsid w:val="00EC1531"/>
    <w:rsid w:val="00EC1859"/>
    <w:rsid w:val="00EC1860"/>
    <w:rsid w:val="00EC1FDF"/>
    <w:rsid w:val="00EC203D"/>
    <w:rsid w:val="00EC203F"/>
    <w:rsid w:val="00EC2A33"/>
    <w:rsid w:val="00EC2AED"/>
    <w:rsid w:val="00EC2BAA"/>
    <w:rsid w:val="00EC2DA2"/>
    <w:rsid w:val="00EC2E2E"/>
    <w:rsid w:val="00EC3205"/>
    <w:rsid w:val="00EC3957"/>
    <w:rsid w:val="00EC3DC7"/>
    <w:rsid w:val="00EC3F90"/>
    <w:rsid w:val="00EC4062"/>
    <w:rsid w:val="00EC4197"/>
    <w:rsid w:val="00EC4213"/>
    <w:rsid w:val="00EC4408"/>
    <w:rsid w:val="00EC45D8"/>
    <w:rsid w:val="00EC469A"/>
    <w:rsid w:val="00EC4858"/>
    <w:rsid w:val="00EC4A27"/>
    <w:rsid w:val="00EC4B53"/>
    <w:rsid w:val="00EC50A3"/>
    <w:rsid w:val="00EC540E"/>
    <w:rsid w:val="00EC5444"/>
    <w:rsid w:val="00EC5697"/>
    <w:rsid w:val="00EC575B"/>
    <w:rsid w:val="00EC5A3F"/>
    <w:rsid w:val="00EC5B53"/>
    <w:rsid w:val="00EC5B75"/>
    <w:rsid w:val="00EC5C82"/>
    <w:rsid w:val="00EC5D83"/>
    <w:rsid w:val="00EC60D1"/>
    <w:rsid w:val="00EC62A4"/>
    <w:rsid w:val="00EC64A3"/>
    <w:rsid w:val="00EC64CE"/>
    <w:rsid w:val="00EC650C"/>
    <w:rsid w:val="00EC69B1"/>
    <w:rsid w:val="00EC6CFD"/>
    <w:rsid w:val="00EC6D1D"/>
    <w:rsid w:val="00EC7151"/>
    <w:rsid w:val="00EC71C1"/>
    <w:rsid w:val="00EC7378"/>
    <w:rsid w:val="00EC75DB"/>
    <w:rsid w:val="00EC7B84"/>
    <w:rsid w:val="00EC7C82"/>
    <w:rsid w:val="00EC7EE8"/>
    <w:rsid w:val="00EC7F73"/>
    <w:rsid w:val="00ED0294"/>
    <w:rsid w:val="00ED0409"/>
    <w:rsid w:val="00ED07CF"/>
    <w:rsid w:val="00ED0A11"/>
    <w:rsid w:val="00ED0C18"/>
    <w:rsid w:val="00ED0C4B"/>
    <w:rsid w:val="00ED0DAE"/>
    <w:rsid w:val="00ED0E67"/>
    <w:rsid w:val="00ED111A"/>
    <w:rsid w:val="00ED1211"/>
    <w:rsid w:val="00ED12D2"/>
    <w:rsid w:val="00ED12F0"/>
    <w:rsid w:val="00ED1471"/>
    <w:rsid w:val="00ED1855"/>
    <w:rsid w:val="00ED1D4D"/>
    <w:rsid w:val="00ED22A4"/>
    <w:rsid w:val="00ED2B2D"/>
    <w:rsid w:val="00ED2BCA"/>
    <w:rsid w:val="00ED2D97"/>
    <w:rsid w:val="00ED2E4F"/>
    <w:rsid w:val="00ED2FCE"/>
    <w:rsid w:val="00ED332A"/>
    <w:rsid w:val="00ED33B0"/>
    <w:rsid w:val="00ED352C"/>
    <w:rsid w:val="00ED35B6"/>
    <w:rsid w:val="00ED3627"/>
    <w:rsid w:val="00ED362A"/>
    <w:rsid w:val="00ED3900"/>
    <w:rsid w:val="00ED3A53"/>
    <w:rsid w:val="00ED3EB4"/>
    <w:rsid w:val="00ED4056"/>
    <w:rsid w:val="00ED4062"/>
    <w:rsid w:val="00ED4555"/>
    <w:rsid w:val="00ED47E5"/>
    <w:rsid w:val="00ED4804"/>
    <w:rsid w:val="00ED4882"/>
    <w:rsid w:val="00ED4889"/>
    <w:rsid w:val="00ED4A64"/>
    <w:rsid w:val="00ED4B2A"/>
    <w:rsid w:val="00ED4C50"/>
    <w:rsid w:val="00ED5093"/>
    <w:rsid w:val="00ED5137"/>
    <w:rsid w:val="00ED52CD"/>
    <w:rsid w:val="00ED5518"/>
    <w:rsid w:val="00ED5683"/>
    <w:rsid w:val="00ED56A8"/>
    <w:rsid w:val="00ED5B61"/>
    <w:rsid w:val="00ED5C38"/>
    <w:rsid w:val="00ED5C49"/>
    <w:rsid w:val="00ED615B"/>
    <w:rsid w:val="00ED6230"/>
    <w:rsid w:val="00ED663A"/>
    <w:rsid w:val="00ED674B"/>
    <w:rsid w:val="00ED6920"/>
    <w:rsid w:val="00ED6BF5"/>
    <w:rsid w:val="00ED7E58"/>
    <w:rsid w:val="00ED7F86"/>
    <w:rsid w:val="00EE00BF"/>
    <w:rsid w:val="00EE0120"/>
    <w:rsid w:val="00EE061C"/>
    <w:rsid w:val="00EE07F4"/>
    <w:rsid w:val="00EE0A32"/>
    <w:rsid w:val="00EE0A74"/>
    <w:rsid w:val="00EE0ADE"/>
    <w:rsid w:val="00EE0B01"/>
    <w:rsid w:val="00EE0B86"/>
    <w:rsid w:val="00EE0C58"/>
    <w:rsid w:val="00EE0E63"/>
    <w:rsid w:val="00EE1127"/>
    <w:rsid w:val="00EE117D"/>
    <w:rsid w:val="00EE118C"/>
    <w:rsid w:val="00EE12B1"/>
    <w:rsid w:val="00EE1441"/>
    <w:rsid w:val="00EE1543"/>
    <w:rsid w:val="00EE1592"/>
    <w:rsid w:val="00EE1749"/>
    <w:rsid w:val="00EE1C06"/>
    <w:rsid w:val="00EE1D6C"/>
    <w:rsid w:val="00EE1D7F"/>
    <w:rsid w:val="00EE1E2C"/>
    <w:rsid w:val="00EE1E59"/>
    <w:rsid w:val="00EE1ECD"/>
    <w:rsid w:val="00EE27A8"/>
    <w:rsid w:val="00EE2824"/>
    <w:rsid w:val="00EE2DAC"/>
    <w:rsid w:val="00EE2E98"/>
    <w:rsid w:val="00EE3290"/>
    <w:rsid w:val="00EE3599"/>
    <w:rsid w:val="00EE35AD"/>
    <w:rsid w:val="00EE3614"/>
    <w:rsid w:val="00EE36F0"/>
    <w:rsid w:val="00EE38C3"/>
    <w:rsid w:val="00EE3C0D"/>
    <w:rsid w:val="00EE3D6D"/>
    <w:rsid w:val="00EE3DC7"/>
    <w:rsid w:val="00EE41E3"/>
    <w:rsid w:val="00EE43F3"/>
    <w:rsid w:val="00EE4435"/>
    <w:rsid w:val="00EE4A85"/>
    <w:rsid w:val="00EE4BE4"/>
    <w:rsid w:val="00EE4D24"/>
    <w:rsid w:val="00EE51E3"/>
    <w:rsid w:val="00EE54A6"/>
    <w:rsid w:val="00EE5561"/>
    <w:rsid w:val="00EE55D8"/>
    <w:rsid w:val="00EE56E9"/>
    <w:rsid w:val="00EE5854"/>
    <w:rsid w:val="00EE5BD6"/>
    <w:rsid w:val="00EE5C4F"/>
    <w:rsid w:val="00EE5C63"/>
    <w:rsid w:val="00EE5DDE"/>
    <w:rsid w:val="00EE5E23"/>
    <w:rsid w:val="00EE5F34"/>
    <w:rsid w:val="00EE5F93"/>
    <w:rsid w:val="00EE5F94"/>
    <w:rsid w:val="00EE625D"/>
    <w:rsid w:val="00EE6338"/>
    <w:rsid w:val="00EE660C"/>
    <w:rsid w:val="00EE66B2"/>
    <w:rsid w:val="00EE67A3"/>
    <w:rsid w:val="00EE6D6C"/>
    <w:rsid w:val="00EE6DDD"/>
    <w:rsid w:val="00EE72C8"/>
    <w:rsid w:val="00EE7733"/>
    <w:rsid w:val="00EE78DA"/>
    <w:rsid w:val="00EE7D62"/>
    <w:rsid w:val="00EE7E24"/>
    <w:rsid w:val="00EE7E3F"/>
    <w:rsid w:val="00EF01FE"/>
    <w:rsid w:val="00EF03E9"/>
    <w:rsid w:val="00EF07D7"/>
    <w:rsid w:val="00EF085F"/>
    <w:rsid w:val="00EF0870"/>
    <w:rsid w:val="00EF0B25"/>
    <w:rsid w:val="00EF0BDD"/>
    <w:rsid w:val="00EF0D39"/>
    <w:rsid w:val="00EF0D6B"/>
    <w:rsid w:val="00EF0DDF"/>
    <w:rsid w:val="00EF120E"/>
    <w:rsid w:val="00EF159A"/>
    <w:rsid w:val="00EF16A3"/>
    <w:rsid w:val="00EF1953"/>
    <w:rsid w:val="00EF19EF"/>
    <w:rsid w:val="00EF1B58"/>
    <w:rsid w:val="00EF1B61"/>
    <w:rsid w:val="00EF1DDD"/>
    <w:rsid w:val="00EF1FC3"/>
    <w:rsid w:val="00EF2601"/>
    <w:rsid w:val="00EF2744"/>
    <w:rsid w:val="00EF2B77"/>
    <w:rsid w:val="00EF2E4E"/>
    <w:rsid w:val="00EF2F39"/>
    <w:rsid w:val="00EF303E"/>
    <w:rsid w:val="00EF3078"/>
    <w:rsid w:val="00EF3444"/>
    <w:rsid w:val="00EF3491"/>
    <w:rsid w:val="00EF34CE"/>
    <w:rsid w:val="00EF3695"/>
    <w:rsid w:val="00EF3784"/>
    <w:rsid w:val="00EF382F"/>
    <w:rsid w:val="00EF3AE6"/>
    <w:rsid w:val="00EF3E45"/>
    <w:rsid w:val="00EF3EB1"/>
    <w:rsid w:val="00EF3F79"/>
    <w:rsid w:val="00EF416A"/>
    <w:rsid w:val="00EF420B"/>
    <w:rsid w:val="00EF46C0"/>
    <w:rsid w:val="00EF48D3"/>
    <w:rsid w:val="00EF4EBE"/>
    <w:rsid w:val="00EF5483"/>
    <w:rsid w:val="00EF5766"/>
    <w:rsid w:val="00EF5958"/>
    <w:rsid w:val="00EF5CEF"/>
    <w:rsid w:val="00EF60AE"/>
    <w:rsid w:val="00EF65C7"/>
    <w:rsid w:val="00EF65E3"/>
    <w:rsid w:val="00EF6A6F"/>
    <w:rsid w:val="00EF6A9C"/>
    <w:rsid w:val="00EF6B8C"/>
    <w:rsid w:val="00EF6C8E"/>
    <w:rsid w:val="00EF6E49"/>
    <w:rsid w:val="00EF70AE"/>
    <w:rsid w:val="00EF70F0"/>
    <w:rsid w:val="00EF71F1"/>
    <w:rsid w:val="00EF7319"/>
    <w:rsid w:val="00EF74E5"/>
    <w:rsid w:val="00EF7772"/>
    <w:rsid w:val="00EF7981"/>
    <w:rsid w:val="00EF7B75"/>
    <w:rsid w:val="00F000C0"/>
    <w:rsid w:val="00F000C3"/>
    <w:rsid w:val="00F001CD"/>
    <w:rsid w:val="00F003A2"/>
    <w:rsid w:val="00F00488"/>
    <w:rsid w:val="00F005E3"/>
    <w:rsid w:val="00F0067B"/>
    <w:rsid w:val="00F006AF"/>
    <w:rsid w:val="00F0084B"/>
    <w:rsid w:val="00F008E7"/>
    <w:rsid w:val="00F00B62"/>
    <w:rsid w:val="00F00DDA"/>
    <w:rsid w:val="00F00E36"/>
    <w:rsid w:val="00F011CE"/>
    <w:rsid w:val="00F0124F"/>
    <w:rsid w:val="00F01499"/>
    <w:rsid w:val="00F016B6"/>
    <w:rsid w:val="00F01E8D"/>
    <w:rsid w:val="00F021B5"/>
    <w:rsid w:val="00F02498"/>
    <w:rsid w:val="00F02858"/>
    <w:rsid w:val="00F02A80"/>
    <w:rsid w:val="00F02AC7"/>
    <w:rsid w:val="00F02B5C"/>
    <w:rsid w:val="00F02B82"/>
    <w:rsid w:val="00F02C43"/>
    <w:rsid w:val="00F02E5F"/>
    <w:rsid w:val="00F02E70"/>
    <w:rsid w:val="00F03026"/>
    <w:rsid w:val="00F03260"/>
    <w:rsid w:val="00F03267"/>
    <w:rsid w:val="00F033D3"/>
    <w:rsid w:val="00F03696"/>
    <w:rsid w:val="00F03866"/>
    <w:rsid w:val="00F03992"/>
    <w:rsid w:val="00F03B36"/>
    <w:rsid w:val="00F03ED3"/>
    <w:rsid w:val="00F03F9B"/>
    <w:rsid w:val="00F03FC2"/>
    <w:rsid w:val="00F04070"/>
    <w:rsid w:val="00F047E3"/>
    <w:rsid w:val="00F049A3"/>
    <w:rsid w:val="00F049F7"/>
    <w:rsid w:val="00F04A8B"/>
    <w:rsid w:val="00F04FE3"/>
    <w:rsid w:val="00F051A5"/>
    <w:rsid w:val="00F0535E"/>
    <w:rsid w:val="00F05415"/>
    <w:rsid w:val="00F05D65"/>
    <w:rsid w:val="00F05DFC"/>
    <w:rsid w:val="00F05E65"/>
    <w:rsid w:val="00F05E80"/>
    <w:rsid w:val="00F06280"/>
    <w:rsid w:val="00F063EF"/>
    <w:rsid w:val="00F06450"/>
    <w:rsid w:val="00F06487"/>
    <w:rsid w:val="00F065D6"/>
    <w:rsid w:val="00F065EA"/>
    <w:rsid w:val="00F06682"/>
    <w:rsid w:val="00F068D0"/>
    <w:rsid w:val="00F068F6"/>
    <w:rsid w:val="00F06945"/>
    <w:rsid w:val="00F06C2B"/>
    <w:rsid w:val="00F06D16"/>
    <w:rsid w:val="00F06E5C"/>
    <w:rsid w:val="00F06EDD"/>
    <w:rsid w:val="00F070B0"/>
    <w:rsid w:val="00F0747A"/>
    <w:rsid w:val="00F074DE"/>
    <w:rsid w:val="00F07890"/>
    <w:rsid w:val="00F07A08"/>
    <w:rsid w:val="00F07FAF"/>
    <w:rsid w:val="00F1006D"/>
    <w:rsid w:val="00F10478"/>
    <w:rsid w:val="00F10684"/>
    <w:rsid w:val="00F109DC"/>
    <w:rsid w:val="00F10F5A"/>
    <w:rsid w:val="00F1113E"/>
    <w:rsid w:val="00F111DD"/>
    <w:rsid w:val="00F11281"/>
    <w:rsid w:val="00F11298"/>
    <w:rsid w:val="00F112E1"/>
    <w:rsid w:val="00F115B1"/>
    <w:rsid w:val="00F115FC"/>
    <w:rsid w:val="00F1161C"/>
    <w:rsid w:val="00F11625"/>
    <w:rsid w:val="00F11729"/>
    <w:rsid w:val="00F1185F"/>
    <w:rsid w:val="00F120A1"/>
    <w:rsid w:val="00F120E8"/>
    <w:rsid w:val="00F123F0"/>
    <w:rsid w:val="00F12404"/>
    <w:rsid w:val="00F125B3"/>
    <w:rsid w:val="00F1274F"/>
    <w:rsid w:val="00F127DC"/>
    <w:rsid w:val="00F12845"/>
    <w:rsid w:val="00F12869"/>
    <w:rsid w:val="00F12895"/>
    <w:rsid w:val="00F12979"/>
    <w:rsid w:val="00F12AC0"/>
    <w:rsid w:val="00F12B3A"/>
    <w:rsid w:val="00F12D80"/>
    <w:rsid w:val="00F12EE8"/>
    <w:rsid w:val="00F13180"/>
    <w:rsid w:val="00F13286"/>
    <w:rsid w:val="00F135FB"/>
    <w:rsid w:val="00F138A6"/>
    <w:rsid w:val="00F13A82"/>
    <w:rsid w:val="00F13AB4"/>
    <w:rsid w:val="00F13BE3"/>
    <w:rsid w:val="00F13DB7"/>
    <w:rsid w:val="00F13F4B"/>
    <w:rsid w:val="00F143F8"/>
    <w:rsid w:val="00F14504"/>
    <w:rsid w:val="00F14805"/>
    <w:rsid w:val="00F148D3"/>
    <w:rsid w:val="00F14AFF"/>
    <w:rsid w:val="00F15037"/>
    <w:rsid w:val="00F153C2"/>
    <w:rsid w:val="00F15BD8"/>
    <w:rsid w:val="00F15CDF"/>
    <w:rsid w:val="00F15CFD"/>
    <w:rsid w:val="00F15E6F"/>
    <w:rsid w:val="00F15EC0"/>
    <w:rsid w:val="00F16691"/>
    <w:rsid w:val="00F166BF"/>
    <w:rsid w:val="00F16B2B"/>
    <w:rsid w:val="00F1702A"/>
    <w:rsid w:val="00F17240"/>
    <w:rsid w:val="00F1743A"/>
    <w:rsid w:val="00F1757C"/>
    <w:rsid w:val="00F17612"/>
    <w:rsid w:val="00F1768A"/>
    <w:rsid w:val="00F177E0"/>
    <w:rsid w:val="00F17951"/>
    <w:rsid w:val="00F17A21"/>
    <w:rsid w:val="00F17CBF"/>
    <w:rsid w:val="00F17F09"/>
    <w:rsid w:val="00F17FC8"/>
    <w:rsid w:val="00F1D9B7"/>
    <w:rsid w:val="00F20120"/>
    <w:rsid w:val="00F202A3"/>
    <w:rsid w:val="00F20501"/>
    <w:rsid w:val="00F205E4"/>
    <w:rsid w:val="00F207A7"/>
    <w:rsid w:val="00F20B98"/>
    <w:rsid w:val="00F20BD6"/>
    <w:rsid w:val="00F20E59"/>
    <w:rsid w:val="00F20EA1"/>
    <w:rsid w:val="00F20F2B"/>
    <w:rsid w:val="00F213DF"/>
    <w:rsid w:val="00F214D6"/>
    <w:rsid w:val="00F215A7"/>
    <w:rsid w:val="00F215DD"/>
    <w:rsid w:val="00F2160B"/>
    <w:rsid w:val="00F21707"/>
    <w:rsid w:val="00F219CB"/>
    <w:rsid w:val="00F21AA7"/>
    <w:rsid w:val="00F21ADD"/>
    <w:rsid w:val="00F21AE8"/>
    <w:rsid w:val="00F229DE"/>
    <w:rsid w:val="00F22ACA"/>
    <w:rsid w:val="00F22B34"/>
    <w:rsid w:val="00F22D4F"/>
    <w:rsid w:val="00F22DCC"/>
    <w:rsid w:val="00F22F97"/>
    <w:rsid w:val="00F23300"/>
    <w:rsid w:val="00F23325"/>
    <w:rsid w:val="00F23518"/>
    <w:rsid w:val="00F23B24"/>
    <w:rsid w:val="00F23D71"/>
    <w:rsid w:val="00F244BE"/>
    <w:rsid w:val="00F245CE"/>
    <w:rsid w:val="00F2499F"/>
    <w:rsid w:val="00F24A1F"/>
    <w:rsid w:val="00F24A8B"/>
    <w:rsid w:val="00F25094"/>
    <w:rsid w:val="00F251DD"/>
    <w:rsid w:val="00F2536F"/>
    <w:rsid w:val="00F253FB"/>
    <w:rsid w:val="00F25686"/>
    <w:rsid w:val="00F256F7"/>
    <w:rsid w:val="00F257A7"/>
    <w:rsid w:val="00F257F1"/>
    <w:rsid w:val="00F25AE6"/>
    <w:rsid w:val="00F25B65"/>
    <w:rsid w:val="00F25C6F"/>
    <w:rsid w:val="00F25E58"/>
    <w:rsid w:val="00F25EEF"/>
    <w:rsid w:val="00F25FB6"/>
    <w:rsid w:val="00F260D7"/>
    <w:rsid w:val="00F260EA"/>
    <w:rsid w:val="00F264AB"/>
    <w:rsid w:val="00F2681A"/>
    <w:rsid w:val="00F2682C"/>
    <w:rsid w:val="00F26884"/>
    <w:rsid w:val="00F2694A"/>
    <w:rsid w:val="00F26B45"/>
    <w:rsid w:val="00F26BD7"/>
    <w:rsid w:val="00F26C30"/>
    <w:rsid w:val="00F26D3B"/>
    <w:rsid w:val="00F26EE5"/>
    <w:rsid w:val="00F272FF"/>
    <w:rsid w:val="00F273B9"/>
    <w:rsid w:val="00F274AA"/>
    <w:rsid w:val="00F274CC"/>
    <w:rsid w:val="00F27B07"/>
    <w:rsid w:val="00F27B96"/>
    <w:rsid w:val="00F27C69"/>
    <w:rsid w:val="00F27D79"/>
    <w:rsid w:val="00F30179"/>
    <w:rsid w:val="00F301BA"/>
    <w:rsid w:val="00F301FF"/>
    <w:rsid w:val="00F30760"/>
    <w:rsid w:val="00F30B55"/>
    <w:rsid w:val="00F30B85"/>
    <w:rsid w:val="00F30FA7"/>
    <w:rsid w:val="00F3138B"/>
    <w:rsid w:val="00F3172B"/>
    <w:rsid w:val="00F319A9"/>
    <w:rsid w:val="00F31C10"/>
    <w:rsid w:val="00F3202C"/>
    <w:rsid w:val="00F32129"/>
    <w:rsid w:val="00F32538"/>
    <w:rsid w:val="00F32557"/>
    <w:rsid w:val="00F325CE"/>
    <w:rsid w:val="00F3277F"/>
    <w:rsid w:val="00F32830"/>
    <w:rsid w:val="00F3296D"/>
    <w:rsid w:val="00F32A09"/>
    <w:rsid w:val="00F32A2F"/>
    <w:rsid w:val="00F32B0E"/>
    <w:rsid w:val="00F32B17"/>
    <w:rsid w:val="00F32FCD"/>
    <w:rsid w:val="00F3307D"/>
    <w:rsid w:val="00F330B3"/>
    <w:rsid w:val="00F33257"/>
    <w:rsid w:val="00F3327C"/>
    <w:rsid w:val="00F332A9"/>
    <w:rsid w:val="00F33671"/>
    <w:rsid w:val="00F33BBD"/>
    <w:rsid w:val="00F33F05"/>
    <w:rsid w:val="00F3431C"/>
    <w:rsid w:val="00F34484"/>
    <w:rsid w:val="00F34D09"/>
    <w:rsid w:val="00F34DD7"/>
    <w:rsid w:val="00F34EEF"/>
    <w:rsid w:val="00F34FC9"/>
    <w:rsid w:val="00F351EE"/>
    <w:rsid w:val="00F353F4"/>
    <w:rsid w:val="00F353F8"/>
    <w:rsid w:val="00F35AF5"/>
    <w:rsid w:val="00F35D6F"/>
    <w:rsid w:val="00F360DA"/>
    <w:rsid w:val="00F36382"/>
    <w:rsid w:val="00F36499"/>
    <w:rsid w:val="00F367AB"/>
    <w:rsid w:val="00F368D3"/>
    <w:rsid w:val="00F36978"/>
    <w:rsid w:val="00F36A2A"/>
    <w:rsid w:val="00F36B27"/>
    <w:rsid w:val="00F36BA3"/>
    <w:rsid w:val="00F37546"/>
    <w:rsid w:val="00F37833"/>
    <w:rsid w:val="00F378E4"/>
    <w:rsid w:val="00F401F7"/>
    <w:rsid w:val="00F4020C"/>
    <w:rsid w:val="00F4027C"/>
    <w:rsid w:val="00F40321"/>
    <w:rsid w:val="00F406D4"/>
    <w:rsid w:val="00F40A01"/>
    <w:rsid w:val="00F40A0C"/>
    <w:rsid w:val="00F40A59"/>
    <w:rsid w:val="00F40B17"/>
    <w:rsid w:val="00F40BB3"/>
    <w:rsid w:val="00F40E99"/>
    <w:rsid w:val="00F4127B"/>
    <w:rsid w:val="00F4142E"/>
    <w:rsid w:val="00F415A8"/>
    <w:rsid w:val="00F418CF"/>
    <w:rsid w:val="00F41A69"/>
    <w:rsid w:val="00F41E63"/>
    <w:rsid w:val="00F42317"/>
    <w:rsid w:val="00F42424"/>
    <w:rsid w:val="00F4251C"/>
    <w:rsid w:val="00F425D1"/>
    <w:rsid w:val="00F42616"/>
    <w:rsid w:val="00F426D1"/>
    <w:rsid w:val="00F429AC"/>
    <w:rsid w:val="00F42AB6"/>
    <w:rsid w:val="00F42CC3"/>
    <w:rsid w:val="00F42D76"/>
    <w:rsid w:val="00F430D6"/>
    <w:rsid w:val="00F43276"/>
    <w:rsid w:val="00F43C1B"/>
    <w:rsid w:val="00F43C9E"/>
    <w:rsid w:val="00F43E94"/>
    <w:rsid w:val="00F43ECA"/>
    <w:rsid w:val="00F44037"/>
    <w:rsid w:val="00F4413A"/>
    <w:rsid w:val="00F445C5"/>
    <w:rsid w:val="00F4482A"/>
    <w:rsid w:val="00F448F2"/>
    <w:rsid w:val="00F44BE6"/>
    <w:rsid w:val="00F44E82"/>
    <w:rsid w:val="00F452DB"/>
    <w:rsid w:val="00F45542"/>
    <w:rsid w:val="00F457A5"/>
    <w:rsid w:val="00F4598E"/>
    <w:rsid w:val="00F45A5E"/>
    <w:rsid w:val="00F45AB7"/>
    <w:rsid w:val="00F45B7F"/>
    <w:rsid w:val="00F45DC1"/>
    <w:rsid w:val="00F45F6C"/>
    <w:rsid w:val="00F460FA"/>
    <w:rsid w:val="00F467D9"/>
    <w:rsid w:val="00F46874"/>
    <w:rsid w:val="00F4691A"/>
    <w:rsid w:val="00F46A21"/>
    <w:rsid w:val="00F47483"/>
    <w:rsid w:val="00F479BD"/>
    <w:rsid w:val="00F5004C"/>
    <w:rsid w:val="00F50138"/>
    <w:rsid w:val="00F50139"/>
    <w:rsid w:val="00F5026A"/>
    <w:rsid w:val="00F504FD"/>
    <w:rsid w:val="00F5082B"/>
    <w:rsid w:val="00F50A8B"/>
    <w:rsid w:val="00F50B06"/>
    <w:rsid w:val="00F50CD3"/>
    <w:rsid w:val="00F50DE6"/>
    <w:rsid w:val="00F50F77"/>
    <w:rsid w:val="00F51126"/>
    <w:rsid w:val="00F5122E"/>
    <w:rsid w:val="00F51251"/>
    <w:rsid w:val="00F51592"/>
    <w:rsid w:val="00F515F9"/>
    <w:rsid w:val="00F51BFA"/>
    <w:rsid w:val="00F51D4C"/>
    <w:rsid w:val="00F51E8C"/>
    <w:rsid w:val="00F5203B"/>
    <w:rsid w:val="00F52390"/>
    <w:rsid w:val="00F5253E"/>
    <w:rsid w:val="00F52744"/>
    <w:rsid w:val="00F528CC"/>
    <w:rsid w:val="00F52DE9"/>
    <w:rsid w:val="00F5309F"/>
    <w:rsid w:val="00F53466"/>
    <w:rsid w:val="00F534BA"/>
    <w:rsid w:val="00F53548"/>
    <w:rsid w:val="00F54192"/>
    <w:rsid w:val="00F54351"/>
    <w:rsid w:val="00F54848"/>
    <w:rsid w:val="00F549CB"/>
    <w:rsid w:val="00F54A62"/>
    <w:rsid w:val="00F5549F"/>
    <w:rsid w:val="00F5555F"/>
    <w:rsid w:val="00F556CE"/>
    <w:rsid w:val="00F55845"/>
    <w:rsid w:val="00F55903"/>
    <w:rsid w:val="00F55A26"/>
    <w:rsid w:val="00F55A93"/>
    <w:rsid w:val="00F55C56"/>
    <w:rsid w:val="00F55C59"/>
    <w:rsid w:val="00F55CAA"/>
    <w:rsid w:val="00F55F9D"/>
    <w:rsid w:val="00F560FD"/>
    <w:rsid w:val="00F56111"/>
    <w:rsid w:val="00F561F2"/>
    <w:rsid w:val="00F56256"/>
    <w:rsid w:val="00F562F0"/>
    <w:rsid w:val="00F56BB0"/>
    <w:rsid w:val="00F56BC6"/>
    <w:rsid w:val="00F5702A"/>
    <w:rsid w:val="00F57061"/>
    <w:rsid w:val="00F57075"/>
    <w:rsid w:val="00F571F3"/>
    <w:rsid w:val="00F576D6"/>
    <w:rsid w:val="00F57762"/>
    <w:rsid w:val="00F57B08"/>
    <w:rsid w:val="00F57D2E"/>
    <w:rsid w:val="00F60137"/>
    <w:rsid w:val="00F6019F"/>
    <w:rsid w:val="00F602C4"/>
    <w:rsid w:val="00F604DE"/>
    <w:rsid w:val="00F60AD8"/>
    <w:rsid w:val="00F60C21"/>
    <w:rsid w:val="00F60C34"/>
    <w:rsid w:val="00F60C73"/>
    <w:rsid w:val="00F60CA6"/>
    <w:rsid w:val="00F60D16"/>
    <w:rsid w:val="00F60E50"/>
    <w:rsid w:val="00F60EF6"/>
    <w:rsid w:val="00F611C0"/>
    <w:rsid w:val="00F612B9"/>
    <w:rsid w:val="00F61481"/>
    <w:rsid w:val="00F614E3"/>
    <w:rsid w:val="00F6165C"/>
    <w:rsid w:val="00F6168A"/>
    <w:rsid w:val="00F61887"/>
    <w:rsid w:val="00F6190C"/>
    <w:rsid w:val="00F61CC4"/>
    <w:rsid w:val="00F62055"/>
    <w:rsid w:val="00F6216F"/>
    <w:rsid w:val="00F62461"/>
    <w:rsid w:val="00F625D5"/>
    <w:rsid w:val="00F627EC"/>
    <w:rsid w:val="00F62A3E"/>
    <w:rsid w:val="00F62A71"/>
    <w:rsid w:val="00F62CCE"/>
    <w:rsid w:val="00F62E7D"/>
    <w:rsid w:val="00F6300E"/>
    <w:rsid w:val="00F6305B"/>
    <w:rsid w:val="00F630C2"/>
    <w:rsid w:val="00F630E5"/>
    <w:rsid w:val="00F63207"/>
    <w:rsid w:val="00F63267"/>
    <w:rsid w:val="00F6326E"/>
    <w:rsid w:val="00F633F0"/>
    <w:rsid w:val="00F634D5"/>
    <w:rsid w:val="00F634FC"/>
    <w:rsid w:val="00F63529"/>
    <w:rsid w:val="00F6358C"/>
    <w:rsid w:val="00F63698"/>
    <w:rsid w:val="00F6390C"/>
    <w:rsid w:val="00F63956"/>
    <w:rsid w:val="00F63A5A"/>
    <w:rsid w:val="00F63F0A"/>
    <w:rsid w:val="00F641D5"/>
    <w:rsid w:val="00F643A2"/>
    <w:rsid w:val="00F645EC"/>
    <w:rsid w:val="00F645FA"/>
    <w:rsid w:val="00F64ABD"/>
    <w:rsid w:val="00F64F0E"/>
    <w:rsid w:val="00F65108"/>
    <w:rsid w:val="00F651B4"/>
    <w:rsid w:val="00F652D7"/>
    <w:rsid w:val="00F653B9"/>
    <w:rsid w:val="00F65458"/>
    <w:rsid w:val="00F654FB"/>
    <w:rsid w:val="00F65567"/>
    <w:rsid w:val="00F656F2"/>
    <w:rsid w:val="00F65807"/>
    <w:rsid w:val="00F6580F"/>
    <w:rsid w:val="00F65AC9"/>
    <w:rsid w:val="00F65EC5"/>
    <w:rsid w:val="00F65F4C"/>
    <w:rsid w:val="00F66298"/>
    <w:rsid w:val="00F66700"/>
    <w:rsid w:val="00F6670C"/>
    <w:rsid w:val="00F66923"/>
    <w:rsid w:val="00F66933"/>
    <w:rsid w:val="00F6694E"/>
    <w:rsid w:val="00F66C03"/>
    <w:rsid w:val="00F66D17"/>
    <w:rsid w:val="00F66E45"/>
    <w:rsid w:val="00F6711F"/>
    <w:rsid w:val="00F6714B"/>
    <w:rsid w:val="00F67171"/>
    <w:rsid w:val="00F673C9"/>
    <w:rsid w:val="00F67C04"/>
    <w:rsid w:val="00F67C4D"/>
    <w:rsid w:val="00F67D74"/>
    <w:rsid w:val="00F67DE2"/>
    <w:rsid w:val="00F67E03"/>
    <w:rsid w:val="00F67F6B"/>
    <w:rsid w:val="00F67FD3"/>
    <w:rsid w:val="00F7028A"/>
    <w:rsid w:val="00F70C1B"/>
    <w:rsid w:val="00F70F91"/>
    <w:rsid w:val="00F71532"/>
    <w:rsid w:val="00F71540"/>
    <w:rsid w:val="00F7165D"/>
    <w:rsid w:val="00F719CC"/>
    <w:rsid w:val="00F71B3E"/>
    <w:rsid w:val="00F71EA3"/>
    <w:rsid w:val="00F72038"/>
    <w:rsid w:val="00F72124"/>
    <w:rsid w:val="00F72142"/>
    <w:rsid w:val="00F725FD"/>
    <w:rsid w:val="00F72693"/>
    <w:rsid w:val="00F72715"/>
    <w:rsid w:val="00F72725"/>
    <w:rsid w:val="00F727D6"/>
    <w:rsid w:val="00F72A92"/>
    <w:rsid w:val="00F72AD5"/>
    <w:rsid w:val="00F72CFB"/>
    <w:rsid w:val="00F7307E"/>
    <w:rsid w:val="00F73109"/>
    <w:rsid w:val="00F732B9"/>
    <w:rsid w:val="00F732C5"/>
    <w:rsid w:val="00F738A5"/>
    <w:rsid w:val="00F73953"/>
    <w:rsid w:val="00F73B8E"/>
    <w:rsid w:val="00F74072"/>
    <w:rsid w:val="00F741F1"/>
    <w:rsid w:val="00F7427A"/>
    <w:rsid w:val="00F74D87"/>
    <w:rsid w:val="00F74E25"/>
    <w:rsid w:val="00F750C8"/>
    <w:rsid w:val="00F752B2"/>
    <w:rsid w:val="00F7531A"/>
    <w:rsid w:val="00F75D12"/>
    <w:rsid w:val="00F75E16"/>
    <w:rsid w:val="00F75EA5"/>
    <w:rsid w:val="00F75F15"/>
    <w:rsid w:val="00F761A0"/>
    <w:rsid w:val="00F76253"/>
    <w:rsid w:val="00F7639B"/>
    <w:rsid w:val="00F76482"/>
    <w:rsid w:val="00F765FF"/>
    <w:rsid w:val="00F76757"/>
    <w:rsid w:val="00F769F8"/>
    <w:rsid w:val="00F769F9"/>
    <w:rsid w:val="00F76B30"/>
    <w:rsid w:val="00F76B5C"/>
    <w:rsid w:val="00F7703C"/>
    <w:rsid w:val="00F77077"/>
    <w:rsid w:val="00F7741C"/>
    <w:rsid w:val="00F77715"/>
    <w:rsid w:val="00F77847"/>
    <w:rsid w:val="00F77910"/>
    <w:rsid w:val="00F77A15"/>
    <w:rsid w:val="00F77B27"/>
    <w:rsid w:val="00F77EF0"/>
    <w:rsid w:val="00F8005E"/>
    <w:rsid w:val="00F800DE"/>
    <w:rsid w:val="00F80224"/>
    <w:rsid w:val="00F80378"/>
    <w:rsid w:val="00F8039E"/>
    <w:rsid w:val="00F80DEC"/>
    <w:rsid w:val="00F80E6E"/>
    <w:rsid w:val="00F80FA4"/>
    <w:rsid w:val="00F810EC"/>
    <w:rsid w:val="00F81115"/>
    <w:rsid w:val="00F818CC"/>
    <w:rsid w:val="00F81C6D"/>
    <w:rsid w:val="00F81E09"/>
    <w:rsid w:val="00F81F27"/>
    <w:rsid w:val="00F81F7E"/>
    <w:rsid w:val="00F81F81"/>
    <w:rsid w:val="00F820C6"/>
    <w:rsid w:val="00F822A8"/>
    <w:rsid w:val="00F822B6"/>
    <w:rsid w:val="00F8233B"/>
    <w:rsid w:val="00F824BB"/>
    <w:rsid w:val="00F826EE"/>
    <w:rsid w:val="00F826F0"/>
    <w:rsid w:val="00F8276B"/>
    <w:rsid w:val="00F82CE1"/>
    <w:rsid w:val="00F82D59"/>
    <w:rsid w:val="00F830C3"/>
    <w:rsid w:val="00F83230"/>
    <w:rsid w:val="00F8324C"/>
    <w:rsid w:val="00F84090"/>
    <w:rsid w:val="00F84306"/>
    <w:rsid w:val="00F84818"/>
    <w:rsid w:val="00F84947"/>
    <w:rsid w:val="00F849CD"/>
    <w:rsid w:val="00F84BF5"/>
    <w:rsid w:val="00F84CF7"/>
    <w:rsid w:val="00F84D71"/>
    <w:rsid w:val="00F84F49"/>
    <w:rsid w:val="00F85123"/>
    <w:rsid w:val="00F85340"/>
    <w:rsid w:val="00F8541C"/>
    <w:rsid w:val="00F85702"/>
    <w:rsid w:val="00F858B1"/>
    <w:rsid w:val="00F859C5"/>
    <w:rsid w:val="00F85A88"/>
    <w:rsid w:val="00F85D3A"/>
    <w:rsid w:val="00F85D8D"/>
    <w:rsid w:val="00F86103"/>
    <w:rsid w:val="00F86156"/>
    <w:rsid w:val="00F86172"/>
    <w:rsid w:val="00F86327"/>
    <w:rsid w:val="00F863A6"/>
    <w:rsid w:val="00F86441"/>
    <w:rsid w:val="00F865B0"/>
    <w:rsid w:val="00F865CA"/>
    <w:rsid w:val="00F8672C"/>
    <w:rsid w:val="00F8684F"/>
    <w:rsid w:val="00F86895"/>
    <w:rsid w:val="00F86AD9"/>
    <w:rsid w:val="00F86BFA"/>
    <w:rsid w:val="00F8701A"/>
    <w:rsid w:val="00F870AE"/>
    <w:rsid w:val="00F87183"/>
    <w:rsid w:val="00F87270"/>
    <w:rsid w:val="00F87563"/>
    <w:rsid w:val="00F8759D"/>
    <w:rsid w:val="00F875F3"/>
    <w:rsid w:val="00F87732"/>
    <w:rsid w:val="00F8779E"/>
    <w:rsid w:val="00F878DA"/>
    <w:rsid w:val="00F878F4"/>
    <w:rsid w:val="00F87AA5"/>
    <w:rsid w:val="00F87E2A"/>
    <w:rsid w:val="00F87F07"/>
    <w:rsid w:val="00F87F72"/>
    <w:rsid w:val="00F87FC6"/>
    <w:rsid w:val="00F87FDB"/>
    <w:rsid w:val="00F90234"/>
    <w:rsid w:val="00F90240"/>
    <w:rsid w:val="00F9028D"/>
    <w:rsid w:val="00F90292"/>
    <w:rsid w:val="00F9035C"/>
    <w:rsid w:val="00F906B4"/>
    <w:rsid w:val="00F9071D"/>
    <w:rsid w:val="00F909EC"/>
    <w:rsid w:val="00F90F99"/>
    <w:rsid w:val="00F91097"/>
    <w:rsid w:val="00F91327"/>
    <w:rsid w:val="00F9134B"/>
    <w:rsid w:val="00F91399"/>
    <w:rsid w:val="00F913AC"/>
    <w:rsid w:val="00F91499"/>
    <w:rsid w:val="00F917D1"/>
    <w:rsid w:val="00F918C5"/>
    <w:rsid w:val="00F918EB"/>
    <w:rsid w:val="00F91A16"/>
    <w:rsid w:val="00F91FDC"/>
    <w:rsid w:val="00F9217C"/>
    <w:rsid w:val="00F9221F"/>
    <w:rsid w:val="00F9226D"/>
    <w:rsid w:val="00F92762"/>
    <w:rsid w:val="00F927E7"/>
    <w:rsid w:val="00F92966"/>
    <w:rsid w:val="00F92B88"/>
    <w:rsid w:val="00F92C76"/>
    <w:rsid w:val="00F92DF6"/>
    <w:rsid w:val="00F92F63"/>
    <w:rsid w:val="00F92F83"/>
    <w:rsid w:val="00F93111"/>
    <w:rsid w:val="00F931E9"/>
    <w:rsid w:val="00F935C9"/>
    <w:rsid w:val="00F9393C"/>
    <w:rsid w:val="00F93DDA"/>
    <w:rsid w:val="00F93DE0"/>
    <w:rsid w:val="00F93FF6"/>
    <w:rsid w:val="00F94251"/>
    <w:rsid w:val="00F94430"/>
    <w:rsid w:val="00F946F0"/>
    <w:rsid w:val="00F948B0"/>
    <w:rsid w:val="00F94B38"/>
    <w:rsid w:val="00F94BC6"/>
    <w:rsid w:val="00F94BE1"/>
    <w:rsid w:val="00F95087"/>
    <w:rsid w:val="00F951DF"/>
    <w:rsid w:val="00F95395"/>
    <w:rsid w:val="00F95633"/>
    <w:rsid w:val="00F956B3"/>
    <w:rsid w:val="00F958EA"/>
    <w:rsid w:val="00F958EB"/>
    <w:rsid w:val="00F9590F"/>
    <w:rsid w:val="00F95C4A"/>
    <w:rsid w:val="00F96109"/>
    <w:rsid w:val="00F961BE"/>
    <w:rsid w:val="00F96204"/>
    <w:rsid w:val="00F96550"/>
    <w:rsid w:val="00F9676E"/>
    <w:rsid w:val="00F9679C"/>
    <w:rsid w:val="00F96817"/>
    <w:rsid w:val="00F96B4B"/>
    <w:rsid w:val="00F97102"/>
    <w:rsid w:val="00F971BC"/>
    <w:rsid w:val="00F9720F"/>
    <w:rsid w:val="00F972F1"/>
    <w:rsid w:val="00F977F1"/>
    <w:rsid w:val="00F97890"/>
    <w:rsid w:val="00F979C7"/>
    <w:rsid w:val="00F97B94"/>
    <w:rsid w:val="00F97C80"/>
    <w:rsid w:val="00F97FD8"/>
    <w:rsid w:val="00FA034F"/>
    <w:rsid w:val="00FA05BD"/>
    <w:rsid w:val="00FA07DA"/>
    <w:rsid w:val="00FA080A"/>
    <w:rsid w:val="00FA09EC"/>
    <w:rsid w:val="00FA0A9A"/>
    <w:rsid w:val="00FA0ABB"/>
    <w:rsid w:val="00FA0D47"/>
    <w:rsid w:val="00FA0EB7"/>
    <w:rsid w:val="00FA1316"/>
    <w:rsid w:val="00FA1473"/>
    <w:rsid w:val="00FA1B4A"/>
    <w:rsid w:val="00FA1C27"/>
    <w:rsid w:val="00FA1D1D"/>
    <w:rsid w:val="00FA1E33"/>
    <w:rsid w:val="00FA2338"/>
    <w:rsid w:val="00FA2457"/>
    <w:rsid w:val="00FA2790"/>
    <w:rsid w:val="00FA2793"/>
    <w:rsid w:val="00FA2970"/>
    <w:rsid w:val="00FA2974"/>
    <w:rsid w:val="00FA2A7E"/>
    <w:rsid w:val="00FA2B99"/>
    <w:rsid w:val="00FA2C3E"/>
    <w:rsid w:val="00FA2CC8"/>
    <w:rsid w:val="00FA2DE9"/>
    <w:rsid w:val="00FA2F7D"/>
    <w:rsid w:val="00FA3246"/>
    <w:rsid w:val="00FA335F"/>
    <w:rsid w:val="00FA33B9"/>
    <w:rsid w:val="00FA344C"/>
    <w:rsid w:val="00FA3470"/>
    <w:rsid w:val="00FA36E6"/>
    <w:rsid w:val="00FA3770"/>
    <w:rsid w:val="00FA3798"/>
    <w:rsid w:val="00FA3A50"/>
    <w:rsid w:val="00FA3EF2"/>
    <w:rsid w:val="00FA40BF"/>
    <w:rsid w:val="00FA427D"/>
    <w:rsid w:val="00FA4409"/>
    <w:rsid w:val="00FA450F"/>
    <w:rsid w:val="00FA467B"/>
    <w:rsid w:val="00FA4A96"/>
    <w:rsid w:val="00FA4B74"/>
    <w:rsid w:val="00FA4C08"/>
    <w:rsid w:val="00FA4C40"/>
    <w:rsid w:val="00FA4CC6"/>
    <w:rsid w:val="00FA4D52"/>
    <w:rsid w:val="00FA4EE8"/>
    <w:rsid w:val="00FA4FCF"/>
    <w:rsid w:val="00FA5051"/>
    <w:rsid w:val="00FA54B0"/>
    <w:rsid w:val="00FA55C5"/>
    <w:rsid w:val="00FA579E"/>
    <w:rsid w:val="00FA5833"/>
    <w:rsid w:val="00FA5907"/>
    <w:rsid w:val="00FA6242"/>
    <w:rsid w:val="00FA641E"/>
    <w:rsid w:val="00FA64FD"/>
    <w:rsid w:val="00FA6545"/>
    <w:rsid w:val="00FA6657"/>
    <w:rsid w:val="00FA6659"/>
    <w:rsid w:val="00FA680B"/>
    <w:rsid w:val="00FA6AFF"/>
    <w:rsid w:val="00FA6B23"/>
    <w:rsid w:val="00FA6BD0"/>
    <w:rsid w:val="00FA6E72"/>
    <w:rsid w:val="00FA6EAF"/>
    <w:rsid w:val="00FA7315"/>
    <w:rsid w:val="00FA78C1"/>
    <w:rsid w:val="00FA7B86"/>
    <w:rsid w:val="00FA7B8F"/>
    <w:rsid w:val="00FA7C7D"/>
    <w:rsid w:val="00FA7E1F"/>
    <w:rsid w:val="00FA7EE7"/>
    <w:rsid w:val="00FB0308"/>
    <w:rsid w:val="00FB0A3F"/>
    <w:rsid w:val="00FB0B28"/>
    <w:rsid w:val="00FB0DFB"/>
    <w:rsid w:val="00FB0E21"/>
    <w:rsid w:val="00FB1413"/>
    <w:rsid w:val="00FB1416"/>
    <w:rsid w:val="00FB1452"/>
    <w:rsid w:val="00FB1576"/>
    <w:rsid w:val="00FB15C3"/>
    <w:rsid w:val="00FB1839"/>
    <w:rsid w:val="00FB1AEB"/>
    <w:rsid w:val="00FB1B0F"/>
    <w:rsid w:val="00FB1CD2"/>
    <w:rsid w:val="00FB1F0E"/>
    <w:rsid w:val="00FB1F78"/>
    <w:rsid w:val="00FB230D"/>
    <w:rsid w:val="00FB2317"/>
    <w:rsid w:val="00FB236C"/>
    <w:rsid w:val="00FB244B"/>
    <w:rsid w:val="00FB2770"/>
    <w:rsid w:val="00FB287F"/>
    <w:rsid w:val="00FB289C"/>
    <w:rsid w:val="00FB2954"/>
    <w:rsid w:val="00FB2A0A"/>
    <w:rsid w:val="00FB2B13"/>
    <w:rsid w:val="00FB2F33"/>
    <w:rsid w:val="00FB2F43"/>
    <w:rsid w:val="00FB2FA0"/>
    <w:rsid w:val="00FB34E0"/>
    <w:rsid w:val="00FB35B1"/>
    <w:rsid w:val="00FB386E"/>
    <w:rsid w:val="00FB3899"/>
    <w:rsid w:val="00FB3A34"/>
    <w:rsid w:val="00FB3E77"/>
    <w:rsid w:val="00FB4026"/>
    <w:rsid w:val="00FB41F5"/>
    <w:rsid w:val="00FB460A"/>
    <w:rsid w:val="00FB464E"/>
    <w:rsid w:val="00FB4C51"/>
    <w:rsid w:val="00FB4E37"/>
    <w:rsid w:val="00FB4E69"/>
    <w:rsid w:val="00FB4EF9"/>
    <w:rsid w:val="00FB5289"/>
    <w:rsid w:val="00FB5401"/>
    <w:rsid w:val="00FB5483"/>
    <w:rsid w:val="00FB54E9"/>
    <w:rsid w:val="00FB57CD"/>
    <w:rsid w:val="00FB580A"/>
    <w:rsid w:val="00FB5CB0"/>
    <w:rsid w:val="00FB6186"/>
    <w:rsid w:val="00FB62B4"/>
    <w:rsid w:val="00FB6386"/>
    <w:rsid w:val="00FB65FE"/>
    <w:rsid w:val="00FB6638"/>
    <w:rsid w:val="00FB6CF7"/>
    <w:rsid w:val="00FB7058"/>
    <w:rsid w:val="00FB71A3"/>
    <w:rsid w:val="00FB7363"/>
    <w:rsid w:val="00FB7524"/>
    <w:rsid w:val="00FB75C5"/>
    <w:rsid w:val="00FB75CA"/>
    <w:rsid w:val="00FB7802"/>
    <w:rsid w:val="00FB7A78"/>
    <w:rsid w:val="00FB7B0C"/>
    <w:rsid w:val="00FB7CE0"/>
    <w:rsid w:val="00FB7D0C"/>
    <w:rsid w:val="00FC006B"/>
    <w:rsid w:val="00FC0363"/>
    <w:rsid w:val="00FC0598"/>
    <w:rsid w:val="00FC0744"/>
    <w:rsid w:val="00FC08FB"/>
    <w:rsid w:val="00FC0DF7"/>
    <w:rsid w:val="00FC117D"/>
    <w:rsid w:val="00FC14FF"/>
    <w:rsid w:val="00FC16BF"/>
    <w:rsid w:val="00FC1702"/>
    <w:rsid w:val="00FC1767"/>
    <w:rsid w:val="00FC1BC0"/>
    <w:rsid w:val="00FC1C5D"/>
    <w:rsid w:val="00FC208B"/>
    <w:rsid w:val="00FC2207"/>
    <w:rsid w:val="00FC228E"/>
    <w:rsid w:val="00FC23ED"/>
    <w:rsid w:val="00FC24C4"/>
    <w:rsid w:val="00FC2B33"/>
    <w:rsid w:val="00FC3FC6"/>
    <w:rsid w:val="00FC402E"/>
    <w:rsid w:val="00FC4086"/>
    <w:rsid w:val="00FC415C"/>
    <w:rsid w:val="00FC431B"/>
    <w:rsid w:val="00FC4466"/>
    <w:rsid w:val="00FC48AD"/>
    <w:rsid w:val="00FC4987"/>
    <w:rsid w:val="00FC4CF9"/>
    <w:rsid w:val="00FC4D93"/>
    <w:rsid w:val="00FC51F1"/>
    <w:rsid w:val="00FC54B5"/>
    <w:rsid w:val="00FC5645"/>
    <w:rsid w:val="00FC566C"/>
    <w:rsid w:val="00FC57DD"/>
    <w:rsid w:val="00FC58A2"/>
    <w:rsid w:val="00FC59F6"/>
    <w:rsid w:val="00FC5C91"/>
    <w:rsid w:val="00FC5CD4"/>
    <w:rsid w:val="00FC5D9B"/>
    <w:rsid w:val="00FC5F81"/>
    <w:rsid w:val="00FC6089"/>
    <w:rsid w:val="00FC6183"/>
    <w:rsid w:val="00FC63EF"/>
    <w:rsid w:val="00FC64DD"/>
    <w:rsid w:val="00FC6A6E"/>
    <w:rsid w:val="00FC6C5F"/>
    <w:rsid w:val="00FC6F63"/>
    <w:rsid w:val="00FC722F"/>
    <w:rsid w:val="00FC7249"/>
    <w:rsid w:val="00FC7323"/>
    <w:rsid w:val="00FC7A00"/>
    <w:rsid w:val="00FC7FCF"/>
    <w:rsid w:val="00FD033E"/>
    <w:rsid w:val="00FD05A3"/>
    <w:rsid w:val="00FD05AF"/>
    <w:rsid w:val="00FD084B"/>
    <w:rsid w:val="00FD0889"/>
    <w:rsid w:val="00FD0B5C"/>
    <w:rsid w:val="00FD0BEB"/>
    <w:rsid w:val="00FD0D0B"/>
    <w:rsid w:val="00FD0E98"/>
    <w:rsid w:val="00FD0EEF"/>
    <w:rsid w:val="00FD0F90"/>
    <w:rsid w:val="00FD1310"/>
    <w:rsid w:val="00FD16FA"/>
    <w:rsid w:val="00FD1838"/>
    <w:rsid w:val="00FD19E4"/>
    <w:rsid w:val="00FD19FF"/>
    <w:rsid w:val="00FD1AE5"/>
    <w:rsid w:val="00FD1DBC"/>
    <w:rsid w:val="00FD1DC8"/>
    <w:rsid w:val="00FD1EB1"/>
    <w:rsid w:val="00FD2809"/>
    <w:rsid w:val="00FD2926"/>
    <w:rsid w:val="00FD33E1"/>
    <w:rsid w:val="00FD346D"/>
    <w:rsid w:val="00FD37FB"/>
    <w:rsid w:val="00FD3A86"/>
    <w:rsid w:val="00FD3D28"/>
    <w:rsid w:val="00FD41BF"/>
    <w:rsid w:val="00FD4425"/>
    <w:rsid w:val="00FD4469"/>
    <w:rsid w:val="00FD4592"/>
    <w:rsid w:val="00FD49F2"/>
    <w:rsid w:val="00FD4A3E"/>
    <w:rsid w:val="00FD4C20"/>
    <w:rsid w:val="00FD4C72"/>
    <w:rsid w:val="00FD4D0C"/>
    <w:rsid w:val="00FD4D9A"/>
    <w:rsid w:val="00FD4E4A"/>
    <w:rsid w:val="00FD4FCE"/>
    <w:rsid w:val="00FD5118"/>
    <w:rsid w:val="00FD5344"/>
    <w:rsid w:val="00FD54D9"/>
    <w:rsid w:val="00FD562E"/>
    <w:rsid w:val="00FD5EDA"/>
    <w:rsid w:val="00FD5F8B"/>
    <w:rsid w:val="00FD6115"/>
    <w:rsid w:val="00FD61F1"/>
    <w:rsid w:val="00FD65B0"/>
    <w:rsid w:val="00FD6788"/>
    <w:rsid w:val="00FD6B58"/>
    <w:rsid w:val="00FD6C5D"/>
    <w:rsid w:val="00FD6E9A"/>
    <w:rsid w:val="00FD7028"/>
    <w:rsid w:val="00FD761E"/>
    <w:rsid w:val="00FD7656"/>
    <w:rsid w:val="00FD77CD"/>
    <w:rsid w:val="00FD7D1F"/>
    <w:rsid w:val="00FD7D60"/>
    <w:rsid w:val="00FD7DDE"/>
    <w:rsid w:val="00FD7DF7"/>
    <w:rsid w:val="00FD7E55"/>
    <w:rsid w:val="00FE0120"/>
    <w:rsid w:val="00FE040D"/>
    <w:rsid w:val="00FE0649"/>
    <w:rsid w:val="00FE08AD"/>
    <w:rsid w:val="00FE09E0"/>
    <w:rsid w:val="00FE0A4B"/>
    <w:rsid w:val="00FE0C76"/>
    <w:rsid w:val="00FE0C7B"/>
    <w:rsid w:val="00FE0C99"/>
    <w:rsid w:val="00FE0F4D"/>
    <w:rsid w:val="00FE0F83"/>
    <w:rsid w:val="00FE0FDC"/>
    <w:rsid w:val="00FE16DE"/>
    <w:rsid w:val="00FE1AC4"/>
    <w:rsid w:val="00FE1EF9"/>
    <w:rsid w:val="00FE1F2E"/>
    <w:rsid w:val="00FE22B4"/>
    <w:rsid w:val="00FE2794"/>
    <w:rsid w:val="00FE2A6E"/>
    <w:rsid w:val="00FE2C7F"/>
    <w:rsid w:val="00FE3128"/>
    <w:rsid w:val="00FE314A"/>
    <w:rsid w:val="00FE3602"/>
    <w:rsid w:val="00FE3689"/>
    <w:rsid w:val="00FE36C6"/>
    <w:rsid w:val="00FE3726"/>
    <w:rsid w:val="00FE38EE"/>
    <w:rsid w:val="00FE39FF"/>
    <w:rsid w:val="00FE3D7A"/>
    <w:rsid w:val="00FE3DC0"/>
    <w:rsid w:val="00FE4077"/>
    <w:rsid w:val="00FE413B"/>
    <w:rsid w:val="00FE4424"/>
    <w:rsid w:val="00FE45F0"/>
    <w:rsid w:val="00FE467B"/>
    <w:rsid w:val="00FE472E"/>
    <w:rsid w:val="00FE4806"/>
    <w:rsid w:val="00FE4809"/>
    <w:rsid w:val="00FE48A8"/>
    <w:rsid w:val="00FE4902"/>
    <w:rsid w:val="00FE4B06"/>
    <w:rsid w:val="00FE4B93"/>
    <w:rsid w:val="00FE4DC8"/>
    <w:rsid w:val="00FE4EF8"/>
    <w:rsid w:val="00FE4F2E"/>
    <w:rsid w:val="00FE51F6"/>
    <w:rsid w:val="00FE5629"/>
    <w:rsid w:val="00FE587A"/>
    <w:rsid w:val="00FE58FC"/>
    <w:rsid w:val="00FE5AA7"/>
    <w:rsid w:val="00FE5AED"/>
    <w:rsid w:val="00FE5B1F"/>
    <w:rsid w:val="00FE5C79"/>
    <w:rsid w:val="00FE5CFE"/>
    <w:rsid w:val="00FE5D3C"/>
    <w:rsid w:val="00FE5DE3"/>
    <w:rsid w:val="00FE5E94"/>
    <w:rsid w:val="00FE5F1C"/>
    <w:rsid w:val="00FE62FB"/>
    <w:rsid w:val="00FE639F"/>
    <w:rsid w:val="00FE65FC"/>
    <w:rsid w:val="00FE662D"/>
    <w:rsid w:val="00FE6834"/>
    <w:rsid w:val="00FE6C33"/>
    <w:rsid w:val="00FE6D2A"/>
    <w:rsid w:val="00FE6DAC"/>
    <w:rsid w:val="00FE6DBE"/>
    <w:rsid w:val="00FE6DBF"/>
    <w:rsid w:val="00FE6F74"/>
    <w:rsid w:val="00FE7028"/>
    <w:rsid w:val="00FE7230"/>
    <w:rsid w:val="00FE74D1"/>
    <w:rsid w:val="00FE76AB"/>
    <w:rsid w:val="00FE77DC"/>
    <w:rsid w:val="00FE780E"/>
    <w:rsid w:val="00FE7D28"/>
    <w:rsid w:val="00FE7F17"/>
    <w:rsid w:val="00FE7F58"/>
    <w:rsid w:val="00FF0A24"/>
    <w:rsid w:val="00FF0C51"/>
    <w:rsid w:val="00FF100D"/>
    <w:rsid w:val="00FF1075"/>
    <w:rsid w:val="00FF136F"/>
    <w:rsid w:val="00FF174C"/>
    <w:rsid w:val="00FF1A6E"/>
    <w:rsid w:val="00FF1A9F"/>
    <w:rsid w:val="00FF2123"/>
    <w:rsid w:val="00FF21AC"/>
    <w:rsid w:val="00FF2470"/>
    <w:rsid w:val="00FF2599"/>
    <w:rsid w:val="00FF26B2"/>
    <w:rsid w:val="00FF26BE"/>
    <w:rsid w:val="00FF272A"/>
    <w:rsid w:val="00FF2817"/>
    <w:rsid w:val="00FF28F6"/>
    <w:rsid w:val="00FF2A01"/>
    <w:rsid w:val="00FF2BB9"/>
    <w:rsid w:val="00FF2BDA"/>
    <w:rsid w:val="00FF2D1D"/>
    <w:rsid w:val="00FF32FF"/>
    <w:rsid w:val="00FF37DA"/>
    <w:rsid w:val="00FF3A2F"/>
    <w:rsid w:val="00FF3B41"/>
    <w:rsid w:val="00FF426B"/>
    <w:rsid w:val="00FF45D1"/>
    <w:rsid w:val="00FF4AEF"/>
    <w:rsid w:val="00FF4B0A"/>
    <w:rsid w:val="00FF4CC2"/>
    <w:rsid w:val="00FF4E35"/>
    <w:rsid w:val="00FF5370"/>
    <w:rsid w:val="00FF53D6"/>
    <w:rsid w:val="00FF55A3"/>
    <w:rsid w:val="00FF5694"/>
    <w:rsid w:val="00FF57D3"/>
    <w:rsid w:val="00FF5BC0"/>
    <w:rsid w:val="00FF5C14"/>
    <w:rsid w:val="00FF5DE2"/>
    <w:rsid w:val="00FF5FD9"/>
    <w:rsid w:val="00FF6173"/>
    <w:rsid w:val="00FF619E"/>
    <w:rsid w:val="00FF6477"/>
    <w:rsid w:val="00FF67F8"/>
    <w:rsid w:val="00FF6892"/>
    <w:rsid w:val="00FF6B8B"/>
    <w:rsid w:val="00FF6BB3"/>
    <w:rsid w:val="00FF70CF"/>
    <w:rsid w:val="00FF743F"/>
    <w:rsid w:val="00FF74BF"/>
    <w:rsid w:val="00FF75B9"/>
    <w:rsid w:val="00FF79FA"/>
    <w:rsid w:val="00FF7D01"/>
    <w:rsid w:val="0103009C"/>
    <w:rsid w:val="010914E1"/>
    <w:rsid w:val="0127B2A2"/>
    <w:rsid w:val="01401833"/>
    <w:rsid w:val="01523355"/>
    <w:rsid w:val="015BB105"/>
    <w:rsid w:val="015D3264"/>
    <w:rsid w:val="01767B2F"/>
    <w:rsid w:val="018183B5"/>
    <w:rsid w:val="01853856"/>
    <w:rsid w:val="018CD248"/>
    <w:rsid w:val="019B5924"/>
    <w:rsid w:val="019ED92C"/>
    <w:rsid w:val="01A7EA90"/>
    <w:rsid w:val="01A7EEC2"/>
    <w:rsid w:val="01A7FA78"/>
    <w:rsid w:val="01B36235"/>
    <w:rsid w:val="01D9CA92"/>
    <w:rsid w:val="01DB6139"/>
    <w:rsid w:val="01DBEA97"/>
    <w:rsid w:val="01DD5849"/>
    <w:rsid w:val="01DE16AB"/>
    <w:rsid w:val="01DF4DCB"/>
    <w:rsid w:val="01E0FF02"/>
    <w:rsid w:val="01E72B1E"/>
    <w:rsid w:val="01ED4BE2"/>
    <w:rsid w:val="01F8CBD9"/>
    <w:rsid w:val="01FA8A3E"/>
    <w:rsid w:val="01FDC10A"/>
    <w:rsid w:val="01FDCA82"/>
    <w:rsid w:val="01FE2D51"/>
    <w:rsid w:val="021309CB"/>
    <w:rsid w:val="021FA7C0"/>
    <w:rsid w:val="022A1250"/>
    <w:rsid w:val="022CD2DA"/>
    <w:rsid w:val="02404D66"/>
    <w:rsid w:val="02451886"/>
    <w:rsid w:val="0263D2C4"/>
    <w:rsid w:val="026E2D01"/>
    <w:rsid w:val="026EDDDE"/>
    <w:rsid w:val="027584C5"/>
    <w:rsid w:val="02759D38"/>
    <w:rsid w:val="02844CCB"/>
    <w:rsid w:val="0294A218"/>
    <w:rsid w:val="0297A5F6"/>
    <w:rsid w:val="029AEA26"/>
    <w:rsid w:val="029B9772"/>
    <w:rsid w:val="02A9CF00"/>
    <w:rsid w:val="02C31CC3"/>
    <w:rsid w:val="02CB5E1B"/>
    <w:rsid w:val="02D288B5"/>
    <w:rsid w:val="02D42892"/>
    <w:rsid w:val="02D5508A"/>
    <w:rsid w:val="02E1E59C"/>
    <w:rsid w:val="02EAD1BB"/>
    <w:rsid w:val="030DD6DF"/>
    <w:rsid w:val="0322B149"/>
    <w:rsid w:val="03324D8F"/>
    <w:rsid w:val="03359CA7"/>
    <w:rsid w:val="0338981C"/>
    <w:rsid w:val="033A4C43"/>
    <w:rsid w:val="033B64D9"/>
    <w:rsid w:val="033ED0A7"/>
    <w:rsid w:val="0340F2D5"/>
    <w:rsid w:val="03485E42"/>
    <w:rsid w:val="034EEF12"/>
    <w:rsid w:val="03610914"/>
    <w:rsid w:val="0365C019"/>
    <w:rsid w:val="0369B900"/>
    <w:rsid w:val="036A14C8"/>
    <w:rsid w:val="036B23F6"/>
    <w:rsid w:val="036E3848"/>
    <w:rsid w:val="037EA72A"/>
    <w:rsid w:val="0385FA7B"/>
    <w:rsid w:val="03A0E386"/>
    <w:rsid w:val="03AEFB22"/>
    <w:rsid w:val="03CE0629"/>
    <w:rsid w:val="03E139EC"/>
    <w:rsid w:val="03E7B457"/>
    <w:rsid w:val="03F7378B"/>
    <w:rsid w:val="040195F2"/>
    <w:rsid w:val="04021529"/>
    <w:rsid w:val="0403A2F2"/>
    <w:rsid w:val="040E81E8"/>
    <w:rsid w:val="0413C6FE"/>
    <w:rsid w:val="0417392E"/>
    <w:rsid w:val="04180B4D"/>
    <w:rsid w:val="04371A02"/>
    <w:rsid w:val="0438E034"/>
    <w:rsid w:val="043C00E9"/>
    <w:rsid w:val="043DE657"/>
    <w:rsid w:val="044D9B5C"/>
    <w:rsid w:val="045034D9"/>
    <w:rsid w:val="04533B91"/>
    <w:rsid w:val="04596B88"/>
    <w:rsid w:val="045D604B"/>
    <w:rsid w:val="045E34A5"/>
    <w:rsid w:val="0463D094"/>
    <w:rsid w:val="04646FD4"/>
    <w:rsid w:val="04738FBC"/>
    <w:rsid w:val="04746173"/>
    <w:rsid w:val="047949AE"/>
    <w:rsid w:val="0482E255"/>
    <w:rsid w:val="0496606C"/>
    <w:rsid w:val="04B2C380"/>
    <w:rsid w:val="04B63286"/>
    <w:rsid w:val="04BFC566"/>
    <w:rsid w:val="04CF8364"/>
    <w:rsid w:val="04DD819F"/>
    <w:rsid w:val="04DFC995"/>
    <w:rsid w:val="04E3D199"/>
    <w:rsid w:val="04E52A11"/>
    <w:rsid w:val="04E921CA"/>
    <w:rsid w:val="04EAD03C"/>
    <w:rsid w:val="04EF5D2C"/>
    <w:rsid w:val="050BCB3F"/>
    <w:rsid w:val="05158FA1"/>
    <w:rsid w:val="05203349"/>
    <w:rsid w:val="052643BC"/>
    <w:rsid w:val="052A05C1"/>
    <w:rsid w:val="052A69F3"/>
    <w:rsid w:val="052BCB2B"/>
    <w:rsid w:val="052D09E4"/>
    <w:rsid w:val="05548927"/>
    <w:rsid w:val="055676B2"/>
    <w:rsid w:val="056DB897"/>
    <w:rsid w:val="056EF221"/>
    <w:rsid w:val="05795D7F"/>
    <w:rsid w:val="057D63FB"/>
    <w:rsid w:val="0583C5DA"/>
    <w:rsid w:val="0588C065"/>
    <w:rsid w:val="058E2539"/>
    <w:rsid w:val="058FD9D1"/>
    <w:rsid w:val="05A57D1F"/>
    <w:rsid w:val="05A891E0"/>
    <w:rsid w:val="05BAD278"/>
    <w:rsid w:val="05CA156D"/>
    <w:rsid w:val="05DB8D04"/>
    <w:rsid w:val="05FBA4E4"/>
    <w:rsid w:val="0602C276"/>
    <w:rsid w:val="061882AF"/>
    <w:rsid w:val="062346C8"/>
    <w:rsid w:val="063A864E"/>
    <w:rsid w:val="063A8E79"/>
    <w:rsid w:val="0643584B"/>
    <w:rsid w:val="065AADFB"/>
    <w:rsid w:val="066A6532"/>
    <w:rsid w:val="066E458D"/>
    <w:rsid w:val="0671ED1D"/>
    <w:rsid w:val="06990176"/>
    <w:rsid w:val="06995FFB"/>
    <w:rsid w:val="069F4864"/>
    <w:rsid w:val="069FE203"/>
    <w:rsid w:val="06AA2322"/>
    <w:rsid w:val="06AF2057"/>
    <w:rsid w:val="06BE7A2D"/>
    <w:rsid w:val="06C6DBB6"/>
    <w:rsid w:val="06EB75F0"/>
    <w:rsid w:val="06F17B15"/>
    <w:rsid w:val="070F65B9"/>
    <w:rsid w:val="071D2BE2"/>
    <w:rsid w:val="07200416"/>
    <w:rsid w:val="07236A08"/>
    <w:rsid w:val="0726A68F"/>
    <w:rsid w:val="07339811"/>
    <w:rsid w:val="07388557"/>
    <w:rsid w:val="073D11B8"/>
    <w:rsid w:val="0745B685"/>
    <w:rsid w:val="074B22A7"/>
    <w:rsid w:val="0760E04E"/>
    <w:rsid w:val="0768C84E"/>
    <w:rsid w:val="07751295"/>
    <w:rsid w:val="077D9C34"/>
    <w:rsid w:val="0788390F"/>
    <w:rsid w:val="078D3FFE"/>
    <w:rsid w:val="0791D38E"/>
    <w:rsid w:val="079264A4"/>
    <w:rsid w:val="079380BB"/>
    <w:rsid w:val="079390B0"/>
    <w:rsid w:val="07967FCD"/>
    <w:rsid w:val="079B6C8B"/>
    <w:rsid w:val="079F1FAB"/>
    <w:rsid w:val="07C000E0"/>
    <w:rsid w:val="07C2F71A"/>
    <w:rsid w:val="07CF0E3B"/>
    <w:rsid w:val="07D9A772"/>
    <w:rsid w:val="07EBE9BF"/>
    <w:rsid w:val="07EEB845"/>
    <w:rsid w:val="07EEF2B9"/>
    <w:rsid w:val="07F4E5FA"/>
    <w:rsid w:val="080157D6"/>
    <w:rsid w:val="08017E1E"/>
    <w:rsid w:val="081A79F7"/>
    <w:rsid w:val="083BBD80"/>
    <w:rsid w:val="083BC55C"/>
    <w:rsid w:val="083E9410"/>
    <w:rsid w:val="084087CB"/>
    <w:rsid w:val="084366F8"/>
    <w:rsid w:val="08531126"/>
    <w:rsid w:val="085C29A9"/>
    <w:rsid w:val="085CE86A"/>
    <w:rsid w:val="087BE14E"/>
    <w:rsid w:val="088037BE"/>
    <w:rsid w:val="0884385C"/>
    <w:rsid w:val="088B21B2"/>
    <w:rsid w:val="088BB6E1"/>
    <w:rsid w:val="089516F3"/>
    <w:rsid w:val="0898BBF0"/>
    <w:rsid w:val="089CA7A9"/>
    <w:rsid w:val="08ADCD3E"/>
    <w:rsid w:val="08B3CEF4"/>
    <w:rsid w:val="08B78932"/>
    <w:rsid w:val="08DFFABE"/>
    <w:rsid w:val="08E0E5AF"/>
    <w:rsid w:val="08E9B7A3"/>
    <w:rsid w:val="091BA448"/>
    <w:rsid w:val="093345A6"/>
    <w:rsid w:val="093B8F92"/>
    <w:rsid w:val="0942D29E"/>
    <w:rsid w:val="09447811"/>
    <w:rsid w:val="09543939"/>
    <w:rsid w:val="09564AA3"/>
    <w:rsid w:val="095DFDD1"/>
    <w:rsid w:val="095E6F6E"/>
    <w:rsid w:val="097CAFE7"/>
    <w:rsid w:val="097D7E74"/>
    <w:rsid w:val="0982DA42"/>
    <w:rsid w:val="0998D3C4"/>
    <w:rsid w:val="09B7B818"/>
    <w:rsid w:val="09CFCA9E"/>
    <w:rsid w:val="09D09F15"/>
    <w:rsid w:val="09D4D336"/>
    <w:rsid w:val="09D628A8"/>
    <w:rsid w:val="09EBFA63"/>
    <w:rsid w:val="09F43150"/>
    <w:rsid w:val="09FA9A23"/>
    <w:rsid w:val="0A0222DC"/>
    <w:rsid w:val="0A0EA9DE"/>
    <w:rsid w:val="0A17CA56"/>
    <w:rsid w:val="0A19E602"/>
    <w:rsid w:val="0A1EBAD0"/>
    <w:rsid w:val="0A242916"/>
    <w:rsid w:val="0A438030"/>
    <w:rsid w:val="0A465CE4"/>
    <w:rsid w:val="0A5EB0CA"/>
    <w:rsid w:val="0A666168"/>
    <w:rsid w:val="0A746E6C"/>
    <w:rsid w:val="0A8EC10E"/>
    <w:rsid w:val="0A980837"/>
    <w:rsid w:val="0A989FBC"/>
    <w:rsid w:val="0AA6A0E2"/>
    <w:rsid w:val="0AA93DC4"/>
    <w:rsid w:val="0AC9274D"/>
    <w:rsid w:val="0AD287D2"/>
    <w:rsid w:val="0AD992B1"/>
    <w:rsid w:val="0AE08E47"/>
    <w:rsid w:val="0AEBDCA7"/>
    <w:rsid w:val="0B010A03"/>
    <w:rsid w:val="0B083A61"/>
    <w:rsid w:val="0B172F26"/>
    <w:rsid w:val="0B3154BE"/>
    <w:rsid w:val="0B32091F"/>
    <w:rsid w:val="0B3522BA"/>
    <w:rsid w:val="0B389AF2"/>
    <w:rsid w:val="0B44504D"/>
    <w:rsid w:val="0B5D3CB9"/>
    <w:rsid w:val="0B6ACAA1"/>
    <w:rsid w:val="0B74BAC2"/>
    <w:rsid w:val="0B762472"/>
    <w:rsid w:val="0B7CEE73"/>
    <w:rsid w:val="0B84B1DE"/>
    <w:rsid w:val="0BAC92F4"/>
    <w:rsid w:val="0BAE1349"/>
    <w:rsid w:val="0BAE1B7B"/>
    <w:rsid w:val="0BBFEC8D"/>
    <w:rsid w:val="0BC8EEDF"/>
    <w:rsid w:val="0BD21212"/>
    <w:rsid w:val="0BD7D75D"/>
    <w:rsid w:val="0BEA31B7"/>
    <w:rsid w:val="0BF48852"/>
    <w:rsid w:val="0BFEB0CC"/>
    <w:rsid w:val="0C12B641"/>
    <w:rsid w:val="0C145C54"/>
    <w:rsid w:val="0C15B253"/>
    <w:rsid w:val="0C18BD90"/>
    <w:rsid w:val="0C2F1AA4"/>
    <w:rsid w:val="0C338823"/>
    <w:rsid w:val="0C415A23"/>
    <w:rsid w:val="0C50E2F2"/>
    <w:rsid w:val="0C538162"/>
    <w:rsid w:val="0C556269"/>
    <w:rsid w:val="0C58B333"/>
    <w:rsid w:val="0C6CB877"/>
    <w:rsid w:val="0C6F6F60"/>
    <w:rsid w:val="0C7BD9D0"/>
    <w:rsid w:val="0C944EF6"/>
    <w:rsid w:val="0C9AC030"/>
    <w:rsid w:val="0C9F78DF"/>
    <w:rsid w:val="0CB7E9D2"/>
    <w:rsid w:val="0CC012AD"/>
    <w:rsid w:val="0CC5FDA3"/>
    <w:rsid w:val="0CDA9339"/>
    <w:rsid w:val="0CE7C1A2"/>
    <w:rsid w:val="0CE9F5D6"/>
    <w:rsid w:val="0CEAFDEC"/>
    <w:rsid w:val="0CEB3613"/>
    <w:rsid w:val="0CEFE184"/>
    <w:rsid w:val="0D113796"/>
    <w:rsid w:val="0D19B653"/>
    <w:rsid w:val="0D1C33F9"/>
    <w:rsid w:val="0D2978B8"/>
    <w:rsid w:val="0D2B02FC"/>
    <w:rsid w:val="0D301D9B"/>
    <w:rsid w:val="0D33DD08"/>
    <w:rsid w:val="0D36E26F"/>
    <w:rsid w:val="0D3E5F53"/>
    <w:rsid w:val="0D4095DE"/>
    <w:rsid w:val="0D5C35AE"/>
    <w:rsid w:val="0D6B3E7A"/>
    <w:rsid w:val="0D6C0928"/>
    <w:rsid w:val="0D6DDB64"/>
    <w:rsid w:val="0D77D4A2"/>
    <w:rsid w:val="0D7F1CA7"/>
    <w:rsid w:val="0D7F7CC8"/>
    <w:rsid w:val="0D82FEA0"/>
    <w:rsid w:val="0D862D1C"/>
    <w:rsid w:val="0D883D81"/>
    <w:rsid w:val="0D95249D"/>
    <w:rsid w:val="0DA0C37A"/>
    <w:rsid w:val="0DB1B60F"/>
    <w:rsid w:val="0DBA84B5"/>
    <w:rsid w:val="0DD2812E"/>
    <w:rsid w:val="0DE4542D"/>
    <w:rsid w:val="0DF6F372"/>
    <w:rsid w:val="0E02A866"/>
    <w:rsid w:val="0E21E3FE"/>
    <w:rsid w:val="0E27028A"/>
    <w:rsid w:val="0E4263AE"/>
    <w:rsid w:val="0E429F80"/>
    <w:rsid w:val="0E4BEA41"/>
    <w:rsid w:val="0E4EB5BF"/>
    <w:rsid w:val="0E523054"/>
    <w:rsid w:val="0E66FC41"/>
    <w:rsid w:val="0E67097A"/>
    <w:rsid w:val="0E783D07"/>
    <w:rsid w:val="0E7906C2"/>
    <w:rsid w:val="0E8512D5"/>
    <w:rsid w:val="0E9546DD"/>
    <w:rsid w:val="0EBE9ED6"/>
    <w:rsid w:val="0EC7E428"/>
    <w:rsid w:val="0EC7EA89"/>
    <w:rsid w:val="0ECA5419"/>
    <w:rsid w:val="0ECA664D"/>
    <w:rsid w:val="0ED220F9"/>
    <w:rsid w:val="0ED6C784"/>
    <w:rsid w:val="0EF55DAF"/>
    <w:rsid w:val="0EF97383"/>
    <w:rsid w:val="0F085C96"/>
    <w:rsid w:val="0F192656"/>
    <w:rsid w:val="0F1B70BF"/>
    <w:rsid w:val="0F31BC2E"/>
    <w:rsid w:val="0F393DF7"/>
    <w:rsid w:val="0F41A0A0"/>
    <w:rsid w:val="0F4DEFED"/>
    <w:rsid w:val="0F54C2FB"/>
    <w:rsid w:val="0F568700"/>
    <w:rsid w:val="0F69DC2A"/>
    <w:rsid w:val="0F7AEA61"/>
    <w:rsid w:val="0F86821F"/>
    <w:rsid w:val="0F8995E3"/>
    <w:rsid w:val="0F98BF7A"/>
    <w:rsid w:val="0F9E5420"/>
    <w:rsid w:val="0F9FD920"/>
    <w:rsid w:val="0F9FE3A4"/>
    <w:rsid w:val="0FA0E04B"/>
    <w:rsid w:val="0FB3B995"/>
    <w:rsid w:val="0FB851A8"/>
    <w:rsid w:val="0FBA0523"/>
    <w:rsid w:val="0FC1959D"/>
    <w:rsid w:val="0FE4072E"/>
    <w:rsid w:val="0FE913EC"/>
    <w:rsid w:val="0FFC35D5"/>
    <w:rsid w:val="10046DD7"/>
    <w:rsid w:val="1008DED9"/>
    <w:rsid w:val="100D1A5F"/>
    <w:rsid w:val="101D21DE"/>
    <w:rsid w:val="102271C0"/>
    <w:rsid w:val="102D30D8"/>
    <w:rsid w:val="103D42D3"/>
    <w:rsid w:val="103FBA86"/>
    <w:rsid w:val="1057FF97"/>
    <w:rsid w:val="10586D09"/>
    <w:rsid w:val="105DEA88"/>
    <w:rsid w:val="107AE44E"/>
    <w:rsid w:val="1082A03A"/>
    <w:rsid w:val="108AA578"/>
    <w:rsid w:val="10912D63"/>
    <w:rsid w:val="109D7075"/>
    <w:rsid w:val="10ABD5A9"/>
    <w:rsid w:val="10AC035C"/>
    <w:rsid w:val="10B6D31B"/>
    <w:rsid w:val="10BE5C07"/>
    <w:rsid w:val="10C0517B"/>
    <w:rsid w:val="10C684B1"/>
    <w:rsid w:val="10E66747"/>
    <w:rsid w:val="10F1E469"/>
    <w:rsid w:val="10F8B0FD"/>
    <w:rsid w:val="11049508"/>
    <w:rsid w:val="11070490"/>
    <w:rsid w:val="110976AB"/>
    <w:rsid w:val="110BA8D9"/>
    <w:rsid w:val="110ED7E8"/>
    <w:rsid w:val="1123EEE2"/>
    <w:rsid w:val="11241128"/>
    <w:rsid w:val="113DAED1"/>
    <w:rsid w:val="1153B068"/>
    <w:rsid w:val="115B0DE9"/>
    <w:rsid w:val="1177FCE9"/>
    <w:rsid w:val="11821800"/>
    <w:rsid w:val="119E486E"/>
    <w:rsid w:val="11A93829"/>
    <w:rsid w:val="11B75676"/>
    <w:rsid w:val="11CF1446"/>
    <w:rsid w:val="11D37324"/>
    <w:rsid w:val="11D3F1D0"/>
    <w:rsid w:val="11D866A7"/>
    <w:rsid w:val="11DBFD78"/>
    <w:rsid w:val="11DE681F"/>
    <w:rsid w:val="11E85E1D"/>
    <w:rsid w:val="11EC1145"/>
    <w:rsid w:val="11F8AC0E"/>
    <w:rsid w:val="11FD15F2"/>
    <w:rsid w:val="11FF94F9"/>
    <w:rsid w:val="120860FA"/>
    <w:rsid w:val="120FECB6"/>
    <w:rsid w:val="121E0BF4"/>
    <w:rsid w:val="12208DCF"/>
    <w:rsid w:val="1221DCC8"/>
    <w:rsid w:val="1222275B"/>
    <w:rsid w:val="1227EB37"/>
    <w:rsid w:val="122B9B5C"/>
    <w:rsid w:val="123A6B2D"/>
    <w:rsid w:val="123A80D9"/>
    <w:rsid w:val="12508F63"/>
    <w:rsid w:val="1253EE6C"/>
    <w:rsid w:val="125945A0"/>
    <w:rsid w:val="125D3E67"/>
    <w:rsid w:val="12612A9A"/>
    <w:rsid w:val="1265AA1F"/>
    <w:rsid w:val="126E0A39"/>
    <w:rsid w:val="1274EE3C"/>
    <w:rsid w:val="1282C6C6"/>
    <w:rsid w:val="12906CB9"/>
    <w:rsid w:val="12911CC1"/>
    <w:rsid w:val="1294E201"/>
    <w:rsid w:val="12975C0C"/>
    <w:rsid w:val="12AFEEC3"/>
    <w:rsid w:val="12BCFAC9"/>
    <w:rsid w:val="12C9D458"/>
    <w:rsid w:val="12DBA27B"/>
    <w:rsid w:val="12E0E9EA"/>
    <w:rsid w:val="12E2C0D1"/>
    <w:rsid w:val="12E59A74"/>
    <w:rsid w:val="12EACA98"/>
    <w:rsid w:val="12ED1D6B"/>
    <w:rsid w:val="12EDA5E2"/>
    <w:rsid w:val="12EDC17F"/>
    <w:rsid w:val="12F4AC51"/>
    <w:rsid w:val="12FA9D6B"/>
    <w:rsid w:val="13029F60"/>
    <w:rsid w:val="130774C2"/>
    <w:rsid w:val="130DFE62"/>
    <w:rsid w:val="1312B739"/>
    <w:rsid w:val="131D73AE"/>
    <w:rsid w:val="1324479F"/>
    <w:rsid w:val="1341A15F"/>
    <w:rsid w:val="1342CF8A"/>
    <w:rsid w:val="1344A49D"/>
    <w:rsid w:val="134708D8"/>
    <w:rsid w:val="1348F463"/>
    <w:rsid w:val="1351C9F7"/>
    <w:rsid w:val="13542011"/>
    <w:rsid w:val="1358B93F"/>
    <w:rsid w:val="135C3B02"/>
    <w:rsid w:val="135D2447"/>
    <w:rsid w:val="13647899"/>
    <w:rsid w:val="136598D0"/>
    <w:rsid w:val="13675905"/>
    <w:rsid w:val="13846525"/>
    <w:rsid w:val="1391C078"/>
    <w:rsid w:val="13949ABE"/>
    <w:rsid w:val="139BC99A"/>
    <w:rsid w:val="139D7B15"/>
    <w:rsid w:val="13A8A4E7"/>
    <w:rsid w:val="13A9534F"/>
    <w:rsid w:val="13AAF1BA"/>
    <w:rsid w:val="13AE6F45"/>
    <w:rsid w:val="13AF87DB"/>
    <w:rsid w:val="13B94CEA"/>
    <w:rsid w:val="13BDC5E6"/>
    <w:rsid w:val="13BE1F13"/>
    <w:rsid w:val="13C53AA5"/>
    <w:rsid w:val="13C76DCF"/>
    <w:rsid w:val="13C8C3C6"/>
    <w:rsid w:val="13D00447"/>
    <w:rsid w:val="13F5A100"/>
    <w:rsid w:val="140622CE"/>
    <w:rsid w:val="1407497F"/>
    <w:rsid w:val="1407CA33"/>
    <w:rsid w:val="140BD6BB"/>
    <w:rsid w:val="14116714"/>
    <w:rsid w:val="141C6BA9"/>
    <w:rsid w:val="142E526A"/>
    <w:rsid w:val="142F576F"/>
    <w:rsid w:val="143479E9"/>
    <w:rsid w:val="1445A0A9"/>
    <w:rsid w:val="1454AECD"/>
    <w:rsid w:val="1456151F"/>
    <w:rsid w:val="1456A482"/>
    <w:rsid w:val="145B37F7"/>
    <w:rsid w:val="145B3C87"/>
    <w:rsid w:val="145B94DA"/>
    <w:rsid w:val="145CCB85"/>
    <w:rsid w:val="145D4EF5"/>
    <w:rsid w:val="1461821C"/>
    <w:rsid w:val="1463CF3A"/>
    <w:rsid w:val="1466BA1D"/>
    <w:rsid w:val="1468DA41"/>
    <w:rsid w:val="146CE8E3"/>
    <w:rsid w:val="146F43DF"/>
    <w:rsid w:val="1470CFA0"/>
    <w:rsid w:val="14724E67"/>
    <w:rsid w:val="147E573B"/>
    <w:rsid w:val="148B3F7A"/>
    <w:rsid w:val="148F183E"/>
    <w:rsid w:val="14955FC3"/>
    <w:rsid w:val="149C6B83"/>
    <w:rsid w:val="149CF5BE"/>
    <w:rsid w:val="14A4F1FD"/>
    <w:rsid w:val="14B63496"/>
    <w:rsid w:val="14CE03C6"/>
    <w:rsid w:val="14D6C6A7"/>
    <w:rsid w:val="14D76721"/>
    <w:rsid w:val="14F0B435"/>
    <w:rsid w:val="14F717D3"/>
    <w:rsid w:val="150699CE"/>
    <w:rsid w:val="151402B7"/>
    <w:rsid w:val="15216133"/>
    <w:rsid w:val="152B7C17"/>
    <w:rsid w:val="15436B3E"/>
    <w:rsid w:val="154B7D19"/>
    <w:rsid w:val="1553731C"/>
    <w:rsid w:val="155422A8"/>
    <w:rsid w:val="155873D9"/>
    <w:rsid w:val="155AADE3"/>
    <w:rsid w:val="155C641D"/>
    <w:rsid w:val="15621703"/>
    <w:rsid w:val="156747C5"/>
    <w:rsid w:val="15695E01"/>
    <w:rsid w:val="156BB864"/>
    <w:rsid w:val="15786D35"/>
    <w:rsid w:val="157E9179"/>
    <w:rsid w:val="15860DA7"/>
    <w:rsid w:val="158B010B"/>
    <w:rsid w:val="158D917D"/>
    <w:rsid w:val="159822AF"/>
    <w:rsid w:val="15A8680B"/>
    <w:rsid w:val="15B52D35"/>
    <w:rsid w:val="15BFEFFB"/>
    <w:rsid w:val="15C17BB8"/>
    <w:rsid w:val="15C379C3"/>
    <w:rsid w:val="15EC617F"/>
    <w:rsid w:val="15F908CE"/>
    <w:rsid w:val="15FA6415"/>
    <w:rsid w:val="15FAD7D8"/>
    <w:rsid w:val="16001411"/>
    <w:rsid w:val="160674A5"/>
    <w:rsid w:val="162BC640"/>
    <w:rsid w:val="16335C3F"/>
    <w:rsid w:val="1663DF11"/>
    <w:rsid w:val="16684222"/>
    <w:rsid w:val="1671AA80"/>
    <w:rsid w:val="167C035D"/>
    <w:rsid w:val="167F614F"/>
    <w:rsid w:val="167FB92A"/>
    <w:rsid w:val="16A66DD8"/>
    <w:rsid w:val="16AD1F76"/>
    <w:rsid w:val="16B4346B"/>
    <w:rsid w:val="16BBE870"/>
    <w:rsid w:val="16D10782"/>
    <w:rsid w:val="16D25D4D"/>
    <w:rsid w:val="16D4F71E"/>
    <w:rsid w:val="16DC3439"/>
    <w:rsid w:val="16DD1C70"/>
    <w:rsid w:val="16DED3F6"/>
    <w:rsid w:val="16E81CD6"/>
    <w:rsid w:val="16EAF1D8"/>
    <w:rsid w:val="16EC8A56"/>
    <w:rsid w:val="16F9CDFA"/>
    <w:rsid w:val="170938AC"/>
    <w:rsid w:val="170C6E8E"/>
    <w:rsid w:val="171262DB"/>
    <w:rsid w:val="1718B441"/>
    <w:rsid w:val="171E7257"/>
    <w:rsid w:val="171F3F6E"/>
    <w:rsid w:val="171F4794"/>
    <w:rsid w:val="1727CD4A"/>
    <w:rsid w:val="172F7EEF"/>
    <w:rsid w:val="1739968E"/>
    <w:rsid w:val="173B0BD1"/>
    <w:rsid w:val="174054F5"/>
    <w:rsid w:val="176641D5"/>
    <w:rsid w:val="176AE3C3"/>
    <w:rsid w:val="176D5AED"/>
    <w:rsid w:val="176F1D9A"/>
    <w:rsid w:val="1771B4EC"/>
    <w:rsid w:val="1777EA9E"/>
    <w:rsid w:val="177A892F"/>
    <w:rsid w:val="17866212"/>
    <w:rsid w:val="17890D7F"/>
    <w:rsid w:val="178CE823"/>
    <w:rsid w:val="17979AEC"/>
    <w:rsid w:val="17A61FCA"/>
    <w:rsid w:val="17A69A6C"/>
    <w:rsid w:val="17A98E5C"/>
    <w:rsid w:val="17AC44E1"/>
    <w:rsid w:val="17B2FBF2"/>
    <w:rsid w:val="17B54146"/>
    <w:rsid w:val="17B68B8F"/>
    <w:rsid w:val="17D0CA8C"/>
    <w:rsid w:val="17D2494A"/>
    <w:rsid w:val="17D42E6A"/>
    <w:rsid w:val="17E02DEF"/>
    <w:rsid w:val="17E99B9A"/>
    <w:rsid w:val="17F04A08"/>
    <w:rsid w:val="17F2B88E"/>
    <w:rsid w:val="17F634AE"/>
    <w:rsid w:val="17FDADA3"/>
    <w:rsid w:val="17FEE251"/>
    <w:rsid w:val="1802C39C"/>
    <w:rsid w:val="1806D24C"/>
    <w:rsid w:val="18076B04"/>
    <w:rsid w:val="180781E4"/>
    <w:rsid w:val="1808765A"/>
    <w:rsid w:val="180CC699"/>
    <w:rsid w:val="1814B9FF"/>
    <w:rsid w:val="1815F935"/>
    <w:rsid w:val="181A5E05"/>
    <w:rsid w:val="18324E56"/>
    <w:rsid w:val="18386215"/>
    <w:rsid w:val="183CCAC9"/>
    <w:rsid w:val="183E17D5"/>
    <w:rsid w:val="183E8F83"/>
    <w:rsid w:val="1840324A"/>
    <w:rsid w:val="1845DC1C"/>
    <w:rsid w:val="18518423"/>
    <w:rsid w:val="1851CE9B"/>
    <w:rsid w:val="18559A50"/>
    <w:rsid w:val="1865FCAF"/>
    <w:rsid w:val="18689D78"/>
    <w:rsid w:val="186A7210"/>
    <w:rsid w:val="186B226C"/>
    <w:rsid w:val="1878A542"/>
    <w:rsid w:val="188CC783"/>
    <w:rsid w:val="189F83FA"/>
    <w:rsid w:val="18AAB37B"/>
    <w:rsid w:val="18B1E972"/>
    <w:rsid w:val="18BBF1BF"/>
    <w:rsid w:val="18BCBBD9"/>
    <w:rsid w:val="18CB6A56"/>
    <w:rsid w:val="18CEB1E5"/>
    <w:rsid w:val="18D0BC9C"/>
    <w:rsid w:val="18DAB256"/>
    <w:rsid w:val="18DC0D59"/>
    <w:rsid w:val="18E17F5D"/>
    <w:rsid w:val="18E2C62A"/>
    <w:rsid w:val="18F109CE"/>
    <w:rsid w:val="191993F3"/>
    <w:rsid w:val="19264DD0"/>
    <w:rsid w:val="192E9876"/>
    <w:rsid w:val="19312BD9"/>
    <w:rsid w:val="19437D70"/>
    <w:rsid w:val="194DB798"/>
    <w:rsid w:val="194E17B0"/>
    <w:rsid w:val="194E2C9E"/>
    <w:rsid w:val="19570271"/>
    <w:rsid w:val="195AC6C9"/>
    <w:rsid w:val="1964A633"/>
    <w:rsid w:val="19653389"/>
    <w:rsid w:val="1973F5E4"/>
    <w:rsid w:val="1981FC76"/>
    <w:rsid w:val="1990B6D1"/>
    <w:rsid w:val="19AC87E5"/>
    <w:rsid w:val="19AFDE47"/>
    <w:rsid w:val="19C9447D"/>
    <w:rsid w:val="19CD0851"/>
    <w:rsid w:val="19D81ECD"/>
    <w:rsid w:val="19F07051"/>
    <w:rsid w:val="19F3AAAC"/>
    <w:rsid w:val="19F77AD8"/>
    <w:rsid w:val="1A0D5C0B"/>
    <w:rsid w:val="1A125B69"/>
    <w:rsid w:val="1A1F753D"/>
    <w:rsid w:val="1A20809B"/>
    <w:rsid w:val="1A288661"/>
    <w:rsid w:val="1A33FBB0"/>
    <w:rsid w:val="1A44F818"/>
    <w:rsid w:val="1A4F4A8A"/>
    <w:rsid w:val="1A5324A0"/>
    <w:rsid w:val="1A5608DD"/>
    <w:rsid w:val="1A5F2D1B"/>
    <w:rsid w:val="1A66C31A"/>
    <w:rsid w:val="1A6D10E8"/>
    <w:rsid w:val="1A74805C"/>
    <w:rsid w:val="1A8E9358"/>
    <w:rsid w:val="1A92C153"/>
    <w:rsid w:val="1A9751FA"/>
    <w:rsid w:val="1AA0ABA8"/>
    <w:rsid w:val="1AA3CC3F"/>
    <w:rsid w:val="1AB066B3"/>
    <w:rsid w:val="1AB14DE5"/>
    <w:rsid w:val="1AB4A9AD"/>
    <w:rsid w:val="1AB5260C"/>
    <w:rsid w:val="1AB9F38D"/>
    <w:rsid w:val="1ABB9AE0"/>
    <w:rsid w:val="1AC5249C"/>
    <w:rsid w:val="1ACF8532"/>
    <w:rsid w:val="1AD6EE87"/>
    <w:rsid w:val="1AEC5DF0"/>
    <w:rsid w:val="1AF88FC1"/>
    <w:rsid w:val="1AFEBB15"/>
    <w:rsid w:val="1B020B59"/>
    <w:rsid w:val="1B04342D"/>
    <w:rsid w:val="1B0C4B2C"/>
    <w:rsid w:val="1B115A16"/>
    <w:rsid w:val="1B118CCF"/>
    <w:rsid w:val="1B124DEB"/>
    <w:rsid w:val="1B284747"/>
    <w:rsid w:val="1B2C00B1"/>
    <w:rsid w:val="1B3B3F83"/>
    <w:rsid w:val="1B3C7014"/>
    <w:rsid w:val="1B47624D"/>
    <w:rsid w:val="1B5211B0"/>
    <w:rsid w:val="1B5F2D05"/>
    <w:rsid w:val="1B69666E"/>
    <w:rsid w:val="1B6B70D2"/>
    <w:rsid w:val="1B72F176"/>
    <w:rsid w:val="1B788F5A"/>
    <w:rsid w:val="1B79E43A"/>
    <w:rsid w:val="1B843771"/>
    <w:rsid w:val="1B8C5C8C"/>
    <w:rsid w:val="1B961E90"/>
    <w:rsid w:val="1BA19C97"/>
    <w:rsid w:val="1BAAFB3D"/>
    <w:rsid w:val="1BB96FBA"/>
    <w:rsid w:val="1BC05632"/>
    <w:rsid w:val="1BCB9FEB"/>
    <w:rsid w:val="1BCDB360"/>
    <w:rsid w:val="1BD6BFB4"/>
    <w:rsid w:val="1BDB7413"/>
    <w:rsid w:val="1C19EFE5"/>
    <w:rsid w:val="1C1A490D"/>
    <w:rsid w:val="1C3377D9"/>
    <w:rsid w:val="1C3436CF"/>
    <w:rsid w:val="1C36B4AD"/>
    <w:rsid w:val="1C376FA3"/>
    <w:rsid w:val="1C465130"/>
    <w:rsid w:val="1C4D2513"/>
    <w:rsid w:val="1C563AB4"/>
    <w:rsid w:val="1C5FD375"/>
    <w:rsid w:val="1C64A53F"/>
    <w:rsid w:val="1C67C489"/>
    <w:rsid w:val="1C6A1C4E"/>
    <w:rsid w:val="1C6CC6BC"/>
    <w:rsid w:val="1C7E2444"/>
    <w:rsid w:val="1C7EB1C1"/>
    <w:rsid w:val="1C8101C6"/>
    <w:rsid w:val="1C93F3FC"/>
    <w:rsid w:val="1C9FE35E"/>
    <w:rsid w:val="1CA071E2"/>
    <w:rsid w:val="1CA23BF9"/>
    <w:rsid w:val="1CA349B1"/>
    <w:rsid w:val="1CA59F34"/>
    <w:rsid w:val="1CB174D8"/>
    <w:rsid w:val="1CBCC484"/>
    <w:rsid w:val="1CCA32DD"/>
    <w:rsid w:val="1CD5F802"/>
    <w:rsid w:val="1CE8632C"/>
    <w:rsid w:val="1CEAF771"/>
    <w:rsid w:val="1CF5E0A3"/>
    <w:rsid w:val="1D103BEC"/>
    <w:rsid w:val="1D15B278"/>
    <w:rsid w:val="1D2B8183"/>
    <w:rsid w:val="1D2CE270"/>
    <w:rsid w:val="1D59F679"/>
    <w:rsid w:val="1D7ABC60"/>
    <w:rsid w:val="1D7D04AB"/>
    <w:rsid w:val="1D97FD6C"/>
    <w:rsid w:val="1D99E518"/>
    <w:rsid w:val="1DA11F5F"/>
    <w:rsid w:val="1DA29D2A"/>
    <w:rsid w:val="1DC3EFA1"/>
    <w:rsid w:val="1DEB1559"/>
    <w:rsid w:val="1DEC7939"/>
    <w:rsid w:val="1DEDB6E8"/>
    <w:rsid w:val="1E08AEEF"/>
    <w:rsid w:val="1E152CB5"/>
    <w:rsid w:val="1E2064A9"/>
    <w:rsid w:val="1E24FAF3"/>
    <w:rsid w:val="1E2BEF0D"/>
    <w:rsid w:val="1E33536F"/>
    <w:rsid w:val="1E3361EE"/>
    <w:rsid w:val="1E3C2AA5"/>
    <w:rsid w:val="1E3C67CB"/>
    <w:rsid w:val="1E45B617"/>
    <w:rsid w:val="1E4BD1E5"/>
    <w:rsid w:val="1E52B35E"/>
    <w:rsid w:val="1E5D38F1"/>
    <w:rsid w:val="1E6552D0"/>
    <w:rsid w:val="1E680358"/>
    <w:rsid w:val="1E6E3B93"/>
    <w:rsid w:val="1E755452"/>
    <w:rsid w:val="1E7E3F64"/>
    <w:rsid w:val="1E808D46"/>
    <w:rsid w:val="1E809163"/>
    <w:rsid w:val="1E8C6B5D"/>
    <w:rsid w:val="1E921D70"/>
    <w:rsid w:val="1E9BEA65"/>
    <w:rsid w:val="1EA10582"/>
    <w:rsid w:val="1EA3A1DA"/>
    <w:rsid w:val="1EA7CDC1"/>
    <w:rsid w:val="1EA95B1C"/>
    <w:rsid w:val="1EB1DDA3"/>
    <w:rsid w:val="1EBC7DB1"/>
    <w:rsid w:val="1EC0D4FF"/>
    <w:rsid w:val="1EC875D4"/>
    <w:rsid w:val="1EE05FAF"/>
    <w:rsid w:val="1EE43BEB"/>
    <w:rsid w:val="1EFA01F5"/>
    <w:rsid w:val="1EFA65D7"/>
    <w:rsid w:val="1EFBD1FE"/>
    <w:rsid w:val="1EFC8217"/>
    <w:rsid w:val="1F04DF88"/>
    <w:rsid w:val="1F2012DD"/>
    <w:rsid w:val="1F307BF2"/>
    <w:rsid w:val="1F3B147F"/>
    <w:rsid w:val="1F466319"/>
    <w:rsid w:val="1F4EAEF5"/>
    <w:rsid w:val="1F504617"/>
    <w:rsid w:val="1F67DFFE"/>
    <w:rsid w:val="1F69A8C9"/>
    <w:rsid w:val="1F714441"/>
    <w:rsid w:val="1F7EC3AE"/>
    <w:rsid w:val="1F8BB53C"/>
    <w:rsid w:val="1F9A9A65"/>
    <w:rsid w:val="1FAC85AE"/>
    <w:rsid w:val="1FAC90BF"/>
    <w:rsid w:val="1FB310AF"/>
    <w:rsid w:val="1FC4B40B"/>
    <w:rsid w:val="1FCB357B"/>
    <w:rsid w:val="1FCFC106"/>
    <w:rsid w:val="1FD95771"/>
    <w:rsid w:val="1FDEC487"/>
    <w:rsid w:val="1FE8D2FB"/>
    <w:rsid w:val="1FE90170"/>
    <w:rsid w:val="1FF58979"/>
    <w:rsid w:val="20050F8E"/>
    <w:rsid w:val="20106F83"/>
    <w:rsid w:val="2010D211"/>
    <w:rsid w:val="202861C4"/>
    <w:rsid w:val="20316C6A"/>
    <w:rsid w:val="203842A1"/>
    <w:rsid w:val="204A694E"/>
    <w:rsid w:val="2050FD0E"/>
    <w:rsid w:val="205CB572"/>
    <w:rsid w:val="20617059"/>
    <w:rsid w:val="20679D27"/>
    <w:rsid w:val="2069DE05"/>
    <w:rsid w:val="206EFFA4"/>
    <w:rsid w:val="207053E3"/>
    <w:rsid w:val="207E5816"/>
    <w:rsid w:val="208E655F"/>
    <w:rsid w:val="2097FB18"/>
    <w:rsid w:val="20B85356"/>
    <w:rsid w:val="20C5AF4B"/>
    <w:rsid w:val="20C8B050"/>
    <w:rsid w:val="20CA1D1E"/>
    <w:rsid w:val="20CC4C47"/>
    <w:rsid w:val="20D0C38D"/>
    <w:rsid w:val="20D10170"/>
    <w:rsid w:val="20D4D14A"/>
    <w:rsid w:val="20DB0B9A"/>
    <w:rsid w:val="20E7373B"/>
    <w:rsid w:val="20FC94EF"/>
    <w:rsid w:val="20FD58DA"/>
    <w:rsid w:val="21003437"/>
    <w:rsid w:val="2105A908"/>
    <w:rsid w:val="2114F112"/>
    <w:rsid w:val="211A90AE"/>
    <w:rsid w:val="2129B46D"/>
    <w:rsid w:val="212EC324"/>
    <w:rsid w:val="2132B5B9"/>
    <w:rsid w:val="21383028"/>
    <w:rsid w:val="213959C3"/>
    <w:rsid w:val="213CC36E"/>
    <w:rsid w:val="21412424"/>
    <w:rsid w:val="2144AD2B"/>
    <w:rsid w:val="2151ABE1"/>
    <w:rsid w:val="2165AF76"/>
    <w:rsid w:val="2171751E"/>
    <w:rsid w:val="2181A289"/>
    <w:rsid w:val="218E9517"/>
    <w:rsid w:val="2195B71A"/>
    <w:rsid w:val="2199B0F5"/>
    <w:rsid w:val="21A3CBCA"/>
    <w:rsid w:val="21A3F034"/>
    <w:rsid w:val="21A6230F"/>
    <w:rsid w:val="21AB7F42"/>
    <w:rsid w:val="21C600B1"/>
    <w:rsid w:val="21CA84B2"/>
    <w:rsid w:val="21D9329A"/>
    <w:rsid w:val="22071299"/>
    <w:rsid w:val="221CC0E4"/>
    <w:rsid w:val="22380027"/>
    <w:rsid w:val="22437564"/>
    <w:rsid w:val="22470192"/>
    <w:rsid w:val="22493DDE"/>
    <w:rsid w:val="225DC757"/>
    <w:rsid w:val="22733972"/>
    <w:rsid w:val="2290A363"/>
    <w:rsid w:val="2299C498"/>
    <w:rsid w:val="22A084F6"/>
    <w:rsid w:val="22AE8A53"/>
    <w:rsid w:val="22B67615"/>
    <w:rsid w:val="22BEAD3F"/>
    <w:rsid w:val="22CA6BBA"/>
    <w:rsid w:val="22D95D16"/>
    <w:rsid w:val="22E4E5B4"/>
    <w:rsid w:val="22E84C5F"/>
    <w:rsid w:val="22F1CB88"/>
    <w:rsid w:val="23038BAD"/>
    <w:rsid w:val="2309BAA9"/>
    <w:rsid w:val="231372DE"/>
    <w:rsid w:val="2326CA86"/>
    <w:rsid w:val="232C9E11"/>
    <w:rsid w:val="2339EEF5"/>
    <w:rsid w:val="23413AA9"/>
    <w:rsid w:val="2347092E"/>
    <w:rsid w:val="23483434"/>
    <w:rsid w:val="2348983C"/>
    <w:rsid w:val="2348EE70"/>
    <w:rsid w:val="234AB935"/>
    <w:rsid w:val="2350549C"/>
    <w:rsid w:val="235627B5"/>
    <w:rsid w:val="235D83F7"/>
    <w:rsid w:val="23621B37"/>
    <w:rsid w:val="236860A8"/>
    <w:rsid w:val="23720B7D"/>
    <w:rsid w:val="23732E41"/>
    <w:rsid w:val="23747C8D"/>
    <w:rsid w:val="2374F3A6"/>
    <w:rsid w:val="2376773F"/>
    <w:rsid w:val="2376F226"/>
    <w:rsid w:val="23791A29"/>
    <w:rsid w:val="237C0C94"/>
    <w:rsid w:val="23852E02"/>
    <w:rsid w:val="238FF77D"/>
    <w:rsid w:val="23910AD1"/>
    <w:rsid w:val="23914F67"/>
    <w:rsid w:val="2399F2F3"/>
    <w:rsid w:val="239A8DFF"/>
    <w:rsid w:val="239C42B8"/>
    <w:rsid w:val="23A06957"/>
    <w:rsid w:val="23A79E9D"/>
    <w:rsid w:val="23AD1B13"/>
    <w:rsid w:val="23B1A92C"/>
    <w:rsid w:val="23B5A370"/>
    <w:rsid w:val="23C87A48"/>
    <w:rsid w:val="23CDA8EE"/>
    <w:rsid w:val="23D82C9B"/>
    <w:rsid w:val="23F02BB7"/>
    <w:rsid w:val="23F100DE"/>
    <w:rsid w:val="23F46A5D"/>
    <w:rsid w:val="23F786F1"/>
    <w:rsid w:val="240121BA"/>
    <w:rsid w:val="240229D6"/>
    <w:rsid w:val="24163752"/>
    <w:rsid w:val="24182755"/>
    <w:rsid w:val="241AACA0"/>
    <w:rsid w:val="241D7F19"/>
    <w:rsid w:val="2427CE3C"/>
    <w:rsid w:val="24288405"/>
    <w:rsid w:val="242A1186"/>
    <w:rsid w:val="24322BC2"/>
    <w:rsid w:val="24475CDF"/>
    <w:rsid w:val="244C78F7"/>
    <w:rsid w:val="244FF4F5"/>
    <w:rsid w:val="2458CAC3"/>
    <w:rsid w:val="2471DF28"/>
    <w:rsid w:val="247833F2"/>
    <w:rsid w:val="247F487C"/>
    <w:rsid w:val="2481D668"/>
    <w:rsid w:val="2488FB24"/>
    <w:rsid w:val="248F2327"/>
    <w:rsid w:val="24916DEB"/>
    <w:rsid w:val="2498D108"/>
    <w:rsid w:val="24BA4F15"/>
    <w:rsid w:val="24C4ED45"/>
    <w:rsid w:val="24C79D03"/>
    <w:rsid w:val="24D55055"/>
    <w:rsid w:val="24EBBB80"/>
    <w:rsid w:val="24F82475"/>
    <w:rsid w:val="25134DD7"/>
    <w:rsid w:val="25196448"/>
    <w:rsid w:val="251BDADB"/>
    <w:rsid w:val="252F4930"/>
    <w:rsid w:val="253519E4"/>
    <w:rsid w:val="25388739"/>
    <w:rsid w:val="253A93E5"/>
    <w:rsid w:val="2541A651"/>
    <w:rsid w:val="255322C8"/>
    <w:rsid w:val="2556E02C"/>
    <w:rsid w:val="2570D18E"/>
    <w:rsid w:val="2572A247"/>
    <w:rsid w:val="2573E45F"/>
    <w:rsid w:val="2583B61F"/>
    <w:rsid w:val="258642FC"/>
    <w:rsid w:val="2589586B"/>
    <w:rsid w:val="258B77E7"/>
    <w:rsid w:val="25A610A6"/>
    <w:rsid w:val="25AAABCB"/>
    <w:rsid w:val="25BAF5AD"/>
    <w:rsid w:val="25DD2B88"/>
    <w:rsid w:val="25E3FD8F"/>
    <w:rsid w:val="25E9F90F"/>
    <w:rsid w:val="25F7AC5E"/>
    <w:rsid w:val="26162263"/>
    <w:rsid w:val="263C05DB"/>
    <w:rsid w:val="264993E1"/>
    <w:rsid w:val="265A7134"/>
    <w:rsid w:val="265C91AB"/>
    <w:rsid w:val="2666D18F"/>
    <w:rsid w:val="2669A6F2"/>
    <w:rsid w:val="268134AD"/>
    <w:rsid w:val="2684D468"/>
    <w:rsid w:val="268577C7"/>
    <w:rsid w:val="268A4C1E"/>
    <w:rsid w:val="268FD560"/>
    <w:rsid w:val="26A4628B"/>
    <w:rsid w:val="26B365B2"/>
    <w:rsid w:val="26B5D6DB"/>
    <w:rsid w:val="26BBC193"/>
    <w:rsid w:val="26CA1C00"/>
    <w:rsid w:val="26CE1F7E"/>
    <w:rsid w:val="26EAED31"/>
    <w:rsid w:val="26EB996B"/>
    <w:rsid w:val="26F78EC1"/>
    <w:rsid w:val="26FF130D"/>
    <w:rsid w:val="270952B2"/>
    <w:rsid w:val="270E5791"/>
    <w:rsid w:val="2719C5E2"/>
    <w:rsid w:val="271FFF62"/>
    <w:rsid w:val="27220D45"/>
    <w:rsid w:val="2731CAAD"/>
    <w:rsid w:val="2735762C"/>
    <w:rsid w:val="27444B3C"/>
    <w:rsid w:val="27541D10"/>
    <w:rsid w:val="277514C4"/>
    <w:rsid w:val="278347FF"/>
    <w:rsid w:val="27864B56"/>
    <w:rsid w:val="27B327E2"/>
    <w:rsid w:val="27BB39C9"/>
    <w:rsid w:val="27CBE1A1"/>
    <w:rsid w:val="27D7CD44"/>
    <w:rsid w:val="27E7216A"/>
    <w:rsid w:val="28091049"/>
    <w:rsid w:val="28160F91"/>
    <w:rsid w:val="28315A43"/>
    <w:rsid w:val="2832D4A5"/>
    <w:rsid w:val="284EF822"/>
    <w:rsid w:val="28583672"/>
    <w:rsid w:val="28601313"/>
    <w:rsid w:val="28709F0E"/>
    <w:rsid w:val="287D342D"/>
    <w:rsid w:val="288395EC"/>
    <w:rsid w:val="2886F269"/>
    <w:rsid w:val="2893FC55"/>
    <w:rsid w:val="28A584D4"/>
    <w:rsid w:val="28B00DF7"/>
    <w:rsid w:val="28C4271C"/>
    <w:rsid w:val="28CB8DED"/>
    <w:rsid w:val="28D30731"/>
    <w:rsid w:val="28D6C5F0"/>
    <w:rsid w:val="28E1DA94"/>
    <w:rsid w:val="28F40DC2"/>
    <w:rsid w:val="28F8E357"/>
    <w:rsid w:val="290BAB8D"/>
    <w:rsid w:val="290CF171"/>
    <w:rsid w:val="291A70ED"/>
    <w:rsid w:val="291AD172"/>
    <w:rsid w:val="291CA88B"/>
    <w:rsid w:val="2926DB89"/>
    <w:rsid w:val="292E8BC3"/>
    <w:rsid w:val="292ED90B"/>
    <w:rsid w:val="29377F0E"/>
    <w:rsid w:val="293B6F97"/>
    <w:rsid w:val="293C279F"/>
    <w:rsid w:val="29415024"/>
    <w:rsid w:val="2946A0E0"/>
    <w:rsid w:val="295F8079"/>
    <w:rsid w:val="2961675F"/>
    <w:rsid w:val="2964BAEC"/>
    <w:rsid w:val="2964E0F0"/>
    <w:rsid w:val="296F6C31"/>
    <w:rsid w:val="2982E3CA"/>
    <w:rsid w:val="298E0023"/>
    <w:rsid w:val="2990D260"/>
    <w:rsid w:val="29A43E87"/>
    <w:rsid w:val="29AD78FD"/>
    <w:rsid w:val="29B9AD08"/>
    <w:rsid w:val="29C188A5"/>
    <w:rsid w:val="29C3AF55"/>
    <w:rsid w:val="29C59BF0"/>
    <w:rsid w:val="29CBA223"/>
    <w:rsid w:val="29D776EB"/>
    <w:rsid w:val="29DE9A44"/>
    <w:rsid w:val="29DEDBAE"/>
    <w:rsid w:val="29EAB752"/>
    <w:rsid w:val="29EBEC08"/>
    <w:rsid w:val="29EDF2BE"/>
    <w:rsid w:val="29FF0451"/>
    <w:rsid w:val="2A05EF3A"/>
    <w:rsid w:val="2A1478B0"/>
    <w:rsid w:val="2A277C3D"/>
    <w:rsid w:val="2A342D1C"/>
    <w:rsid w:val="2A3741E2"/>
    <w:rsid w:val="2A4521DD"/>
    <w:rsid w:val="2A45BED7"/>
    <w:rsid w:val="2A4D6793"/>
    <w:rsid w:val="2A5C8A34"/>
    <w:rsid w:val="2A6804CF"/>
    <w:rsid w:val="2A718BBA"/>
    <w:rsid w:val="2A775D76"/>
    <w:rsid w:val="2A7CD5CE"/>
    <w:rsid w:val="2A81122F"/>
    <w:rsid w:val="2A9127B6"/>
    <w:rsid w:val="2A9F9A11"/>
    <w:rsid w:val="2AA48CE4"/>
    <w:rsid w:val="2AABC23E"/>
    <w:rsid w:val="2AB0D898"/>
    <w:rsid w:val="2AB4F2C9"/>
    <w:rsid w:val="2AB768EA"/>
    <w:rsid w:val="2AC97CBE"/>
    <w:rsid w:val="2AD2E687"/>
    <w:rsid w:val="2AD4342E"/>
    <w:rsid w:val="2AD7188D"/>
    <w:rsid w:val="2AD99E69"/>
    <w:rsid w:val="2ADA0757"/>
    <w:rsid w:val="2AEFC3A7"/>
    <w:rsid w:val="2AFA8DFC"/>
    <w:rsid w:val="2AFCE41E"/>
    <w:rsid w:val="2B08CF5E"/>
    <w:rsid w:val="2B0C19E9"/>
    <w:rsid w:val="2B2456E5"/>
    <w:rsid w:val="2B29D0BF"/>
    <w:rsid w:val="2B2CD3D3"/>
    <w:rsid w:val="2B2EF5BF"/>
    <w:rsid w:val="2B3093E0"/>
    <w:rsid w:val="2B342E0C"/>
    <w:rsid w:val="2B4EE19A"/>
    <w:rsid w:val="2B4EEDD5"/>
    <w:rsid w:val="2B5EE1AA"/>
    <w:rsid w:val="2B63E72E"/>
    <w:rsid w:val="2B686628"/>
    <w:rsid w:val="2B699A3A"/>
    <w:rsid w:val="2B6A1AD4"/>
    <w:rsid w:val="2B72676C"/>
    <w:rsid w:val="2B8ACAD0"/>
    <w:rsid w:val="2B8DB008"/>
    <w:rsid w:val="2BA0F555"/>
    <w:rsid w:val="2BA8BB2B"/>
    <w:rsid w:val="2BB120C9"/>
    <w:rsid w:val="2BB58E05"/>
    <w:rsid w:val="2BBCDEA6"/>
    <w:rsid w:val="2BC752D8"/>
    <w:rsid w:val="2BD0D64D"/>
    <w:rsid w:val="2BD95E89"/>
    <w:rsid w:val="2BE5BA5F"/>
    <w:rsid w:val="2BE71E02"/>
    <w:rsid w:val="2BEF5C8C"/>
    <w:rsid w:val="2BF43126"/>
    <w:rsid w:val="2C006B69"/>
    <w:rsid w:val="2C0FF526"/>
    <w:rsid w:val="2C11003D"/>
    <w:rsid w:val="2C1270B8"/>
    <w:rsid w:val="2C20EBA7"/>
    <w:rsid w:val="2C218A30"/>
    <w:rsid w:val="2C251624"/>
    <w:rsid w:val="2C278BD8"/>
    <w:rsid w:val="2C2D4B3E"/>
    <w:rsid w:val="2C2DD95F"/>
    <w:rsid w:val="2C44C02F"/>
    <w:rsid w:val="2C5569B1"/>
    <w:rsid w:val="2C56DF54"/>
    <w:rsid w:val="2C58DCD4"/>
    <w:rsid w:val="2C5CFE03"/>
    <w:rsid w:val="2C5E5153"/>
    <w:rsid w:val="2C6D8FB3"/>
    <w:rsid w:val="2C6FC5A9"/>
    <w:rsid w:val="2C754AA9"/>
    <w:rsid w:val="2C7B7D70"/>
    <w:rsid w:val="2CACF3AF"/>
    <w:rsid w:val="2CB07FB0"/>
    <w:rsid w:val="2CB24902"/>
    <w:rsid w:val="2CC155D4"/>
    <w:rsid w:val="2CCE54BB"/>
    <w:rsid w:val="2CD4C9D8"/>
    <w:rsid w:val="2CD94671"/>
    <w:rsid w:val="2CE1F466"/>
    <w:rsid w:val="2CE7D810"/>
    <w:rsid w:val="2CFB89F8"/>
    <w:rsid w:val="2D063E41"/>
    <w:rsid w:val="2D0A6597"/>
    <w:rsid w:val="2D0FC772"/>
    <w:rsid w:val="2D1AAA6F"/>
    <w:rsid w:val="2D1EBA90"/>
    <w:rsid w:val="2D357B7E"/>
    <w:rsid w:val="2D37F044"/>
    <w:rsid w:val="2D433D5A"/>
    <w:rsid w:val="2D49556E"/>
    <w:rsid w:val="2D55DA6D"/>
    <w:rsid w:val="2D7018DC"/>
    <w:rsid w:val="2D7A02D2"/>
    <w:rsid w:val="2D7B4C87"/>
    <w:rsid w:val="2D800FFF"/>
    <w:rsid w:val="2D845E66"/>
    <w:rsid w:val="2D87DB80"/>
    <w:rsid w:val="2D8E6C86"/>
    <w:rsid w:val="2D96E881"/>
    <w:rsid w:val="2D98618D"/>
    <w:rsid w:val="2D99F47C"/>
    <w:rsid w:val="2D9C94CB"/>
    <w:rsid w:val="2DA26DC0"/>
    <w:rsid w:val="2DA6BBFE"/>
    <w:rsid w:val="2DB1FB9D"/>
    <w:rsid w:val="2DB2D8DD"/>
    <w:rsid w:val="2DB5C115"/>
    <w:rsid w:val="2DB708EA"/>
    <w:rsid w:val="2DBCC198"/>
    <w:rsid w:val="2DBF6698"/>
    <w:rsid w:val="2DEEE54D"/>
    <w:rsid w:val="2DEFCD9C"/>
    <w:rsid w:val="2DF42FB1"/>
    <w:rsid w:val="2DF88B36"/>
    <w:rsid w:val="2DFB46A3"/>
    <w:rsid w:val="2E0D2555"/>
    <w:rsid w:val="2E1F157C"/>
    <w:rsid w:val="2E210FCA"/>
    <w:rsid w:val="2E247131"/>
    <w:rsid w:val="2E2CB801"/>
    <w:rsid w:val="2E32F5F1"/>
    <w:rsid w:val="2E3FB066"/>
    <w:rsid w:val="2E4AA1B2"/>
    <w:rsid w:val="2E4B8276"/>
    <w:rsid w:val="2E5D5CE4"/>
    <w:rsid w:val="2E6DFA35"/>
    <w:rsid w:val="2E6F9A70"/>
    <w:rsid w:val="2E7BDA08"/>
    <w:rsid w:val="2E918757"/>
    <w:rsid w:val="2EAE4459"/>
    <w:rsid w:val="2EAF3D52"/>
    <w:rsid w:val="2EBDA46B"/>
    <w:rsid w:val="2ECD9847"/>
    <w:rsid w:val="2ECEFDCD"/>
    <w:rsid w:val="2EE2BD80"/>
    <w:rsid w:val="2EE50444"/>
    <w:rsid w:val="2EE83A69"/>
    <w:rsid w:val="2EE9B378"/>
    <w:rsid w:val="2EEBA1AB"/>
    <w:rsid w:val="2EF47096"/>
    <w:rsid w:val="2EF57C1F"/>
    <w:rsid w:val="2F04058A"/>
    <w:rsid w:val="2F066769"/>
    <w:rsid w:val="2F177321"/>
    <w:rsid w:val="2F1BFD1F"/>
    <w:rsid w:val="2F1F0814"/>
    <w:rsid w:val="2F1F750E"/>
    <w:rsid w:val="2F230667"/>
    <w:rsid w:val="2F26F2B6"/>
    <w:rsid w:val="2F4398F7"/>
    <w:rsid w:val="2F4D1240"/>
    <w:rsid w:val="2F51554F"/>
    <w:rsid w:val="2F5835B0"/>
    <w:rsid w:val="2F618B2F"/>
    <w:rsid w:val="2F661A1F"/>
    <w:rsid w:val="2F67CFCC"/>
    <w:rsid w:val="2F73419C"/>
    <w:rsid w:val="2F7A5CCD"/>
    <w:rsid w:val="2F7F4B3F"/>
    <w:rsid w:val="2F92FF07"/>
    <w:rsid w:val="2FAD2744"/>
    <w:rsid w:val="2FD27495"/>
    <w:rsid w:val="2FD508A9"/>
    <w:rsid w:val="2FD541B4"/>
    <w:rsid w:val="2FEB8EAA"/>
    <w:rsid w:val="2FF6318C"/>
    <w:rsid w:val="3010206A"/>
    <w:rsid w:val="301725CA"/>
    <w:rsid w:val="301A6444"/>
    <w:rsid w:val="3022C017"/>
    <w:rsid w:val="302DAEAA"/>
    <w:rsid w:val="30332E22"/>
    <w:rsid w:val="30373AA1"/>
    <w:rsid w:val="30437D48"/>
    <w:rsid w:val="3045FFF3"/>
    <w:rsid w:val="304CB369"/>
    <w:rsid w:val="305023CA"/>
    <w:rsid w:val="305B84B4"/>
    <w:rsid w:val="306517CA"/>
    <w:rsid w:val="3065D1E1"/>
    <w:rsid w:val="307462BC"/>
    <w:rsid w:val="307AE3A1"/>
    <w:rsid w:val="308A24FC"/>
    <w:rsid w:val="30959C8E"/>
    <w:rsid w:val="309E4A96"/>
    <w:rsid w:val="30B7DC0B"/>
    <w:rsid w:val="30BE4735"/>
    <w:rsid w:val="30C5138C"/>
    <w:rsid w:val="30C9490C"/>
    <w:rsid w:val="30D9F7E6"/>
    <w:rsid w:val="30DE9E2F"/>
    <w:rsid w:val="30F35542"/>
    <w:rsid w:val="30FB264C"/>
    <w:rsid w:val="31138E63"/>
    <w:rsid w:val="31213D0C"/>
    <w:rsid w:val="31516021"/>
    <w:rsid w:val="315981AA"/>
    <w:rsid w:val="315FC8D2"/>
    <w:rsid w:val="3163B558"/>
    <w:rsid w:val="316B4B48"/>
    <w:rsid w:val="319E1235"/>
    <w:rsid w:val="319E5AAB"/>
    <w:rsid w:val="31B5BBC4"/>
    <w:rsid w:val="31B9FD49"/>
    <w:rsid w:val="31BC74E2"/>
    <w:rsid w:val="31CA6B97"/>
    <w:rsid w:val="31CC4F83"/>
    <w:rsid w:val="31D7D817"/>
    <w:rsid w:val="31D84CDC"/>
    <w:rsid w:val="31D8F143"/>
    <w:rsid w:val="31E8C689"/>
    <w:rsid w:val="31F46100"/>
    <w:rsid w:val="31F4FEBE"/>
    <w:rsid w:val="32084D1C"/>
    <w:rsid w:val="32091C37"/>
    <w:rsid w:val="32096010"/>
    <w:rsid w:val="32154477"/>
    <w:rsid w:val="3222C608"/>
    <w:rsid w:val="3229975D"/>
    <w:rsid w:val="3232F9A0"/>
    <w:rsid w:val="3238D21D"/>
    <w:rsid w:val="324057BC"/>
    <w:rsid w:val="325222E4"/>
    <w:rsid w:val="3254B18B"/>
    <w:rsid w:val="32648A1E"/>
    <w:rsid w:val="327A515F"/>
    <w:rsid w:val="328E6034"/>
    <w:rsid w:val="329B592F"/>
    <w:rsid w:val="329C32A2"/>
    <w:rsid w:val="329C3F0A"/>
    <w:rsid w:val="32ABF794"/>
    <w:rsid w:val="32B9EF90"/>
    <w:rsid w:val="32BCC0AD"/>
    <w:rsid w:val="32DC5C0E"/>
    <w:rsid w:val="32E61F56"/>
    <w:rsid w:val="32F5C1AC"/>
    <w:rsid w:val="32FBB237"/>
    <w:rsid w:val="33075699"/>
    <w:rsid w:val="3308C537"/>
    <w:rsid w:val="33103A07"/>
    <w:rsid w:val="33123CB8"/>
    <w:rsid w:val="33194A74"/>
    <w:rsid w:val="331AD886"/>
    <w:rsid w:val="331DA82D"/>
    <w:rsid w:val="3321D9EF"/>
    <w:rsid w:val="33221FD5"/>
    <w:rsid w:val="333DC28B"/>
    <w:rsid w:val="3349421B"/>
    <w:rsid w:val="334CC44E"/>
    <w:rsid w:val="335A3776"/>
    <w:rsid w:val="335DC294"/>
    <w:rsid w:val="336AC440"/>
    <w:rsid w:val="337093D0"/>
    <w:rsid w:val="33886028"/>
    <w:rsid w:val="33897187"/>
    <w:rsid w:val="33984676"/>
    <w:rsid w:val="33BA6CD5"/>
    <w:rsid w:val="33BDD946"/>
    <w:rsid w:val="33BE3D4A"/>
    <w:rsid w:val="33CBC8D4"/>
    <w:rsid w:val="3400F7D4"/>
    <w:rsid w:val="3411DEC9"/>
    <w:rsid w:val="34184FE1"/>
    <w:rsid w:val="3423FE1C"/>
    <w:rsid w:val="3425C8D3"/>
    <w:rsid w:val="34281E23"/>
    <w:rsid w:val="342A9A8E"/>
    <w:rsid w:val="34333E96"/>
    <w:rsid w:val="343DFD9E"/>
    <w:rsid w:val="3445640F"/>
    <w:rsid w:val="344B6723"/>
    <w:rsid w:val="344F8A6F"/>
    <w:rsid w:val="344FA8ED"/>
    <w:rsid w:val="3451ED49"/>
    <w:rsid w:val="346A157E"/>
    <w:rsid w:val="346C0277"/>
    <w:rsid w:val="3474A69A"/>
    <w:rsid w:val="347CAB40"/>
    <w:rsid w:val="3495E092"/>
    <w:rsid w:val="349E9373"/>
    <w:rsid w:val="34AFE069"/>
    <w:rsid w:val="34C84F48"/>
    <w:rsid w:val="34CB9852"/>
    <w:rsid w:val="34D8EBDD"/>
    <w:rsid w:val="34E83044"/>
    <w:rsid w:val="34E8A387"/>
    <w:rsid w:val="34EEE27C"/>
    <w:rsid w:val="34F425AE"/>
    <w:rsid w:val="34F99DB0"/>
    <w:rsid w:val="34FA8A38"/>
    <w:rsid w:val="3507E103"/>
    <w:rsid w:val="350A7A8B"/>
    <w:rsid w:val="351425AE"/>
    <w:rsid w:val="351585D8"/>
    <w:rsid w:val="3525A684"/>
    <w:rsid w:val="35311A50"/>
    <w:rsid w:val="353A76A9"/>
    <w:rsid w:val="3549065D"/>
    <w:rsid w:val="356CE522"/>
    <w:rsid w:val="35755425"/>
    <w:rsid w:val="357928D4"/>
    <w:rsid w:val="35814CF5"/>
    <w:rsid w:val="35816867"/>
    <w:rsid w:val="3583BA07"/>
    <w:rsid w:val="35883AC4"/>
    <w:rsid w:val="358A68E0"/>
    <w:rsid w:val="358DCE9C"/>
    <w:rsid w:val="359895C1"/>
    <w:rsid w:val="35A0093B"/>
    <w:rsid w:val="35A3913D"/>
    <w:rsid w:val="35B6FB8A"/>
    <w:rsid w:val="35C96223"/>
    <w:rsid w:val="35CB6F9A"/>
    <w:rsid w:val="35D6EC68"/>
    <w:rsid w:val="35D717B6"/>
    <w:rsid w:val="35DFF5F9"/>
    <w:rsid w:val="35E31638"/>
    <w:rsid w:val="35E9A50B"/>
    <w:rsid w:val="35EBD414"/>
    <w:rsid w:val="35F4DCCA"/>
    <w:rsid w:val="35FEF8C4"/>
    <w:rsid w:val="3603F87C"/>
    <w:rsid w:val="36095190"/>
    <w:rsid w:val="360E4962"/>
    <w:rsid w:val="362BB0A3"/>
    <w:rsid w:val="362DB90C"/>
    <w:rsid w:val="3634CB59"/>
    <w:rsid w:val="366E8F01"/>
    <w:rsid w:val="3683B7C9"/>
    <w:rsid w:val="3689558D"/>
    <w:rsid w:val="368B8099"/>
    <w:rsid w:val="368C916D"/>
    <w:rsid w:val="3692580F"/>
    <w:rsid w:val="36961A9C"/>
    <w:rsid w:val="3696F4D5"/>
    <w:rsid w:val="36A15384"/>
    <w:rsid w:val="36A5B129"/>
    <w:rsid w:val="36A64789"/>
    <w:rsid w:val="36AF6D3B"/>
    <w:rsid w:val="36B9C47F"/>
    <w:rsid w:val="36BB6C0E"/>
    <w:rsid w:val="36C5E43A"/>
    <w:rsid w:val="36DC19C4"/>
    <w:rsid w:val="36DC2B4F"/>
    <w:rsid w:val="36DDD5C9"/>
    <w:rsid w:val="36EB0102"/>
    <w:rsid w:val="36ED44A7"/>
    <w:rsid w:val="36F8761D"/>
    <w:rsid w:val="36F8CFDA"/>
    <w:rsid w:val="36FAFBD6"/>
    <w:rsid w:val="36FC10DA"/>
    <w:rsid w:val="370737AD"/>
    <w:rsid w:val="370C15C0"/>
    <w:rsid w:val="37164D47"/>
    <w:rsid w:val="372ACF50"/>
    <w:rsid w:val="3731A31C"/>
    <w:rsid w:val="37417031"/>
    <w:rsid w:val="3754A5CB"/>
    <w:rsid w:val="3754D1FA"/>
    <w:rsid w:val="375D71F3"/>
    <w:rsid w:val="3761D733"/>
    <w:rsid w:val="376FAEC5"/>
    <w:rsid w:val="37762D4E"/>
    <w:rsid w:val="377EE699"/>
    <w:rsid w:val="3784AC8E"/>
    <w:rsid w:val="37970DE9"/>
    <w:rsid w:val="37A99F9F"/>
    <w:rsid w:val="37AA27C7"/>
    <w:rsid w:val="37AC4576"/>
    <w:rsid w:val="37BFAEA8"/>
    <w:rsid w:val="37C37A5D"/>
    <w:rsid w:val="37C9BC73"/>
    <w:rsid w:val="37CC4C13"/>
    <w:rsid w:val="37D0D204"/>
    <w:rsid w:val="37DCC2DB"/>
    <w:rsid w:val="37DCF75E"/>
    <w:rsid w:val="37E5B087"/>
    <w:rsid w:val="380CB48E"/>
    <w:rsid w:val="38143009"/>
    <w:rsid w:val="381D939C"/>
    <w:rsid w:val="381F264F"/>
    <w:rsid w:val="3822F7F8"/>
    <w:rsid w:val="383EE83C"/>
    <w:rsid w:val="384C3293"/>
    <w:rsid w:val="385CD73B"/>
    <w:rsid w:val="385E17B8"/>
    <w:rsid w:val="3867CB27"/>
    <w:rsid w:val="386832F8"/>
    <w:rsid w:val="38711973"/>
    <w:rsid w:val="387A2D7E"/>
    <w:rsid w:val="38813EE4"/>
    <w:rsid w:val="3889679A"/>
    <w:rsid w:val="38991CC5"/>
    <w:rsid w:val="389E4D90"/>
    <w:rsid w:val="38A971EB"/>
    <w:rsid w:val="38AF155B"/>
    <w:rsid w:val="38B0EAEA"/>
    <w:rsid w:val="38BC6290"/>
    <w:rsid w:val="38C51378"/>
    <w:rsid w:val="38DE03AF"/>
    <w:rsid w:val="38E401F6"/>
    <w:rsid w:val="38F37AB4"/>
    <w:rsid w:val="39125BE8"/>
    <w:rsid w:val="39292C9C"/>
    <w:rsid w:val="392F4C8F"/>
    <w:rsid w:val="39357E07"/>
    <w:rsid w:val="3939030A"/>
    <w:rsid w:val="394C0449"/>
    <w:rsid w:val="394C32AC"/>
    <w:rsid w:val="39566BB1"/>
    <w:rsid w:val="39615D4F"/>
    <w:rsid w:val="396BC320"/>
    <w:rsid w:val="397B4320"/>
    <w:rsid w:val="39859F87"/>
    <w:rsid w:val="398618E2"/>
    <w:rsid w:val="398F15CF"/>
    <w:rsid w:val="39A835C0"/>
    <w:rsid w:val="39B4CB90"/>
    <w:rsid w:val="39B664AF"/>
    <w:rsid w:val="39DA78BC"/>
    <w:rsid w:val="39DC089B"/>
    <w:rsid w:val="39E50CA0"/>
    <w:rsid w:val="39EF80A7"/>
    <w:rsid w:val="39F66202"/>
    <w:rsid w:val="39FF6EC6"/>
    <w:rsid w:val="3A067B22"/>
    <w:rsid w:val="3A115E3F"/>
    <w:rsid w:val="3A26ACFD"/>
    <w:rsid w:val="3A4C7A76"/>
    <w:rsid w:val="3A50FCA0"/>
    <w:rsid w:val="3A519932"/>
    <w:rsid w:val="3A54FA9F"/>
    <w:rsid w:val="3A56FC93"/>
    <w:rsid w:val="3A60FEA9"/>
    <w:rsid w:val="3A65E363"/>
    <w:rsid w:val="3A70A62C"/>
    <w:rsid w:val="3A71D886"/>
    <w:rsid w:val="3A896F4E"/>
    <w:rsid w:val="3A964B71"/>
    <w:rsid w:val="3A97C0E6"/>
    <w:rsid w:val="3AA48C77"/>
    <w:rsid w:val="3AB343B6"/>
    <w:rsid w:val="3AB48E66"/>
    <w:rsid w:val="3ABA4AEC"/>
    <w:rsid w:val="3AC2D8C9"/>
    <w:rsid w:val="3AC49F64"/>
    <w:rsid w:val="3AD5D117"/>
    <w:rsid w:val="3ADA6D71"/>
    <w:rsid w:val="3AE4228A"/>
    <w:rsid w:val="3AFEDC44"/>
    <w:rsid w:val="3B105269"/>
    <w:rsid w:val="3B18D9D6"/>
    <w:rsid w:val="3B58863A"/>
    <w:rsid w:val="3B58C0A3"/>
    <w:rsid w:val="3B62D7CD"/>
    <w:rsid w:val="3B679C6A"/>
    <w:rsid w:val="3B7ED7E1"/>
    <w:rsid w:val="3B81D5C6"/>
    <w:rsid w:val="3B8713D8"/>
    <w:rsid w:val="3B878555"/>
    <w:rsid w:val="3B90C517"/>
    <w:rsid w:val="3B94A7D7"/>
    <w:rsid w:val="3B96708C"/>
    <w:rsid w:val="3B97CC7D"/>
    <w:rsid w:val="3B9D805E"/>
    <w:rsid w:val="3BA4EFCD"/>
    <w:rsid w:val="3BB85405"/>
    <w:rsid w:val="3BD65207"/>
    <w:rsid w:val="3BF4DCF7"/>
    <w:rsid w:val="3BF8BD5A"/>
    <w:rsid w:val="3BF9AA64"/>
    <w:rsid w:val="3BFAFD81"/>
    <w:rsid w:val="3BFBDC5C"/>
    <w:rsid w:val="3C09A629"/>
    <w:rsid w:val="3C1203A4"/>
    <w:rsid w:val="3C17EC21"/>
    <w:rsid w:val="3C239F08"/>
    <w:rsid w:val="3C29D60F"/>
    <w:rsid w:val="3C2F0005"/>
    <w:rsid w:val="3C3049F0"/>
    <w:rsid w:val="3C316B4E"/>
    <w:rsid w:val="3C3E1E27"/>
    <w:rsid w:val="3C3E5B05"/>
    <w:rsid w:val="3C49E7AE"/>
    <w:rsid w:val="3C4C5935"/>
    <w:rsid w:val="3C54BF96"/>
    <w:rsid w:val="3C5BFE05"/>
    <w:rsid w:val="3C621C89"/>
    <w:rsid w:val="3C64822A"/>
    <w:rsid w:val="3C6C28FB"/>
    <w:rsid w:val="3C7366FD"/>
    <w:rsid w:val="3C927BE3"/>
    <w:rsid w:val="3C9307A8"/>
    <w:rsid w:val="3C938301"/>
    <w:rsid w:val="3C98EFCF"/>
    <w:rsid w:val="3C9DD0C7"/>
    <w:rsid w:val="3CA2F255"/>
    <w:rsid w:val="3CB0864C"/>
    <w:rsid w:val="3CB7FF4A"/>
    <w:rsid w:val="3CB827FC"/>
    <w:rsid w:val="3CB95E39"/>
    <w:rsid w:val="3CBAC375"/>
    <w:rsid w:val="3CBC0911"/>
    <w:rsid w:val="3CC671B7"/>
    <w:rsid w:val="3CC8FF95"/>
    <w:rsid w:val="3CDBA576"/>
    <w:rsid w:val="3CE04F7C"/>
    <w:rsid w:val="3CE17D24"/>
    <w:rsid w:val="3CE5434A"/>
    <w:rsid w:val="3CE7A821"/>
    <w:rsid w:val="3CFF3A37"/>
    <w:rsid w:val="3D04105D"/>
    <w:rsid w:val="3D12204C"/>
    <w:rsid w:val="3D22F27B"/>
    <w:rsid w:val="3D246033"/>
    <w:rsid w:val="3D27D7FD"/>
    <w:rsid w:val="3D316247"/>
    <w:rsid w:val="3D3397DB"/>
    <w:rsid w:val="3D33AD24"/>
    <w:rsid w:val="3D3651F4"/>
    <w:rsid w:val="3D365D06"/>
    <w:rsid w:val="3D392214"/>
    <w:rsid w:val="3D53429E"/>
    <w:rsid w:val="3D56DE0A"/>
    <w:rsid w:val="3D6CA413"/>
    <w:rsid w:val="3D955D8F"/>
    <w:rsid w:val="3D994950"/>
    <w:rsid w:val="3DC00EB8"/>
    <w:rsid w:val="3DD3A9FC"/>
    <w:rsid w:val="3DE9EF0D"/>
    <w:rsid w:val="3DEB486A"/>
    <w:rsid w:val="3DF31283"/>
    <w:rsid w:val="3DF88E76"/>
    <w:rsid w:val="3DFE0DCC"/>
    <w:rsid w:val="3E1ADF44"/>
    <w:rsid w:val="3E252751"/>
    <w:rsid w:val="3E515D69"/>
    <w:rsid w:val="3E595FE3"/>
    <w:rsid w:val="3E625A61"/>
    <w:rsid w:val="3E65F6DC"/>
    <w:rsid w:val="3E7AC49F"/>
    <w:rsid w:val="3E7BFF1A"/>
    <w:rsid w:val="3E7C5BB6"/>
    <w:rsid w:val="3E7D2747"/>
    <w:rsid w:val="3E839E7D"/>
    <w:rsid w:val="3E8FD7FE"/>
    <w:rsid w:val="3EA07463"/>
    <w:rsid w:val="3EAD418A"/>
    <w:rsid w:val="3EB0178D"/>
    <w:rsid w:val="3EB65FAA"/>
    <w:rsid w:val="3EC7190A"/>
    <w:rsid w:val="3ECC817E"/>
    <w:rsid w:val="3ECDFF08"/>
    <w:rsid w:val="3ED4665D"/>
    <w:rsid w:val="3ED7137E"/>
    <w:rsid w:val="3EEA3F02"/>
    <w:rsid w:val="3EF1B92B"/>
    <w:rsid w:val="3EFF6DBC"/>
    <w:rsid w:val="3F0B2831"/>
    <w:rsid w:val="3F0CE52E"/>
    <w:rsid w:val="3F1D7F98"/>
    <w:rsid w:val="3F1E183B"/>
    <w:rsid w:val="3F21E44F"/>
    <w:rsid w:val="3F22D523"/>
    <w:rsid w:val="3F30AE7F"/>
    <w:rsid w:val="3F4FDE14"/>
    <w:rsid w:val="3F5A5370"/>
    <w:rsid w:val="3F67B696"/>
    <w:rsid w:val="3F69FD03"/>
    <w:rsid w:val="3F86ABDD"/>
    <w:rsid w:val="3F891399"/>
    <w:rsid w:val="3F8C7CA1"/>
    <w:rsid w:val="3F98980C"/>
    <w:rsid w:val="3F9A5975"/>
    <w:rsid w:val="3FA32A4E"/>
    <w:rsid w:val="3FABBAA5"/>
    <w:rsid w:val="3FB75052"/>
    <w:rsid w:val="3FBC0F27"/>
    <w:rsid w:val="3FCF0714"/>
    <w:rsid w:val="3FCFE799"/>
    <w:rsid w:val="3FD242EE"/>
    <w:rsid w:val="3FD40963"/>
    <w:rsid w:val="3FE2EC5E"/>
    <w:rsid w:val="3FEA364B"/>
    <w:rsid w:val="3FEC8438"/>
    <w:rsid w:val="3FEF03D9"/>
    <w:rsid w:val="3FF340E0"/>
    <w:rsid w:val="3FF64C8D"/>
    <w:rsid w:val="3FF97091"/>
    <w:rsid w:val="3FFB14CE"/>
    <w:rsid w:val="400BCC8B"/>
    <w:rsid w:val="4019C89F"/>
    <w:rsid w:val="404A9075"/>
    <w:rsid w:val="40570359"/>
    <w:rsid w:val="406297E5"/>
    <w:rsid w:val="406BA8BA"/>
    <w:rsid w:val="407987CD"/>
    <w:rsid w:val="4084F55F"/>
    <w:rsid w:val="409266F3"/>
    <w:rsid w:val="409D1E8A"/>
    <w:rsid w:val="40A73BD4"/>
    <w:rsid w:val="40A7F858"/>
    <w:rsid w:val="40B4F526"/>
    <w:rsid w:val="40B5EEEB"/>
    <w:rsid w:val="40BA31F1"/>
    <w:rsid w:val="40BFE513"/>
    <w:rsid w:val="40C37201"/>
    <w:rsid w:val="40C3FD0C"/>
    <w:rsid w:val="40CBF4BE"/>
    <w:rsid w:val="40CDFC68"/>
    <w:rsid w:val="40CE2D0E"/>
    <w:rsid w:val="40CEABEA"/>
    <w:rsid w:val="40D26B01"/>
    <w:rsid w:val="40D46CD9"/>
    <w:rsid w:val="40EAADE0"/>
    <w:rsid w:val="40EAEE76"/>
    <w:rsid w:val="40FBE348"/>
    <w:rsid w:val="40FF02DD"/>
    <w:rsid w:val="410174C6"/>
    <w:rsid w:val="4107C53D"/>
    <w:rsid w:val="410D2BB9"/>
    <w:rsid w:val="411EEF1F"/>
    <w:rsid w:val="41276874"/>
    <w:rsid w:val="412EB9BE"/>
    <w:rsid w:val="41312FA3"/>
    <w:rsid w:val="413AB4E4"/>
    <w:rsid w:val="413C9647"/>
    <w:rsid w:val="413EFAAF"/>
    <w:rsid w:val="414DF7CF"/>
    <w:rsid w:val="414EBD89"/>
    <w:rsid w:val="41543D94"/>
    <w:rsid w:val="415D78D0"/>
    <w:rsid w:val="415F8B66"/>
    <w:rsid w:val="4176596F"/>
    <w:rsid w:val="418009B0"/>
    <w:rsid w:val="41849461"/>
    <w:rsid w:val="418592DE"/>
    <w:rsid w:val="41926776"/>
    <w:rsid w:val="41987F17"/>
    <w:rsid w:val="419C2BC9"/>
    <w:rsid w:val="419E59DE"/>
    <w:rsid w:val="41A1C16F"/>
    <w:rsid w:val="41AE07FC"/>
    <w:rsid w:val="41B14921"/>
    <w:rsid w:val="41B57839"/>
    <w:rsid w:val="41CF4216"/>
    <w:rsid w:val="41D2C5A6"/>
    <w:rsid w:val="41E83EF0"/>
    <w:rsid w:val="41FD21DB"/>
    <w:rsid w:val="41FFBBA1"/>
    <w:rsid w:val="4215A010"/>
    <w:rsid w:val="4232F232"/>
    <w:rsid w:val="4235FC60"/>
    <w:rsid w:val="423AD7A3"/>
    <w:rsid w:val="4248C34F"/>
    <w:rsid w:val="424A9E15"/>
    <w:rsid w:val="424FB792"/>
    <w:rsid w:val="4272D694"/>
    <w:rsid w:val="427E63A7"/>
    <w:rsid w:val="42814248"/>
    <w:rsid w:val="428D315D"/>
    <w:rsid w:val="42988348"/>
    <w:rsid w:val="42A06B6C"/>
    <w:rsid w:val="42A1FD08"/>
    <w:rsid w:val="42B5E995"/>
    <w:rsid w:val="42BA82F8"/>
    <w:rsid w:val="42BAEA72"/>
    <w:rsid w:val="42BB84DD"/>
    <w:rsid w:val="42BD2A2A"/>
    <w:rsid w:val="42BF486F"/>
    <w:rsid w:val="42C033A5"/>
    <w:rsid w:val="42C4DA85"/>
    <w:rsid w:val="42CFED16"/>
    <w:rsid w:val="42DFA963"/>
    <w:rsid w:val="42E7CB09"/>
    <w:rsid w:val="42E9A42D"/>
    <w:rsid w:val="42EC38E2"/>
    <w:rsid w:val="42F049DB"/>
    <w:rsid w:val="42F4227F"/>
    <w:rsid w:val="42F4FE84"/>
    <w:rsid w:val="42F70B9E"/>
    <w:rsid w:val="4302D831"/>
    <w:rsid w:val="4308E3B4"/>
    <w:rsid w:val="431DF800"/>
    <w:rsid w:val="4326C27F"/>
    <w:rsid w:val="4337D87F"/>
    <w:rsid w:val="434F6E71"/>
    <w:rsid w:val="43504DD8"/>
    <w:rsid w:val="4350BBF0"/>
    <w:rsid w:val="4351F7FC"/>
    <w:rsid w:val="4359D85D"/>
    <w:rsid w:val="43621E70"/>
    <w:rsid w:val="4387C63E"/>
    <w:rsid w:val="439A844C"/>
    <w:rsid w:val="439A863A"/>
    <w:rsid w:val="43A03BF9"/>
    <w:rsid w:val="43B0E43C"/>
    <w:rsid w:val="43B2E2D1"/>
    <w:rsid w:val="43B32D34"/>
    <w:rsid w:val="43B3DC24"/>
    <w:rsid w:val="43B3FBC5"/>
    <w:rsid w:val="43B5BBDB"/>
    <w:rsid w:val="43B5FFBF"/>
    <w:rsid w:val="43BB065E"/>
    <w:rsid w:val="43C29FE5"/>
    <w:rsid w:val="43C88454"/>
    <w:rsid w:val="43CC8FB7"/>
    <w:rsid w:val="43D1E82C"/>
    <w:rsid w:val="43EA6C88"/>
    <w:rsid w:val="43F43CD0"/>
    <w:rsid w:val="43FF12FA"/>
    <w:rsid w:val="440102E5"/>
    <w:rsid w:val="44045961"/>
    <w:rsid w:val="440CB64D"/>
    <w:rsid w:val="440F64B6"/>
    <w:rsid w:val="44102FBE"/>
    <w:rsid w:val="44130A4A"/>
    <w:rsid w:val="44214FDC"/>
    <w:rsid w:val="4423933E"/>
    <w:rsid w:val="442397DC"/>
    <w:rsid w:val="44254318"/>
    <w:rsid w:val="442FC415"/>
    <w:rsid w:val="442FD99B"/>
    <w:rsid w:val="443D7C38"/>
    <w:rsid w:val="444B9DCA"/>
    <w:rsid w:val="444FD59A"/>
    <w:rsid w:val="4450F599"/>
    <w:rsid w:val="4453DE9F"/>
    <w:rsid w:val="445B9057"/>
    <w:rsid w:val="446CF734"/>
    <w:rsid w:val="4477F1FA"/>
    <w:rsid w:val="447B3655"/>
    <w:rsid w:val="447DDA48"/>
    <w:rsid w:val="44873A7D"/>
    <w:rsid w:val="448F940E"/>
    <w:rsid w:val="449D1D8C"/>
    <w:rsid w:val="44A52695"/>
    <w:rsid w:val="44AC0332"/>
    <w:rsid w:val="44BF022E"/>
    <w:rsid w:val="44C85A6E"/>
    <w:rsid w:val="44DE76E0"/>
    <w:rsid w:val="44E18DAB"/>
    <w:rsid w:val="44F9BFC4"/>
    <w:rsid w:val="44FF32E6"/>
    <w:rsid w:val="450773E2"/>
    <w:rsid w:val="450DE754"/>
    <w:rsid w:val="452048BC"/>
    <w:rsid w:val="4529B325"/>
    <w:rsid w:val="4531A3A3"/>
    <w:rsid w:val="45347264"/>
    <w:rsid w:val="453E0A20"/>
    <w:rsid w:val="4545A97E"/>
    <w:rsid w:val="455C74C2"/>
    <w:rsid w:val="456E21A7"/>
    <w:rsid w:val="4572F61B"/>
    <w:rsid w:val="457F1560"/>
    <w:rsid w:val="4588E7F2"/>
    <w:rsid w:val="4591E3AD"/>
    <w:rsid w:val="4592F5D5"/>
    <w:rsid w:val="459927BA"/>
    <w:rsid w:val="45A43884"/>
    <w:rsid w:val="45AB683C"/>
    <w:rsid w:val="45BB9A75"/>
    <w:rsid w:val="45C4479D"/>
    <w:rsid w:val="45CBBCF2"/>
    <w:rsid w:val="45D04829"/>
    <w:rsid w:val="45D74E64"/>
    <w:rsid w:val="45DB1DD7"/>
    <w:rsid w:val="45DBFE33"/>
    <w:rsid w:val="461466B1"/>
    <w:rsid w:val="4622D819"/>
    <w:rsid w:val="4632EB15"/>
    <w:rsid w:val="46344F63"/>
    <w:rsid w:val="463A5A82"/>
    <w:rsid w:val="46492F81"/>
    <w:rsid w:val="46542C26"/>
    <w:rsid w:val="466091F8"/>
    <w:rsid w:val="4664C143"/>
    <w:rsid w:val="466D2C6C"/>
    <w:rsid w:val="467360B7"/>
    <w:rsid w:val="4686CB5C"/>
    <w:rsid w:val="4686E57B"/>
    <w:rsid w:val="4697F39F"/>
    <w:rsid w:val="4699F9A0"/>
    <w:rsid w:val="469E34DB"/>
    <w:rsid w:val="46A881FE"/>
    <w:rsid w:val="46AEF7A5"/>
    <w:rsid w:val="46AF8224"/>
    <w:rsid w:val="46B4990B"/>
    <w:rsid w:val="46BDABC0"/>
    <w:rsid w:val="46BEA630"/>
    <w:rsid w:val="46C35FC9"/>
    <w:rsid w:val="46CA4484"/>
    <w:rsid w:val="46CA7F55"/>
    <w:rsid w:val="46DBAF04"/>
    <w:rsid w:val="46EE6AAF"/>
    <w:rsid w:val="46FDB178"/>
    <w:rsid w:val="46FF1199"/>
    <w:rsid w:val="4702F85D"/>
    <w:rsid w:val="470DA1A3"/>
    <w:rsid w:val="471270DA"/>
    <w:rsid w:val="47143EEB"/>
    <w:rsid w:val="47168490"/>
    <w:rsid w:val="472E51A4"/>
    <w:rsid w:val="4736E4DE"/>
    <w:rsid w:val="473A1D95"/>
    <w:rsid w:val="475D8EF6"/>
    <w:rsid w:val="4768B43D"/>
    <w:rsid w:val="4769F8FB"/>
    <w:rsid w:val="47771509"/>
    <w:rsid w:val="47847DC5"/>
    <w:rsid w:val="4792EBD0"/>
    <w:rsid w:val="47944A73"/>
    <w:rsid w:val="4798ABF1"/>
    <w:rsid w:val="47A65B6B"/>
    <w:rsid w:val="47ABF8E3"/>
    <w:rsid w:val="47AD91D1"/>
    <w:rsid w:val="47AF7D9E"/>
    <w:rsid w:val="47BBFF43"/>
    <w:rsid w:val="47CC2A22"/>
    <w:rsid w:val="47DD2443"/>
    <w:rsid w:val="47E5D169"/>
    <w:rsid w:val="47E6803D"/>
    <w:rsid w:val="47E6998D"/>
    <w:rsid w:val="47EC77BF"/>
    <w:rsid w:val="47F2CA54"/>
    <w:rsid w:val="47FDA1F7"/>
    <w:rsid w:val="47FFC60A"/>
    <w:rsid w:val="480E1FD7"/>
    <w:rsid w:val="4813BA8B"/>
    <w:rsid w:val="48163B3F"/>
    <w:rsid w:val="481734B3"/>
    <w:rsid w:val="48179D5F"/>
    <w:rsid w:val="4825FC8C"/>
    <w:rsid w:val="482833F0"/>
    <w:rsid w:val="483BB720"/>
    <w:rsid w:val="4849E19F"/>
    <w:rsid w:val="484BAF52"/>
    <w:rsid w:val="484D32F8"/>
    <w:rsid w:val="484DF577"/>
    <w:rsid w:val="485E99DD"/>
    <w:rsid w:val="48620934"/>
    <w:rsid w:val="486468C4"/>
    <w:rsid w:val="486CBC18"/>
    <w:rsid w:val="486E3EAE"/>
    <w:rsid w:val="4875D2D1"/>
    <w:rsid w:val="4875F3D1"/>
    <w:rsid w:val="4876D539"/>
    <w:rsid w:val="487FAD46"/>
    <w:rsid w:val="48813CF0"/>
    <w:rsid w:val="488958DF"/>
    <w:rsid w:val="488C5B2B"/>
    <w:rsid w:val="489CEACB"/>
    <w:rsid w:val="48A95A02"/>
    <w:rsid w:val="48AD563A"/>
    <w:rsid w:val="48B04A43"/>
    <w:rsid w:val="48B29090"/>
    <w:rsid w:val="48B37A07"/>
    <w:rsid w:val="48B87589"/>
    <w:rsid w:val="48B96C59"/>
    <w:rsid w:val="48BEA2A1"/>
    <w:rsid w:val="48DF3584"/>
    <w:rsid w:val="48E7D41C"/>
    <w:rsid w:val="48F14E84"/>
    <w:rsid w:val="48F90A7C"/>
    <w:rsid w:val="4907E105"/>
    <w:rsid w:val="49160F39"/>
    <w:rsid w:val="4916B080"/>
    <w:rsid w:val="491D2AA0"/>
    <w:rsid w:val="491D4DCD"/>
    <w:rsid w:val="4924D637"/>
    <w:rsid w:val="49299076"/>
    <w:rsid w:val="49301101"/>
    <w:rsid w:val="493BFB8C"/>
    <w:rsid w:val="493F8AA8"/>
    <w:rsid w:val="4941B5E4"/>
    <w:rsid w:val="49480798"/>
    <w:rsid w:val="4954DAA3"/>
    <w:rsid w:val="49555FBA"/>
    <w:rsid w:val="495BDDB8"/>
    <w:rsid w:val="4963F45C"/>
    <w:rsid w:val="496A2587"/>
    <w:rsid w:val="4971453D"/>
    <w:rsid w:val="49753675"/>
    <w:rsid w:val="49819413"/>
    <w:rsid w:val="4982D31E"/>
    <w:rsid w:val="498E6D14"/>
    <w:rsid w:val="49910CEF"/>
    <w:rsid w:val="499B3B1F"/>
    <w:rsid w:val="49A0F0CD"/>
    <w:rsid w:val="49A63A7C"/>
    <w:rsid w:val="49A9E768"/>
    <w:rsid w:val="49B210D3"/>
    <w:rsid w:val="49CC234E"/>
    <w:rsid w:val="49CEDD20"/>
    <w:rsid w:val="49CFD276"/>
    <w:rsid w:val="49E24393"/>
    <w:rsid w:val="49E44514"/>
    <w:rsid w:val="49E84272"/>
    <w:rsid w:val="49F3FD7D"/>
    <w:rsid w:val="49F6B8E7"/>
    <w:rsid w:val="49F92DD2"/>
    <w:rsid w:val="49F98BAA"/>
    <w:rsid w:val="4A2C43D3"/>
    <w:rsid w:val="4A50139A"/>
    <w:rsid w:val="4A540B09"/>
    <w:rsid w:val="4A5BF8AA"/>
    <w:rsid w:val="4A5FE7E6"/>
    <w:rsid w:val="4A65D739"/>
    <w:rsid w:val="4A6E2A19"/>
    <w:rsid w:val="4A7FF972"/>
    <w:rsid w:val="4A863B86"/>
    <w:rsid w:val="4A86FB7C"/>
    <w:rsid w:val="4A8FFDE1"/>
    <w:rsid w:val="4A920195"/>
    <w:rsid w:val="4AA09DDE"/>
    <w:rsid w:val="4AC3FF72"/>
    <w:rsid w:val="4AF430A8"/>
    <w:rsid w:val="4AFB9716"/>
    <w:rsid w:val="4AFE727D"/>
    <w:rsid w:val="4B223259"/>
    <w:rsid w:val="4B279CC3"/>
    <w:rsid w:val="4B2B6FFF"/>
    <w:rsid w:val="4B2F8A49"/>
    <w:rsid w:val="4B380221"/>
    <w:rsid w:val="4B447F47"/>
    <w:rsid w:val="4B4F1DA4"/>
    <w:rsid w:val="4B613BB9"/>
    <w:rsid w:val="4B7212B2"/>
    <w:rsid w:val="4B7BD2F5"/>
    <w:rsid w:val="4B7FCC58"/>
    <w:rsid w:val="4B839161"/>
    <w:rsid w:val="4B8712C3"/>
    <w:rsid w:val="4B8CE53B"/>
    <w:rsid w:val="4B8E9F6C"/>
    <w:rsid w:val="4B90D675"/>
    <w:rsid w:val="4B936939"/>
    <w:rsid w:val="4B93E047"/>
    <w:rsid w:val="4B9ADD2B"/>
    <w:rsid w:val="4B9E0C08"/>
    <w:rsid w:val="4B9FC982"/>
    <w:rsid w:val="4BB544A4"/>
    <w:rsid w:val="4BC8ECA1"/>
    <w:rsid w:val="4BC98536"/>
    <w:rsid w:val="4BCDB01B"/>
    <w:rsid w:val="4BD0C7B1"/>
    <w:rsid w:val="4BE38353"/>
    <w:rsid w:val="4BECEBC9"/>
    <w:rsid w:val="4BED8E36"/>
    <w:rsid w:val="4BFFF14F"/>
    <w:rsid w:val="4C0D340A"/>
    <w:rsid w:val="4C1998BD"/>
    <w:rsid w:val="4C1A1E4B"/>
    <w:rsid w:val="4C1B5FB6"/>
    <w:rsid w:val="4C1B8FF4"/>
    <w:rsid w:val="4C2437FD"/>
    <w:rsid w:val="4C3D6F3E"/>
    <w:rsid w:val="4C559CE2"/>
    <w:rsid w:val="4C59D8C2"/>
    <w:rsid w:val="4C647DA2"/>
    <w:rsid w:val="4C74940A"/>
    <w:rsid w:val="4C7E2390"/>
    <w:rsid w:val="4C8374C3"/>
    <w:rsid w:val="4C8843A6"/>
    <w:rsid w:val="4C95FFEE"/>
    <w:rsid w:val="4CA8E34E"/>
    <w:rsid w:val="4CC65597"/>
    <w:rsid w:val="4CCBB136"/>
    <w:rsid w:val="4CCEEB65"/>
    <w:rsid w:val="4CD83551"/>
    <w:rsid w:val="4CE0110A"/>
    <w:rsid w:val="4CEB8FE6"/>
    <w:rsid w:val="4CED717C"/>
    <w:rsid w:val="4CEF538C"/>
    <w:rsid w:val="4CF25C70"/>
    <w:rsid w:val="4CFB5A94"/>
    <w:rsid w:val="4D06AA2C"/>
    <w:rsid w:val="4D11418C"/>
    <w:rsid w:val="4D186F1D"/>
    <w:rsid w:val="4D1F4A95"/>
    <w:rsid w:val="4D4B262F"/>
    <w:rsid w:val="4D4D6B62"/>
    <w:rsid w:val="4D4DFC90"/>
    <w:rsid w:val="4D4E4A55"/>
    <w:rsid w:val="4D4F22FC"/>
    <w:rsid w:val="4D54846C"/>
    <w:rsid w:val="4D5AFF53"/>
    <w:rsid w:val="4D6E60BC"/>
    <w:rsid w:val="4D709DC7"/>
    <w:rsid w:val="4D71333A"/>
    <w:rsid w:val="4D72F79F"/>
    <w:rsid w:val="4D74892B"/>
    <w:rsid w:val="4D7B68EC"/>
    <w:rsid w:val="4D81227B"/>
    <w:rsid w:val="4D85CB15"/>
    <w:rsid w:val="4D888133"/>
    <w:rsid w:val="4D8FFE02"/>
    <w:rsid w:val="4DAAB58A"/>
    <w:rsid w:val="4DAE966F"/>
    <w:rsid w:val="4DBE685A"/>
    <w:rsid w:val="4DC57178"/>
    <w:rsid w:val="4DE60E8C"/>
    <w:rsid w:val="4DE7AF5C"/>
    <w:rsid w:val="4DEFA6DB"/>
    <w:rsid w:val="4DF29641"/>
    <w:rsid w:val="4DF8D5E6"/>
    <w:rsid w:val="4DFD0199"/>
    <w:rsid w:val="4DFFACA3"/>
    <w:rsid w:val="4E094BE7"/>
    <w:rsid w:val="4E24D3D8"/>
    <w:rsid w:val="4E2B76A0"/>
    <w:rsid w:val="4E2F4DE7"/>
    <w:rsid w:val="4E3112A5"/>
    <w:rsid w:val="4E5039FA"/>
    <w:rsid w:val="4E6BBF05"/>
    <w:rsid w:val="4E7F9E25"/>
    <w:rsid w:val="4EA8731C"/>
    <w:rsid w:val="4EB10C84"/>
    <w:rsid w:val="4EB7325F"/>
    <w:rsid w:val="4EBC3477"/>
    <w:rsid w:val="4EBE188A"/>
    <w:rsid w:val="4EC60610"/>
    <w:rsid w:val="4EC96329"/>
    <w:rsid w:val="4ED356F7"/>
    <w:rsid w:val="4ED36E4A"/>
    <w:rsid w:val="4EE4DD0B"/>
    <w:rsid w:val="4EEC74FF"/>
    <w:rsid w:val="4EEE38FC"/>
    <w:rsid w:val="4EF82FF4"/>
    <w:rsid w:val="4EF91F07"/>
    <w:rsid w:val="4F0030D6"/>
    <w:rsid w:val="4F03CB61"/>
    <w:rsid w:val="4F06B433"/>
    <w:rsid w:val="4F0A4147"/>
    <w:rsid w:val="4F0AFE84"/>
    <w:rsid w:val="4F16CDAD"/>
    <w:rsid w:val="4F1D143E"/>
    <w:rsid w:val="4F1D89F6"/>
    <w:rsid w:val="4F24F328"/>
    <w:rsid w:val="4F27D0CF"/>
    <w:rsid w:val="4F294750"/>
    <w:rsid w:val="4F2AE6A4"/>
    <w:rsid w:val="4F3E2B03"/>
    <w:rsid w:val="4F3ECA75"/>
    <w:rsid w:val="4F4E29D6"/>
    <w:rsid w:val="4F5F99D2"/>
    <w:rsid w:val="4F622FF4"/>
    <w:rsid w:val="4F6B5646"/>
    <w:rsid w:val="4F70FFCB"/>
    <w:rsid w:val="4F802819"/>
    <w:rsid w:val="4F89878D"/>
    <w:rsid w:val="4F8CFFDF"/>
    <w:rsid w:val="4F8E02D2"/>
    <w:rsid w:val="4F8F7300"/>
    <w:rsid w:val="4F9A3FA2"/>
    <w:rsid w:val="4F9CB054"/>
    <w:rsid w:val="4F9D7492"/>
    <w:rsid w:val="4FA2FABD"/>
    <w:rsid w:val="4FA84CFA"/>
    <w:rsid w:val="4FAE8D11"/>
    <w:rsid w:val="4FAFE9E4"/>
    <w:rsid w:val="4FB57A6C"/>
    <w:rsid w:val="4FDD817F"/>
    <w:rsid w:val="4FDEB1DA"/>
    <w:rsid w:val="4FE42E1A"/>
    <w:rsid w:val="4FFB0DE6"/>
    <w:rsid w:val="5011F2EE"/>
    <w:rsid w:val="5013DBB6"/>
    <w:rsid w:val="5017B226"/>
    <w:rsid w:val="501F186B"/>
    <w:rsid w:val="50293C53"/>
    <w:rsid w:val="5029D362"/>
    <w:rsid w:val="502FC50C"/>
    <w:rsid w:val="5030FB8E"/>
    <w:rsid w:val="50353E1C"/>
    <w:rsid w:val="503AFAA2"/>
    <w:rsid w:val="504467E9"/>
    <w:rsid w:val="5044D4E0"/>
    <w:rsid w:val="5044F77E"/>
    <w:rsid w:val="505620F0"/>
    <w:rsid w:val="50603F90"/>
    <w:rsid w:val="50609AC6"/>
    <w:rsid w:val="5066F661"/>
    <w:rsid w:val="506C0EF8"/>
    <w:rsid w:val="508C731F"/>
    <w:rsid w:val="508D6D32"/>
    <w:rsid w:val="509B69C7"/>
    <w:rsid w:val="509ED997"/>
    <w:rsid w:val="50AA8747"/>
    <w:rsid w:val="50B57F19"/>
    <w:rsid w:val="50C00159"/>
    <w:rsid w:val="50CD4F04"/>
    <w:rsid w:val="50D96173"/>
    <w:rsid w:val="50DBEAD2"/>
    <w:rsid w:val="50E4468E"/>
    <w:rsid w:val="50F2E144"/>
    <w:rsid w:val="5104FA39"/>
    <w:rsid w:val="510CF18D"/>
    <w:rsid w:val="51277D3C"/>
    <w:rsid w:val="513AB2B4"/>
    <w:rsid w:val="513CD931"/>
    <w:rsid w:val="514A5D72"/>
    <w:rsid w:val="514B3AA6"/>
    <w:rsid w:val="514FBCCF"/>
    <w:rsid w:val="5151C343"/>
    <w:rsid w:val="51549BC1"/>
    <w:rsid w:val="515716B5"/>
    <w:rsid w:val="516CA850"/>
    <w:rsid w:val="51713108"/>
    <w:rsid w:val="5178E3F0"/>
    <w:rsid w:val="5184A155"/>
    <w:rsid w:val="51872283"/>
    <w:rsid w:val="519001D2"/>
    <w:rsid w:val="5192F7A7"/>
    <w:rsid w:val="5196CDE4"/>
    <w:rsid w:val="51A03678"/>
    <w:rsid w:val="51B17E7A"/>
    <w:rsid w:val="51B6EF6D"/>
    <w:rsid w:val="51BE45C1"/>
    <w:rsid w:val="51D40E0D"/>
    <w:rsid w:val="51DF0FA3"/>
    <w:rsid w:val="51E67679"/>
    <w:rsid w:val="51E9F2C4"/>
    <w:rsid w:val="51F69C36"/>
    <w:rsid w:val="51F9D8D5"/>
    <w:rsid w:val="51FE8E31"/>
    <w:rsid w:val="52052BE8"/>
    <w:rsid w:val="520C2768"/>
    <w:rsid w:val="520F7ED3"/>
    <w:rsid w:val="520F9887"/>
    <w:rsid w:val="5222667E"/>
    <w:rsid w:val="5227C8ED"/>
    <w:rsid w:val="522B2AFD"/>
    <w:rsid w:val="522B9FA7"/>
    <w:rsid w:val="523CA783"/>
    <w:rsid w:val="523DDAEC"/>
    <w:rsid w:val="52433FFD"/>
    <w:rsid w:val="52481E1D"/>
    <w:rsid w:val="52542083"/>
    <w:rsid w:val="52601C7A"/>
    <w:rsid w:val="526208CE"/>
    <w:rsid w:val="526B5277"/>
    <w:rsid w:val="52738829"/>
    <w:rsid w:val="52769FA1"/>
    <w:rsid w:val="52809262"/>
    <w:rsid w:val="528285E0"/>
    <w:rsid w:val="5282DE32"/>
    <w:rsid w:val="528D5377"/>
    <w:rsid w:val="52AA0C1D"/>
    <w:rsid w:val="52ADCD4B"/>
    <w:rsid w:val="52B79FE1"/>
    <w:rsid w:val="52C7F119"/>
    <w:rsid w:val="52D07EA3"/>
    <w:rsid w:val="52E28582"/>
    <w:rsid w:val="52ED1A11"/>
    <w:rsid w:val="5306F8BF"/>
    <w:rsid w:val="5314060D"/>
    <w:rsid w:val="531498DF"/>
    <w:rsid w:val="53164A73"/>
    <w:rsid w:val="532607A9"/>
    <w:rsid w:val="532E47E4"/>
    <w:rsid w:val="5353B75F"/>
    <w:rsid w:val="535A263F"/>
    <w:rsid w:val="536599CA"/>
    <w:rsid w:val="536BF534"/>
    <w:rsid w:val="53731038"/>
    <w:rsid w:val="537D3301"/>
    <w:rsid w:val="537EF797"/>
    <w:rsid w:val="53852C42"/>
    <w:rsid w:val="538A9769"/>
    <w:rsid w:val="538E5FA7"/>
    <w:rsid w:val="53925938"/>
    <w:rsid w:val="53ADDF87"/>
    <w:rsid w:val="53B08C55"/>
    <w:rsid w:val="53B66B56"/>
    <w:rsid w:val="53C2EB03"/>
    <w:rsid w:val="53C2ED6D"/>
    <w:rsid w:val="53CB2A21"/>
    <w:rsid w:val="53D13794"/>
    <w:rsid w:val="53D4BAC5"/>
    <w:rsid w:val="53E5A1BB"/>
    <w:rsid w:val="53E778F7"/>
    <w:rsid w:val="53EA7C94"/>
    <w:rsid w:val="53EFC8DE"/>
    <w:rsid w:val="5403AD70"/>
    <w:rsid w:val="540A128F"/>
    <w:rsid w:val="540D493E"/>
    <w:rsid w:val="54130C62"/>
    <w:rsid w:val="541DCB75"/>
    <w:rsid w:val="54257748"/>
    <w:rsid w:val="542665EF"/>
    <w:rsid w:val="54391E47"/>
    <w:rsid w:val="543B7DF2"/>
    <w:rsid w:val="5445FD5C"/>
    <w:rsid w:val="54474D50"/>
    <w:rsid w:val="544E42FE"/>
    <w:rsid w:val="5452D17B"/>
    <w:rsid w:val="545BDEB9"/>
    <w:rsid w:val="5466DADE"/>
    <w:rsid w:val="546A5B23"/>
    <w:rsid w:val="547DF2C0"/>
    <w:rsid w:val="54844DB3"/>
    <w:rsid w:val="549F06D7"/>
    <w:rsid w:val="54B22A6B"/>
    <w:rsid w:val="54B5AF1A"/>
    <w:rsid w:val="54C39A3A"/>
    <w:rsid w:val="54C3B25B"/>
    <w:rsid w:val="54C742CC"/>
    <w:rsid w:val="54CB89B3"/>
    <w:rsid w:val="54D885B2"/>
    <w:rsid w:val="54E39AD7"/>
    <w:rsid w:val="54E949E6"/>
    <w:rsid w:val="54E9DED8"/>
    <w:rsid w:val="54EFE3EE"/>
    <w:rsid w:val="54F6AD1C"/>
    <w:rsid w:val="54FFE95D"/>
    <w:rsid w:val="5508836F"/>
    <w:rsid w:val="550B5348"/>
    <w:rsid w:val="550E7232"/>
    <w:rsid w:val="5524F52F"/>
    <w:rsid w:val="55276844"/>
    <w:rsid w:val="5529D6BA"/>
    <w:rsid w:val="5533BD80"/>
    <w:rsid w:val="5533EAC7"/>
    <w:rsid w:val="5547B426"/>
    <w:rsid w:val="554B8CA9"/>
    <w:rsid w:val="5550A49D"/>
    <w:rsid w:val="5552CEC6"/>
    <w:rsid w:val="555A979D"/>
    <w:rsid w:val="5579797C"/>
    <w:rsid w:val="557A15B7"/>
    <w:rsid w:val="5582C50E"/>
    <w:rsid w:val="55841E37"/>
    <w:rsid w:val="558702BD"/>
    <w:rsid w:val="559912CB"/>
    <w:rsid w:val="559B3467"/>
    <w:rsid w:val="55A02B2B"/>
    <w:rsid w:val="55A26CD5"/>
    <w:rsid w:val="55ABAE67"/>
    <w:rsid w:val="55ABFDAD"/>
    <w:rsid w:val="55B35EF7"/>
    <w:rsid w:val="55B7297D"/>
    <w:rsid w:val="55F44B05"/>
    <w:rsid w:val="55F69B82"/>
    <w:rsid w:val="55F6B07A"/>
    <w:rsid w:val="5621875A"/>
    <w:rsid w:val="5630E410"/>
    <w:rsid w:val="563EFF02"/>
    <w:rsid w:val="5649FEBD"/>
    <w:rsid w:val="564CBDB0"/>
    <w:rsid w:val="565424B9"/>
    <w:rsid w:val="5660509C"/>
    <w:rsid w:val="56631491"/>
    <w:rsid w:val="56723CF0"/>
    <w:rsid w:val="567B8D81"/>
    <w:rsid w:val="56829786"/>
    <w:rsid w:val="56860DC8"/>
    <w:rsid w:val="5687C5CC"/>
    <w:rsid w:val="5690385B"/>
    <w:rsid w:val="56A1562E"/>
    <w:rsid w:val="56A1E626"/>
    <w:rsid w:val="56A42E51"/>
    <w:rsid w:val="56A5B7DF"/>
    <w:rsid w:val="56AA7367"/>
    <w:rsid w:val="56AA7D96"/>
    <w:rsid w:val="56C4C06C"/>
    <w:rsid w:val="56C94606"/>
    <w:rsid w:val="56C9F740"/>
    <w:rsid w:val="56D1D668"/>
    <w:rsid w:val="56D29FBC"/>
    <w:rsid w:val="56DA74C9"/>
    <w:rsid w:val="56DCB3BC"/>
    <w:rsid w:val="56E5F20A"/>
    <w:rsid w:val="56E78635"/>
    <w:rsid w:val="56FD0093"/>
    <w:rsid w:val="570CC5B0"/>
    <w:rsid w:val="570CE78E"/>
    <w:rsid w:val="57285278"/>
    <w:rsid w:val="57291BBE"/>
    <w:rsid w:val="5734E39E"/>
    <w:rsid w:val="573B593D"/>
    <w:rsid w:val="57447FD4"/>
    <w:rsid w:val="5748071C"/>
    <w:rsid w:val="574A34AF"/>
    <w:rsid w:val="574B5E1C"/>
    <w:rsid w:val="574F7640"/>
    <w:rsid w:val="574FDB58"/>
    <w:rsid w:val="57500D15"/>
    <w:rsid w:val="57548A6A"/>
    <w:rsid w:val="57554143"/>
    <w:rsid w:val="5757376D"/>
    <w:rsid w:val="575A984E"/>
    <w:rsid w:val="575B27C1"/>
    <w:rsid w:val="576051D9"/>
    <w:rsid w:val="5760F1AB"/>
    <w:rsid w:val="57651B95"/>
    <w:rsid w:val="5784243B"/>
    <w:rsid w:val="57A23BAF"/>
    <w:rsid w:val="57A6131A"/>
    <w:rsid w:val="57B11DD4"/>
    <w:rsid w:val="57BBA4C9"/>
    <w:rsid w:val="57BCFB7D"/>
    <w:rsid w:val="57BD523F"/>
    <w:rsid w:val="57C2378F"/>
    <w:rsid w:val="57C29E4E"/>
    <w:rsid w:val="57C960F8"/>
    <w:rsid w:val="57CFD94F"/>
    <w:rsid w:val="57D19457"/>
    <w:rsid w:val="57E1BE51"/>
    <w:rsid w:val="57F80A07"/>
    <w:rsid w:val="57F92177"/>
    <w:rsid w:val="57FB91E2"/>
    <w:rsid w:val="581150C6"/>
    <w:rsid w:val="58170DE5"/>
    <w:rsid w:val="581EEF2E"/>
    <w:rsid w:val="582C1011"/>
    <w:rsid w:val="582D8D09"/>
    <w:rsid w:val="5830DAA0"/>
    <w:rsid w:val="583D5213"/>
    <w:rsid w:val="583D888B"/>
    <w:rsid w:val="58447C4F"/>
    <w:rsid w:val="584BB7A7"/>
    <w:rsid w:val="58573EC4"/>
    <w:rsid w:val="585B9B61"/>
    <w:rsid w:val="5864EDF5"/>
    <w:rsid w:val="5867066B"/>
    <w:rsid w:val="586C46D7"/>
    <w:rsid w:val="5877C38C"/>
    <w:rsid w:val="5883D9A7"/>
    <w:rsid w:val="588B27CC"/>
    <w:rsid w:val="588D0634"/>
    <w:rsid w:val="588F9DF5"/>
    <w:rsid w:val="5895542E"/>
    <w:rsid w:val="5897DBC0"/>
    <w:rsid w:val="589A18C7"/>
    <w:rsid w:val="589A32A7"/>
    <w:rsid w:val="589CCC0C"/>
    <w:rsid w:val="58A7A69C"/>
    <w:rsid w:val="58ACF78D"/>
    <w:rsid w:val="58BD6A63"/>
    <w:rsid w:val="58C30B39"/>
    <w:rsid w:val="58D63921"/>
    <w:rsid w:val="58DA1B5E"/>
    <w:rsid w:val="58DB8919"/>
    <w:rsid w:val="58F29235"/>
    <w:rsid w:val="58FBE14D"/>
    <w:rsid w:val="58FEFF89"/>
    <w:rsid w:val="590567A7"/>
    <w:rsid w:val="5906EC5F"/>
    <w:rsid w:val="59095D94"/>
    <w:rsid w:val="590B4D69"/>
    <w:rsid w:val="590D1CD7"/>
    <w:rsid w:val="59252C10"/>
    <w:rsid w:val="592A50CB"/>
    <w:rsid w:val="5931825C"/>
    <w:rsid w:val="59477D0F"/>
    <w:rsid w:val="59498C6F"/>
    <w:rsid w:val="594ACC2C"/>
    <w:rsid w:val="5952A109"/>
    <w:rsid w:val="5953C18F"/>
    <w:rsid w:val="595A1958"/>
    <w:rsid w:val="595A7DDA"/>
    <w:rsid w:val="59601525"/>
    <w:rsid w:val="5964325F"/>
    <w:rsid w:val="5979EB5E"/>
    <w:rsid w:val="59851AF4"/>
    <w:rsid w:val="59873B0B"/>
    <w:rsid w:val="5987457D"/>
    <w:rsid w:val="5987B340"/>
    <w:rsid w:val="598C198E"/>
    <w:rsid w:val="598C48D7"/>
    <w:rsid w:val="598DE341"/>
    <w:rsid w:val="59993259"/>
    <w:rsid w:val="599A83BD"/>
    <w:rsid w:val="599C3825"/>
    <w:rsid w:val="59A052AD"/>
    <w:rsid w:val="59B5D79A"/>
    <w:rsid w:val="59BBEA43"/>
    <w:rsid w:val="59BFA3A0"/>
    <w:rsid w:val="59C3212A"/>
    <w:rsid w:val="59C3BDD5"/>
    <w:rsid w:val="59CE3205"/>
    <w:rsid w:val="59D26520"/>
    <w:rsid w:val="59E13C2E"/>
    <w:rsid w:val="59E2B8C1"/>
    <w:rsid w:val="59E49B56"/>
    <w:rsid w:val="59F4900F"/>
    <w:rsid w:val="5A085730"/>
    <w:rsid w:val="5A0EC4A1"/>
    <w:rsid w:val="5A2D5366"/>
    <w:rsid w:val="5A3188EB"/>
    <w:rsid w:val="5A38697D"/>
    <w:rsid w:val="5A4FF06C"/>
    <w:rsid w:val="5A67883F"/>
    <w:rsid w:val="5A72C9CA"/>
    <w:rsid w:val="5A81CE80"/>
    <w:rsid w:val="5A83CB28"/>
    <w:rsid w:val="5A8767D5"/>
    <w:rsid w:val="5A8B632F"/>
    <w:rsid w:val="5A935CDF"/>
    <w:rsid w:val="5A9A7969"/>
    <w:rsid w:val="5A9B2288"/>
    <w:rsid w:val="5AA7E02D"/>
    <w:rsid w:val="5AA83CC5"/>
    <w:rsid w:val="5AAFA730"/>
    <w:rsid w:val="5AB5CBFF"/>
    <w:rsid w:val="5AC032E5"/>
    <w:rsid w:val="5AD21F1B"/>
    <w:rsid w:val="5AD39B52"/>
    <w:rsid w:val="5AD3A961"/>
    <w:rsid w:val="5AD73C84"/>
    <w:rsid w:val="5ADD3D1A"/>
    <w:rsid w:val="5AE4DAE8"/>
    <w:rsid w:val="5AE583AE"/>
    <w:rsid w:val="5AF03630"/>
    <w:rsid w:val="5AF26775"/>
    <w:rsid w:val="5AFEAB1C"/>
    <w:rsid w:val="5B058D2B"/>
    <w:rsid w:val="5B08FB0F"/>
    <w:rsid w:val="5B1AD0A8"/>
    <w:rsid w:val="5B1B935A"/>
    <w:rsid w:val="5B2BC7FC"/>
    <w:rsid w:val="5B535E7F"/>
    <w:rsid w:val="5B53D833"/>
    <w:rsid w:val="5B574C58"/>
    <w:rsid w:val="5B6AE110"/>
    <w:rsid w:val="5B844F4E"/>
    <w:rsid w:val="5B85B203"/>
    <w:rsid w:val="5B9EA515"/>
    <w:rsid w:val="5BA0A172"/>
    <w:rsid w:val="5BB2922B"/>
    <w:rsid w:val="5BB37566"/>
    <w:rsid w:val="5BBB197C"/>
    <w:rsid w:val="5BC15F19"/>
    <w:rsid w:val="5BC214DD"/>
    <w:rsid w:val="5BE3035F"/>
    <w:rsid w:val="5BED6AAC"/>
    <w:rsid w:val="5BEE4D04"/>
    <w:rsid w:val="5BEE5C15"/>
    <w:rsid w:val="5BF3C77E"/>
    <w:rsid w:val="5C04A089"/>
    <w:rsid w:val="5C071B1C"/>
    <w:rsid w:val="5C0B0C25"/>
    <w:rsid w:val="5C19D3F5"/>
    <w:rsid w:val="5C1E3328"/>
    <w:rsid w:val="5C2924B9"/>
    <w:rsid w:val="5C2EC536"/>
    <w:rsid w:val="5C2F2712"/>
    <w:rsid w:val="5C2FEFEE"/>
    <w:rsid w:val="5C30ADB1"/>
    <w:rsid w:val="5C31B202"/>
    <w:rsid w:val="5C339101"/>
    <w:rsid w:val="5C3612E9"/>
    <w:rsid w:val="5C52A3FB"/>
    <w:rsid w:val="5C6B0AAB"/>
    <w:rsid w:val="5C74E2D7"/>
    <w:rsid w:val="5C7F7658"/>
    <w:rsid w:val="5C882866"/>
    <w:rsid w:val="5C8CA333"/>
    <w:rsid w:val="5C8F1816"/>
    <w:rsid w:val="5C921CDD"/>
    <w:rsid w:val="5C94E554"/>
    <w:rsid w:val="5C97D4B2"/>
    <w:rsid w:val="5CC74453"/>
    <w:rsid w:val="5CCC3DFD"/>
    <w:rsid w:val="5CE24C65"/>
    <w:rsid w:val="5CEA3C4D"/>
    <w:rsid w:val="5CEBF380"/>
    <w:rsid w:val="5CFBB077"/>
    <w:rsid w:val="5D005843"/>
    <w:rsid w:val="5D0EF300"/>
    <w:rsid w:val="5D21CD97"/>
    <w:rsid w:val="5D290558"/>
    <w:rsid w:val="5D29A81F"/>
    <w:rsid w:val="5D392C7E"/>
    <w:rsid w:val="5D39883B"/>
    <w:rsid w:val="5D39BB7C"/>
    <w:rsid w:val="5D471C30"/>
    <w:rsid w:val="5D610E61"/>
    <w:rsid w:val="5D62179C"/>
    <w:rsid w:val="5D6635C0"/>
    <w:rsid w:val="5D6E9171"/>
    <w:rsid w:val="5D7F71D6"/>
    <w:rsid w:val="5D843397"/>
    <w:rsid w:val="5D8E0B07"/>
    <w:rsid w:val="5D9FB234"/>
    <w:rsid w:val="5DAAF168"/>
    <w:rsid w:val="5DABAB34"/>
    <w:rsid w:val="5DACDCF8"/>
    <w:rsid w:val="5DAE18D1"/>
    <w:rsid w:val="5DC25E78"/>
    <w:rsid w:val="5DCD8716"/>
    <w:rsid w:val="5DE68E47"/>
    <w:rsid w:val="5DEC4E98"/>
    <w:rsid w:val="5E0E9B21"/>
    <w:rsid w:val="5E183A65"/>
    <w:rsid w:val="5E18E917"/>
    <w:rsid w:val="5E1FAA42"/>
    <w:rsid w:val="5E326E31"/>
    <w:rsid w:val="5E469595"/>
    <w:rsid w:val="5E58C66F"/>
    <w:rsid w:val="5E5C3F54"/>
    <w:rsid w:val="5E5C9EF7"/>
    <w:rsid w:val="5E63E03D"/>
    <w:rsid w:val="5E6979D5"/>
    <w:rsid w:val="5E72D066"/>
    <w:rsid w:val="5E77C622"/>
    <w:rsid w:val="5E784644"/>
    <w:rsid w:val="5E951511"/>
    <w:rsid w:val="5E96B3A0"/>
    <w:rsid w:val="5E97A22A"/>
    <w:rsid w:val="5E9C0732"/>
    <w:rsid w:val="5EA8E8A9"/>
    <w:rsid w:val="5EC8AC2F"/>
    <w:rsid w:val="5ECFF6C1"/>
    <w:rsid w:val="5EE131E2"/>
    <w:rsid w:val="5EEC504C"/>
    <w:rsid w:val="5F01EDD2"/>
    <w:rsid w:val="5F02FDB6"/>
    <w:rsid w:val="5F0436E2"/>
    <w:rsid w:val="5F07F668"/>
    <w:rsid w:val="5F0A94AF"/>
    <w:rsid w:val="5F1708BA"/>
    <w:rsid w:val="5F1B84EC"/>
    <w:rsid w:val="5F232CC1"/>
    <w:rsid w:val="5F24A7EF"/>
    <w:rsid w:val="5F27A5D6"/>
    <w:rsid w:val="5F2C7C83"/>
    <w:rsid w:val="5F2D90A5"/>
    <w:rsid w:val="5F319B7F"/>
    <w:rsid w:val="5F3B70E0"/>
    <w:rsid w:val="5F41C842"/>
    <w:rsid w:val="5F5131DC"/>
    <w:rsid w:val="5F644C9E"/>
    <w:rsid w:val="5F68A8CC"/>
    <w:rsid w:val="5F707D2C"/>
    <w:rsid w:val="5F761B8F"/>
    <w:rsid w:val="5F7AB889"/>
    <w:rsid w:val="5F821D63"/>
    <w:rsid w:val="5F8B93E8"/>
    <w:rsid w:val="5F8FD05C"/>
    <w:rsid w:val="5FA0932A"/>
    <w:rsid w:val="5FA15E3C"/>
    <w:rsid w:val="5FBD258A"/>
    <w:rsid w:val="5FBE4444"/>
    <w:rsid w:val="5FC23610"/>
    <w:rsid w:val="5FE5DDFE"/>
    <w:rsid w:val="5FF15BD5"/>
    <w:rsid w:val="5FF83F87"/>
    <w:rsid w:val="600D7903"/>
    <w:rsid w:val="6011C3B9"/>
    <w:rsid w:val="60242C73"/>
    <w:rsid w:val="602B12F8"/>
    <w:rsid w:val="604348C2"/>
    <w:rsid w:val="604521A6"/>
    <w:rsid w:val="60467EF6"/>
    <w:rsid w:val="6056EA13"/>
    <w:rsid w:val="606254F5"/>
    <w:rsid w:val="606343A7"/>
    <w:rsid w:val="6065E6D7"/>
    <w:rsid w:val="607C235F"/>
    <w:rsid w:val="608DF63A"/>
    <w:rsid w:val="60B4DC66"/>
    <w:rsid w:val="60CDAF14"/>
    <w:rsid w:val="60DE977C"/>
    <w:rsid w:val="60DF79D2"/>
    <w:rsid w:val="60E09A0F"/>
    <w:rsid w:val="60E1388C"/>
    <w:rsid w:val="60FAF0D8"/>
    <w:rsid w:val="6111E483"/>
    <w:rsid w:val="61162335"/>
    <w:rsid w:val="61289376"/>
    <w:rsid w:val="612ED73A"/>
    <w:rsid w:val="61357EEF"/>
    <w:rsid w:val="6141414D"/>
    <w:rsid w:val="614A4811"/>
    <w:rsid w:val="614D081B"/>
    <w:rsid w:val="614F0F5E"/>
    <w:rsid w:val="6151E738"/>
    <w:rsid w:val="6157F970"/>
    <w:rsid w:val="6161416E"/>
    <w:rsid w:val="61616242"/>
    <w:rsid w:val="6176E883"/>
    <w:rsid w:val="6177A9C8"/>
    <w:rsid w:val="6187C8E6"/>
    <w:rsid w:val="61894D03"/>
    <w:rsid w:val="61A3C63F"/>
    <w:rsid w:val="61AE73C5"/>
    <w:rsid w:val="61B93DD2"/>
    <w:rsid w:val="61BC0AF1"/>
    <w:rsid w:val="61BCAEAC"/>
    <w:rsid w:val="61BFA34B"/>
    <w:rsid w:val="61D41127"/>
    <w:rsid w:val="61D7646B"/>
    <w:rsid w:val="61E2C04C"/>
    <w:rsid w:val="61F6D0F1"/>
    <w:rsid w:val="61FBB7BA"/>
    <w:rsid w:val="620DF500"/>
    <w:rsid w:val="622B2CB8"/>
    <w:rsid w:val="622E32E3"/>
    <w:rsid w:val="62321A46"/>
    <w:rsid w:val="6249DD59"/>
    <w:rsid w:val="624ED0B0"/>
    <w:rsid w:val="62584AF6"/>
    <w:rsid w:val="625A24D9"/>
    <w:rsid w:val="626B2C0A"/>
    <w:rsid w:val="626D9355"/>
    <w:rsid w:val="62735571"/>
    <w:rsid w:val="6279E777"/>
    <w:rsid w:val="6284989D"/>
    <w:rsid w:val="6284A22E"/>
    <w:rsid w:val="628A0429"/>
    <w:rsid w:val="62947BEF"/>
    <w:rsid w:val="62AB3E2D"/>
    <w:rsid w:val="62B1C692"/>
    <w:rsid w:val="62B43516"/>
    <w:rsid w:val="62CEF051"/>
    <w:rsid w:val="62D3C818"/>
    <w:rsid w:val="62DBDB4D"/>
    <w:rsid w:val="62E0E9F2"/>
    <w:rsid w:val="62E34969"/>
    <w:rsid w:val="62E80E69"/>
    <w:rsid w:val="62ECB6F7"/>
    <w:rsid w:val="62F2043C"/>
    <w:rsid w:val="62F25E25"/>
    <w:rsid w:val="62F3D9F7"/>
    <w:rsid w:val="630D2C6A"/>
    <w:rsid w:val="631B6575"/>
    <w:rsid w:val="632E5D56"/>
    <w:rsid w:val="63390C75"/>
    <w:rsid w:val="6358E34B"/>
    <w:rsid w:val="637827CF"/>
    <w:rsid w:val="63889820"/>
    <w:rsid w:val="638C2AEC"/>
    <w:rsid w:val="63928F01"/>
    <w:rsid w:val="63A29879"/>
    <w:rsid w:val="63B1A385"/>
    <w:rsid w:val="63C21726"/>
    <w:rsid w:val="63E0EBB9"/>
    <w:rsid w:val="63E94DEA"/>
    <w:rsid w:val="63EFD6E3"/>
    <w:rsid w:val="6402D7D9"/>
    <w:rsid w:val="6417CE13"/>
    <w:rsid w:val="641EEAE5"/>
    <w:rsid w:val="64228D44"/>
    <w:rsid w:val="6422EB75"/>
    <w:rsid w:val="6429D72F"/>
    <w:rsid w:val="642A0602"/>
    <w:rsid w:val="642B7F78"/>
    <w:rsid w:val="6436FBAD"/>
    <w:rsid w:val="643FEB66"/>
    <w:rsid w:val="6440AFEF"/>
    <w:rsid w:val="6446E972"/>
    <w:rsid w:val="644FFEFB"/>
    <w:rsid w:val="645D8385"/>
    <w:rsid w:val="6462635C"/>
    <w:rsid w:val="6467EA5D"/>
    <w:rsid w:val="64711859"/>
    <w:rsid w:val="6471F8F5"/>
    <w:rsid w:val="6474A560"/>
    <w:rsid w:val="649B4CD0"/>
    <w:rsid w:val="64A64B10"/>
    <w:rsid w:val="64B74A4C"/>
    <w:rsid w:val="64BB13CD"/>
    <w:rsid w:val="64BEF987"/>
    <w:rsid w:val="64C194B7"/>
    <w:rsid w:val="64C2C1A0"/>
    <w:rsid w:val="64D11FAF"/>
    <w:rsid w:val="64D999AD"/>
    <w:rsid w:val="64D9B687"/>
    <w:rsid w:val="64E3F50E"/>
    <w:rsid w:val="64ECDCBA"/>
    <w:rsid w:val="64ED8774"/>
    <w:rsid w:val="64F1B0BB"/>
    <w:rsid w:val="64F42014"/>
    <w:rsid w:val="64FF9F89"/>
    <w:rsid w:val="6505F524"/>
    <w:rsid w:val="652A5DFD"/>
    <w:rsid w:val="652AAA76"/>
    <w:rsid w:val="652F6D3B"/>
    <w:rsid w:val="653A921B"/>
    <w:rsid w:val="654F440A"/>
    <w:rsid w:val="655A191F"/>
    <w:rsid w:val="655AEB60"/>
    <w:rsid w:val="6567380E"/>
    <w:rsid w:val="65708122"/>
    <w:rsid w:val="6570AEAF"/>
    <w:rsid w:val="6573509F"/>
    <w:rsid w:val="65742057"/>
    <w:rsid w:val="65866A2D"/>
    <w:rsid w:val="659578F0"/>
    <w:rsid w:val="65974187"/>
    <w:rsid w:val="65A00CEF"/>
    <w:rsid w:val="65A46E90"/>
    <w:rsid w:val="65A4FF48"/>
    <w:rsid w:val="65BB0D69"/>
    <w:rsid w:val="65CFBC4F"/>
    <w:rsid w:val="65D1D829"/>
    <w:rsid w:val="65DB8DA4"/>
    <w:rsid w:val="65EDEF69"/>
    <w:rsid w:val="65F64467"/>
    <w:rsid w:val="660A446A"/>
    <w:rsid w:val="66178E70"/>
    <w:rsid w:val="661D008D"/>
    <w:rsid w:val="66282705"/>
    <w:rsid w:val="664D2F9D"/>
    <w:rsid w:val="665A5069"/>
    <w:rsid w:val="6664B4A6"/>
    <w:rsid w:val="66697290"/>
    <w:rsid w:val="6677E923"/>
    <w:rsid w:val="667F3FFA"/>
    <w:rsid w:val="667F4553"/>
    <w:rsid w:val="6684C6C6"/>
    <w:rsid w:val="6695452F"/>
    <w:rsid w:val="669A1B76"/>
    <w:rsid w:val="669F45C2"/>
    <w:rsid w:val="66A8B581"/>
    <w:rsid w:val="66ACB2FF"/>
    <w:rsid w:val="66C2621C"/>
    <w:rsid w:val="66C71A1D"/>
    <w:rsid w:val="66D0C30C"/>
    <w:rsid w:val="66DB3AA5"/>
    <w:rsid w:val="66DF992C"/>
    <w:rsid w:val="66E8FC65"/>
    <w:rsid w:val="66F5370C"/>
    <w:rsid w:val="67060F79"/>
    <w:rsid w:val="671810C4"/>
    <w:rsid w:val="671962A8"/>
    <w:rsid w:val="6720D030"/>
    <w:rsid w:val="67364488"/>
    <w:rsid w:val="6738AF3D"/>
    <w:rsid w:val="673C1B04"/>
    <w:rsid w:val="673D8A12"/>
    <w:rsid w:val="67498E83"/>
    <w:rsid w:val="6753CEBE"/>
    <w:rsid w:val="675B3D2A"/>
    <w:rsid w:val="675E92B4"/>
    <w:rsid w:val="675FB39D"/>
    <w:rsid w:val="6766E128"/>
    <w:rsid w:val="677747B0"/>
    <w:rsid w:val="677D8826"/>
    <w:rsid w:val="6782CE98"/>
    <w:rsid w:val="6785DA05"/>
    <w:rsid w:val="6788C42F"/>
    <w:rsid w:val="6789D346"/>
    <w:rsid w:val="678A3307"/>
    <w:rsid w:val="6794F393"/>
    <w:rsid w:val="67B23507"/>
    <w:rsid w:val="67B731DB"/>
    <w:rsid w:val="67C73EDF"/>
    <w:rsid w:val="67DB9439"/>
    <w:rsid w:val="67DCFFCB"/>
    <w:rsid w:val="67F55E63"/>
    <w:rsid w:val="68048F6F"/>
    <w:rsid w:val="680DE189"/>
    <w:rsid w:val="6815C92C"/>
    <w:rsid w:val="68187E07"/>
    <w:rsid w:val="6822A614"/>
    <w:rsid w:val="68272F24"/>
    <w:rsid w:val="6847858F"/>
    <w:rsid w:val="685D2290"/>
    <w:rsid w:val="685F63BA"/>
    <w:rsid w:val="686140B0"/>
    <w:rsid w:val="6868CEB3"/>
    <w:rsid w:val="686957C9"/>
    <w:rsid w:val="68723156"/>
    <w:rsid w:val="68795F1F"/>
    <w:rsid w:val="687EBC14"/>
    <w:rsid w:val="689B8E5D"/>
    <w:rsid w:val="68ABDCAC"/>
    <w:rsid w:val="68AD1333"/>
    <w:rsid w:val="68B282BD"/>
    <w:rsid w:val="68C643A8"/>
    <w:rsid w:val="68D27BFB"/>
    <w:rsid w:val="68D28B1C"/>
    <w:rsid w:val="68E58224"/>
    <w:rsid w:val="68EF68B3"/>
    <w:rsid w:val="68F276C0"/>
    <w:rsid w:val="6908F374"/>
    <w:rsid w:val="690E02D3"/>
    <w:rsid w:val="69111D7D"/>
    <w:rsid w:val="69127C52"/>
    <w:rsid w:val="691C3D66"/>
    <w:rsid w:val="691FD0B4"/>
    <w:rsid w:val="692BDD6E"/>
    <w:rsid w:val="693158D9"/>
    <w:rsid w:val="6935EF70"/>
    <w:rsid w:val="693FEE69"/>
    <w:rsid w:val="6940674C"/>
    <w:rsid w:val="6945D769"/>
    <w:rsid w:val="694A095D"/>
    <w:rsid w:val="6959E48F"/>
    <w:rsid w:val="695BB51D"/>
    <w:rsid w:val="695E74AB"/>
    <w:rsid w:val="695ED868"/>
    <w:rsid w:val="69636E3D"/>
    <w:rsid w:val="69656B70"/>
    <w:rsid w:val="6969AFE9"/>
    <w:rsid w:val="6971E92E"/>
    <w:rsid w:val="697BA0C6"/>
    <w:rsid w:val="698300FD"/>
    <w:rsid w:val="698C3908"/>
    <w:rsid w:val="6992B133"/>
    <w:rsid w:val="699B5212"/>
    <w:rsid w:val="699B69C2"/>
    <w:rsid w:val="69AF0561"/>
    <w:rsid w:val="69AF7F90"/>
    <w:rsid w:val="69B1B2DC"/>
    <w:rsid w:val="69C5D24E"/>
    <w:rsid w:val="69D2C2F5"/>
    <w:rsid w:val="69D4F64D"/>
    <w:rsid w:val="69E72ACE"/>
    <w:rsid w:val="69F2835C"/>
    <w:rsid w:val="6A0FE565"/>
    <w:rsid w:val="6A148DA1"/>
    <w:rsid w:val="6A15210A"/>
    <w:rsid w:val="6A1CC678"/>
    <w:rsid w:val="6A210D3F"/>
    <w:rsid w:val="6A233A69"/>
    <w:rsid w:val="6A3598DD"/>
    <w:rsid w:val="6A383930"/>
    <w:rsid w:val="6A3B44E9"/>
    <w:rsid w:val="6A4B45F0"/>
    <w:rsid w:val="6A4BA8EC"/>
    <w:rsid w:val="6A52D4F3"/>
    <w:rsid w:val="6A58C9AB"/>
    <w:rsid w:val="6A62727B"/>
    <w:rsid w:val="6A84BAD9"/>
    <w:rsid w:val="6A864664"/>
    <w:rsid w:val="6A8DBB35"/>
    <w:rsid w:val="6A9471A0"/>
    <w:rsid w:val="6A9518A7"/>
    <w:rsid w:val="6A996D65"/>
    <w:rsid w:val="6A9A7967"/>
    <w:rsid w:val="6AA06667"/>
    <w:rsid w:val="6AA71FE7"/>
    <w:rsid w:val="6AD478F9"/>
    <w:rsid w:val="6ADC2EF0"/>
    <w:rsid w:val="6ADF38CC"/>
    <w:rsid w:val="6AF52B3A"/>
    <w:rsid w:val="6AF63F56"/>
    <w:rsid w:val="6B14B564"/>
    <w:rsid w:val="6B265506"/>
    <w:rsid w:val="6B2B6271"/>
    <w:rsid w:val="6B2CB636"/>
    <w:rsid w:val="6B2F8165"/>
    <w:rsid w:val="6B3038D1"/>
    <w:rsid w:val="6B342313"/>
    <w:rsid w:val="6B3F9C81"/>
    <w:rsid w:val="6B4925B0"/>
    <w:rsid w:val="6B4E4221"/>
    <w:rsid w:val="6B4F819F"/>
    <w:rsid w:val="6B52679B"/>
    <w:rsid w:val="6B598393"/>
    <w:rsid w:val="6B6C91C9"/>
    <w:rsid w:val="6B760ECD"/>
    <w:rsid w:val="6B81E1A8"/>
    <w:rsid w:val="6B87B1B1"/>
    <w:rsid w:val="6B8C2F7B"/>
    <w:rsid w:val="6B99D54A"/>
    <w:rsid w:val="6BA18560"/>
    <w:rsid w:val="6BA2E3D4"/>
    <w:rsid w:val="6BB30A73"/>
    <w:rsid w:val="6BB43456"/>
    <w:rsid w:val="6BB877D5"/>
    <w:rsid w:val="6BBB1394"/>
    <w:rsid w:val="6BC6BB29"/>
    <w:rsid w:val="6BCCF9EA"/>
    <w:rsid w:val="6BE1E641"/>
    <w:rsid w:val="6C18F80F"/>
    <w:rsid w:val="6C1E4DA8"/>
    <w:rsid w:val="6C26BFAB"/>
    <w:rsid w:val="6C29BF75"/>
    <w:rsid w:val="6C2E748F"/>
    <w:rsid w:val="6C2FF144"/>
    <w:rsid w:val="6C32ABCB"/>
    <w:rsid w:val="6C3F8D35"/>
    <w:rsid w:val="6C5010FA"/>
    <w:rsid w:val="6C58548E"/>
    <w:rsid w:val="6C5A8389"/>
    <w:rsid w:val="6C5B6A83"/>
    <w:rsid w:val="6C613058"/>
    <w:rsid w:val="6C64A953"/>
    <w:rsid w:val="6C677632"/>
    <w:rsid w:val="6C692248"/>
    <w:rsid w:val="6C71C4DC"/>
    <w:rsid w:val="6C746F93"/>
    <w:rsid w:val="6C920E12"/>
    <w:rsid w:val="6C9B4606"/>
    <w:rsid w:val="6CA070D6"/>
    <w:rsid w:val="6CA2351B"/>
    <w:rsid w:val="6CAEE387"/>
    <w:rsid w:val="6CB06DE3"/>
    <w:rsid w:val="6CB43D7D"/>
    <w:rsid w:val="6CC7AD8C"/>
    <w:rsid w:val="6CD0B81E"/>
    <w:rsid w:val="6CD3FFDA"/>
    <w:rsid w:val="6CD55683"/>
    <w:rsid w:val="6CE4327E"/>
    <w:rsid w:val="6CE94F11"/>
    <w:rsid w:val="6CE994E6"/>
    <w:rsid w:val="6CEF95D4"/>
    <w:rsid w:val="6CFBB528"/>
    <w:rsid w:val="6D11C1E6"/>
    <w:rsid w:val="6D224372"/>
    <w:rsid w:val="6D228012"/>
    <w:rsid w:val="6D28DFBA"/>
    <w:rsid w:val="6D543EDB"/>
    <w:rsid w:val="6D5E1DCD"/>
    <w:rsid w:val="6D63271B"/>
    <w:rsid w:val="6D6E3320"/>
    <w:rsid w:val="6D6ED1F8"/>
    <w:rsid w:val="6D874010"/>
    <w:rsid w:val="6D8C5B4D"/>
    <w:rsid w:val="6D917A53"/>
    <w:rsid w:val="6D93BF25"/>
    <w:rsid w:val="6DA1C856"/>
    <w:rsid w:val="6DC40AD7"/>
    <w:rsid w:val="6DC4DC0B"/>
    <w:rsid w:val="6DD95991"/>
    <w:rsid w:val="6DE53C3B"/>
    <w:rsid w:val="6DEFB30C"/>
    <w:rsid w:val="6DF21822"/>
    <w:rsid w:val="6DF46A81"/>
    <w:rsid w:val="6DFD8140"/>
    <w:rsid w:val="6E109A69"/>
    <w:rsid w:val="6E130C60"/>
    <w:rsid w:val="6E15B27F"/>
    <w:rsid w:val="6E222C30"/>
    <w:rsid w:val="6E2DEE44"/>
    <w:rsid w:val="6E2F742F"/>
    <w:rsid w:val="6E385AE1"/>
    <w:rsid w:val="6E3EC358"/>
    <w:rsid w:val="6E5FA3E6"/>
    <w:rsid w:val="6E640B80"/>
    <w:rsid w:val="6E6D6A29"/>
    <w:rsid w:val="6E70E0AD"/>
    <w:rsid w:val="6E82B175"/>
    <w:rsid w:val="6E8F3A43"/>
    <w:rsid w:val="6E93AB3C"/>
    <w:rsid w:val="6E93B316"/>
    <w:rsid w:val="6E973D72"/>
    <w:rsid w:val="6E9B81EA"/>
    <w:rsid w:val="6E9D4705"/>
    <w:rsid w:val="6EA368E1"/>
    <w:rsid w:val="6EACA15E"/>
    <w:rsid w:val="6EB14C48"/>
    <w:rsid w:val="6EB75057"/>
    <w:rsid w:val="6EBA63BE"/>
    <w:rsid w:val="6EC03A1B"/>
    <w:rsid w:val="6EC25E4D"/>
    <w:rsid w:val="6EC2944D"/>
    <w:rsid w:val="6EC4E287"/>
    <w:rsid w:val="6EC6213A"/>
    <w:rsid w:val="6EC7B4D1"/>
    <w:rsid w:val="6ED7D622"/>
    <w:rsid w:val="6EDE0F2E"/>
    <w:rsid w:val="6EE21FB9"/>
    <w:rsid w:val="6EFAA27C"/>
    <w:rsid w:val="6F0CA739"/>
    <w:rsid w:val="6F129D62"/>
    <w:rsid w:val="6F2D2012"/>
    <w:rsid w:val="6F2EA0B0"/>
    <w:rsid w:val="6F54FCD2"/>
    <w:rsid w:val="6F59B913"/>
    <w:rsid w:val="6F5F9DCF"/>
    <w:rsid w:val="6F60264F"/>
    <w:rsid w:val="6F66F634"/>
    <w:rsid w:val="6F8570BC"/>
    <w:rsid w:val="6F85B574"/>
    <w:rsid w:val="6F95E152"/>
    <w:rsid w:val="6F9797E9"/>
    <w:rsid w:val="6FB495A0"/>
    <w:rsid w:val="6FC39DDE"/>
    <w:rsid w:val="6FD4EE71"/>
    <w:rsid w:val="6FE1C37A"/>
    <w:rsid w:val="6FE4D0E8"/>
    <w:rsid w:val="6FECB709"/>
    <w:rsid w:val="6FFBD5EA"/>
    <w:rsid w:val="6FFE253F"/>
    <w:rsid w:val="6FFF15CB"/>
    <w:rsid w:val="7000120E"/>
    <w:rsid w:val="70005055"/>
    <w:rsid w:val="70042DE6"/>
    <w:rsid w:val="701070DE"/>
    <w:rsid w:val="702284F4"/>
    <w:rsid w:val="7026C8F7"/>
    <w:rsid w:val="702C7014"/>
    <w:rsid w:val="70305709"/>
    <w:rsid w:val="703CB966"/>
    <w:rsid w:val="70456274"/>
    <w:rsid w:val="70484A25"/>
    <w:rsid w:val="704F85FC"/>
    <w:rsid w:val="7068841E"/>
    <w:rsid w:val="70AEE62A"/>
    <w:rsid w:val="70C8B464"/>
    <w:rsid w:val="70CAD1F8"/>
    <w:rsid w:val="70CE32C6"/>
    <w:rsid w:val="70D9A13F"/>
    <w:rsid w:val="70E41546"/>
    <w:rsid w:val="70E93FE9"/>
    <w:rsid w:val="710940CE"/>
    <w:rsid w:val="71166AFA"/>
    <w:rsid w:val="7126AE34"/>
    <w:rsid w:val="71294FC3"/>
    <w:rsid w:val="712B49B3"/>
    <w:rsid w:val="712B9649"/>
    <w:rsid w:val="71348577"/>
    <w:rsid w:val="713F0026"/>
    <w:rsid w:val="7144705B"/>
    <w:rsid w:val="714565FC"/>
    <w:rsid w:val="714EE062"/>
    <w:rsid w:val="71518F26"/>
    <w:rsid w:val="71530C68"/>
    <w:rsid w:val="71587FD5"/>
    <w:rsid w:val="715F1BD9"/>
    <w:rsid w:val="7162BC3E"/>
    <w:rsid w:val="7169C1FA"/>
    <w:rsid w:val="718E2960"/>
    <w:rsid w:val="718EB4F2"/>
    <w:rsid w:val="71940719"/>
    <w:rsid w:val="719DFF84"/>
    <w:rsid w:val="71BB351A"/>
    <w:rsid w:val="71CFC3C8"/>
    <w:rsid w:val="71D4EC83"/>
    <w:rsid w:val="71D6FC81"/>
    <w:rsid w:val="71D87951"/>
    <w:rsid w:val="71E2DF51"/>
    <w:rsid w:val="71E3B93D"/>
    <w:rsid w:val="71E5EA34"/>
    <w:rsid w:val="71F3EF85"/>
    <w:rsid w:val="720185CE"/>
    <w:rsid w:val="720552B9"/>
    <w:rsid w:val="720BF35A"/>
    <w:rsid w:val="72127C97"/>
    <w:rsid w:val="721A690E"/>
    <w:rsid w:val="721EBC3F"/>
    <w:rsid w:val="721F3753"/>
    <w:rsid w:val="721FF8DD"/>
    <w:rsid w:val="7220B75B"/>
    <w:rsid w:val="723BB817"/>
    <w:rsid w:val="723BEB96"/>
    <w:rsid w:val="724D1A7A"/>
    <w:rsid w:val="72503F8A"/>
    <w:rsid w:val="7251F996"/>
    <w:rsid w:val="726F1846"/>
    <w:rsid w:val="7289F20A"/>
    <w:rsid w:val="729C241F"/>
    <w:rsid w:val="72A0438D"/>
    <w:rsid w:val="72A5ADF7"/>
    <w:rsid w:val="72A999A0"/>
    <w:rsid w:val="72AA81CD"/>
    <w:rsid w:val="72CA8695"/>
    <w:rsid w:val="72CB7D1B"/>
    <w:rsid w:val="72CCB7E6"/>
    <w:rsid w:val="72CE0762"/>
    <w:rsid w:val="72EC2A64"/>
    <w:rsid w:val="72ECA327"/>
    <w:rsid w:val="72ECF6F0"/>
    <w:rsid w:val="72F1CCAD"/>
    <w:rsid w:val="72FD943C"/>
    <w:rsid w:val="73097C58"/>
    <w:rsid w:val="731BAF1D"/>
    <w:rsid w:val="7320F126"/>
    <w:rsid w:val="7325753B"/>
    <w:rsid w:val="733550C8"/>
    <w:rsid w:val="733ABC20"/>
    <w:rsid w:val="734C8790"/>
    <w:rsid w:val="7361D0AD"/>
    <w:rsid w:val="736689B1"/>
    <w:rsid w:val="7372026A"/>
    <w:rsid w:val="738A4E48"/>
    <w:rsid w:val="73B4E871"/>
    <w:rsid w:val="73CF2239"/>
    <w:rsid w:val="73E8D4A2"/>
    <w:rsid w:val="73ECAD5A"/>
    <w:rsid w:val="73EFE8BF"/>
    <w:rsid w:val="73F05EAD"/>
    <w:rsid w:val="7404B807"/>
    <w:rsid w:val="740864FB"/>
    <w:rsid w:val="741C6184"/>
    <w:rsid w:val="7425A53F"/>
    <w:rsid w:val="7429078F"/>
    <w:rsid w:val="74369506"/>
    <w:rsid w:val="74443D26"/>
    <w:rsid w:val="746DBC88"/>
    <w:rsid w:val="74783F8C"/>
    <w:rsid w:val="747A6758"/>
    <w:rsid w:val="748FF484"/>
    <w:rsid w:val="74943C55"/>
    <w:rsid w:val="7494BE1B"/>
    <w:rsid w:val="749F0ED3"/>
    <w:rsid w:val="74A5A38A"/>
    <w:rsid w:val="74AC7F36"/>
    <w:rsid w:val="74B6F48C"/>
    <w:rsid w:val="74CD5606"/>
    <w:rsid w:val="74E60FAF"/>
    <w:rsid w:val="74F2C6E0"/>
    <w:rsid w:val="74FB5FBA"/>
    <w:rsid w:val="750B1BC6"/>
    <w:rsid w:val="750CF8C3"/>
    <w:rsid w:val="750DF70A"/>
    <w:rsid w:val="7512FC70"/>
    <w:rsid w:val="7522BFF1"/>
    <w:rsid w:val="7523614E"/>
    <w:rsid w:val="75317A21"/>
    <w:rsid w:val="754DF72A"/>
    <w:rsid w:val="755DC16F"/>
    <w:rsid w:val="755E45FD"/>
    <w:rsid w:val="756FC1FF"/>
    <w:rsid w:val="7579DAD5"/>
    <w:rsid w:val="7586A851"/>
    <w:rsid w:val="758EA709"/>
    <w:rsid w:val="75991BA9"/>
    <w:rsid w:val="759C71B7"/>
    <w:rsid w:val="75A310CE"/>
    <w:rsid w:val="75A3C957"/>
    <w:rsid w:val="75AC1A4A"/>
    <w:rsid w:val="75AC9724"/>
    <w:rsid w:val="75BF03CC"/>
    <w:rsid w:val="75C4CED2"/>
    <w:rsid w:val="75CBB89F"/>
    <w:rsid w:val="75D1F905"/>
    <w:rsid w:val="75DCCC0D"/>
    <w:rsid w:val="75E27943"/>
    <w:rsid w:val="760FF1B4"/>
    <w:rsid w:val="76130554"/>
    <w:rsid w:val="76131340"/>
    <w:rsid w:val="7617F030"/>
    <w:rsid w:val="761B2E65"/>
    <w:rsid w:val="761EDDA4"/>
    <w:rsid w:val="762132A8"/>
    <w:rsid w:val="76345537"/>
    <w:rsid w:val="764FB370"/>
    <w:rsid w:val="76535CF3"/>
    <w:rsid w:val="76594892"/>
    <w:rsid w:val="765CB2EB"/>
    <w:rsid w:val="765E31D3"/>
    <w:rsid w:val="76766EB2"/>
    <w:rsid w:val="767C6720"/>
    <w:rsid w:val="767EED8E"/>
    <w:rsid w:val="76812E42"/>
    <w:rsid w:val="76863A0B"/>
    <w:rsid w:val="7686B060"/>
    <w:rsid w:val="7689940A"/>
    <w:rsid w:val="769CB4B3"/>
    <w:rsid w:val="769CF1B8"/>
    <w:rsid w:val="769EE29D"/>
    <w:rsid w:val="769F0A3F"/>
    <w:rsid w:val="769FF715"/>
    <w:rsid w:val="76AB5D32"/>
    <w:rsid w:val="76B0E6A8"/>
    <w:rsid w:val="76B7072C"/>
    <w:rsid w:val="76CFB373"/>
    <w:rsid w:val="76DBD8A8"/>
    <w:rsid w:val="76DC959F"/>
    <w:rsid w:val="76FA0DA8"/>
    <w:rsid w:val="77043791"/>
    <w:rsid w:val="7725CF69"/>
    <w:rsid w:val="77327331"/>
    <w:rsid w:val="773CA6F5"/>
    <w:rsid w:val="774676AE"/>
    <w:rsid w:val="7758B89E"/>
    <w:rsid w:val="775B7C02"/>
    <w:rsid w:val="77714B02"/>
    <w:rsid w:val="77791F1A"/>
    <w:rsid w:val="777EBA21"/>
    <w:rsid w:val="779ECB69"/>
    <w:rsid w:val="77A2D5A1"/>
    <w:rsid w:val="77AAC900"/>
    <w:rsid w:val="77B10675"/>
    <w:rsid w:val="77B75344"/>
    <w:rsid w:val="77B9B00F"/>
    <w:rsid w:val="77C3B9AF"/>
    <w:rsid w:val="77CB679F"/>
    <w:rsid w:val="77D0CF6A"/>
    <w:rsid w:val="77E7431A"/>
    <w:rsid w:val="77F1C507"/>
    <w:rsid w:val="78004788"/>
    <w:rsid w:val="780EC2F6"/>
    <w:rsid w:val="781050FA"/>
    <w:rsid w:val="7815555D"/>
    <w:rsid w:val="78175023"/>
    <w:rsid w:val="781C0FAB"/>
    <w:rsid w:val="781D0D21"/>
    <w:rsid w:val="781D3A76"/>
    <w:rsid w:val="782832F5"/>
    <w:rsid w:val="782A61EF"/>
    <w:rsid w:val="78368D94"/>
    <w:rsid w:val="783C68BC"/>
    <w:rsid w:val="78423988"/>
    <w:rsid w:val="78462A38"/>
    <w:rsid w:val="78473024"/>
    <w:rsid w:val="784C048F"/>
    <w:rsid w:val="7853B9B0"/>
    <w:rsid w:val="78566A1A"/>
    <w:rsid w:val="78675A9B"/>
    <w:rsid w:val="786D09F6"/>
    <w:rsid w:val="7877519C"/>
    <w:rsid w:val="787995CC"/>
    <w:rsid w:val="787F1357"/>
    <w:rsid w:val="78833CD6"/>
    <w:rsid w:val="78837976"/>
    <w:rsid w:val="788F824D"/>
    <w:rsid w:val="78A19525"/>
    <w:rsid w:val="78A26409"/>
    <w:rsid w:val="78AE91B4"/>
    <w:rsid w:val="78AFB2F3"/>
    <w:rsid w:val="78B34B5B"/>
    <w:rsid w:val="78B58097"/>
    <w:rsid w:val="78FDCF4F"/>
    <w:rsid w:val="79023A1A"/>
    <w:rsid w:val="79207C71"/>
    <w:rsid w:val="7925F852"/>
    <w:rsid w:val="7943846E"/>
    <w:rsid w:val="79463DE7"/>
    <w:rsid w:val="794946AC"/>
    <w:rsid w:val="794EAEDF"/>
    <w:rsid w:val="79605196"/>
    <w:rsid w:val="7967D127"/>
    <w:rsid w:val="7969F972"/>
    <w:rsid w:val="796D682D"/>
    <w:rsid w:val="79789803"/>
    <w:rsid w:val="7979C66D"/>
    <w:rsid w:val="798859F0"/>
    <w:rsid w:val="79888579"/>
    <w:rsid w:val="7995048B"/>
    <w:rsid w:val="799A11E3"/>
    <w:rsid w:val="799FA48C"/>
    <w:rsid w:val="79A1AD00"/>
    <w:rsid w:val="79BDF399"/>
    <w:rsid w:val="79D6798A"/>
    <w:rsid w:val="79DD9243"/>
    <w:rsid w:val="79DF1205"/>
    <w:rsid w:val="79E308BB"/>
    <w:rsid w:val="79F64629"/>
    <w:rsid w:val="79F78D8D"/>
    <w:rsid w:val="7A02F445"/>
    <w:rsid w:val="7A0BACD6"/>
    <w:rsid w:val="7A0C3835"/>
    <w:rsid w:val="7A118691"/>
    <w:rsid w:val="7A15A17C"/>
    <w:rsid w:val="7A1EB087"/>
    <w:rsid w:val="7A253C8F"/>
    <w:rsid w:val="7A2BDF26"/>
    <w:rsid w:val="7A344303"/>
    <w:rsid w:val="7A3BB080"/>
    <w:rsid w:val="7A49127F"/>
    <w:rsid w:val="7A4BFB16"/>
    <w:rsid w:val="7A5F488A"/>
    <w:rsid w:val="7A6C66CB"/>
    <w:rsid w:val="7A6CDECE"/>
    <w:rsid w:val="7A70A73F"/>
    <w:rsid w:val="7A712648"/>
    <w:rsid w:val="7A759450"/>
    <w:rsid w:val="7A7A1F05"/>
    <w:rsid w:val="7A7D3F2B"/>
    <w:rsid w:val="7A88BF12"/>
    <w:rsid w:val="7A964C18"/>
    <w:rsid w:val="7A9688C1"/>
    <w:rsid w:val="7AAA46E3"/>
    <w:rsid w:val="7AABCC55"/>
    <w:rsid w:val="7AB37902"/>
    <w:rsid w:val="7AB6AB01"/>
    <w:rsid w:val="7AC22A87"/>
    <w:rsid w:val="7AC22BB5"/>
    <w:rsid w:val="7ACA6C73"/>
    <w:rsid w:val="7ACDF853"/>
    <w:rsid w:val="7AD6DAF3"/>
    <w:rsid w:val="7AE4808D"/>
    <w:rsid w:val="7B002DA9"/>
    <w:rsid w:val="7B02985D"/>
    <w:rsid w:val="7B0E9966"/>
    <w:rsid w:val="7B0F77C9"/>
    <w:rsid w:val="7B16D823"/>
    <w:rsid w:val="7B2482AC"/>
    <w:rsid w:val="7B3063B2"/>
    <w:rsid w:val="7B34545A"/>
    <w:rsid w:val="7B3AC82C"/>
    <w:rsid w:val="7B53821B"/>
    <w:rsid w:val="7B5EBE70"/>
    <w:rsid w:val="7B61B04E"/>
    <w:rsid w:val="7B6837A7"/>
    <w:rsid w:val="7B6A9987"/>
    <w:rsid w:val="7B75EE48"/>
    <w:rsid w:val="7B7E3938"/>
    <w:rsid w:val="7B84D3CE"/>
    <w:rsid w:val="7B866745"/>
    <w:rsid w:val="7B968AF2"/>
    <w:rsid w:val="7B992E66"/>
    <w:rsid w:val="7BC62376"/>
    <w:rsid w:val="7BC7B5B7"/>
    <w:rsid w:val="7BCF67EF"/>
    <w:rsid w:val="7BE83DC2"/>
    <w:rsid w:val="7BEB2CD7"/>
    <w:rsid w:val="7BF45C2F"/>
    <w:rsid w:val="7BFDCFCC"/>
    <w:rsid w:val="7C003F3E"/>
    <w:rsid w:val="7C09DB18"/>
    <w:rsid w:val="7C29C5C3"/>
    <w:rsid w:val="7C2FBCFA"/>
    <w:rsid w:val="7C39ADD6"/>
    <w:rsid w:val="7C40634A"/>
    <w:rsid w:val="7C4FC1C0"/>
    <w:rsid w:val="7C4FD24B"/>
    <w:rsid w:val="7C628C9D"/>
    <w:rsid w:val="7C62D557"/>
    <w:rsid w:val="7C81ACD8"/>
    <w:rsid w:val="7C8EF6AE"/>
    <w:rsid w:val="7C9770FD"/>
    <w:rsid w:val="7CA0AB60"/>
    <w:rsid w:val="7CA2ACFD"/>
    <w:rsid w:val="7CA854CE"/>
    <w:rsid w:val="7CAA67D1"/>
    <w:rsid w:val="7CAFE12B"/>
    <w:rsid w:val="7CB44B86"/>
    <w:rsid w:val="7CB65A02"/>
    <w:rsid w:val="7CBD0161"/>
    <w:rsid w:val="7CC1FB3E"/>
    <w:rsid w:val="7CD4242B"/>
    <w:rsid w:val="7CD9FB8A"/>
    <w:rsid w:val="7CDBBA57"/>
    <w:rsid w:val="7CE5CE5A"/>
    <w:rsid w:val="7CE6799F"/>
    <w:rsid w:val="7CFC0231"/>
    <w:rsid w:val="7D11BDC8"/>
    <w:rsid w:val="7D14891A"/>
    <w:rsid w:val="7D3900FC"/>
    <w:rsid w:val="7D39AC5A"/>
    <w:rsid w:val="7D3DD2FB"/>
    <w:rsid w:val="7D4A610C"/>
    <w:rsid w:val="7D71912B"/>
    <w:rsid w:val="7D71B5EA"/>
    <w:rsid w:val="7D7672E5"/>
    <w:rsid w:val="7D91E98C"/>
    <w:rsid w:val="7D9D7FFA"/>
    <w:rsid w:val="7DA2337B"/>
    <w:rsid w:val="7DA8D45A"/>
    <w:rsid w:val="7DABB8DF"/>
    <w:rsid w:val="7DB2D94E"/>
    <w:rsid w:val="7DB6F17F"/>
    <w:rsid w:val="7DEA7635"/>
    <w:rsid w:val="7E081C31"/>
    <w:rsid w:val="7E084148"/>
    <w:rsid w:val="7E08A93B"/>
    <w:rsid w:val="7E09F8A2"/>
    <w:rsid w:val="7E1FE637"/>
    <w:rsid w:val="7E2E5A1F"/>
    <w:rsid w:val="7E2E728F"/>
    <w:rsid w:val="7E3DE187"/>
    <w:rsid w:val="7E626408"/>
    <w:rsid w:val="7E627462"/>
    <w:rsid w:val="7E671058"/>
    <w:rsid w:val="7E6BD2F9"/>
    <w:rsid w:val="7E7D1844"/>
    <w:rsid w:val="7E9011D0"/>
    <w:rsid w:val="7E9732DA"/>
    <w:rsid w:val="7EA0D715"/>
    <w:rsid w:val="7EAE7316"/>
    <w:rsid w:val="7EB06779"/>
    <w:rsid w:val="7EBC2FEB"/>
    <w:rsid w:val="7EC903D4"/>
    <w:rsid w:val="7ECC555C"/>
    <w:rsid w:val="7ED09209"/>
    <w:rsid w:val="7EF83C15"/>
    <w:rsid w:val="7EFFB28A"/>
    <w:rsid w:val="7F19F518"/>
    <w:rsid w:val="7F33C310"/>
    <w:rsid w:val="7F3418C2"/>
    <w:rsid w:val="7F397A3A"/>
    <w:rsid w:val="7F406351"/>
    <w:rsid w:val="7F545D37"/>
    <w:rsid w:val="7F559006"/>
    <w:rsid w:val="7F57249A"/>
    <w:rsid w:val="7F58EDCB"/>
    <w:rsid w:val="7F6074AF"/>
    <w:rsid w:val="7F6CB23A"/>
    <w:rsid w:val="7F7139EE"/>
    <w:rsid w:val="7F744149"/>
    <w:rsid w:val="7F74C3F7"/>
    <w:rsid w:val="7F754E3D"/>
    <w:rsid w:val="7F79D51B"/>
    <w:rsid w:val="7F959BAA"/>
    <w:rsid w:val="7F9F31CD"/>
    <w:rsid w:val="7FA5F0FA"/>
    <w:rsid w:val="7FB343EB"/>
    <w:rsid w:val="7FCD7EBC"/>
    <w:rsid w:val="7FE88C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AFA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l"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F36"/>
  </w:style>
  <w:style w:type="paragraph" w:styleId="Heading1">
    <w:name w:val="heading 1"/>
    <w:basedOn w:val="Normal"/>
    <w:next w:val="Text1"/>
    <w:link w:val="Heading1Char"/>
    <w:uiPriority w:val="9"/>
    <w:qFormat/>
    <w:rsid w:val="14F0B435"/>
    <w:pPr>
      <w:keepNext/>
      <w:tabs>
        <w:tab w:val="num" w:pos="850"/>
      </w:tabs>
      <w:spacing w:before="360" w:after="0"/>
      <w:ind w:left="850" w:hanging="850"/>
      <w:jc w:val="both"/>
      <w:outlineLvl w:val="0"/>
    </w:pPr>
    <w:rPr>
      <w:rFonts w:ascii="Times New Roman" w:eastAsiaTheme="majorEastAsia" w:hAnsi="Times New Roman" w:cs="Times New Roman"/>
      <w:b/>
      <w:smallCaps/>
      <w:sz w:val="24"/>
    </w:rPr>
  </w:style>
  <w:style w:type="paragraph" w:styleId="Heading2">
    <w:name w:val="heading 2"/>
    <w:basedOn w:val="Normal"/>
    <w:next w:val="Text1"/>
    <w:link w:val="Heading2Char"/>
    <w:uiPriority w:val="9"/>
    <w:unhideWhenUsed/>
    <w:qFormat/>
    <w:rsid w:val="14F0B435"/>
    <w:pPr>
      <w:keepNext/>
      <w:spacing w:before="40" w:after="0"/>
      <w:ind w:left="130" w:firstLine="720"/>
      <w:jc w:val="both"/>
      <w:outlineLvl w:val="1"/>
    </w:pPr>
    <w:rPr>
      <w:rFonts w:ascii="Times New Roman" w:eastAsiaTheme="minorEastAsia" w:hAnsi="Times New Roman" w:cs="Times New Roman"/>
      <w:b/>
      <w:sz w:val="24"/>
      <w:u w:val="single"/>
    </w:rPr>
  </w:style>
  <w:style w:type="paragraph" w:styleId="Heading3">
    <w:name w:val="heading 3"/>
    <w:basedOn w:val="Normal"/>
    <w:next w:val="Text1"/>
    <w:link w:val="Heading3Char"/>
    <w:uiPriority w:val="9"/>
    <w:unhideWhenUsed/>
    <w:qFormat/>
    <w:rsid w:val="14F0B435"/>
    <w:pPr>
      <w:keepNext/>
      <w:spacing w:before="240" w:after="0"/>
      <w:ind w:left="851"/>
      <w:jc w:val="both"/>
      <w:outlineLvl w:val="2"/>
    </w:pPr>
    <w:rPr>
      <w:rFonts w:ascii="Times New Roman" w:eastAsiaTheme="minorEastAsia" w:hAnsi="Times New Roman" w:cs="Times New Roman"/>
      <w:sz w:val="24"/>
      <w:u w:val="single"/>
    </w:rPr>
  </w:style>
  <w:style w:type="paragraph" w:styleId="Heading4">
    <w:name w:val="heading 4"/>
    <w:basedOn w:val="Normal"/>
    <w:next w:val="Text1"/>
    <w:link w:val="Heading4Char"/>
    <w:uiPriority w:val="9"/>
    <w:unhideWhenUsed/>
    <w:qFormat/>
    <w:rsid w:val="29DEDBAE"/>
    <w:pPr>
      <w:keepNext/>
      <w:numPr>
        <w:ilvl w:val="3"/>
        <w:numId w:val="7"/>
      </w:numPr>
      <w:spacing w:before="40" w:after="0"/>
      <w:jc w:val="both"/>
      <w:outlineLvl w:val="3"/>
    </w:pPr>
    <w:rPr>
      <w:rFonts w:ascii="Times New Roman" w:eastAsiaTheme="majorEastAsia" w:hAnsi="Times New Roman" w:cs="Times New Roman"/>
      <w:sz w:val="24"/>
    </w:rPr>
  </w:style>
  <w:style w:type="paragraph" w:styleId="Heading5">
    <w:name w:val="heading 5"/>
    <w:basedOn w:val="Normal"/>
    <w:next w:val="Normal"/>
    <w:link w:val="Heading5Char"/>
    <w:uiPriority w:val="9"/>
    <w:unhideWhenUsed/>
    <w:qFormat/>
    <w:rsid w:val="00510B5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10B5B"/>
    <w:pPr>
      <w:keepNext/>
      <w:keepLines/>
      <w:spacing w:before="40" w:after="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00510B5B"/>
    <w:pPr>
      <w:keepNext/>
      <w:keepLines/>
      <w:spacing w:before="40" w:after="0"/>
      <w:outlineLvl w:val="6"/>
    </w:pPr>
    <w:rPr>
      <w:rFonts w:asciiTheme="majorHAnsi" w:eastAsiaTheme="majorEastAsia" w:hAnsiTheme="majorHAnsi" w:cstheme="majorBidi"/>
      <w:i/>
      <w:color w:val="243F60"/>
    </w:rPr>
  </w:style>
  <w:style w:type="paragraph" w:styleId="Heading8">
    <w:name w:val="heading 8"/>
    <w:basedOn w:val="Normal"/>
    <w:next w:val="Normal"/>
    <w:link w:val="Heading8Char"/>
    <w:uiPriority w:val="9"/>
    <w:unhideWhenUsed/>
    <w:qFormat/>
    <w:rsid w:val="00510B5B"/>
    <w:pPr>
      <w:keepNext/>
      <w:keepLines/>
      <w:spacing w:before="40" w:after="0"/>
      <w:outlineLvl w:val="7"/>
    </w:pPr>
    <w:rPr>
      <w:rFonts w:asciiTheme="majorHAnsi" w:eastAsiaTheme="majorEastAsia" w:hAnsiTheme="majorHAnsi" w:cstheme="majorBidi"/>
      <w:color w:val="272727"/>
      <w:sz w:val="21"/>
    </w:rPr>
  </w:style>
  <w:style w:type="paragraph" w:styleId="Heading9">
    <w:name w:val="heading 9"/>
    <w:basedOn w:val="Normal"/>
    <w:next w:val="Normal"/>
    <w:link w:val="Heading9Char"/>
    <w:uiPriority w:val="9"/>
    <w:unhideWhenUsed/>
    <w:qFormat/>
    <w:rsid w:val="00510B5B"/>
    <w:pPr>
      <w:keepNext/>
      <w:keepLines/>
      <w:spacing w:before="40" w:after="0"/>
      <w:outlineLvl w:val="8"/>
    </w:pPr>
    <w:rPr>
      <w:rFonts w:asciiTheme="majorHAnsi" w:eastAsiaTheme="majorEastAsia" w:hAnsiTheme="majorHAnsi" w:cstheme="majorBidi"/>
      <w:i/>
      <w:color w:val="272727"/>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80D"/>
    <w:rPr>
      <w:rFonts w:ascii="Times New Roman" w:eastAsiaTheme="majorEastAsia" w:hAnsi="Times New Roman" w:cs="Times New Roman"/>
      <w:b/>
      <w:smallCaps/>
      <w:sz w:val="24"/>
    </w:rPr>
  </w:style>
  <w:style w:type="character" w:customStyle="1" w:styleId="Heading2Char">
    <w:name w:val="Heading 2 Char"/>
    <w:basedOn w:val="DefaultParagraphFont"/>
    <w:link w:val="Heading2"/>
    <w:uiPriority w:val="9"/>
    <w:rsid w:val="00B4580D"/>
    <w:rPr>
      <w:rFonts w:ascii="Times New Roman" w:eastAsiaTheme="minorEastAsia" w:hAnsi="Times New Roman" w:cs="Times New Roman"/>
      <w:b/>
      <w:sz w:val="24"/>
      <w:u w:val="single"/>
    </w:rPr>
  </w:style>
  <w:style w:type="character" w:customStyle="1" w:styleId="Heading3Char">
    <w:name w:val="Heading 3 Char"/>
    <w:basedOn w:val="DefaultParagraphFont"/>
    <w:link w:val="Heading3"/>
    <w:uiPriority w:val="9"/>
    <w:rsid w:val="00B4580D"/>
    <w:rPr>
      <w:rFonts w:ascii="Times New Roman" w:eastAsiaTheme="minorEastAsia" w:hAnsi="Times New Roman" w:cs="Times New Roman"/>
      <w:sz w:val="24"/>
      <w:u w:val="single"/>
    </w:rPr>
  </w:style>
  <w:style w:type="character" w:customStyle="1" w:styleId="Heading4Char">
    <w:name w:val="Heading 4 Char"/>
    <w:basedOn w:val="DefaultParagraphFont"/>
    <w:link w:val="Heading4"/>
    <w:uiPriority w:val="9"/>
    <w:rsid w:val="00B4580D"/>
    <w:rPr>
      <w:rFonts w:ascii="Times New Roman" w:eastAsiaTheme="majorEastAsia" w:hAnsi="Times New Roman" w:cs="Times New Roman"/>
      <w:sz w:val="24"/>
    </w:rPr>
  </w:style>
  <w:style w:type="paragraph" w:styleId="Header">
    <w:name w:val="header"/>
    <w:basedOn w:val="Normal"/>
    <w:link w:val="HeaderChar"/>
    <w:uiPriority w:val="99"/>
    <w:unhideWhenUsed/>
    <w:rsid w:val="14F0B435"/>
    <w:pPr>
      <w:tabs>
        <w:tab w:val="center" w:pos="4535"/>
        <w:tab w:val="right" w:pos="9071"/>
      </w:tabs>
      <w:spacing w:after="120"/>
      <w:jc w:val="both"/>
    </w:pPr>
    <w:rPr>
      <w:rFonts w:ascii="Times New Roman" w:eastAsiaTheme="minorEastAsia" w:hAnsi="Times New Roman" w:cs="Times New Roman"/>
      <w:sz w:val="24"/>
    </w:rPr>
  </w:style>
  <w:style w:type="character" w:customStyle="1" w:styleId="HeaderChar">
    <w:name w:val="Header Char"/>
    <w:basedOn w:val="DefaultParagraphFont"/>
    <w:link w:val="Header"/>
    <w:uiPriority w:val="99"/>
    <w:rsid w:val="00B4580D"/>
    <w:rPr>
      <w:rFonts w:ascii="Times New Roman" w:eastAsiaTheme="minorEastAsia" w:hAnsi="Times New Roman" w:cs="Times New Roman"/>
      <w:sz w:val="24"/>
    </w:rPr>
  </w:style>
  <w:style w:type="paragraph" w:styleId="Footer">
    <w:name w:val="footer"/>
    <w:basedOn w:val="Normal"/>
    <w:link w:val="FooterChar"/>
    <w:uiPriority w:val="99"/>
    <w:unhideWhenUsed/>
    <w:rsid w:val="14F0B435"/>
    <w:pPr>
      <w:tabs>
        <w:tab w:val="center" w:pos="4535"/>
        <w:tab w:val="right" w:pos="9071"/>
        <w:tab w:val="right" w:pos="9921"/>
      </w:tabs>
      <w:spacing w:before="360" w:after="0"/>
      <w:ind w:left="-850" w:right="-850"/>
    </w:pPr>
    <w:rPr>
      <w:rFonts w:ascii="Times New Roman" w:eastAsiaTheme="minorEastAsia" w:hAnsi="Times New Roman" w:cs="Times New Roman"/>
      <w:sz w:val="24"/>
    </w:rPr>
  </w:style>
  <w:style w:type="character" w:customStyle="1" w:styleId="FooterChar">
    <w:name w:val="Footer Char"/>
    <w:basedOn w:val="DefaultParagraphFont"/>
    <w:link w:val="Footer"/>
    <w:uiPriority w:val="99"/>
    <w:rsid w:val="00B4580D"/>
    <w:rPr>
      <w:rFonts w:ascii="Times New Roman" w:eastAsiaTheme="minorEastAsia" w:hAnsi="Times New Roman" w:cs="Times New Roman"/>
      <w:sz w:val="24"/>
    </w:rPr>
  </w:style>
  <w:style w:type="paragraph" w:styleId="FootnoteText">
    <w:name w:val="footnote text"/>
    <w:basedOn w:val="Normal"/>
    <w:link w:val="FootnoteTextChar"/>
    <w:uiPriority w:val="99"/>
    <w:unhideWhenUsed/>
    <w:rsid w:val="14F0B435"/>
    <w:pPr>
      <w:keepNext/>
      <w:spacing w:after="0"/>
      <w:ind w:left="720" w:hanging="720"/>
      <w:jc w:val="both"/>
    </w:pPr>
    <w:rPr>
      <w:rFonts w:ascii="Times New Roman" w:eastAsiaTheme="minorEastAsia" w:hAnsi="Times New Roman" w:cs="Times New Roman"/>
      <w:sz w:val="20"/>
    </w:rPr>
  </w:style>
  <w:style w:type="character" w:customStyle="1" w:styleId="FootnoteTextChar">
    <w:name w:val="Footnote Text Char"/>
    <w:basedOn w:val="DefaultParagraphFont"/>
    <w:link w:val="FootnoteText"/>
    <w:uiPriority w:val="99"/>
    <w:rsid w:val="00B4580D"/>
    <w:rPr>
      <w:rFonts w:ascii="Times New Roman" w:eastAsiaTheme="minorEastAsia" w:hAnsi="Times New Roman" w:cs="Times New Roman"/>
      <w:sz w:val="20"/>
    </w:rPr>
  </w:style>
  <w:style w:type="paragraph" w:styleId="TOCHeading">
    <w:name w:val="TOC Heading"/>
    <w:basedOn w:val="Normal"/>
    <w:next w:val="Normal"/>
    <w:uiPriority w:val="39"/>
    <w:unhideWhenUsed/>
    <w:qFormat/>
    <w:rsid w:val="14F0B435"/>
    <w:pPr>
      <w:keepNext/>
      <w:spacing w:before="40" w:after="0"/>
      <w:jc w:val="center"/>
    </w:pPr>
    <w:rPr>
      <w:rFonts w:ascii="Times New Roman" w:eastAsiaTheme="minorEastAsia" w:hAnsi="Times New Roman" w:cs="Times New Roman"/>
      <w:b/>
      <w:sz w:val="28"/>
    </w:rPr>
  </w:style>
  <w:style w:type="paragraph" w:styleId="TOC1">
    <w:name w:val="toc 1"/>
    <w:basedOn w:val="Normal"/>
    <w:next w:val="Normal"/>
    <w:uiPriority w:val="39"/>
    <w:unhideWhenUsed/>
    <w:rsid w:val="14F0B435"/>
    <w:pPr>
      <w:keepNext/>
      <w:tabs>
        <w:tab w:val="right" w:leader="dot" w:pos="9071"/>
      </w:tabs>
      <w:spacing w:before="60" w:after="0"/>
      <w:ind w:hanging="850"/>
      <w:jc w:val="both"/>
    </w:pPr>
    <w:rPr>
      <w:rFonts w:ascii="Times New Roman" w:eastAsiaTheme="minorEastAsia" w:hAnsi="Times New Roman" w:cs="Times New Roman"/>
      <w:sz w:val="24"/>
    </w:rPr>
  </w:style>
  <w:style w:type="paragraph" w:styleId="TOC2">
    <w:name w:val="toc 2"/>
    <w:basedOn w:val="Normal"/>
    <w:next w:val="Normal"/>
    <w:uiPriority w:val="39"/>
    <w:unhideWhenUsed/>
    <w:rsid w:val="14F0B435"/>
    <w:pPr>
      <w:keepNext/>
      <w:tabs>
        <w:tab w:val="right" w:leader="dot" w:pos="9071"/>
      </w:tabs>
      <w:spacing w:before="60" w:after="0"/>
      <w:ind w:hanging="850"/>
      <w:jc w:val="both"/>
    </w:pPr>
    <w:rPr>
      <w:rFonts w:ascii="Times New Roman" w:eastAsiaTheme="minorEastAsia" w:hAnsi="Times New Roman" w:cs="Times New Roman"/>
      <w:sz w:val="24"/>
    </w:rPr>
  </w:style>
  <w:style w:type="paragraph" w:styleId="TOC3">
    <w:name w:val="toc 3"/>
    <w:basedOn w:val="Normal"/>
    <w:next w:val="Normal"/>
    <w:uiPriority w:val="39"/>
    <w:unhideWhenUsed/>
    <w:rsid w:val="14F0B435"/>
    <w:pPr>
      <w:keepNext/>
      <w:tabs>
        <w:tab w:val="right" w:leader="dot" w:pos="9071"/>
      </w:tabs>
      <w:spacing w:before="60" w:after="0"/>
      <w:ind w:hanging="850"/>
      <w:jc w:val="both"/>
    </w:pPr>
    <w:rPr>
      <w:rFonts w:ascii="Times New Roman" w:eastAsiaTheme="minorEastAsia" w:hAnsi="Times New Roman" w:cs="Times New Roman"/>
      <w:sz w:val="24"/>
    </w:rPr>
  </w:style>
  <w:style w:type="paragraph" w:styleId="TOC4">
    <w:name w:val="toc 4"/>
    <w:basedOn w:val="Normal"/>
    <w:next w:val="Normal"/>
    <w:uiPriority w:val="39"/>
    <w:unhideWhenUsed/>
    <w:rsid w:val="14F0B435"/>
    <w:pPr>
      <w:keepNext/>
      <w:tabs>
        <w:tab w:val="right" w:leader="dot" w:pos="9071"/>
      </w:tabs>
      <w:spacing w:before="60" w:after="0"/>
      <w:ind w:hanging="850"/>
      <w:jc w:val="both"/>
    </w:pPr>
    <w:rPr>
      <w:rFonts w:ascii="Times New Roman" w:eastAsiaTheme="minorEastAsia" w:hAnsi="Times New Roman" w:cs="Times New Roman"/>
      <w:sz w:val="24"/>
    </w:rPr>
  </w:style>
  <w:style w:type="paragraph" w:styleId="TOC5">
    <w:name w:val="toc 5"/>
    <w:basedOn w:val="Normal"/>
    <w:next w:val="Normal"/>
    <w:uiPriority w:val="39"/>
    <w:unhideWhenUsed/>
    <w:rsid w:val="14F0B435"/>
    <w:pPr>
      <w:keepNext/>
      <w:tabs>
        <w:tab w:val="right" w:leader="dot" w:pos="9071"/>
      </w:tabs>
      <w:spacing w:before="300" w:after="0"/>
      <w:jc w:val="both"/>
    </w:pPr>
    <w:rPr>
      <w:rFonts w:ascii="Times New Roman" w:eastAsiaTheme="minorEastAsia" w:hAnsi="Times New Roman" w:cs="Times New Roman"/>
      <w:sz w:val="24"/>
    </w:rPr>
  </w:style>
  <w:style w:type="paragraph" w:styleId="TOC6">
    <w:name w:val="toc 6"/>
    <w:basedOn w:val="Normal"/>
    <w:next w:val="Normal"/>
    <w:uiPriority w:val="39"/>
    <w:unhideWhenUsed/>
    <w:rsid w:val="14F0B435"/>
    <w:pPr>
      <w:keepNext/>
      <w:tabs>
        <w:tab w:val="right" w:leader="dot" w:pos="9071"/>
      </w:tabs>
      <w:spacing w:before="240" w:after="0"/>
      <w:jc w:val="both"/>
    </w:pPr>
    <w:rPr>
      <w:rFonts w:ascii="Times New Roman" w:eastAsiaTheme="minorEastAsia" w:hAnsi="Times New Roman" w:cs="Times New Roman"/>
      <w:sz w:val="24"/>
    </w:rPr>
  </w:style>
  <w:style w:type="paragraph" w:styleId="TOC7">
    <w:name w:val="toc 7"/>
    <w:basedOn w:val="Normal"/>
    <w:next w:val="Normal"/>
    <w:uiPriority w:val="39"/>
    <w:unhideWhenUsed/>
    <w:rsid w:val="14F0B435"/>
    <w:pPr>
      <w:keepNext/>
      <w:tabs>
        <w:tab w:val="right" w:leader="dot" w:pos="9071"/>
      </w:tabs>
      <w:spacing w:before="180" w:after="0"/>
      <w:jc w:val="both"/>
    </w:pPr>
    <w:rPr>
      <w:rFonts w:ascii="Times New Roman" w:eastAsiaTheme="minorEastAsia" w:hAnsi="Times New Roman" w:cs="Times New Roman"/>
      <w:sz w:val="24"/>
    </w:rPr>
  </w:style>
  <w:style w:type="paragraph" w:styleId="TOC8">
    <w:name w:val="toc 8"/>
    <w:basedOn w:val="Normal"/>
    <w:next w:val="Normal"/>
    <w:uiPriority w:val="39"/>
    <w:unhideWhenUsed/>
    <w:rsid w:val="14F0B435"/>
    <w:pPr>
      <w:keepNext/>
      <w:tabs>
        <w:tab w:val="right" w:leader="dot" w:pos="9071"/>
      </w:tabs>
      <w:spacing w:before="40" w:after="0"/>
      <w:jc w:val="both"/>
    </w:pPr>
    <w:rPr>
      <w:rFonts w:ascii="Times New Roman" w:eastAsiaTheme="minorEastAsia" w:hAnsi="Times New Roman" w:cs="Times New Roman"/>
      <w:sz w:val="24"/>
    </w:rPr>
  </w:style>
  <w:style w:type="paragraph" w:styleId="TOC9">
    <w:name w:val="toc 9"/>
    <w:basedOn w:val="Normal"/>
    <w:next w:val="Normal"/>
    <w:uiPriority w:val="39"/>
    <w:unhideWhenUsed/>
    <w:rsid w:val="14F0B435"/>
    <w:pPr>
      <w:keepNext/>
      <w:tabs>
        <w:tab w:val="right" w:leader="dot" w:pos="9071"/>
      </w:tabs>
      <w:spacing w:before="40" w:after="0"/>
      <w:jc w:val="both"/>
    </w:pPr>
    <w:rPr>
      <w:rFonts w:ascii="Times New Roman" w:eastAsiaTheme="minorEastAsia" w:hAnsi="Times New Roman" w:cs="Times New Roman"/>
      <w:sz w:val="24"/>
    </w:rPr>
  </w:style>
  <w:style w:type="paragraph" w:customStyle="1" w:styleId="HeaderLandscape">
    <w:name w:val="HeaderLandscape"/>
    <w:basedOn w:val="Normal"/>
    <w:uiPriority w:val="1"/>
    <w:rsid w:val="14F0B435"/>
    <w:pPr>
      <w:tabs>
        <w:tab w:val="center" w:pos="7285"/>
        <w:tab w:val="right" w:pos="14003"/>
      </w:tabs>
      <w:spacing w:after="120"/>
      <w:jc w:val="both"/>
    </w:pPr>
    <w:rPr>
      <w:rFonts w:ascii="Times New Roman" w:eastAsiaTheme="minorEastAsia" w:hAnsi="Times New Roman" w:cs="Times New Roman"/>
      <w:sz w:val="24"/>
    </w:rPr>
  </w:style>
  <w:style w:type="paragraph" w:customStyle="1" w:styleId="FooterLandscape">
    <w:name w:val="FooterLandscape"/>
    <w:basedOn w:val="Normal"/>
    <w:uiPriority w:val="1"/>
    <w:rsid w:val="14F0B435"/>
    <w:pPr>
      <w:tabs>
        <w:tab w:val="center" w:pos="7285"/>
        <w:tab w:val="center" w:pos="10913"/>
        <w:tab w:val="right" w:pos="15137"/>
      </w:tabs>
      <w:spacing w:before="360" w:after="0"/>
      <w:ind w:left="-567" w:right="-567"/>
    </w:pPr>
    <w:rPr>
      <w:rFonts w:ascii="Times New Roman" w:eastAsiaTheme="minorEastAsia" w:hAnsi="Times New Roman" w:cs="Times New Roman"/>
      <w:sz w:val="24"/>
    </w:rPr>
  </w:style>
  <w:style w:type="character" w:styleId="FootnoteReference">
    <w:name w:val="footnote reference"/>
    <w:basedOn w:val="DefaultParagraphFont"/>
    <w:uiPriority w:val="99"/>
    <w:semiHidden/>
    <w:unhideWhenUsed/>
    <w:rsid w:val="00B4580D"/>
    <w:rPr>
      <w:shd w:val="clear" w:color="auto" w:fill="auto"/>
      <w:vertAlign w:val="superscript"/>
    </w:rPr>
  </w:style>
  <w:style w:type="paragraph" w:customStyle="1" w:styleId="HeaderSensitivity">
    <w:name w:val="Header Sensitivity"/>
    <w:basedOn w:val="Normal"/>
    <w:uiPriority w:val="1"/>
    <w:rsid w:val="14F0B435"/>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uiPriority w:val="1"/>
    <w:rsid w:val="14F0B435"/>
    <w:pPr>
      <w:spacing w:after="120" w:line="240" w:lineRule="auto"/>
      <w:jc w:val="right"/>
    </w:pPr>
    <w:rPr>
      <w:rFonts w:ascii="Times New Roman" w:hAnsi="Times New Roman" w:cs="Times New Roman"/>
      <w:sz w:val="28"/>
    </w:rPr>
  </w:style>
  <w:style w:type="paragraph" w:customStyle="1" w:styleId="FooterSensitivity">
    <w:name w:val="Footer Sensitivity"/>
    <w:basedOn w:val="Normal"/>
    <w:uiPriority w:val="1"/>
    <w:rsid w:val="14F0B43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ext1">
    <w:name w:val="Text 1"/>
    <w:basedOn w:val="Normal"/>
    <w:uiPriority w:val="1"/>
    <w:rsid w:val="14F0B435"/>
    <w:pPr>
      <w:keepNext/>
      <w:spacing w:before="40" w:after="0"/>
      <w:jc w:val="both"/>
    </w:pPr>
    <w:rPr>
      <w:rFonts w:ascii="Times New Roman" w:eastAsiaTheme="minorEastAsia" w:hAnsi="Times New Roman" w:cs="Times New Roman"/>
      <w:sz w:val="24"/>
    </w:rPr>
  </w:style>
  <w:style w:type="paragraph" w:customStyle="1" w:styleId="Text2">
    <w:name w:val="Text 2"/>
    <w:basedOn w:val="Normal"/>
    <w:uiPriority w:val="1"/>
    <w:rsid w:val="14F0B435"/>
    <w:pPr>
      <w:keepNext/>
      <w:spacing w:before="40" w:after="0"/>
      <w:ind w:left="1417"/>
      <w:jc w:val="both"/>
    </w:pPr>
    <w:rPr>
      <w:rFonts w:ascii="Times New Roman" w:eastAsiaTheme="minorEastAsia" w:hAnsi="Times New Roman" w:cs="Times New Roman"/>
      <w:sz w:val="24"/>
    </w:rPr>
  </w:style>
  <w:style w:type="paragraph" w:customStyle="1" w:styleId="Text3">
    <w:name w:val="Text 3"/>
    <w:basedOn w:val="Normal"/>
    <w:uiPriority w:val="1"/>
    <w:rsid w:val="14F0B435"/>
    <w:pPr>
      <w:keepNext/>
      <w:spacing w:before="40" w:after="0"/>
      <w:ind w:left="1984"/>
      <w:jc w:val="both"/>
    </w:pPr>
    <w:rPr>
      <w:rFonts w:ascii="Times New Roman" w:eastAsiaTheme="minorEastAsia" w:hAnsi="Times New Roman" w:cs="Times New Roman"/>
      <w:sz w:val="24"/>
    </w:rPr>
  </w:style>
  <w:style w:type="paragraph" w:customStyle="1" w:styleId="Text4">
    <w:name w:val="Text 4"/>
    <w:basedOn w:val="Normal"/>
    <w:uiPriority w:val="1"/>
    <w:rsid w:val="14F0B435"/>
    <w:pPr>
      <w:keepNext/>
      <w:spacing w:before="40" w:after="0"/>
      <w:ind w:left="2551"/>
      <w:jc w:val="both"/>
    </w:pPr>
    <w:rPr>
      <w:rFonts w:ascii="Times New Roman" w:eastAsiaTheme="minorEastAsia" w:hAnsi="Times New Roman" w:cs="Times New Roman"/>
      <w:sz w:val="24"/>
    </w:rPr>
  </w:style>
  <w:style w:type="paragraph" w:customStyle="1" w:styleId="NormalCentered">
    <w:name w:val="Normal Centered"/>
    <w:basedOn w:val="Normal"/>
    <w:uiPriority w:val="1"/>
    <w:rsid w:val="14F0B435"/>
    <w:pPr>
      <w:keepNext/>
      <w:spacing w:before="40" w:after="0"/>
      <w:jc w:val="center"/>
    </w:pPr>
    <w:rPr>
      <w:rFonts w:ascii="Times New Roman" w:eastAsiaTheme="minorEastAsia" w:hAnsi="Times New Roman" w:cs="Times New Roman"/>
      <w:sz w:val="24"/>
    </w:rPr>
  </w:style>
  <w:style w:type="paragraph" w:customStyle="1" w:styleId="NormalLeft">
    <w:name w:val="Normal Left"/>
    <w:basedOn w:val="Normal"/>
    <w:uiPriority w:val="1"/>
    <w:rsid w:val="14F0B435"/>
    <w:pPr>
      <w:keepNext/>
      <w:spacing w:before="40" w:after="0"/>
      <w:jc w:val="both"/>
    </w:pPr>
    <w:rPr>
      <w:rFonts w:ascii="Times New Roman" w:eastAsiaTheme="minorEastAsia" w:hAnsi="Times New Roman" w:cs="Times New Roman"/>
      <w:sz w:val="24"/>
    </w:rPr>
  </w:style>
  <w:style w:type="paragraph" w:customStyle="1" w:styleId="NormalRight">
    <w:name w:val="Normal Right"/>
    <w:basedOn w:val="Normal"/>
    <w:uiPriority w:val="1"/>
    <w:rsid w:val="14F0B435"/>
    <w:pPr>
      <w:keepNext/>
      <w:spacing w:before="40" w:after="0"/>
      <w:jc w:val="right"/>
    </w:pPr>
    <w:rPr>
      <w:rFonts w:ascii="Times New Roman" w:eastAsiaTheme="minorEastAsia" w:hAnsi="Times New Roman" w:cs="Times New Roman"/>
      <w:sz w:val="24"/>
    </w:rPr>
  </w:style>
  <w:style w:type="paragraph" w:customStyle="1" w:styleId="QuotedText">
    <w:name w:val="Quoted Text"/>
    <w:basedOn w:val="Normal"/>
    <w:uiPriority w:val="1"/>
    <w:rsid w:val="14F0B435"/>
    <w:pPr>
      <w:keepNext/>
      <w:spacing w:before="40" w:after="0"/>
      <w:ind w:left="1417"/>
      <w:jc w:val="both"/>
    </w:pPr>
    <w:rPr>
      <w:rFonts w:ascii="Times New Roman" w:eastAsiaTheme="minorEastAsia" w:hAnsi="Times New Roman" w:cs="Times New Roman"/>
      <w:sz w:val="24"/>
    </w:rPr>
  </w:style>
  <w:style w:type="paragraph" w:customStyle="1" w:styleId="Point0">
    <w:name w:val="Point 0"/>
    <w:basedOn w:val="Normal"/>
    <w:uiPriority w:val="1"/>
    <w:rsid w:val="14F0B435"/>
    <w:pPr>
      <w:keepNext/>
      <w:spacing w:before="40" w:after="0"/>
      <w:ind w:hanging="850"/>
      <w:jc w:val="both"/>
    </w:pPr>
    <w:rPr>
      <w:rFonts w:ascii="Times New Roman" w:eastAsiaTheme="minorEastAsia" w:hAnsi="Times New Roman" w:cs="Times New Roman"/>
      <w:sz w:val="24"/>
    </w:rPr>
  </w:style>
  <w:style w:type="paragraph" w:customStyle="1" w:styleId="Point1">
    <w:name w:val="Point 1"/>
    <w:basedOn w:val="Normal"/>
    <w:uiPriority w:val="1"/>
    <w:rsid w:val="14F0B435"/>
    <w:pPr>
      <w:keepNext/>
      <w:spacing w:before="40" w:after="0"/>
      <w:ind w:left="1417" w:hanging="567"/>
      <w:jc w:val="both"/>
    </w:pPr>
    <w:rPr>
      <w:rFonts w:ascii="Times New Roman" w:eastAsiaTheme="minorEastAsia" w:hAnsi="Times New Roman" w:cs="Times New Roman"/>
      <w:sz w:val="24"/>
    </w:rPr>
  </w:style>
  <w:style w:type="paragraph" w:customStyle="1" w:styleId="Point2">
    <w:name w:val="Point 2"/>
    <w:basedOn w:val="Normal"/>
    <w:uiPriority w:val="1"/>
    <w:rsid w:val="14F0B435"/>
    <w:pPr>
      <w:keepNext/>
      <w:spacing w:before="40" w:after="0"/>
      <w:ind w:left="1984" w:hanging="567"/>
      <w:jc w:val="both"/>
    </w:pPr>
    <w:rPr>
      <w:rFonts w:ascii="Times New Roman" w:eastAsiaTheme="minorEastAsia" w:hAnsi="Times New Roman" w:cs="Times New Roman"/>
      <w:sz w:val="24"/>
    </w:rPr>
  </w:style>
  <w:style w:type="paragraph" w:customStyle="1" w:styleId="Point3">
    <w:name w:val="Point 3"/>
    <w:basedOn w:val="Normal"/>
    <w:uiPriority w:val="1"/>
    <w:rsid w:val="14F0B435"/>
    <w:pPr>
      <w:keepNext/>
      <w:spacing w:before="40" w:after="0"/>
      <w:ind w:left="2551" w:hanging="567"/>
      <w:jc w:val="both"/>
    </w:pPr>
    <w:rPr>
      <w:rFonts w:ascii="Times New Roman" w:eastAsiaTheme="minorEastAsia" w:hAnsi="Times New Roman" w:cs="Times New Roman"/>
      <w:sz w:val="24"/>
    </w:rPr>
  </w:style>
  <w:style w:type="paragraph" w:customStyle="1" w:styleId="Point4">
    <w:name w:val="Point 4"/>
    <w:basedOn w:val="Normal"/>
    <w:uiPriority w:val="1"/>
    <w:rsid w:val="14F0B435"/>
    <w:pPr>
      <w:keepNext/>
      <w:spacing w:before="40" w:after="0"/>
      <w:ind w:left="3118" w:hanging="567"/>
      <w:jc w:val="both"/>
    </w:pPr>
    <w:rPr>
      <w:rFonts w:ascii="Times New Roman" w:eastAsiaTheme="minorEastAsia" w:hAnsi="Times New Roman" w:cs="Times New Roman"/>
      <w:sz w:val="24"/>
    </w:rPr>
  </w:style>
  <w:style w:type="paragraph" w:customStyle="1" w:styleId="Tiret0">
    <w:name w:val="Tiret 0"/>
    <w:basedOn w:val="Point0"/>
    <w:uiPriority w:val="1"/>
    <w:rsid w:val="00B4580D"/>
    <w:pPr>
      <w:numPr>
        <w:numId w:val="1"/>
      </w:numPr>
    </w:pPr>
  </w:style>
  <w:style w:type="paragraph" w:customStyle="1" w:styleId="Tiret1">
    <w:name w:val="Tiret 1"/>
    <w:basedOn w:val="Point1"/>
    <w:uiPriority w:val="1"/>
    <w:rsid w:val="00B4580D"/>
    <w:pPr>
      <w:numPr>
        <w:numId w:val="2"/>
      </w:numPr>
    </w:pPr>
  </w:style>
  <w:style w:type="paragraph" w:customStyle="1" w:styleId="Tiret2">
    <w:name w:val="Tiret 2"/>
    <w:basedOn w:val="Point2"/>
    <w:uiPriority w:val="1"/>
    <w:rsid w:val="00B4580D"/>
    <w:pPr>
      <w:numPr>
        <w:numId w:val="3"/>
      </w:numPr>
    </w:pPr>
  </w:style>
  <w:style w:type="paragraph" w:customStyle="1" w:styleId="Tiret3">
    <w:name w:val="Tiret 3"/>
    <w:basedOn w:val="Point3"/>
    <w:uiPriority w:val="1"/>
    <w:rsid w:val="00B4580D"/>
    <w:pPr>
      <w:numPr>
        <w:numId w:val="4"/>
      </w:numPr>
    </w:pPr>
  </w:style>
  <w:style w:type="paragraph" w:customStyle="1" w:styleId="Tiret4">
    <w:name w:val="Tiret 4"/>
    <w:basedOn w:val="Point4"/>
    <w:uiPriority w:val="1"/>
    <w:rsid w:val="00B4580D"/>
    <w:pPr>
      <w:numPr>
        <w:numId w:val="5"/>
      </w:numPr>
    </w:pPr>
  </w:style>
  <w:style w:type="paragraph" w:customStyle="1" w:styleId="PointDouble0">
    <w:name w:val="PointDouble 0"/>
    <w:basedOn w:val="Normal"/>
    <w:uiPriority w:val="1"/>
    <w:rsid w:val="14F0B435"/>
    <w:pPr>
      <w:keepNext/>
      <w:tabs>
        <w:tab w:val="left" w:pos="850"/>
      </w:tabs>
      <w:spacing w:before="40" w:after="0"/>
      <w:ind w:left="1417" w:hanging="1417"/>
      <w:jc w:val="both"/>
    </w:pPr>
    <w:rPr>
      <w:rFonts w:ascii="Times New Roman" w:eastAsiaTheme="minorEastAsia" w:hAnsi="Times New Roman" w:cs="Times New Roman"/>
      <w:sz w:val="24"/>
    </w:rPr>
  </w:style>
  <w:style w:type="paragraph" w:customStyle="1" w:styleId="PointDouble1">
    <w:name w:val="PointDouble 1"/>
    <w:basedOn w:val="Normal"/>
    <w:uiPriority w:val="1"/>
    <w:rsid w:val="14F0B435"/>
    <w:pPr>
      <w:keepNext/>
      <w:tabs>
        <w:tab w:val="left" w:pos="1417"/>
      </w:tabs>
      <w:spacing w:before="40" w:after="0"/>
      <w:ind w:left="1984" w:hanging="1134"/>
      <w:jc w:val="both"/>
    </w:pPr>
    <w:rPr>
      <w:rFonts w:ascii="Times New Roman" w:eastAsiaTheme="minorEastAsia" w:hAnsi="Times New Roman" w:cs="Times New Roman"/>
      <w:sz w:val="24"/>
    </w:rPr>
  </w:style>
  <w:style w:type="paragraph" w:customStyle="1" w:styleId="PointDouble2">
    <w:name w:val="PointDouble 2"/>
    <w:basedOn w:val="Normal"/>
    <w:uiPriority w:val="1"/>
    <w:rsid w:val="14F0B435"/>
    <w:pPr>
      <w:keepNext/>
      <w:tabs>
        <w:tab w:val="left" w:pos="1984"/>
      </w:tabs>
      <w:spacing w:before="40" w:after="0"/>
      <w:ind w:left="2551" w:hanging="1134"/>
      <w:jc w:val="both"/>
    </w:pPr>
    <w:rPr>
      <w:rFonts w:ascii="Times New Roman" w:eastAsiaTheme="minorEastAsia" w:hAnsi="Times New Roman" w:cs="Times New Roman"/>
      <w:sz w:val="24"/>
    </w:rPr>
  </w:style>
  <w:style w:type="paragraph" w:customStyle="1" w:styleId="PointDouble3">
    <w:name w:val="PointDouble 3"/>
    <w:basedOn w:val="Normal"/>
    <w:uiPriority w:val="1"/>
    <w:rsid w:val="14F0B435"/>
    <w:pPr>
      <w:keepNext/>
      <w:tabs>
        <w:tab w:val="left" w:pos="2551"/>
      </w:tabs>
      <w:spacing w:before="40" w:after="0"/>
      <w:ind w:left="3118" w:hanging="1134"/>
      <w:jc w:val="both"/>
    </w:pPr>
    <w:rPr>
      <w:rFonts w:ascii="Times New Roman" w:eastAsiaTheme="minorEastAsia" w:hAnsi="Times New Roman" w:cs="Times New Roman"/>
      <w:sz w:val="24"/>
    </w:rPr>
  </w:style>
  <w:style w:type="paragraph" w:customStyle="1" w:styleId="PointDouble4">
    <w:name w:val="PointDouble 4"/>
    <w:basedOn w:val="Normal"/>
    <w:uiPriority w:val="1"/>
    <w:rsid w:val="14F0B435"/>
    <w:pPr>
      <w:keepNext/>
      <w:tabs>
        <w:tab w:val="left" w:pos="3118"/>
      </w:tabs>
      <w:spacing w:before="40" w:after="0"/>
      <w:ind w:left="3685" w:hanging="1134"/>
      <w:jc w:val="both"/>
    </w:pPr>
    <w:rPr>
      <w:rFonts w:ascii="Times New Roman" w:eastAsiaTheme="minorEastAsia" w:hAnsi="Times New Roman" w:cs="Times New Roman"/>
      <w:sz w:val="24"/>
    </w:rPr>
  </w:style>
  <w:style w:type="paragraph" w:customStyle="1" w:styleId="PointTriple0">
    <w:name w:val="PointTriple 0"/>
    <w:basedOn w:val="Normal"/>
    <w:uiPriority w:val="1"/>
    <w:rsid w:val="14F0B435"/>
    <w:pPr>
      <w:keepNext/>
      <w:tabs>
        <w:tab w:val="left" w:pos="850"/>
        <w:tab w:val="left" w:pos="1417"/>
      </w:tabs>
      <w:spacing w:before="40" w:after="0"/>
      <w:ind w:left="1984" w:hanging="1984"/>
      <w:jc w:val="both"/>
    </w:pPr>
    <w:rPr>
      <w:rFonts w:ascii="Times New Roman" w:eastAsiaTheme="minorEastAsia" w:hAnsi="Times New Roman" w:cs="Times New Roman"/>
      <w:sz w:val="24"/>
    </w:rPr>
  </w:style>
  <w:style w:type="paragraph" w:customStyle="1" w:styleId="PointTriple1">
    <w:name w:val="PointTriple 1"/>
    <w:basedOn w:val="Normal"/>
    <w:uiPriority w:val="1"/>
    <w:rsid w:val="14F0B435"/>
    <w:pPr>
      <w:keepNext/>
      <w:tabs>
        <w:tab w:val="left" w:pos="1417"/>
        <w:tab w:val="left" w:pos="1984"/>
      </w:tabs>
      <w:spacing w:before="40" w:after="0"/>
      <w:ind w:left="2551" w:hanging="1701"/>
      <w:jc w:val="both"/>
    </w:pPr>
    <w:rPr>
      <w:rFonts w:ascii="Times New Roman" w:eastAsiaTheme="minorEastAsia" w:hAnsi="Times New Roman" w:cs="Times New Roman"/>
      <w:sz w:val="24"/>
    </w:rPr>
  </w:style>
  <w:style w:type="paragraph" w:customStyle="1" w:styleId="PointTriple2">
    <w:name w:val="PointTriple 2"/>
    <w:basedOn w:val="Normal"/>
    <w:uiPriority w:val="1"/>
    <w:rsid w:val="14F0B435"/>
    <w:pPr>
      <w:keepNext/>
      <w:tabs>
        <w:tab w:val="left" w:pos="1984"/>
        <w:tab w:val="left" w:pos="2551"/>
      </w:tabs>
      <w:spacing w:before="40" w:after="0"/>
      <w:ind w:left="3118" w:hanging="1701"/>
      <w:jc w:val="both"/>
    </w:pPr>
    <w:rPr>
      <w:rFonts w:ascii="Times New Roman" w:eastAsiaTheme="minorEastAsia" w:hAnsi="Times New Roman" w:cs="Times New Roman"/>
      <w:sz w:val="24"/>
    </w:rPr>
  </w:style>
  <w:style w:type="paragraph" w:customStyle="1" w:styleId="PointTriple3">
    <w:name w:val="PointTriple 3"/>
    <w:basedOn w:val="Normal"/>
    <w:uiPriority w:val="1"/>
    <w:rsid w:val="14F0B435"/>
    <w:pPr>
      <w:keepNext/>
      <w:tabs>
        <w:tab w:val="left" w:pos="2551"/>
        <w:tab w:val="left" w:pos="3118"/>
      </w:tabs>
      <w:spacing w:before="40" w:after="0"/>
      <w:ind w:left="3685" w:hanging="1701"/>
      <w:jc w:val="both"/>
    </w:pPr>
    <w:rPr>
      <w:rFonts w:ascii="Times New Roman" w:eastAsiaTheme="minorEastAsia" w:hAnsi="Times New Roman" w:cs="Times New Roman"/>
      <w:sz w:val="24"/>
    </w:rPr>
  </w:style>
  <w:style w:type="paragraph" w:customStyle="1" w:styleId="PointTriple4">
    <w:name w:val="PointTriple 4"/>
    <w:basedOn w:val="Normal"/>
    <w:uiPriority w:val="1"/>
    <w:rsid w:val="14F0B435"/>
    <w:pPr>
      <w:keepNext/>
      <w:tabs>
        <w:tab w:val="left" w:pos="3118"/>
        <w:tab w:val="left" w:pos="3685"/>
      </w:tabs>
      <w:spacing w:before="40" w:after="0"/>
      <w:ind w:left="4252" w:hanging="1701"/>
      <w:jc w:val="both"/>
    </w:pPr>
    <w:rPr>
      <w:rFonts w:ascii="Times New Roman" w:eastAsiaTheme="minorEastAsia" w:hAnsi="Times New Roman" w:cs="Times New Roman"/>
      <w:sz w:val="24"/>
    </w:rPr>
  </w:style>
  <w:style w:type="paragraph" w:customStyle="1" w:styleId="NumPar1">
    <w:name w:val="NumPar 1"/>
    <w:basedOn w:val="Normal"/>
    <w:next w:val="Text1"/>
    <w:uiPriority w:val="1"/>
    <w:rsid w:val="14F0B435"/>
    <w:pPr>
      <w:keepNext/>
      <w:tabs>
        <w:tab w:val="num" w:pos="850"/>
      </w:tabs>
      <w:spacing w:before="40" w:after="0"/>
      <w:ind w:left="850" w:hanging="850"/>
      <w:jc w:val="both"/>
    </w:pPr>
    <w:rPr>
      <w:rFonts w:ascii="Times New Roman" w:eastAsiaTheme="minorEastAsia" w:hAnsi="Times New Roman" w:cs="Times New Roman"/>
      <w:sz w:val="24"/>
    </w:rPr>
  </w:style>
  <w:style w:type="paragraph" w:customStyle="1" w:styleId="NumPar2">
    <w:name w:val="NumPar 2"/>
    <w:basedOn w:val="Normal"/>
    <w:next w:val="Text1"/>
    <w:uiPriority w:val="1"/>
    <w:rsid w:val="14F0B435"/>
    <w:pPr>
      <w:keepNext/>
      <w:tabs>
        <w:tab w:val="num" w:pos="850"/>
      </w:tabs>
      <w:spacing w:before="40" w:after="0"/>
      <w:ind w:left="850" w:hanging="850"/>
      <w:jc w:val="both"/>
    </w:pPr>
    <w:rPr>
      <w:rFonts w:ascii="Times New Roman" w:eastAsiaTheme="minorEastAsia" w:hAnsi="Times New Roman" w:cs="Times New Roman"/>
      <w:sz w:val="24"/>
    </w:rPr>
  </w:style>
  <w:style w:type="paragraph" w:customStyle="1" w:styleId="NumPar3">
    <w:name w:val="NumPar 3"/>
    <w:basedOn w:val="Normal"/>
    <w:next w:val="Text1"/>
    <w:uiPriority w:val="1"/>
    <w:rsid w:val="29DEDBAE"/>
    <w:pPr>
      <w:keepNext/>
      <w:numPr>
        <w:ilvl w:val="2"/>
        <w:numId w:val="6"/>
      </w:numPr>
      <w:spacing w:before="40" w:after="0"/>
      <w:jc w:val="both"/>
    </w:pPr>
    <w:rPr>
      <w:rFonts w:ascii="Times New Roman" w:eastAsiaTheme="minorEastAsia" w:hAnsi="Times New Roman" w:cs="Times New Roman"/>
      <w:sz w:val="24"/>
    </w:rPr>
  </w:style>
  <w:style w:type="paragraph" w:customStyle="1" w:styleId="NumPar4">
    <w:name w:val="NumPar 4"/>
    <w:basedOn w:val="Normal"/>
    <w:next w:val="Text1"/>
    <w:uiPriority w:val="1"/>
    <w:rsid w:val="29DEDBAE"/>
    <w:pPr>
      <w:keepNext/>
      <w:numPr>
        <w:ilvl w:val="3"/>
        <w:numId w:val="6"/>
      </w:numPr>
      <w:spacing w:before="40" w:after="0"/>
      <w:jc w:val="both"/>
    </w:pPr>
    <w:rPr>
      <w:rFonts w:ascii="Times New Roman" w:eastAsiaTheme="minorEastAsia" w:hAnsi="Times New Roman" w:cs="Times New Roman"/>
      <w:sz w:val="24"/>
    </w:rPr>
  </w:style>
  <w:style w:type="paragraph" w:customStyle="1" w:styleId="ManualNumPar1">
    <w:name w:val="Manual NumPar 1"/>
    <w:basedOn w:val="Normal"/>
    <w:next w:val="Text1"/>
    <w:uiPriority w:val="1"/>
    <w:rsid w:val="14F0B435"/>
    <w:pPr>
      <w:keepNext/>
      <w:spacing w:before="40" w:after="0"/>
      <w:ind w:hanging="850"/>
      <w:jc w:val="both"/>
    </w:pPr>
    <w:rPr>
      <w:rFonts w:ascii="Times New Roman" w:eastAsiaTheme="minorEastAsia" w:hAnsi="Times New Roman" w:cs="Times New Roman"/>
      <w:sz w:val="24"/>
    </w:rPr>
  </w:style>
  <w:style w:type="paragraph" w:customStyle="1" w:styleId="ManualNumPar2">
    <w:name w:val="Manual NumPar 2"/>
    <w:basedOn w:val="Normal"/>
    <w:next w:val="Text1"/>
    <w:uiPriority w:val="1"/>
    <w:rsid w:val="14F0B435"/>
    <w:pPr>
      <w:keepNext/>
      <w:spacing w:before="40" w:after="0"/>
      <w:ind w:hanging="850"/>
      <w:jc w:val="both"/>
    </w:pPr>
    <w:rPr>
      <w:rFonts w:ascii="Times New Roman" w:eastAsiaTheme="minorEastAsia" w:hAnsi="Times New Roman" w:cs="Times New Roman"/>
      <w:sz w:val="24"/>
    </w:rPr>
  </w:style>
  <w:style w:type="paragraph" w:customStyle="1" w:styleId="ManualNumPar3">
    <w:name w:val="Manual NumPar 3"/>
    <w:basedOn w:val="Normal"/>
    <w:next w:val="Text1"/>
    <w:uiPriority w:val="1"/>
    <w:rsid w:val="14F0B435"/>
    <w:pPr>
      <w:keepNext/>
      <w:spacing w:before="40" w:after="0"/>
      <w:ind w:hanging="850"/>
      <w:jc w:val="both"/>
    </w:pPr>
    <w:rPr>
      <w:rFonts w:ascii="Times New Roman" w:eastAsiaTheme="minorEastAsia" w:hAnsi="Times New Roman" w:cs="Times New Roman"/>
      <w:sz w:val="24"/>
    </w:rPr>
  </w:style>
  <w:style w:type="paragraph" w:customStyle="1" w:styleId="ManualNumPar4">
    <w:name w:val="Manual NumPar 4"/>
    <w:basedOn w:val="Normal"/>
    <w:next w:val="Text1"/>
    <w:uiPriority w:val="1"/>
    <w:rsid w:val="14F0B435"/>
    <w:pPr>
      <w:keepNext/>
      <w:spacing w:before="40" w:after="0"/>
      <w:ind w:hanging="850"/>
      <w:jc w:val="both"/>
    </w:pPr>
    <w:rPr>
      <w:rFonts w:ascii="Times New Roman" w:eastAsiaTheme="minorEastAsia" w:hAnsi="Times New Roman" w:cs="Times New Roman"/>
      <w:sz w:val="24"/>
    </w:rPr>
  </w:style>
  <w:style w:type="paragraph" w:customStyle="1" w:styleId="QuotedNumPar">
    <w:name w:val="Quoted NumPar"/>
    <w:basedOn w:val="Normal"/>
    <w:uiPriority w:val="1"/>
    <w:rsid w:val="14F0B435"/>
    <w:pPr>
      <w:keepNext/>
      <w:spacing w:before="40" w:after="0"/>
      <w:ind w:left="1417" w:hanging="567"/>
      <w:jc w:val="both"/>
    </w:pPr>
    <w:rPr>
      <w:rFonts w:ascii="Times New Roman" w:eastAsiaTheme="minorEastAsia" w:hAnsi="Times New Roman" w:cs="Times New Roman"/>
      <w:sz w:val="24"/>
    </w:rPr>
  </w:style>
  <w:style w:type="paragraph" w:customStyle="1" w:styleId="ManualHeading1">
    <w:name w:val="Manual Heading 1"/>
    <w:basedOn w:val="Normal"/>
    <w:next w:val="Text1"/>
    <w:uiPriority w:val="1"/>
    <w:rsid w:val="14F0B435"/>
    <w:pPr>
      <w:keepNext/>
      <w:tabs>
        <w:tab w:val="left" w:pos="850"/>
      </w:tabs>
      <w:spacing w:before="360" w:after="0"/>
      <w:ind w:hanging="850"/>
      <w:jc w:val="both"/>
      <w:outlineLvl w:val="0"/>
    </w:pPr>
    <w:rPr>
      <w:rFonts w:ascii="Times New Roman" w:eastAsiaTheme="minorEastAsia" w:hAnsi="Times New Roman" w:cs="Times New Roman"/>
      <w:b/>
      <w:smallCaps/>
      <w:sz w:val="24"/>
    </w:rPr>
  </w:style>
  <w:style w:type="paragraph" w:customStyle="1" w:styleId="ManualHeading2">
    <w:name w:val="Manual Heading 2"/>
    <w:basedOn w:val="Normal"/>
    <w:next w:val="Text1"/>
    <w:uiPriority w:val="1"/>
    <w:rsid w:val="14F0B435"/>
    <w:pPr>
      <w:keepNext/>
      <w:tabs>
        <w:tab w:val="left" w:pos="850"/>
      </w:tabs>
      <w:spacing w:before="40" w:after="0"/>
      <w:ind w:hanging="850"/>
      <w:jc w:val="both"/>
    </w:pPr>
    <w:rPr>
      <w:rFonts w:ascii="Times New Roman" w:eastAsiaTheme="minorEastAsia" w:hAnsi="Times New Roman" w:cs="Times New Roman"/>
      <w:b/>
      <w:sz w:val="24"/>
    </w:rPr>
  </w:style>
  <w:style w:type="paragraph" w:customStyle="1" w:styleId="ManualHeading3">
    <w:name w:val="Manual Heading 3"/>
    <w:basedOn w:val="Normal"/>
    <w:next w:val="Text1"/>
    <w:uiPriority w:val="1"/>
    <w:rsid w:val="14F0B435"/>
    <w:pPr>
      <w:keepNext/>
      <w:tabs>
        <w:tab w:val="left" w:pos="850"/>
      </w:tabs>
      <w:spacing w:before="40" w:after="0"/>
      <w:ind w:hanging="850"/>
      <w:jc w:val="both"/>
    </w:pPr>
    <w:rPr>
      <w:rFonts w:ascii="Times New Roman" w:eastAsiaTheme="minorEastAsia" w:hAnsi="Times New Roman" w:cs="Times New Roman"/>
      <w:i/>
      <w:sz w:val="24"/>
    </w:rPr>
  </w:style>
  <w:style w:type="paragraph" w:customStyle="1" w:styleId="ManualHeading4">
    <w:name w:val="Manual Heading 4"/>
    <w:basedOn w:val="Normal"/>
    <w:next w:val="Text1"/>
    <w:uiPriority w:val="1"/>
    <w:rsid w:val="14F0B435"/>
    <w:pPr>
      <w:keepNext/>
      <w:tabs>
        <w:tab w:val="left" w:pos="850"/>
      </w:tabs>
      <w:spacing w:before="40" w:after="0"/>
      <w:ind w:hanging="850"/>
      <w:jc w:val="both"/>
      <w:outlineLvl w:val="3"/>
    </w:pPr>
    <w:rPr>
      <w:rFonts w:ascii="Times New Roman" w:eastAsiaTheme="minorEastAsia" w:hAnsi="Times New Roman" w:cs="Times New Roman"/>
      <w:sz w:val="24"/>
    </w:rPr>
  </w:style>
  <w:style w:type="paragraph" w:customStyle="1" w:styleId="ChapterTitle">
    <w:name w:val="ChapterTitle"/>
    <w:basedOn w:val="Normal"/>
    <w:next w:val="Normal"/>
    <w:uiPriority w:val="1"/>
    <w:rsid w:val="14F0B435"/>
    <w:pPr>
      <w:keepNext/>
      <w:spacing w:before="40" w:after="360"/>
      <w:jc w:val="center"/>
    </w:pPr>
    <w:rPr>
      <w:rFonts w:ascii="Times New Roman" w:eastAsiaTheme="minorEastAsia" w:hAnsi="Times New Roman" w:cs="Times New Roman"/>
      <w:b/>
      <w:sz w:val="32"/>
    </w:rPr>
  </w:style>
  <w:style w:type="paragraph" w:customStyle="1" w:styleId="PartTitle">
    <w:name w:val="PartTitle"/>
    <w:basedOn w:val="Normal"/>
    <w:next w:val="ChapterTitle"/>
    <w:uiPriority w:val="1"/>
    <w:rsid w:val="14F0B435"/>
    <w:pPr>
      <w:keepNext/>
      <w:spacing w:before="40" w:after="360"/>
      <w:jc w:val="center"/>
    </w:pPr>
    <w:rPr>
      <w:rFonts w:ascii="Times New Roman" w:eastAsiaTheme="minorEastAsia" w:hAnsi="Times New Roman" w:cs="Times New Roman"/>
      <w:b/>
      <w:sz w:val="36"/>
    </w:rPr>
  </w:style>
  <w:style w:type="paragraph" w:customStyle="1" w:styleId="SectionTitle">
    <w:name w:val="SectionTitle"/>
    <w:basedOn w:val="Normal"/>
    <w:next w:val="Heading1"/>
    <w:uiPriority w:val="1"/>
    <w:rsid w:val="14F0B435"/>
    <w:pPr>
      <w:keepNext/>
      <w:spacing w:before="40" w:after="360"/>
      <w:jc w:val="center"/>
    </w:pPr>
    <w:rPr>
      <w:rFonts w:ascii="Times New Roman" w:eastAsiaTheme="minorEastAsia" w:hAnsi="Times New Roman" w:cs="Times New Roman"/>
      <w:b/>
      <w:smallCaps/>
      <w:sz w:val="28"/>
    </w:rPr>
  </w:style>
  <w:style w:type="paragraph" w:customStyle="1" w:styleId="TableTitle">
    <w:name w:val="Table Title"/>
    <w:basedOn w:val="Normal"/>
    <w:next w:val="Normal"/>
    <w:uiPriority w:val="1"/>
    <w:rsid w:val="14F0B435"/>
    <w:pPr>
      <w:keepNext/>
      <w:spacing w:before="40" w:after="0"/>
      <w:jc w:val="center"/>
    </w:pPr>
    <w:rPr>
      <w:rFonts w:ascii="Times New Roman" w:eastAsiaTheme="minorEastAsia" w:hAnsi="Times New Roman" w:cs="Times New Roman"/>
      <w:b/>
      <w:sz w:val="24"/>
    </w:rPr>
  </w:style>
  <w:style w:type="character" w:customStyle="1" w:styleId="Marker">
    <w:name w:val="Marker"/>
    <w:basedOn w:val="DefaultParagraphFont"/>
    <w:rsid w:val="00EE72C8"/>
    <w:rPr>
      <w:color w:val="0000FF"/>
      <w:shd w:val="clear" w:color="auto" w:fill="auto"/>
    </w:rPr>
  </w:style>
  <w:style w:type="character" w:customStyle="1" w:styleId="Marker1">
    <w:name w:val="Marker1"/>
    <w:basedOn w:val="DefaultParagraphFont"/>
    <w:rsid w:val="00B4580D"/>
    <w:rPr>
      <w:color w:val="008000"/>
      <w:shd w:val="clear" w:color="auto" w:fill="auto"/>
    </w:rPr>
  </w:style>
  <w:style w:type="character" w:customStyle="1" w:styleId="Marker2">
    <w:name w:val="Marker2"/>
    <w:basedOn w:val="DefaultParagraphFont"/>
    <w:rsid w:val="00B4580D"/>
    <w:rPr>
      <w:color w:val="FF0000"/>
      <w:shd w:val="clear" w:color="auto" w:fill="auto"/>
    </w:rPr>
  </w:style>
  <w:style w:type="paragraph" w:customStyle="1" w:styleId="Point0number">
    <w:name w:val="Point 0 (number)"/>
    <w:basedOn w:val="Normal"/>
    <w:uiPriority w:val="1"/>
    <w:rsid w:val="14F0B435"/>
    <w:pPr>
      <w:keepNext/>
      <w:tabs>
        <w:tab w:val="num" w:pos="850"/>
      </w:tabs>
      <w:spacing w:before="40" w:after="0"/>
      <w:ind w:left="850" w:hanging="850"/>
      <w:jc w:val="both"/>
    </w:pPr>
    <w:rPr>
      <w:rFonts w:ascii="Times New Roman" w:eastAsiaTheme="minorEastAsia" w:hAnsi="Times New Roman" w:cs="Times New Roman"/>
      <w:sz w:val="24"/>
    </w:rPr>
  </w:style>
  <w:style w:type="paragraph" w:customStyle="1" w:styleId="Point1number">
    <w:name w:val="Point 1 (number)"/>
    <w:basedOn w:val="Normal"/>
    <w:uiPriority w:val="1"/>
    <w:rsid w:val="29DEDBAE"/>
    <w:pPr>
      <w:keepNext/>
      <w:numPr>
        <w:ilvl w:val="2"/>
        <w:numId w:val="8"/>
      </w:numPr>
      <w:spacing w:before="40" w:after="0"/>
      <w:jc w:val="both"/>
    </w:pPr>
    <w:rPr>
      <w:rFonts w:ascii="Times New Roman" w:eastAsiaTheme="minorEastAsia" w:hAnsi="Times New Roman" w:cs="Times New Roman"/>
      <w:sz w:val="24"/>
    </w:rPr>
  </w:style>
  <w:style w:type="paragraph" w:customStyle="1" w:styleId="Point2number">
    <w:name w:val="Point 2 (number)"/>
    <w:basedOn w:val="Normal"/>
    <w:uiPriority w:val="1"/>
    <w:rsid w:val="29DEDBAE"/>
    <w:pPr>
      <w:keepNext/>
      <w:numPr>
        <w:ilvl w:val="4"/>
        <w:numId w:val="8"/>
      </w:numPr>
      <w:spacing w:before="40" w:after="0"/>
      <w:jc w:val="both"/>
    </w:pPr>
    <w:rPr>
      <w:rFonts w:ascii="Times New Roman" w:eastAsiaTheme="minorEastAsia" w:hAnsi="Times New Roman" w:cs="Times New Roman"/>
      <w:sz w:val="24"/>
    </w:rPr>
  </w:style>
  <w:style w:type="paragraph" w:customStyle="1" w:styleId="Point3number">
    <w:name w:val="Point 3 (number)"/>
    <w:basedOn w:val="Normal"/>
    <w:uiPriority w:val="1"/>
    <w:rsid w:val="29DEDBAE"/>
    <w:pPr>
      <w:keepNext/>
      <w:numPr>
        <w:ilvl w:val="6"/>
        <w:numId w:val="8"/>
      </w:numPr>
      <w:spacing w:before="40" w:after="0"/>
      <w:jc w:val="both"/>
    </w:pPr>
    <w:rPr>
      <w:rFonts w:ascii="Times New Roman" w:eastAsiaTheme="minorEastAsia" w:hAnsi="Times New Roman" w:cs="Times New Roman"/>
      <w:sz w:val="24"/>
    </w:rPr>
  </w:style>
  <w:style w:type="paragraph" w:customStyle="1" w:styleId="Point0letter">
    <w:name w:val="Point 0 (letter)"/>
    <w:basedOn w:val="Normal"/>
    <w:uiPriority w:val="1"/>
    <w:rsid w:val="14F0B435"/>
    <w:pPr>
      <w:keepNext/>
      <w:tabs>
        <w:tab w:val="num" w:pos="850"/>
      </w:tabs>
      <w:spacing w:before="40" w:after="0"/>
      <w:ind w:left="850" w:hanging="850"/>
      <w:jc w:val="both"/>
    </w:pPr>
    <w:rPr>
      <w:rFonts w:ascii="Times New Roman" w:eastAsiaTheme="minorEastAsia" w:hAnsi="Times New Roman" w:cs="Times New Roman"/>
      <w:sz w:val="24"/>
    </w:rPr>
  </w:style>
  <w:style w:type="paragraph" w:customStyle="1" w:styleId="Point1letter">
    <w:name w:val="Point 1 (letter)"/>
    <w:basedOn w:val="Normal"/>
    <w:uiPriority w:val="1"/>
    <w:rsid w:val="29DEDBAE"/>
    <w:pPr>
      <w:keepNext/>
      <w:numPr>
        <w:ilvl w:val="3"/>
        <w:numId w:val="8"/>
      </w:numPr>
      <w:spacing w:before="40" w:after="0"/>
      <w:jc w:val="both"/>
    </w:pPr>
    <w:rPr>
      <w:rFonts w:ascii="Times New Roman" w:eastAsiaTheme="minorEastAsia" w:hAnsi="Times New Roman" w:cs="Times New Roman"/>
      <w:sz w:val="24"/>
    </w:rPr>
  </w:style>
  <w:style w:type="paragraph" w:customStyle="1" w:styleId="Point2letter">
    <w:name w:val="Point 2 (letter)"/>
    <w:basedOn w:val="Normal"/>
    <w:uiPriority w:val="1"/>
    <w:rsid w:val="29DEDBAE"/>
    <w:pPr>
      <w:keepNext/>
      <w:numPr>
        <w:ilvl w:val="5"/>
        <w:numId w:val="8"/>
      </w:numPr>
      <w:spacing w:before="40" w:after="0"/>
      <w:jc w:val="both"/>
    </w:pPr>
    <w:rPr>
      <w:rFonts w:ascii="Times New Roman" w:eastAsiaTheme="minorEastAsia" w:hAnsi="Times New Roman" w:cs="Times New Roman"/>
      <w:sz w:val="24"/>
    </w:rPr>
  </w:style>
  <w:style w:type="paragraph" w:customStyle="1" w:styleId="Point3letter">
    <w:name w:val="Point 3 (letter)"/>
    <w:basedOn w:val="Normal"/>
    <w:uiPriority w:val="1"/>
    <w:rsid w:val="29DEDBAE"/>
    <w:pPr>
      <w:keepNext/>
      <w:numPr>
        <w:ilvl w:val="7"/>
        <w:numId w:val="8"/>
      </w:numPr>
      <w:spacing w:before="40" w:after="0"/>
      <w:jc w:val="both"/>
    </w:pPr>
    <w:rPr>
      <w:rFonts w:ascii="Times New Roman" w:eastAsiaTheme="minorEastAsia" w:hAnsi="Times New Roman" w:cs="Times New Roman"/>
      <w:sz w:val="24"/>
    </w:rPr>
  </w:style>
  <w:style w:type="paragraph" w:customStyle="1" w:styleId="Point4letter">
    <w:name w:val="Point 4 (letter)"/>
    <w:basedOn w:val="Normal"/>
    <w:uiPriority w:val="1"/>
    <w:rsid w:val="29DEDBAE"/>
    <w:pPr>
      <w:keepNext/>
      <w:numPr>
        <w:ilvl w:val="8"/>
        <w:numId w:val="8"/>
      </w:numPr>
      <w:spacing w:before="40" w:after="0"/>
      <w:jc w:val="both"/>
    </w:pPr>
    <w:rPr>
      <w:rFonts w:ascii="Times New Roman" w:eastAsiaTheme="minorEastAsia" w:hAnsi="Times New Roman" w:cs="Times New Roman"/>
      <w:sz w:val="24"/>
    </w:rPr>
  </w:style>
  <w:style w:type="paragraph" w:customStyle="1" w:styleId="Bullet0">
    <w:name w:val="Bullet 0"/>
    <w:basedOn w:val="Normal"/>
    <w:uiPriority w:val="1"/>
    <w:rsid w:val="29DEDBAE"/>
    <w:pPr>
      <w:keepNext/>
      <w:numPr>
        <w:numId w:val="9"/>
      </w:numPr>
      <w:spacing w:before="40" w:after="0"/>
      <w:jc w:val="both"/>
    </w:pPr>
    <w:rPr>
      <w:rFonts w:ascii="Times New Roman" w:eastAsiaTheme="minorEastAsia" w:hAnsi="Times New Roman" w:cs="Times New Roman"/>
      <w:sz w:val="24"/>
    </w:rPr>
  </w:style>
  <w:style w:type="paragraph" w:customStyle="1" w:styleId="Bullet1">
    <w:name w:val="Bullet 1"/>
    <w:basedOn w:val="Normal"/>
    <w:uiPriority w:val="1"/>
    <w:rsid w:val="29DEDBAE"/>
    <w:pPr>
      <w:keepNext/>
      <w:numPr>
        <w:numId w:val="10"/>
      </w:numPr>
      <w:spacing w:before="40" w:after="0"/>
      <w:jc w:val="both"/>
    </w:pPr>
    <w:rPr>
      <w:rFonts w:ascii="Times New Roman" w:eastAsiaTheme="minorEastAsia" w:hAnsi="Times New Roman" w:cs="Times New Roman"/>
      <w:sz w:val="24"/>
    </w:rPr>
  </w:style>
  <w:style w:type="paragraph" w:customStyle="1" w:styleId="Bullet2">
    <w:name w:val="Bullet 2"/>
    <w:basedOn w:val="Normal"/>
    <w:uiPriority w:val="1"/>
    <w:rsid w:val="29DEDBAE"/>
    <w:pPr>
      <w:keepNext/>
      <w:numPr>
        <w:numId w:val="11"/>
      </w:numPr>
      <w:spacing w:before="40" w:after="0"/>
      <w:jc w:val="both"/>
    </w:pPr>
    <w:rPr>
      <w:rFonts w:ascii="Times New Roman" w:eastAsiaTheme="minorEastAsia" w:hAnsi="Times New Roman" w:cs="Times New Roman"/>
      <w:sz w:val="24"/>
    </w:rPr>
  </w:style>
  <w:style w:type="paragraph" w:customStyle="1" w:styleId="Bullet3">
    <w:name w:val="Bullet 3"/>
    <w:basedOn w:val="Normal"/>
    <w:uiPriority w:val="1"/>
    <w:rsid w:val="29DEDBAE"/>
    <w:pPr>
      <w:keepNext/>
      <w:numPr>
        <w:numId w:val="12"/>
      </w:numPr>
      <w:spacing w:before="40" w:after="0"/>
      <w:jc w:val="both"/>
    </w:pPr>
    <w:rPr>
      <w:rFonts w:ascii="Times New Roman" w:eastAsiaTheme="minorEastAsia" w:hAnsi="Times New Roman" w:cs="Times New Roman"/>
      <w:sz w:val="24"/>
    </w:rPr>
  </w:style>
  <w:style w:type="paragraph" w:customStyle="1" w:styleId="Bullet4">
    <w:name w:val="Bullet 4"/>
    <w:basedOn w:val="Normal"/>
    <w:uiPriority w:val="1"/>
    <w:rsid w:val="29DEDBAE"/>
    <w:pPr>
      <w:keepNext/>
      <w:numPr>
        <w:numId w:val="13"/>
      </w:numPr>
      <w:spacing w:before="40" w:after="0"/>
      <w:jc w:val="both"/>
    </w:pPr>
    <w:rPr>
      <w:rFonts w:ascii="Times New Roman" w:eastAsiaTheme="minorEastAsia" w:hAnsi="Times New Roman" w:cs="Times New Roman"/>
      <w:sz w:val="24"/>
    </w:rPr>
  </w:style>
  <w:style w:type="paragraph" w:customStyle="1" w:styleId="Langue">
    <w:name w:val="Langue"/>
    <w:basedOn w:val="Normal"/>
    <w:next w:val="Rfrenceinterne"/>
    <w:uiPriority w:val="1"/>
    <w:rsid w:val="14F0B435"/>
    <w:pPr>
      <w:keepNext/>
      <w:spacing w:after="600"/>
      <w:jc w:val="center"/>
    </w:pPr>
    <w:rPr>
      <w:rFonts w:ascii="Times New Roman" w:eastAsiaTheme="minorEastAsia" w:hAnsi="Times New Roman" w:cs="Times New Roman"/>
      <w:b/>
      <w:caps/>
      <w:sz w:val="24"/>
    </w:rPr>
  </w:style>
  <w:style w:type="paragraph" w:customStyle="1" w:styleId="Nomdelinstitution">
    <w:name w:val="Nom de l'institution"/>
    <w:basedOn w:val="Normal"/>
    <w:next w:val="Emission"/>
    <w:uiPriority w:val="1"/>
    <w:rsid w:val="14F0B435"/>
    <w:pPr>
      <w:keepNext/>
      <w:spacing w:after="0"/>
      <w:jc w:val="both"/>
    </w:pPr>
    <w:rPr>
      <w:rFonts w:ascii="Arial" w:eastAsiaTheme="minorEastAsia" w:hAnsi="Arial" w:cs="Arial"/>
      <w:sz w:val="24"/>
    </w:rPr>
  </w:style>
  <w:style w:type="paragraph" w:customStyle="1" w:styleId="Emission">
    <w:name w:val="Emission"/>
    <w:basedOn w:val="Normal"/>
    <w:next w:val="Rfrenceinstitutionnelle"/>
    <w:uiPriority w:val="1"/>
    <w:rsid w:val="14F0B435"/>
    <w:pPr>
      <w:keepNext/>
      <w:spacing w:after="0"/>
      <w:ind w:left="5103"/>
      <w:jc w:val="both"/>
    </w:pPr>
    <w:rPr>
      <w:rFonts w:ascii="Times New Roman" w:eastAsiaTheme="minorEastAsia" w:hAnsi="Times New Roman" w:cs="Times New Roman"/>
      <w:sz w:val="24"/>
    </w:rPr>
  </w:style>
  <w:style w:type="paragraph" w:customStyle="1" w:styleId="Rfrenceinstitutionnelle">
    <w:name w:val="Référence institutionnelle"/>
    <w:basedOn w:val="Normal"/>
    <w:next w:val="Confidentialit"/>
    <w:uiPriority w:val="1"/>
    <w:rsid w:val="14F0B435"/>
    <w:pPr>
      <w:keepNext/>
      <w:spacing w:after="0"/>
      <w:ind w:left="5103"/>
      <w:jc w:val="both"/>
    </w:pPr>
    <w:rPr>
      <w:rFonts w:ascii="Times New Roman" w:eastAsiaTheme="minorEastAsia" w:hAnsi="Times New Roman" w:cs="Times New Roman"/>
      <w:sz w:val="24"/>
    </w:rPr>
  </w:style>
  <w:style w:type="paragraph" w:customStyle="1" w:styleId="Pagedecouverture">
    <w:name w:val="Page de couverture"/>
    <w:basedOn w:val="Normal"/>
    <w:next w:val="Normal"/>
    <w:link w:val="PagedecouvertureChar"/>
    <w:uiPriority w:val="1"/>
    <w:rsid w:val="14F0B435"/>
    <w:pPr>
      <w:keepNext/>
      <w:spacing w:after="0"/>
      <w:jc w:val="both"/>
    </w:pPr>
    <w:rPr>
      <w:rFonts w:ascii="Times New Roman" w:eastAsiaTheme="minorEastAsia" w:hAnsi="Times New Roman" w:cs="Times New Roman"/>
      <w:sz w:val="24"/>
    </w:rPr>
  </w:style>
  <w:style w:type="paragraph" w:customStyle="1" w:styleId="Declassification">
    <w:name w:val="Declassification"/>
    <w:basedOn w:val="Normal"/>
    <w:next w:val="Normal"/>
    <w:uiPriority w:val="1"/>
    <w:rsid w:val="14F0B435"/>
    <w:pPr>
      <w:keepNext/>
      <w:spacing w:after="0"/>
      <w:jc w:val="both"/>
    </w:pPr>
    <w:rPr>
      <w:rFonts w:ascii="Times New Roman" w:eastAsiaTheme="minorEastAsia" w:hAnsi="Times New Roman" w:cs="Times New Roman"/>
      <w:sz w:val="24"/>
    </w:rPr>
  </w:style>
  <w:style w:type="paragraph" w:customStyle="1" w:styleId="Disclaimer">
    <w:name w:val="Disclaimer"/>
    <w:basedOn w:val="Normal"/>
    <w:uiPriority w:val="1"/>
    <w:rsid w:val="14F0B435"/>
    <w:pPr>
      <w:keepNext/>
      <w:spacing w:before="40" w:after="0"/>
      <w:jc w:val="both"/>
    </w:pPr>
    <w:rPr>
      <w:rFonts w:ascii="Times New Roman" w:eastAsiaTheme="minorEastAsia" w:hAnsi="Times New Roman" w:cs="Times New Roman"/>
      <w:sz w:val="24"/>
    </w:rPr>
  </w:style>
  <w:style w:type="paragraph" w:customStyle="1" w:styleId="SecurityMarking">
    <w:name w:val="SecurityMarking"/>
    <w:basedOn w:val="Normal"/>
    <w:uiPriority w:val="1"/>
    <w:rsid w:val="00B4580D"/>
    <w:pPr>
      <w:spacing w:after="0"/>
      <w:ind w:left="5103"/>
    </w:pPr>
    <w:rPr>
      <w:rFonts w:ascii="Times New Roman" w:hAnsi="Times New Roman" w:cs="Times New Roman"/>
      <w:sz w:val="28"/>
    </w:rPr>
  </w:style>
  <w:style w:type="paragraph" w:customStyle="1" w:styleId="DateMarking">
    <w:name w:val="DateMarking"/>
    <w:basedOn w:val="Normal"/>
    <w:uiPriority w:val="1"/>
    <w:rsid w:val="00B4580D"/>
    <w:pPr>
      <w:spacing w:after="0"/>
      <w:ind w:left="5103"/>
    </w:pPr>
    <w:rPr>
      <w:rFonts w:ascii="Times New Roman" w:hAnsi="Times New Roman" w:cs="Times New Roman"/>
      <w:i/>
      <w:sz w:val="28"/>
    </w:rPr>
  </w:style>
  <w:style w:type="paragraph" w:customStyle="1" w:styleId="ReleasableTo">
    <w:name w:val="ReleasableTo"/>
    <w:basedOn w:val="Normal"/>
    <w:uiPriority w:val="1"/>
    <w:rsid w:val="00B4580D"/>
    <w:pPr>
      <w:spacing w:after="0"/>
      <w:ind w:left="5103"/>
    </w:pPr>
    <w:rPr>
      <w:rFonts w:ascii="Times New Roman" w:hAnsi="Times New Roman" w:cs="Times New Roman"/>
      <w:i/>
      <w:sz w:val="28"/>
    </w:rPr>
  </w:style>
  <w:style w:type="paragraph" w:customStyle="1" w:styleId="Annexetitreexpos">
    <w:name w:val="Annexe titre (exposé)"/>
    <w:basedOn w:val="Normal"/>
    <w:next w:val="Normal"/>
    <w:uiPriority w:val="1"/>
    <w:rsid w:val="14F0B435"/>
    <w:pPr>
      <w:keepNext/>
      <w:spacing w:before="40" w:after="0"/>
      <w:jc w:val="center"/>
    </w:pPr>
    <w:rPr>
      <w:rFonts w:ascii="Times New Roman" w:eastAsiaTheme="minorEastAsia" w:hAnsi="Times New Roman" w:cs="Times New Roman"/>
      <w:b/>
      <w:sz w:val="24"/>
      <w:u w:val="single"/>
    </w:rPr>
  </w:style>
  <w:style w:type="paragraph" w:customStyle="1" w:styleId="Annexetitre">
    <w:name w:val="Annexe titre"/>
    <w:basedOn w:val="Normal"/>
    <w:next w:val="Normal"/>
    <w:uiPriority w:val="1"/>
    <w:rsid w:val="14F0B435"/>
    <w:pPr>
      <w:keepNext/>
      <w:spacing w:before="40" w:after="0"/>
      <w:jc w:val="center"/>
    </w:pPr>
    <w:rPr>
      <w:rFonts w:ascii="Times New Roman" w:eastAsiaTheme="minorEastAsia" w:hAnsi="Times New Roman" w:cs="Times New Roman"/>
      <w:b/>
      <w:sz w:val="24"/>
      <w:u w:val="single"/>
    </w:rPr>
  </w:style>
  <w:style w:type="paragraph" w:customStyle="1" w:styleId="Annexetitrefichefinancire">
    <w:name w:val="Annexe titre (fiche financière)"/>
    <w:basedOn w:val="Normal"/>
    <w:next w:val="Normal"/>
    <w:uiPriority w:val="1"/>
    <w:rsid w:val="14F0B435"/>
    <w:pPr>
      <w:keepNext/>
      <w:spacing w:before="40" w:after="0"/>
      <w:jc w:val="center"/>
    </w:pPr>
    <w:rPr>
      <w:rFonts w:ascii="Times New Roman" w:eastAsiaTheme="minorEastAsia" w:hAnsi="Times New Roman" w:cs="Times New Roman"/>
      <w:b/>
      <w:sz w:val="24"/>
      <w:u w:val="single"/>
    </w:rPr>
  </w:style>
  <w:style w:type="paragraph" w:customStyle="1" w:styleId="Applicationdirecte">
    <w:name w:val="Application directe"/>
    <w:basedOn w:val="Normal"/>
    <w:next w:val="Fait"/>
    <w:uiPriority w:val="1"/>
    <w:rsid w:val="14F0B435"/>
    <w:pPr>
      <w:keepNext/>
      <w:spacing w:before="480" w:after="0"/>
      <w:jc w:val="both"/>
    </w:pPr>
    <w:rPr>
      <w:rFonts w:ascii="Times New Roman" w:eastAsiaTheme="minorEastAsia" w:hAnsi="Times New Roman" w:cs="Times New Roman"/>
      <w:sz w:val="24"/>
    </w:rPr>
  </w:style>
  <w:style w:type="paragraph" w:customStyle="1" w:styleId="Avertissementtitre">
    <w:name w:val="Avertissement titre"/>
    <w:basedOn w:val="Normal"/>
    <w:next w:val="Normal"/>
    <w:uiPriority w:val="1"/>
    <w:rsid w:val="14F0B435"/>
    <w:pPr>
      <w:keepNext/>
      <w:spacing w:before="480" w:after="0"/>
      <w:jc w:val="both"/>
    </w:pPr>
    <w:rPr>
      <w:rFonts w:ascii="Times New Roman" w:eastAsiaTheme="minorEastAsia" w:hAnsi="Times New Roman" w:cs="Times New Roman"/>
      <w:sz w:val="24"/>
      <w:u w:val="single"/>
    </w:rPr>
  </w:style>
  <w:style w:type="paragraph" w:customStyle="1" w:styleId="Confidence">
    <w:name w:val="Confidence"/>
    <w:basedOn w:val="Normal"/>
    <w:next w:val="Normal"/>
    <w:uiPriority w:val="1"/>
    <w:rsid w:val="14F0B435"/>
    <w:pPr>
      <w:keepNext/>
      <w:spacing w:before="360" w:after="0"/>
      <w:jc w:val="center"/>
    </w:pPr>
    <w:rPr>
      <w:rFonts w:ascii="Times New Roman" w:eastAsiaTheme="minorEastAsia" w:hAnsi="Times New Roman" w:cs="Times New Roman"/>
      <w:sz w:val="24"/>
    </w:rPr>
  </w:style>
  <w:style w:type="paragraph" w:customStyle="1" w:styleId="Confidentialit">
    <w:name w:val="Confidentialité"/>
    <w:basedOn w:val="Normal"/>
    <w:next w:val="TypedudocumentPagedecouverture"/>
    <w:uiPriority w:val="1"/>
    <w:rsid w:val="14F0B435"/>
    <w:pPr>
      <w:keepNext/>
      <w:spacing w:before="240" w:after="0"/>
      <w:ind w:left="5103"/>
      <w:jc w:val="both"/>
    </w:pPr>
    <w:rPr>
      <w:rFonts w:ascii="Times New Roman" w:eastAsiaTheme="minorEastAsia" w:hAnsi="Times New Roman" w:cs="Times New Roman"/>
      <w:i/>
      <w:sz w:val="32"/>
    </w:rPr>
  </w:style>
  <w:style w:type="paragraph" w:customStyle="1" w:styleId="Considrant">
    <w:name w:val="Considérant"/>
    <w:basedOn w:val="Normal"/>
    <w:uiPriority w:val="1"/>
    <w:rsid w:val="29DEDBAE"/>
    <w:pPr>
      <w:keepNext/>
      <w:numPr>
        <w:numId w:val="14"/>
      </w:numPr>
      <w:spacing w:before="40" w:after="0"/>
      <w:jc w:val="both"/>
    </w:pPr>
    <w:rPr>
      <w:rFonts w:ascii="Times New Roman" w:eastAsiaTheme="minorEastAsia" w:hAnsi="Times New Roman" w:cs="Times New Roman"/>
      <w:sz w:val="24"/>
    </w:rPr>
  </w:style>
  <w:style w:type="paragraph" w:customStyle="1" w:styleId="Corrigendum">
    <w:name w:val="Corrigendum"/>
    <w:basedOn w:val="Normal"/>
    <w:next w:val="Normal"/>
    <w:uiPriority w:val="1"/>
    <w:rsid w:val="14F0B435"/>
    <w:pPr>
      <w:keepNext/>
      <w:spacing w:after="0"/>
      <w:jc w:val="both"/>
    </w:pPr>
    <w:rPr>
      <w:rFonts w:ascii="Times New Roman" w:eastAsiaTheme="minorEastAsia" w:hAnsi="Times New Roman" w:cs="Times New Roman"/>
      <w:sz w:val="24"/>
    </w:rPr>
  </w:style>
  <w:style w:type="paragraph" w:customStyle="1" w:styleId="Datedadoption">
    <w:name w:val="Date d'adoption"/>
    <w:basedOn w:val="Normal"/>
    <w:next w:val="IntrtEEE"/>
    <w:uiPriority w:val="1"/>
    <w:rsid w:val="14F0B435"/>
    <w:pPr>
      <w:keepNext/>
      <w:spacing w:before="360" w:after="0"/>
      <w:jc w:val="center"/>
    </w:pPr>
    <w:rPr>
      <w:rFonts w:ascii="Times New Roman" w:eastAsiaTheme="minorEastAsia" w:hAnsi="Times New Roman" w:cs="Times New Roman"/>
      <w:b/>
      <w:sz w:val="24"/>
    </w:rPr>
  </w:style>
  <w:style w:type="paragraph" w:customStyle="1" w:styleId="Exposdesmotifstitre">
    <w:name w:val="Exposé des motifs titre"/>
    <w:basedOn w:val="Normal"/>
    <w:next w:val="Normal"/>
    <w:uiPriority w:val="1"/>
    <w:rsid w:val="14F0B435"/>
    <w:pPr>
      <w:keepNext/>
      <w:spacing w:before="40" w:after="0"/>
      <w:jc w:val="center"/>
    </w:pPr>
    <w:rPr>
      <w:rFonts w:ascii="Times New Roman" w:eastAsiaTheme="minorEastAsia" w:hAnsi="Times New Roman" w:cs="Times New Roman"/>
      <w:b/>
      <w:sz w:val="24"/>
      <w:u w:val="single"/>
    </w:rPr>
  </w:style>
  <w:style w:type="paragraph" w:customStyle="1" w:styleId="Fait">
    <w:name w:val="Fait à"/>
    <w:basedOn w:val="Normal"/>
    <w:next w:val="Institutionquisigne"/>
    <w:uiPriority w:val="1"/>
    <w:rsid w:val="14F0B435"/>
    <w:pPr>
      <w:keepNext/>
      <w:spacing w:before="40" w:after="0"/>
      <w:jc w:val="both"/>
    </w:pPr>
    <w:rPr>
      <w:rFonts w:ascii="Times New Roman" w:eastAsiaTheme="minorEastAsia" w:hAnsi="Times New Roman" w:cs="Times New Roman"/>
      <w:sz w:val="24"/>
    </w:rPr>
  </w:style>
  <w:style w:type="paragraph" w:customStyle="1" w:styleId="Formuledadoption">
    <w:name w:val="Formule d'adoption"/>
    <w:basedOn w:val="Normal"/>
    <w:next w:val="Titrearticle"/>
    <w:uiPriority w:val="1"/>
    <w:rsid w:val="14F0B435"/>
    <w:pPr>
      <w:keepNext/>
      <w:spacing w:before="40" w:after="0"/>
      <w:jc w:val="both"/>
    </w:pPr>
    <w:rPr>
      <w:rFonts w:ascii="Times New Roman" w:eastAsiaTheme="minorEastAsia" w:hAnsi="Times New Roman" w:cs="Times New Roman"/>
      <w:sz w:val="24"/>
    </w:rPr>
  </w:style>
  <w:style w:type="paragraph" w:customStyle="1" w:styleId="Institutionquiagit">
    <w:name w:val="Institution qui agit"/>
    <w:basedOn w:val="Normal"/>
    <w:next w:val="Normal"/>
    <w:uiPriority w:val="1"/>
    <w:rsid w:val="14F0B435"/>
    <w:pPr>
      <w:keepNext/>
      <w:spacing w:before="600" w:after="0"/>
      <w:jc w:val="both"/>
    </w:pPr>
    <w:rPr>
      <w:rFonts w:ascii="Times New Roman" w:eastAsiaTheme="minorEastAsia" w:hAnsi="Times New Roman" w:cs="Times New Roman"/>
      <w:sz w:val="24"/>
    </w:rPr>
  </w:style>
  <w:style w:type="paragraph" w:customStyle="1" w:styleId="Institutionquisigne">
    <w:name w:val="Institution qui signe"/>
    <w:basedOn w:val="Normal"/>
    <w:next w:val="Personnequisigne"/>
    <w:uiPriority w:val="1"/>
    <w:rsid w:val="14F0B435"/>
    <w:pPr>
      <w:keepNext/>
      <w:tabs>
        <w:tab w:val="left" w:pos="4252"/>
      </w:tabs>
      <w:spacing w:before="720" w:after="0"/>
      <w:jc w:val="both"/>
    </w:pPr>
    <w:rPr>
      <w:rFonts w:ascii="Times New Roman" w:eastAsiaTheme="minorEastAsia" w:hAnsi="Times New Roman" w:cs="Times New Roman"/>
      <w:i/>
      <w:sz w:val="24"/>
    </w:rPr>
  </w:style>
  <w:style w:type="paragraph" w:customStyle="1" w:styleId="ManualConsidrant">
    <w:name w:val="Manual Considérant"/>
    <w:basedOn w:val="Normal"/>
    <w:uiPriority w:val="1"/>
    <w:rsid w:val="14F0B435"/>
    <w:pPr>
      <w:keepNext/>
      <w:spacing w:before="40" w:after="0"/>
      <w:ind w:left="709" w:hanging="709"/>
      <w:jc w:val="both"/>
    </w:pPr>
    <w:rPr>
      <w:rFonts w:ascii="Times New Roman" w:eastAsiaTheme="minorEastAsia" w:hAnsi="Times New Roman" w:cs="Times New Roman"/>
      <w:sz w:val="24"/>
    </w:rPr>
  </w:style>
  <w:style w:type="paragraph" w:customStyle="1" w:styleId="Personnequisigne">
    <w:name w:val="Personne qui signe"/>
    <w:basedOn w:val="Normal"/>
    <w:next w:val="Institutionquisigne"/>
    <w:uiPriority w:val="1"/>
    <w:rsid w:val="14F0B435"/>
    <w:pPr>
      <w:keepNext/>
      <w:tabs>
        <w:tab w:val="left" w:pos="4252"/>
      </w:tabs>
      <w:spacing w:after="0"/>
      <w:jc w:val="both"/>
    </w:pPr>
    <w:rPr>
      <w:rFonts w:ascii="Times New Roman" w:eastAsiaTheme="minorEastAsia" w:hAnsi="Times New Roman" w:cs="Times New Roman"/>
      <w:i/>
      <w:sz w:val="24"/>
    </w:rPr>
  </w:style>
  <w:style w:type="paragraph" w:customStyle="1" w:styleId="Rfrenceinterinstitutionnelle">
    <w:name w:val="Référence interinstitutionnelle"/>
    <w:basedOn w:val="Normal"/>
    <w:next w:val="Statut"/>
    <w:uiPriority w:val="1"/>
    <w:rsid w:val="14F0B435"/>
    <w:pPr>
      <w:keepNext/>
      <w:spacing w:after="0"/>
      <w:ind w:left="5103"/>
      <w:jc w:val="both"/>
    </w:pPr>
    <w:rPr>
      <w:rFonts w:ascii="Times New Roman" w:eastAsiaTheme="minorEastAsia" w:hAnsi="Times New Roman" w:cs="Times New Roman"/>
      <w:sz w:val="24"/>
    </w:rPr>
  </w:style>
  <w:style w:type="paragraph" w:customStyle="1" w:styleId="Rfrenceinterne">
    <w:name w:val="Référence interne"/>
    <w:basedOn w:val="Normal"/>
    <w:next w:val="Rfrenceinterinstitutionnelle"/>
    <w:uiPriority w:val="1"/>
    <w:rsid w:val="14F0B435"/>
    <w:pPr>
      <w:keepNext/>
      <w:spacing w:after="0"/>
      <w:ind w:left="5103"/>
      <w:jc w:val="both"/>
    </w:pPr>
    <w:rPr>
      <w:rFonts w:ascii="Times New Roman" w:eastAsiaTheme="minorEastAsia" w:hAnsi="Times New Roman" w:cs="Times New Roman"/>
      <w:sz w:val="24"/>
    </w:rPr>
  </w:style>
  <w:style w:type="paragraph" w:customStyle="1" w:styleId="Statut">
    <w:name w:val="Statut"/>
    <w:basedOn w:val="Normal"/>
    <w:next w:val="Typedudocument"/>
    <w:uiPriority w:val="1"/>
    <w:rsid w:val="14F0B435"/>
    <w:pPr>
      <w:keepNext/>
      <w:spacing w:after="0"/>
      <w:jc w:val="center"/>
    </w:pPr>
    <w:rPr>
      <w:rFonts w:ascii="Times New Roman" w:eastAsiaTheme="minorEastAsia" w:hAnsi="Times New Roman" w:cs="Times New Roman"/>
      <w:sz w:val="24"/>
    </w:rPr>
  </w:style>
  <w:style w:type="paragraph" w:customStyle="1" w:styleId="Titrearticle">
    <w:name w:val="Titre article"/>
    <w:basedOn w:val="Normal"/>
    <w:next w:val="Normal"/>
    <w:uiPriority w:val="1"/>
    <w:rsid w:val="14F0B435"/>
    <w:pPr>
      <w:keepNext/>
      <w:spacing w:before="360" w:after="0"/>
      <w:jc w:val="center"/>
    </w:pPr>
    <w:rPr>
      <w:rFonts w:ascii="Times New Roman" w:eastAsiaTheme="minorEastAsia" w:hAnsi="Times New Roman" w:cs="Times New Roman"/>
      <w:i/>
      <w:sz w:val="24"/>
    </w:rPr>
  </w:style>
  <w:style w:type="paragraph" w:customStyle="1" w:styleId="Typedudocument">
    <w:name w:val="Type du document"/>
    <w:basedOn w:val="Normal"/>
    <w:next w:val="Accompagnant"/>
    <w:uiPriority w:val="1"/>
    <w:rsid w:val="14F0B435"/>
    <w:pPr>
      <w:keepNext/>
      <w:spacing w:before="360" w:after="180"/>
      <w:jc w:val="center"/>
    </w:pPr>
    <w:rPr>
      <w:rFonts w:ascii="Times New Roman" w:eastAsiaTheme="minorEastAsia" w:hAnsi="Times New Roman" w:cs="Times New Roman"/>
      <w:b/>
      <w:sz w:val="24"/>
    </w:rPr>
  </w:style>
  <w:style w:type="character" w:customStyle="1" w:styleId="Added">
    <w:name w:val="Added"/>
    <w:basedOn w:val="DefaultParagraphFont"/>
    <w:rsid w:val="00B4580D"/>
    <w:rPr>
      <w:b/>
      <w:u w:val="single"/>
      <w:shd w:val="clear" w:color="auto" w:fill="auto"/>
    </w:rPr>
  </w:style>
  <w:style w:type="character" w:customStyle="1" w:styleId="Deleted">
    <w:name w:val="Deleted"/>
    <w:basedOn w:val="DefaultParagraphFont"/>
    <w:rsid w:val="00B4580D"/>
    <w:rPr>
      <w:strike/>
      <w:dstrike w:val="0"/>
      <w:shd w:val="clear" w:color="auto" w:fill="auto"/>
    </w:rPr>
  </w:style>
  <w:style w:type="paragraph" w:customStyle="1" w:styleId="Address">
    <w:name w:val="Address"/>
    <w:basedOn w:val="Normal"/>
    <w:next w:val="Normal"/>
    <w:uiPriority w:val="1"/>
    <w:rsid w:val="14F0B435"/>
    <w:pPr>
      <w:keepNext/>
      <w:keepLines/>
      <w:spacing w:before="40" w:after="0"/>
      <w:ind w:left="3402"/>
      <w:jc w:val="both"/>
    </w:pPr>
    <w:rPr>
      <w:rFonts w:ascii="Times New Roman" w:eastAsiaTheme="minorEastAsia" w:hAnsi="Times New Roman" w:cs="Times New Roman"/>
      <w:sz w:val="24"/>
    </w:rPr>
  </w:style>
  <w:style w:type="paragraph" w:customStyle="1" w:styleId="Objetexterne">
    <w:name w:val="Objet externe"/>
    <w:basedOn w:val="Normal"/>
    <w:next w:val="Normal"/>
    <w:uiPriority w:val="1"/>
    <w:rsid w:val="14F0B435"/>
    <w:pPr>
      <w:keepNext/>
      <w:spacing w:before="40" w:after="0"/>
      <w:jc w:val="both"/>
    </w:pPr>
    <w:rPr>
      <w:rFonts w:ascii="Times New Roman" w:eastAsiaTheme="minorEastAsia" w:hAnsi="Times New Roman" w:cs="Times New Roman"/>
      <w:i/>
      <w:caps/>
      <w:sz w:val="24"/>
    </w:rPr>
  </w:style>
  <w:style w:type="paragraph" w:customStyle="1" w:styleId="Supertitre">
    <w:name w:val="Supertitre"/>
    <w:basedOn w:val="Normal"/>
    <w:next w:val="Normal"/>
    <w:uiPriority w:val="1"/>
    <w:rsid w:val="14F0B435"/>
    <w:pPr>
      <w:keepNext/>
      <w:spacing w:after="600"/>
      <w:jc w:val="center"/>
    </w:pPr>
    <w:rPr>
      <w:rFonts w:ascii="Times New Roman" w:eastAsiaTheme="minorEastAsia" w:hAnsi="Times New Roman" w:cs="Times New Roman"/>
      <w:b/>
      <w:sz w:val="24"/>
    </w:rPr>
  </w:style>
  <w:style w:type="paragraph" w:customStyle="1" w:styleId="Languesfaisantfoi">
    <w:name w:val="Langues faisant foi"/>
    <w:basedOn w:val="Normal"/>
    <w:next w:val="Normal"/>
    <w:uiPriority w:val="1"/>
    <w:rsid w:val="14F0B435"/>
    <w:pPr>
      <w:keepNext/>
      <w:spacing w:before="360" w:after="0"/>
      <w:jc w:val="center"/>
    </w:pPr>
    <w:rPr>
      <w:rFonts w:ascii="Times New Roman" w:eastAsiaTheme="minorEastAsia" w:hAnsi="Times New Roman" w:cs="Times New Roman"/>
      <w:sz w:val="24"/>
    </w:rPr>
  </w:style>
  <w:style w:type="paragraph" w:customStyle="1" w:styleId="Rfrencecroise">
    <w:name w:val="Référence croisée"/>
    <w:basedOn w:val="Normal"/>
    <w:uiPriority w:val="1"/>
    <w:rsid w:val="14F0B435"/>
    <w:pPr>
      <w:keepNext/>
      <w:spacing w:after="0"/>
      <w:jc w:val="center"/>
    </w:pPr>
    <w:rPr>
      <w:rFonts w:ascii="Times New Roman" w:eastAsiaTheme="minorEastAsia" w:hAnsi="Times New Roman" w:cs="Times New Roman"/>
      <w:sz w:val="24"/>
    </w:rPr>
  </w:style>
  <w:style w:type="paragraph" w:customStyle="1" w:styleId="Fichefinanciretitre">
    <w:name w:val="Fiche financière titre"/>
    <w:basedOn w:val="Normal"/>
    <w:next w:val="Normal"/>
    <w:uiPriority w:val="1"/>
    <w:rsid w:val="14F0B435"/>
    <w:pPr>
      <w:keepNext/>
      <w:spacing w:before="40" w:after="0"/>
      <w:jc w:val="center"/>
    </w:pPr>
    <w:rPr>
      <w:rFonts w:ascii="Times New Roman" w:eastAsiaTheme="minorEastAsia" w:hAnsi="Times New Roman" w:cs="Times New Roman"/>
      <w:b/>
      <w:sz w:val="24"/>
      <w:u w:val="single"/>
    </w:rPr>
  </w:style>
  <w:style w:type="paragraph" w:customStyle="1" w:styleId="DatedadoptionPagedecouverture">
    <w:name w:val="Date d'adoption (Page de couverture)"/>
    <w:basedOn w:val="Datedadoption"/>
    <w:next w:val="IntrtEEEPagedecouverture"/>
    <w:uiPriority w:val="1"/>
    <w:rsid w:val="00B4580D"/>
  </w:style>
  <w:style w:type="paragraph" w:customStyle="1" w:styleId="RfrenceinterinstitutionnellePagedecouverture">
    <w:name w:val="Référence interinstitutionnelle (Page de couverture)"/>
    <w:basedOn w:val="Rfrenceinterinstitutionnelle"/>
    <w:next w:val="Confidentialit"/>
    <w:uiPriority w:val="1"/>
    <w:rsid w:val="00B4580D"/>
  </w:style>
  <w:style w:type="paragraph" w:customStyle="1" w:styleId="StatutPagedecouverture">
    <w:name w:val="Statut (Page de couverture)"/>
    <w:basedOn w:val="Statut"/>
    <w:next w:val="TypedudocumentPagedecouverture"/>
    <w:uiPriority w:val="1"/>
    <w:rsid w:val="00B4580D"/>
  </w:style>
  <w:style w:type="paragraph" w:customStyle="1" w:styleId="TypedudocumentPagedecouverture">
    <w:name w:val="Type du document (Page de couverture)"/>
    <w:basedOn w:val="Typedudocument"/>
    <w:next w:val="AccompagnantPagedecouverture"/>
    <w:uiPriority w:val="1"/>
    <w:rsid w:val="00B4580D"/>
  </w:style>
  <w:style w:type="paragraph" w:customStyle="1" w:styleId="Volume">
    <w:name w:val="Volume"/>
    <w:basedOn w:val="Normal"/>
    <w:next w:val="Confidentialit"/>
    <w:uiPriority w:val="1"/>
    <w:rsid w:val="14F0B435"/>
    <w:pPr>
      <w:keepNext/>
      <w:spacing w:after="0"/>
      <w:ind w:left="5103"/>
      <w:jc w:val="both"/>
    </w:pPr>
    <w:rPr>
      <w:rFonts w:ascii="Times New Roman" w:eastAsiaTheme="minorEastAsia" w:hAnsi="Times New Roman" w:cs="Times New Roman"/>
      <w:sz w:val="24"/>
    </w:rPr>
  </w:style>
  <w:style w:type="paragraph" w:customStyle="1" w:styleId="IntrtEEE">
    <w:name w:val="Intérêt EEE"/>
    <w:basedOn w:val="Languesfaisantfoi"/>
    <w:next w:val="Normal"/>
    <w:uiPriority w:val="1"/>
    <w:rsid w:val="00B4580D"/>
  </w:style>
  <w:style w:type="paragraph" w:customStyle="1" w:styleId="Accompagnant">
    <w:name w:val="Accompagnant"/>
    <w:basedOn w:val="Normal"/>
    <w:next w:val="Typeacteprincipal"/>
    <w:uiPriority w:val="1"/>
    <w:rsid w:val="14F0B435"/>
    <w:pPr>
      <w:keepNext/>
      <w:spacing w:before="180" w:after="0"/>
      <w:jc w:val="center"/>
    </w:pPr>
    <w:rPr>
      <w:rFonts w:ascii="Times New Roman" w:eastAsiaTheme="minorEastAsia" w:hAnsi="Times New Roman" w:cs="Times New Roman"/>
      <w:b/>
      <w:sz w:val="24"/>
    </w:rPr>
  </w:style>
  <w:style w:type="paragraph" w:customStyle="1" w:styleId="Typeacteprincipal">
    <w:name w:val="Type acte principal"/>
    <w:basedOn w:val="Normal"/>
    <w:next w:val="Objetacteprincipal"/>
    <w:uiPriority w:val="1"/>
    <w:rsid w:val="14F0B435"/>
    <w:pPr>
      <w:keepNext/>
      <w:spacing w:after="0"/>
      <w:jc w:val="center"/>
    </w:pPr>
    <w:rPr>
      <w:rFonts w:ascii="Times New Roman" w:eastAsiaTheme="minorEastAsia" w:hAnsi="Times New Roman" w:cs="Times New Roman"/>
      <w:b/>
      <w:sz w:val="24"/>
    </w:rPr>
  </w:style>
  <w:style w:type="paragraph" w:customStyle="1" w:styleId="Objetacteprincipal">
    <w:name w:val="Objet acte principal"/>
    <w:basedOn w:val="Normal"/>
    <w:next w:val="Titrearticle"/>
    <w:uiPriority w:val="1"/>
    <w:rsid w:val="14F0B435"/>
    <w:pPr>
      <w:keepNext/>
      <w:spacing w:after="360"/>
      <w:jc w:val="center"/>
    </w:pPr>
    <w:rPr>
      <w:rFonts w:ascii="Times New Roman" w:eastAsiaTheme="minorEastAsia" w:hAnsi="Times New Roman" w:cs="Times New Roman"/>
      <w:b/>
      <w:sz w:val="24"/>
    </w:rPr>
  </w:style>
  <w:style w:type="paragraph" w:customStyle="1" w:styleId="IntrtEEEPagedecouverture">
    <w:name w:val="Intérêt EEE (Page de couverture)"/>
    <w:basedOn w:val="IntrtEEE"/>
    <w:next w:val="Rfrencecroise"/>
    <w:uiPriority w:val="1"/>
    <w:rsid w:val="00B4580D"/>
  </w:style>
  <w:style w:type="paragraph" w:customStyle="1" w:styleId="AccompagnantPagedecouverture">
    <w:name w:val="Accompagnant (Page de couverture)"/>
    <w:basedOn w:val="Accompagnant"/>
    <w:next w:val="TypeacteprincipalPagedecouverture"/>
    <w:uiPriority w:val="1"/>
    <w:rsid w:val="00B4580D"/>
  </w:style>
  <w:style w:type="paragraph" w:customStyle="1" w:styleId="TypeacteprincipalPagedecouverture">
    <w:name w:val="Type acte principal (Page de couverture)"/>
    <w:basedOn w:val="Typeacteprincipal"/>
    <w:next w:val="ObjetacteprincipalPagedecouverture"/>
    <w:uiPriority w:val="1"/>
    <w:rsid w:val="00B4580D"/>
  </w:style>
  <w:style w:type="paragraph" w:customStyle="1" w:styleId="ObjetacteprincipalPagedecouverture">
    <w:name w:val="Objet acte principal (Page de couverture)"/>
    <w:basedOn w:val="Objetacteprincipal"/>
    <w:next w:val="Rfrencecroise"/>
    <w:uiPriority w:val="1"/>
    <w:rsid w:val="00B4580D"/>
  </w:style>
  <w:style w:type="paragraph" w:customStyle="1" w:styleId="LanguesfaisantfoiPagedecouverture">
    <w:name w:val="Langues faisant foi (Page de couverture)"/>
    <w:basedOn w:val="Normal"/>
    <w:next w:val="Normal"/>
    <w:uiPriority w:val="1"/>
    <w:rsid w:val="14F0B435"/>
    <w:pPr>
      <w:keepNext/>
      <w:spacing w:before="360" w:after="0"/>
      <w:jc w:val="center"/>
    </w:pPr>
    <w:rPr>
      <w:rFonts w:ascii="Times New Roman" w:eastAsiaTheme="minorEastAsia" w:hAnsi="Times New Roman" w:cs="Times New Roman"/>
      <w:sz w:val="24"/>
    </w:rPr>
  </w:style>
  <w:style w:type="character" w:styleId="CommentReference">
    <w:name w:val="annotation reference"/>
    <w:basedOn w:val="DefaultParagraphFont"/>
    <w:uiPriority w:val="99"/>
    <w:unhideWhenUsed/>
    <w:rsid w:val="00B4580D"/>
    <w:rPr>
      <w:sz w:val="16"/>
    </w:rPr>
  </w:style>
  <w:style w:type="paragraph" w:styleId="CommentText">
    <w:name w:val="annotation text"/>
    <w:basedOn w:val="Normal"/>
    <w:link w:val="CommentTextChar"/>
    <w:uiPriority w:val="99"/>
    <w:unhideWhenUsed/>
    <w:rsid w:val="14F0B435"/>
    <w:pPr>
      <w:keepNext/>
      <w:spacing w:before="40" w:after="0"/>
      <w:jc w:val="both"/>
    </w:pPr>
    <w:rPr>
      <w:rFonts w:ascii="Times New Roman" w:eastAsiaTheme="minorEastAsia" w:hAnsi="Times New Roman" w:cs="Times New Roman"/>
      <w:sz w:val="20"/>
    </w:rPr>
  </w:style>
  <w:style w:type="character" w:customStyle="1" w:styleId="CommentTextChar">
    <w:name w:val="Comment Text Char"/>
    <w:basedOn w:val="DefaultParagraphFont"/>
    <w:link w:val="CommentText"/>
    <w:uiPriority w:val="99"/>
    <w:rsid w:val="00B4580D"/>
    <w:rPr>
      <w:rFonts w:ascii="Times New Roman" w:eastAsiaTheme="minorEastAsia" w:hAnsi="Times New Roman" w:cs="Times New Roman"/>
      <w:sz w:val="20"/>
    </w:rPr>
  </w:style>
  <w:style w:type="paragraph" w:styleId="ListParagraph">
    <w:name w:val="List Paragraph"/>
    <w:basedOn w:val="Normal"/>
    <w:link w:val="ListParagraphChar"/>
    <w:uiPriority w:val="34"/>
    <w:qFormat/>
    <w:rsid w:val="14F0B435"/>
    <w:pPr>
      <w:keepNext/>
      <w:spacing w:after="160"/>
      <w:ind w:left="1571" w:hanging="360"/>
      <w:contextualSpacing/>
      <w:jc w:val="both"/>
    </w:pPr>
    <w:rPr>
      <w:rFonts w:ascii="Times New Roman" w:eastAsiaTheme="minorEastAsia" w:hAnsi="Times New Roman" w:cs="Times New Roman"/>
      <w:sz w:val="24"/>
    </w:rPr>
  </w:style>
  <w:style w:type="character" w:customStyle="1" w:styleId="ListParagraphChar">
    <w:name w:val="List Paragraph Char"/>
    <w:basedOn w:val="DefaultParagraphFont"/>
    <w:link w:val="ListParagraph"/>
    <w:uiPriority w:val="1"/>
    <w:qFormat/>
    <w:rsid w:val="00B4580D"/>
    <w:rPr>
      <w:rFonts w:ascii="Times New Roman" w:eastAsiaTheme="minorEastAsia" w:hAnsi="Times New Roman" w:cs="Times New Roman"/>
      <w:sz w:val="24"/>
    </w:rPr>
  </w:style>
  <w:style w:type="character" w:styleId="IntenseEmphasis">
    <w:name w:val="Intense Emphasis"/>
    <w:basedOn w:val="DefaultParagraphFont"/>
    <w:uiPriority w:val="21"/>
    <w:qFormat/>
    <w:rsid w:val="00B4580D"/>
    <w:rPr>
      <w:i/>
      <w:color w:val="4F81BD" w:themeColor="accent1"/>
    </w:rPr>
  </w:style>
  <w:style w:type="paragraph" w:styleId="BalloonText">
    <w:name w:val="Balloon Text"/>
    <w:basedOn w:val="Normal"/>
    <w:link w:val="BalloonTextChar"/>
    <w:uiPriority w:val="99"/>
    <w:semiHidden/>
    <w:unhideWhenUsed/>
    <w:rsid w:val="14F0B435"/>
    <w:pPr>
      <w:keepNext/>
      <w:spacing w:after="0"/>
      <w:jc w:val="both"/>
    </w:pPr>
    <w:rPr>
      <w:rFonts w:ascii="Segoe UI" w:eastAsiaTheme="minorEastAsia" w:hAnsi="Segoe UI" w:cs="Segoe UI"/>
      <w:sz w:val="18"/>
    </w:rPr>
  </w:style>
  <w:style w:type="character" w:customStyle="1" w:styleId="BalloonTextChar">
    <w:name w:val="Balloon Text Char"/>
    <w:basedOn w:val="DefaultParagraphFont"/>
    <w:link w:val="BalloonText"/>
    <w:uiPriority w:val="99"/>
    <w:semiHidden/>
    <w:rsid w:val="00B4580D"/>
    <w:rPr>
      <w:rFonts w:ascii="Segoe UI" w:eastAsiaTheme="minorEastAsia" w:hAnsi="Segoe UI" w:cs="Segoe UI"/>
      <w:sz w:val="18"/>
    </w:rPr>
  </w:style>
  <w:style w:type="paragraph" w:styleId="ListBullet">
    <w:name w:val="List Bullet"/>
    <w:basedOn w:val="Normal"/>
    <w:uiPriority w:val="99"/>
    <w:semiHidden/>
    <w:unhideWhenUsed/>
    <w:rsid w:val="29DEDBAE"/>
    <w:pPr>
      <w:keepNext/>
      <w:numPr>
        <w:numId w:val="15"/>
      </w:numPr>
      <w:spacing w:before="40" w:after="0"/>
      <w:contextualSpacing/>
      <w:jc w:val="both"/>
    </w:pPr>
    <w:rPr>
      <w:rFonts w:ascii="Times New Roman" w:eastAsiaTheme="minorEastAsia" w:hAnsi="Times New Roman" w:cs="Times New Roman"/>
      <w:sz w:val="24"/>
    </w:rPr>
  </w:style>
  <w:style w:type="paragraph" w:styleId="ListBullet2">
    <w:name w:val="List Bullet 2"/>
    <w:basedOn w:val="Normal"/>
    <w:uiPriority w:val="99"/>
    <w:semiHidden/>
    <w:unhideWhenUsed/>
    <w:rsid w:val="29DEDBAE"/>
    <w:pPr>
      <w:keepNext/>
      <w:numPr>
        <w:numId w:val="16"/>
      </w:numPr>
      <w:spacing w:before="40" w:after="0"/>
      <w:contextualSpacing/>
      <w:jc w:val="both"/>
    </w:pPr>
    <w:rPr>
      <w:rFonts w:ascii="Times New Roman" w:eastAsiaTheme="minorEastAsia" w:hAnsi="Times New Roman" w:cs="Times New Roman"/>
      <w:sz w:val="24"/>
    </w:rPr>
  </w:style>
  <w:style w:type="paragraph" w:styleId="ListBullet3">
    <w:name w:val="List Bullet 3"/>
    <w:basedOn w:val="Normal"/>
    <w:uiPriority w:val="99"/>
    <w:semiHidden/>
    <w:unhideWhenUsed/>
    <w:rsid w:val="29DEDBAE"/>
    <w:pPr>
      <w:keepNext/>
      <w:numPr>
        <w:numId w:val="17"/>
      </w:numPr>
      <w:spacing w:before="40" w:after="0"/>
      <w:contextualSpacing/>
      <w:jc w:val="both"/>
    </w:pPr>
    <w:rPr>
      <w:rFonts w:ascii="Times New Roman" w:eastAsiaTheme="minorEastAsia" w:hAnsi="Times New Roman" w:cs="Times New Roman"/>
      <w:sz w:val="24"/>
    </w:rPr>
  </w:style>
  <w:style w:type="paragraph" w:styleId="ListBullet4">
    <w:name w:val="List Bullet 4"/>
    <w:basedOn w:val="Normal"/>
    <w:uiPriority w:val="99"/>
    <w:semiHidden/>
    <w:unhideWhenUsed/>
    <w:rsid w:val="29DEDBAE"/>
    <w:pPr>
      <w:keepNext/>
      <w:numPr>
        <w:numId w:val="18"/>
      </w:numPr>
      <w:spacing w:before="40" w:after="0"/>
      <w:contextualSpacing/>
      <w:jc w:val="both"/>
    </w:pPr>
    <w:rPr>
      <w:rFonts w:ascii="Times New Roman" w:eastAsiaTheme="minorEastAsia" w:hAnsi="Times New Roman" w:cs="Times New Roman"/>
      <w:sz w:val="24"/>
    </w:rPr>
  </w:style>
  <w:style w:type="paragraph" w:styleId="CommentSubject">
    <w:name w:val="annotation subject"/>
    <w:basedOn w:val="CommentText"/>
    <w:next w:val="CommentText"/>
    <w:link w:val="CommentSubjectChar"/>
    <w:uiPriority w:val="99"/>
    <w:semiHidden/>
    <w:unhideWhenUsed/>
    <w:rsid w:val="00B4580D"/>
    <w:rPr>
      <w:b/>
    </w:rPr>
  </w:style>
  <w:style w:type="character" w:customStyle="1" w:styleId="CommentSubjectChar">
    <w:name w:val="Comment Subject Char"/>
    <w:basedOn w:val="CommentTextChar"/>
    <w:link w:val="CommentSubject"/>
    <w:uiPriority w:val="99"/>
    <w:semiHidden/>
    <w:rsid w:val="00B4580D"/>
    <w:rPr>
      <w:rFonts w:ascii="Times New Roman" w:eastAsiaTheme="minorEastAsia" w:hAnsi="Times New Roman" w:cs="Times New Roman"/>
      <w:b/>
      <w:sz w:val="20"/>
    </w:rPr>
  </w:style>
  <w:style w:type="paragraph" w:styleId="Revision">
    <w:name w:val="Revision"/>
    <w:hidden/>
    <w:uiPriority w:val="99"/>
    <w:semiHidden/>
    <w:rsid w:val="00B4580D"/>
    <w:pPr>
      <w:spacing w:after="0" w:line="240" w:lineRule="auto"/>
    </w:pPr>
    <w:rPr>
      <w:rFonts w:ascii="Times New Roman" w:hAnsi="Times New Roman" w:cs="Times New Roman"/>
      <w:sz w:val="24"/>
    </w:rPr>
  </w:style>
  <w:style w:type="paragraph" w:customStyle="1" w:styleId="Default">
    <w:name w:val="Default"/>
    <w:rsid w:val="00B4580D"/>
    <w:pPr>
      <w:autoSpaceDE w:val="0"/>
      <w:autoSpaceDN w:val="0"/>
      <w:adjustRightInd w:val="0"/>
      <w:spacing w:after="0" w:line="240" w:lineRule="auto"/>
    </w:pPr>
    <w:rPr>
      <w:rFonts w:ascii="Times New Roman" w:hAnsi="Times New Roman" w:cs="Times New Roman"/>
      <w:color w:val="000000"/>
      <w:sz w:val="24"/>
    </w:rPr>
  </w:style>
  <w:style w:type="character" w:styleId="Hyperlink">
    <w:name w:val="Hyperlink"/>
    <w:basedOn w:val="DefaultParagraphFont"/>
    <w:uiPriority w:val="99"/>
    <w:unhideWhenUsed/>
    <w:rsid w:val="00B4580D"/>
    <w:rPr>
      <w:color w:val="0000FF" w:themeColor="hyperlink"/>
      <w:u w:val="single"/>
    </w:rPr>
  </w:style>
  <w:style w:type="paragraph" w:customStyle="1" w:styleId="paragraph">
    <w:name w:val="paragraph"/>
    <w:basedOn w:val="Normal"/>
    <w:rsid w:val="14F0B435"/>
    <w:pPr>
      <w:spacing w:beforeAutospacing="1" w:afterAutospacing="1"/>
      <w:ind w:left="851"/>
    </w:pPr>
    <w:rPr>
      <w:rFonts w:ascii="Times New Roman" w:eastAsia="Times New Roman" w:hAnsi="Times New Roman" w:cs="Times New Roman"/>
      <w:sz w:val="24"/>
    </w:rPr>
  </w:style>
  <w:style w:type="character" w:customStyle="1" w:styleId="normaltextrun">
    <w:name w:val="normaltextrun"/>
    <w:basedOn w:val="DefaultParagraphFont"/>
    <w:rsid w:val="00B4580D"/>
  </w:style>
  <w:style w:type="table" w:styleId="TableGrid">
    <w:name w:val="Table Grid"/>
    <w:basedOn w:val="TableNormal"/>
    <w:uiPriority w:val="59"/>
    <w:rsid w:val="00B458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rsid w:val="00B4580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2">
    <w:name w:val="Body text|2_"/>
    <w:basedOn w:val="DefaultParagraphFont"/>
    <w:link w:val="Bodytext20"/>
    <w:rsid w:val="00B4580D"/>
    <w:rPr>
      <w:rFonts w:ascii="Calibri" w:eastAsia="Calibri" w:hAnsi="Calibri" w:cs="Calibri"/>
      <w:sz w:val="21"/>
      <w:shd w:val="clear" w:color="auto" w:fill="FFFFFF"/>
    </w:rPr>
  </w:style>
  <w:style w:type="character" w:customStyle="1" w:styleId="Bodytext2Italic">
    <w:name w:val="Body text|2 + Italic"/>
    <w:basedOn w:val="Bodytext2"/>
    <w:semiHidden/>
    <w:unhideWhenUsed/>
    <w:rsid w:val="00B4580D"/>
    <w:rPr>
      <w:rFonts w:ascii="Calibri" w:eastAsia="Calibri" w:hAnsi="Calibri" w:cs="Calibri"/>
      <w:i/>
      <w:color w:val="000000"/>
      <w:position w:val="0"/>
      <w:sz w:val="21"/>
      <w:shd w:val="clear" w:color="auto" w:fill="FFFFFF"/>
    </w:rPr>
  </w:style>
  <w:style w:type="character" w:customStyle="1" w:styleId="Heading81">
    <w:name w:val="Heading #8|1_"/>
    <w:basedOn w:val="DefaultParagraphFont"/>
    <w:link w:val="Heading810"/>
    <w:rsid w:val="00B4580D"/>
    <w:rPr>
      <w:rFonts w:ascii="Calibri" w:eastAsia="Calibri" w:hAnsi="Calibri" w:cs="Calibri"/>
      <w:b/>
      <w:sz w:val="21"/>
      <w:shd w:val="clear" w:color="auto" w:fill="FFFFFF"/>
    </w:rPr>
  </w:style>
  <w:style w:type="paragraph" w:customStyle="1" w:styleId="Bodytext20">
    <w:name w:val="Body text|2"/>
    <w:basedOn w:val="Normal"/>
    <w:link w:val="Bodytext2"/>
    <w:qFormat/>
    <w:rsid w:val="00B4580D"/>
    <w:pPr>
      <w:widowControl w:val="0"/>
      <w:shd w:val="clear" w:color="auto" w:fill="FFFFFF"/>
      <w:spacing w:before="140" w:after="140" w:line="226" w:lineRule="exact"/>
      <w:ind w:hanging="640"/>
    </w:pPr>
    <w:rPr>
      <w:rFonts w:ascii="Calibri" w:eastAsia="Calibri" w:hAnsi="Calibri" w:cs="Calibri"/>
      <w:sz w:val="21"/>
    </w:rPr>
  </w:style>
  <w:style w:type="paragraph" w:customStyle="1" w:styleId="Heading810">
    <w:name w:val="Heading #8|1"/>
    <w:basedOn w:val="Normal"/>
    <w:link w:val="Heading81"/>
    <w:qFormat/>
    <w:rsid w:val="00B4580D"/>
    <w:pPr>
      <w:widowControl w:val="0"/>
      <w:shd w:val="clear" w:color="auto" w:fill="FFFFFF"/>
      <w:spacing w:before="120" w:after="0" w:line="256" w:lineRule="exact"/>
      <w:ind w:hanging="580"/>
      <w:outlineLvl w:val="7"/>
    </w:pPr>
    <w:rPr>
      <w:rFonts w:ascii="Calibri" w:eastAsia="Calibri" w:hAnsi="Calibri" w:cs="Calibri"/>
      <w:b/>
      <w:sz w:val="21"/>
    </w:rPr>
  </w:style>
  <w:style w:type="character" w:customStyle="1" w:styleId="eop">
    <w:name w:val="eop"/>
    <w:basedOn w:val="DefaultParagraphFont"/>
    <w:rsid w:val="00B4580D"/>
  </w:style>
  <w:style w:type="character" w:customStyle="1" w:styleId="Heading81NotBold">
    <w:name w:val="Heading #8|1 + Not Bold"/>
    <w:basedOn w:val="Heading81"/>
    <w:semiHidden/>
    <w:unhideWhenUsed/>
    <w:rsid w:val="00B4580D"/>
    <w:rPr>
      <w:rFonts w:ascii="Calibri" w:eastAsia="Calibri" w:hAnsi="Calibri" w:cs="Calibri"/>
      <w:b/>
      <w:i w:val="0"/>
      <w:smallCaps w:val="0"/>
      <w:strike w:val="0"/>
      <w:color w:val="000000"/>
      <w:position w:val="0"/>
      <w:sz w:val="21"/>
      <w:u w:val="none"/>
      <w:shd w:val="clear" w:color="auto" w:fill="FFFFFF"/>
    </w:rPr>
  </w:style>
  <w:style w:type="character" w:customStyle="1" w:styleId="Bodytext2Bold">
    <w:name w:val="Body text|2 + Bold"/>
    <w:basedOn w:val="Bodytext2"/>
    <w:semiHidden/>
    <w:unhideWhenUsed/>
    <w:rsid w:val="00B4580D"/>
    <w:rPr>
      <w:rFonts w:ascii="Calibri" w:eastAsia="Calibri" w:hAnsi="Calibri" w:cs="Calibri"/>
      <w:b/>
      <w:i w:val="0"/>
      <w:smallCaps w:val="0"/>
      <w:strike w:val="0"/>
      <w:color w:val="000000"/>
      <w:position w:val="0"/>
      <w:sz w:val="21"/>
      <w:u w:val="none"/>
      <w:shd w:val="clear" w:color="auto" w:fill="FFFFFF"/>
    </w:rPr>
  </w:style>
  <w:style w:type="character" w:customStyle="1" w:styleId="Bodytext2Arial95ptBold">
    <w:name w:val="Body text|2 + Arial;9.5 pt;Bold"/>
    <w:basedOn w:val="Bodytext2"/>
    <w:semiHidden/>
    <w:unhideWhenUsed/>
    <w:rsid w:val="00B4580D"/>
    <w:rPr>
      <w:rFonts w:ascii="Arial" w:eastAsia="Arial" w:hAnsi="Arial" w:cs="Arial"/>
      <w:b/>
      <w:i w:val="0"/>
      <w:smallCaps w:val="0"/>
      <w:strike w:val="0"/>
      <w:color w:val="000000"/>
      <w:position w:val="0"/>
      <w:sz w:val="19"/>
      <w:u w:val="none"/>
      <w:shd w:val="clear" w:color="auto" w:fill="FFFFFF"/>
    </w:rPr>
  </w:style>
  <w:style w:type="character" w:customStyle="1" w:styleId="Tablecaption7">
    <w:name w:val="Table caption|7_"/>
    <w:basedOn w:val="DefaultParagraphFont"/>
    <w:link w:val="Tablecaption70"/>
    <w:rsid w:val="00B4580D"/>
    <w:rPr>
      <w:rFonts w:ascii="Calibri" w:eastAsia="Calibri" w:hAnsi="Calibri" w:cs="Calibri"/>
      <w:sz w:val="21"/>
      <w:shd w:val="clear" w:color="auto" w:fill="FFFFFF"/>
    </w:rPr>
  </w:style>
  <w:style w:type="character" w:customStyle="1" w:styleId="Heading71NotBold">
    <w:name w:val="Heading #7|1 + Not Bold"/>
    <w:basedOn w:val="DefaultParagraphFont"/>
    <w:semiHidden/>
    <w:unhideWhenUsed/>
    <w:rsid w:val="00B4580D"/>
    <w:rPr>
      <w:rFonts w:ascii="Calibri" w:eastAsia="Calibri" w:hAnsi="Calibri" w:cs="Calibri"/>
      <w:b/>
      <w:i w:val="0"/>
      <w:smallCaps w:val="0"/>
      <w:strike w:val="0"/>
      <w:color w:val="000000"/>
      <w:position w:val="0"/>
      <w:sz w:val="21"/>
      <w:u w:val="none"/>
    </w:rPr>
  </w:style>
  <w:style w:type="paragraph" w:customStyle="1" w:styleId="Tablecaption70">
    <w:name w:val="Table caption|7"/>
    <w:basedOn w:val="Normal"/>
    <w:link w:val="Tablecaption7"/>
    <w:rsid w:val="00B4580D"/>
    <w:pPr>
      <w:widowControl w:val="0"/>
      <w:shd w:val="clear" w:color="auto" w:fill="FFFFFF"/>
      <w:spacing w:after="0" w:line="256" w:lineRule="exact"/>
    </w:pPr>
    <w:rPr>
      <w:rFonts w:ascii="Calibri" w:eastAsia="Calibri" w:hAnsi="Calibri" w:cs="Calibri"/>
      <w:sz w:val="21"/>
    </w:rPr>
  </w:style>
  <w:style w:type="paragraph" w:customStyle="1" w:styleId="LegalNumPar">
    <w:name w:val="LegalNumPar"/>
    <w:basedOn w:val="Normal"/>
    <w:uiPriority w:val="1"/>
    <w:rsid w:val="14F0B435"/>
    <w:pPr>
      <w:keepNext/>
      <w:spacing w:before="40" w:after="0"/>
      <w:ind w:left="476" w:hanging="476"/>
      <w:jc w:val="both"/>
    </w:pPr>
    <w:rPr>
      <w:rFonts w:ascii="Times New Roman" w:eastAsiaTheme="minorEastAsia" w:hAnsi="Times New Roman" w:cs="Times New Roman"/>
      <w:sz w:val="24"/>
    </w:rPr>
  </w:style>
  <w:style w:type="paragraph" w:customStyle="1" w:styleId="LegalNumPar2">
    <w:name w:val="LegalNumPar2"/>
    <w:basedOn w:val="Normal"/>
    <w:uiPriority w:val="1"/>
    <w:rsid w:val="14F0B435"/>
    <w:pPr>
      <w:keepNext/>
      <w:spacing w:before="40" w:after="0"/>
      <w:ind w:left="953" w:hanging="477"/>
      <w:jc w:val="both"/>
    </w:pPr>
    <w:rPr>
      <w:rFonts w:ascii="Times New Roman" w:eastAsiaTheme="minorEastAsia" w:hAnsi="Times New Roman" w:cs="Times New Roman"/>
      <w:sz w:val="24"/>
    </w:rPr>
  </w:style>
  <w:style w:type="paragraph" w:customStyle="1" w:styleId="LegalNumPar3">
    <w:name w:val="LegalNumPar3"/>
    <w:basedOn w:val="Normal"/>
    <w:uiPriority w:val="1"/>
    <w:rsid w:val="14F0B435"/>
    <w:pPr>
      <w:keepNext/>
      <w:spacing w:before="40" w:after="0"/>
      <w:ind w:left="1429" w:hanging="476"/>
      <w:jc w:val="both"/>
    </w:pPr>
    <w:rPr>
      <w:rFonts w:ascii="Times New Roman" w:eastAsiaTheme="minorEastAsia" w:hAnsi="Times New Roman" w:cs="Times New Roman"/>
      <w:sz w:val="24"/>
    </w:rPr>
  </w:style>
  <w:style w:type="paragraph" w:styleId="NormalWeb">
    <w:name w:val="Normal (Web)"/>
    <w:basedOn w:val="Normal"/>
    <w:uiPriority w:val="99"/>
    <w:semiHidden/>
    <w:unhideWhenUsed/>
    <w:rsid w:val="14F0B435"/>
    <w:pPr>
      <w:spacing w:beforeAutospacing="1" w:afterAutospacing="1"/>
    </w:pPr>
    <w:rPr>
      <w:rFonts w:ascii="Times New Roman" w:eastAsia="Times New Roman" w:hAnsi="Times New Roman" w:cs="Times New Roman"/>
      <w:sz w:val="24"/>
    </w:rPr>
  </w:style>
  <w:style w:type="character" w:styleId="Strong">
    <w:name w:val="Strong"/>
    <w:basedOn w:val="DefaultParagraphFont"/>
    <w:uiPriority w:val="22"/>
    <w:qFormat/>
    <w:rsid w:val="00B4580D"/>
    <w:rPr>
      <w:b/>
    </w:rPr>
  </w:style>
  <w:style w:type="character" w:customStyle="1" w:styleId="h5">
    <w:name w:val="h5"/>
    <w:basedOn w:val="DefaultParagraphFont"/>
    <w:rsid w:val="00B4580D"/>
  </w:style>
  <w:style w:type="character" w:customStyle="1" w:styleId="viiyi">
    <w:name w:val="viiyi"/>
    <w:basedOn w:val="DefaultParagraphFont"/>
    <w:rsid w:val="00B4580D"/>
  </w:style>
  <w:style w:type="character" w:customStyle="1" w:styleId="jlqj4b">
    <w:name w:val="jlqj4b"/>
    <w:basedOn w:val="DefaultParagraphFont"/>
    <w:rsid w:val="00B4580D"/>
  </w:style>
  <w:style w:type="paragraph" w:customStyle="1" w:styleId="oj-doc-ti">
    <w:name w:val="oj-doc-ti"/>
    <w:basedOn w:val="Normal"/>
    <w:uiPriority w:val="1"/>
    <w:rsid w:val="14F0B435"/>
    <w:pPr>
      <w:spacing w:beforeAutospacing="1" w:afterAutospacing="1"/>
    </w:pPr>
    <w:rPr>
      <w:rFonts w:ascii="Times New Roman" w:eastAsia="Times New Roman" w:hAnsi="Times New Roman" w:cs="Times New Roman"/>
      <w:sz w:val="24"/>
    </w:rPr>
  </w:style>
  <w:style w:type="character" w:customStyle="1" w:styleId="acopre">
    <w:name w:val="acopre"/>
    <w:basedOn w:val="DefaultParagraphFont"/>
    <w:rsid w:val="00B4580D"/>
  </w:style>
  <w:style w:type="character" w:styleId="FollowedHyperlink">
    <w:name w:val="FollowedHyperlink"/>
    <w:basedOn w:val="DefaultParagraphFont"/>
    <w:uiPriority w:val="99"/>
    <w:semiHidden/>
    <w:unhideWhenUsed/>
    <w:rsid w:val="00B4580D"/>
    <w:rPr>
      <w:color w:val="800080" w:themeColor="followedHyperlink"/>
      <w:u w:val="single"/>
    </w:rPr>
  </w:style>
  <w:style w:type="character" w:styleId="PlaceholderText">
    <w:name w:val="Placeholder Text"/>
    <w:basedOn w:val="DefaultParagraphFont"/>
    <w:uiPriority w:val="99"/>
    <w:semiHidden/>
    <w:rsid w:val="00B4580D"/>
    <w:rPr>
      <w:color w:val="808080"/>
    </w:rPr>
  </w:style>
  <w:style w:type="paragraph" w:customStyle="1" w:styleId="FooterCoverPage">
    <w:name w:val="Footer Cover Page"/>
    <w:basedOn w:val="Normal"/>
    <w:link w:val="FooterCoverPageChar"/>
    <w:uiPriority w:val="1"/>
    <w:rsid w:val="14F0B435"/>
    <w:pPr>
      <w:keepNext/>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uiPriority w:val="1"/>
    <w:rsid w:val="00B4580D"/>
    <w:rPr>
      <w:rFonts w:ascii="Times New Roman" w:hAnsi="Times New Roman" w:cs="Times New Roman"/>
      <w:sz w:val="24"/>
    </w:rPr>
  </w:style>
  <w:style w:type="paragraph" w:customStyle="1" w:styleId="HeaderCoverPage">
    <w:name w:val="Header Cover Page"/>
    <w:basedOn w:val="Normal"/>
    <w:link w:val="HeaderCoverPageChar"/>
    <w:uiPriority w:val="1"/>
    <w:rsid w:val="14F0B435"/>
    <w:pPr>
      <w:keepNext/>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uiPriority w:val="1"/>
    <w:rsid w:val="00B4580D"/>
    <w:rPr>
      <w:rFonts w:ascii="Times New Roman" w:hAnsi="Times New Roman" w:cs="Times New Roman"/>
      <w:sz w:val="24"/>
    </w:rPr>
  </w:style>
  <w:style w:type="paragraph" w:styleId="NoSpacing">
    <w:name w:val="No Spacing"/>
    <w:uiPriority w:val="1"/>
    <w:qFormat/>
    <w:rsid w:val="00B4580D"/>
    <w:pPr>
      <w:spacing w:after="0" w:line="240" w:lineRule="auto"/>
    </w:pPr>
  </w:style>
  <w:style w:type="paragraph" w:customStyle="1" w:styleId="TechnicalBlock">
    <w:name w:val="Technical Block"/>
    <w:basedOn w:val="Pagedecouverture"/>
    <w:link w:val="TechnicalBlockChar"/>
    <w:uiPriority w:val="1"/>
    <w:rsid w:val="14F0B435"/>
    <w:pPr>
      <w:spacing w:after="240"/>
      <w:jc w:val="center"/>
    </w:pPr>
  </w:style>
  <w:style w:type="character" w:customStyle="1" w:styleId="PagedecouvertureChar">
    <w:name w:val="Page de couverture Char"/>
    <w:basedOn w:val="DefaultParagraphFont"/>
    <w:link w:val="Pagedecouverture"/>
    <w:uiPriority w:val="1"/>
    <w:rsid w:val="00B4580D"/>
    <w:rPr>
      <w:rFonts w:ascii="Times New Roman" w:eastAsiaTheme="minorEastAsia" w:hAnsi="Times New Roman" w:cs="Times New Roman"/>
      <w:sz w:val="24"/>
    </w:rPr>
  </w:style>
  <w:style w:type="character" w:customStyle="1" w:styleId="TechnicalBlockChar">
    <w:name w:val="Technical Block Char"/>
    <w:basedOn w:val="PagedecouvertureChar"/>
    <w:link w:val="TechnicalBlock"/>
    <w:uiPriority w:val="1"/>
    <w:rsid w:val="00B4580D"/>
    <w:rPr>
      <w:rFonts w:ascii="Times New Roman" w:eastAsiaTheme="minorEastAsia" w:hAnsi="Times New Roman" w:cs="Times New Roman"/>
      <w:sz w:val="24"/>
    </w:rPr>
  </w:style>
  <w:style w:type="paragraph" w:customStyle="1" w:styleId="EntText">
    <w:name w:val="EntText"/>
    <w:basedOn w:val="Normal"/>
    <w:uiPriority w:val="1"/>
    <w:rsid w:val="14F0B435"/>
    <w:pPr>
      <w:spacing w:before="120" w:after="120"/>
    </w:pPr>
    <w:rPr>
      <w:rFonts w:ascii="Times New Roman" w:eastAsiaTheme="minorEastAsia" w:hAnsi="Times New Roman" w:cs="Times New Roman"/>
      <w:sz w:val="24"/>
    </w:rPr>
  </w:style>
  <w:style w:type="paragraph" w:customStyle="1" w:styleId="Lignefinal">
    <w:name w:val="Ligne final"/>
    <w:basedOn w:val="Normal"/>
    <w:next w:val="Normal"/>
    <w:uiPriority w:val="1"/>
    <w:rsid w:val="14F0B435"/>
    <w:pPr>
      <w:spacing w:before="360" w:after="120"/>
      <w:ind w:left="3400" w:right="3400"/>
      <w:jc w:val="center"/>
    </w:pPr>
    <w:rPr>
      <w:rFonts w:ascii="Times New Roman" w:eastAsiaTheme="minorEastAsia" w:hAnsi="Times New Roman" w:cs="Times New Roman"/>
      <w:b/>
      <w:sz w:val="24"/>
    </w:rPr>
  </w:style>
  <w:style w:type="paragraph" w:customStyle="1" w:styleId="pj">
    <w:name w:val="p.j."/>
    <w:basedOn w:val="Normal"/>
    <w:link w:val="pjChar"/>
    <w:uiPriority w:val="1"/>
    <w:rsid w:val="14F0B435"/>
    <w:pPr>
      <w:spacing w:before="1200" w:after="120"/>
      <w:ind w:left="1440" w:hanging="1440"/>
    </w:pPr>
    <w:rPr>
      <w:rFonts w:ascii="Times New Roman" w:eastAsiaTheme="minorEastAsia" w:hAnsi="Times New Roman" w:cs="Times New Roman"/>
      <w:sz w:val="24"/>
    </w:rPr>
  </w:style>
  <w:style w:type="character" w:customStyle="1" w:styleId="pjChar">
    <w:name w:val="p.j. Char"/>
    <w:basedOn w:val="PagedecouvertureChar"/>
    <w:link w:val="pj"/>
    <w:uiPriority w:val="1"/>
    <w:rsid w:val="00B4580D"/>
    <w:rPr>
      <w:rFonts w:ascii="Times New Roman" w:eastAsiaTheme="minorEastAsia" w:hAnsi="Times New Roman" w:cs="Times New Roman"/>
      <w:sz w:val="24"/>
    </w:rPr>
  </w:style>
  <w:style w:type="paragraph" w:customStyle="1" w:styleId="nbbordered">
    <w:name w:val="nb bordered"/>
    <w:basedOn w:val="Normal"/>
    <w:link w:val="nbborderedChar"/>
    <w:uiPriority w:val="1"/>
    <w:rsid w:val="14F0B435"/>
    <w:pPr>
      <w:spacing w:after="160"/>
      <w:ind w:left="480" w:hanging="480"/>
    </w:pPr>
    <w:rPr>
      <w:rFonts w:ascii="Times New Roman" w:eastAsiaTheme="minorEastAsia" w:hAnsi="Times New Roman" w:cs="Times New Roman"/>
      <w:b/>
      <w:sz w:val="24"/>
    </w:rPr>
  </w:style>
  <w:style w:type="character" w:customStyle="1" w:styleId="nbborderedChar">
    <w:name w:val="nb bordered Char"/>
    <w:basedOn w:val="PagedecouvertureChar"/>
    <w:link w:val="nbbordered"/>
    <w:uiPriority w:val="1"/>
    <w:rsid w:val="00B4580D"/>
    <w:rPr>
      <w:rFonts w:ascii="Times New Roman" w:eastAsiaTheme="minorEastAsia" w:hAnsi="Times New Roman" w:cs="Times New Roman"/>
      <w:b/>
      <w:sz w:val="24"/>
    </w:rPr>
  </w:style>
  <w:style w:type="paragraph" w:customStyle="1" w:styleId="HeaderCouncil">
    <w:name w:val="Header Council"/>
    <w:basedOn w:val="Normal"/>
    <w:link w:val="HeaderCouncilChar"/>
    <w:uiPriority w:val="1"/>
    <w:rsid w:val="00B4580D"/>
    <w:pPr>
      <w:spacing w:after="0"/>
    </w:pPr>
    <w:rPr>
      <w:sz w:val="2"/>
    </w:rPr>
  </w:style>
  <w:style w:type="character" w:customStyle="1" w:styleId="HeaderCouncilChar">
    <w:name w:val="Header Council Char"/>
    <w:basedOn w:val="DefaultParagraphFont"/>
    <w:link w:val="HeaderCouncil"/>
    <w:rsid w:val="00B4580D"/>
    <w:rPr>
      <w:sz w:val="2"/>
    </w:rPr>
  </w:style>
  <w:style w:type="paragraph" w:customStyle="1" w:styleId="HeaderCouncilLarge">
    <w:name w:val="Header Council Large"/>
    <w:basedOn w:val="Normal"/>
    <w:link w:val="HeaderCouncilLargeChar"/>
    <w:uiPriority w:val="1"/>
    <w:rsid w:val="00B4580D"/>
    <w:pPr>
      <w:spacing w:after="440"/>
    </w:pPr>
    <w:rPr>
      <w:sz w:val="2"/>
    </w:rPr>
  </w:style>
  <w:style w:type="character" w:customStyle="1" w:styleId="HeaderCouncilLargeChar">
    <w:name w:val="Header Council Large Char"/>
    <w:basedOn w:val="DefaultParagraphFont"/>
    <w:link w:val="HeaderCouncilLarge"/>
    <w:rsid w:val="00B4580D"/>
    <w:rPr>
      <w:sz w:val="2"/>
    </w:rPr>
  </w:style>
  <w:style w:type="paragraph" w:customStyle="1" w:styleId="FooterCouncil">
    <w:name w:val="Footer Council"/>
    <w:basedOn w:val="Normal"/>
    <w:link w:val="FooterCouncilChar"/>
    <w:uiPriority w:val="1"/>
    <w:rsid w:val="00B4580D"/>
    <w:pPr>
      <w:spacing w:after="0"/>
    </w:pPr>
    <w:rPr>
      <w:sz w:val="2"/>
    </w:rPr>
  </w:style>
  <w:style w:type="character" w:customStyle="1" w:styleId="FooterCouncilChar">
    <w:name w:val="Footer Council Char"/>
    <w:basedOn w:val="DefaultParagraphFont"/>
    <w:link w:val="FooterCouncil"/>
    <w:rsid w:val="00B4580D"/>
    <w:rPr>
      <w:sz w:val="2"/>
    </w:rPr>
  </w:style>
  <w:style w:type="paragraph" w:customStyle="1" w:styleId="FooterText">
    <w:name w:val="Footer Text"/>
    <w:basedOn w:val="Normal"/>
    <w:uiPriority w:val="1"/>
    <w:rsid w:val="14F0B435"/>
    <w:pPr>
      <w:spacing w:after="0"/>
    </w:pPr>
    <w:rPr>
      <w:rFonts w:ascii="Times New Roman" w:eastAsia="Times New Roman" w:hAnsi="Times New Roman" w:cs="Times New Roman"/>
      <w:sz w:val="24"/>
    </w:rPr>
  </w:style>
  <w:style w:type="character" w:customStyle="1" w:styleId="Bodytext1">
    <w:name w:val="Body text|1_"/>
    <w:basedOn w:val="DefaultParagraphFont"/>
    <w:link w:val="Bodytext10"/>
    <w:rsid w:val="001707B2"/>
    <w:rPr>
      <w:rFonts w:ascii="Arial" w:eastAsia="Arial" w:hAnsi="Arial" w:cs="Arial"/>
      <w:sz w:val="20"/>
    </w:rPr>
  </w:style>
  <w:style w:type="paragraph" w:customStyle="1" w:styleId="Bodytext10">
    <w:name w:val="Body text|1"/>
    <w:basedOn w:val="Normal"/>
    <w:link w:val="Bodytext1"/>
    <w:rsid w:val="001707B2"/>
    <w:pPr>
      <w:widowControl w:val="0"/>
      <w:spacing w:after="260"/>
    </w:pPr>
    <w:rPr>
      <w:rFonts w:ascii="Arial" w:eastAsia="Arial" w:hAnsi="Arial" w:cs="Arial"/>
      <w:sz w:val="20"/>
    </w:rPr>
  </w:style>
  <w:style w:type="character" w:customStyle="1" w:styleId="Other1">
    <w:name w:val="Other|1_"/>
    <w:basedOn w:val="DefaultParagraphFont"/>
    <w:link w:val="Other10"/>
    <w:rsid w:val="00B24A83"/>
    <w:rPr>
      <w:rFonts w:ascii="Arial" w:eastAsia="Arial" w:hAnsi="Arial" w:cs="Arial"/>
      <w:sz w:val="20"/>
    </w:rPr>
  </w:style>
  <w:style w:type="paragraph" w:customStyle="1" w:styleId="Other10">
    <w:name w:val="Other|1"/>
    <w:basedOn w:val="Normal"/>
    <w:link w:val="Other1"/>
    <w:rsid w:val="00B24A83"/>
    <w:pPr>
      <w:widowControl w:val="0"/>
      <w:spacing w:after="0"/>
    </w:pPr>
    <w:rPr>
      <w:rFonts w:ascii="Arial" w:eastAsia="Arial" w:hAnsi="Arial" w:cs="Arial"/>
      <w:sz w:val="20"/>
    </w:rPr>
  </w:style>
  <w:style w:type="character" w:customStyle="1" w:styleId="Mention1">
    <w:name w:val="Mention1"/>
    <w:basedOn w:val="DefaultParagraphFont"/>
    <w:uiPriority w:val="99"/>
    <w:unhideWhenUsed/>
    <w:rsid w:val="005109BE"/>
    <w:rPr>
      <w:color w:val="2B579A"/>
      <w:shd w:val="clear" w:color="auto" w:fill="E6E6E6"/>
    </w:rPr>
  </w:style>
  <w:style w:type="character" w:customStyle="1" w:styleId="UnresolvedMention1">
    <w:name w:val="Unresolved Mention1"/>
    <w:basedOn w:val="DefaultParagraphFont"/>
    <w:uiPriority w:val="99"/>
    <w:unhideWhenUsed/>
    <w:rsid w:val="005109BE"/>
    <w:rPr>
      <w:color w:val="605E5C"/>
      <w:shd w:val="clear" w:color="auto" w:fill="E1DFDD"/>
    </w:rPr>
  </w:style>
  <w:style w:type="character" w:customStyle="1" w:styleId="UnresolvedMention2">
    <w:name w:val="Unresolved Mention2"/>
    <w:basedOn w:val="DefaultParagraphFont"/>
    <w:uiPriority w:val="99"/>
    <w:unhideWhenUsed/>
    <w:rsid w:val="00BE3CE5"/>
    <w:rPr>
      <w:color w:val="605E5C"/>
      <w:shd w:val="clear" w:color="auto" w:fill="E1DFDD"/>
    </w:rPr>
  </w:style>
  <w:style w:type="character" w:customStyle="1" w:styleId="Mention2">
    <w:name w:val="Mention2"/>
    <w:basedOn w:val="DefaultParagraphFont"/>
    <w:uiPriority w:val="99"/>
    <w:unhideWhenUsed/>
    <w:rsid w:val="00BE3CE5"/>
    <w:rPr>
      <w:color w:val="2B579A"/>
      <w:shd w:val="clear" w:color="auto" w:fill="E1DFDD"/>
    </w:rPr>
  </w:style>
  <w:style w:type="character" w:customStyle="1" w:styleId="Heading5Char">
    <w:name w:val="Heading 5 Char"/>
    <w:basedOn w:val="DefaultParagraphFont"/>
    <w:link w:val="Heading5"/>
    <w:uiPriority w:val="9"/>
    <w:rsid w:val="00510B5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510B5B"/>
    <w:rPr>
      <w:rFonts w:asciiTheme="majorHAnsi" w:eastAsiaTheme="majorEastAsia" w:hAnsiTheme="majorHAnsi" w:cstheme="majorBidi"/>
      <w:color w:val="243F60"/>
    </w:rPr>
  </w:style>
  <w:style w:type="character" w:customStyle="1" w:styleId="Heading7Char">
    <w:name w:val="Heading 7 Char"/>
    <w:basedOn w:val="DefaultParagraphFont"/>
    <w:link w:val="Heading7"/>
    <w:uiPriority w:val="9"/>
    <w:rsid w:val="00510B5B"/>
    <w:rPr>
      <w:rFonts w:asciiTheme="majorHAnsi" w:eastAsiaTheme="majorEastAsia" w:hAnsiTheme="majorHAnsi" w:cstheme="majorBidi"/>
      <w:i/>
      <w:color w:val="243F60"/>
    </w:rPr>
  </w:style>
  <w:style w:type="character" w:customStyle="1" w:styleId="Heading8Char">
    <w:name w:val="Heading 8 Char"/>
    <w:basedOn w:val="DefaultParagraphFont"/>
    <w:link w:val="Heading8"/>
    <w:uiPriority w:val="9"/>
    <w:rsid w:val="00510B5B"/>
    <w:rPr>
      <w:rFonts w:asciiTheme="majorHAnsi" w:eastAsiaTheme="majorEastAsia" w:hAnsiTheme="majorHAnsi" w:cstheme="majorBidi"/>
      <w:color w:val="272727"/>
      <w:sz w:val="21"/>
    </w:rPr>
  </w:style>
  <w:style w:type="character" w:customStyle="1" w:styleId="Heading9Char">
    <w:name w:val="Heading 9 Char"/>
    <w:basedOn w:val="DefaultParagraphFont"/>
    <w:link w:val="Heading9"/>
    <w:uiPriority w:val="9"/>
    <w:rsid w:val="00510B5B"/>
    <w:rPr>
      <w:rFonts w:asciiTheme="majorHAnsi" w:eastAsiaTheme="majorEastAsia" w:hAnsiTheme="majorHAnsi" w:cstheme="majorBidi"/>
      <w:i/>
      <w:color w:val="272727"/>
      <w:sz w:val="21"/>
    </w:rPr>
  </w:style>
  <w:style w:type="paragraph" w:styleId="Title">
    <w:name w:val="Title"/>
    <w:basedOn w:val="Normal"/>
    <w:next w:val="Normal"/>
    <w:link w:val="TitleChar"/>
    <w:uiPriority w:val="10"/>
    <w:qFormat/>
    <w:rsid w:val="00510B5B"/>
    <w:pPr>
      <w:spacing w:after="0"/>
      <w:contextualSpacing/>
    </w:pPr>
    <w:rPr>
      <w:rFonts w:asciiTheme="majorHAnsi" w:eastAsiaTheme="majorEastAsia" w:hAnsiTheme="majorHAnsi" w:cstheme="majorBidi"/>
      <w:sz w:val="56"/>
    </w:rPr>
  </w:style>
  <w:style w:type="character" w:customStyle="1" w:styleId="TitleChar">
    <w:name w:val="Title Char"/>
    <w:basedOn w:val="DefaultParagraphFont"/>
    <w:link w:val="Title"/>
    <w:uiPriority w:val="10"/>
    <w:rsid w:val="00510B5B"/>
    <w:rPr>
      <w:rFonts w:asciiTheme="majorHAnsi" w:eastAsiaTheme="majorEastAsia" w:hAnsiTheme="majorHAnsi" w:cstheme="majorBidi"/>
      <w:sz w:val="56"/>
    </w:rPr>
  </w:style>
  <w:style w:type="paragraph" w:styleId="Subtitle">
    <w:name w:val="Subtitle"/>
    <w:basedOn w:val="Normal"/>
    <w:next w:val="Normal"/>
    <w:link w:val="SubtitleChar"/>
    <w:uiPriority w:val="11"/>
    <w:qFormat/>
    <w:rsid w:val="00510B5B"/>
    <w:rPr>
      <w:rFonts w:eastAsiaTheme="minorEastAsia"/>
      <w:color w:val="5A5A5A"/>
    </w:rPr>
  </w:style>
  <w:style w:type="character" w:customStyle="1" w:styleId="SubtitleChar">
    <w:name w:val="Subtitle Char"/>
    <w:basedOn w:val="DefaultParagraphFont"/>
    <w:link w:val="Subtitle"/>
    <w:uiPriority w:val="11"/>
    <w:rsid w:val="00510B5B"/>
    <w:rPr>
      <w:rFonts w:eastAsiaTheme="minorEastAsia"/>
      <w:color w:val="5A5A5A"/>
    </w:rPr>
  </w:style>
  <w:style w:type="paragraph" w:styleId="Quote">
    <w:name w:val="Quote"/>
    <w:basedOn w:val="Normal"/>
    <w:next w:val="Normal"/>
    <w:link w:val="QuoteChar"/>
    <w:uiPriority w:val="29"/>
    <w:qFormat/>
    <w:rsid w:val="00510B5B"/>
    <w:pPr>
      <w:spacing w:before="200"/>
      <w:ind w:left="864" w:right="864"/>
      <w:jc w:val="center"/>
    </w:pPr>
    <w:rPr>
      <w:i/>
      <w:color w:val="404040" w:themeColor="text1" w:themeTint="BF"/>
    </w:rPr>
  </w:style>
  <w:style w:type="character" w:customStyle="1" w:styleId="QuoteChar">
    <w:name w:val="Quote Char"/>
    <w:basedOn w:val="DefaultParagraphFont"/>
    <w:link w:val="Quote"/>
    <w:uiPriority w:val="29"/>
    <w:rsid w:val="00510B5B"/>
    <w:rPr>
      <w:i/>
      <w:color w:val="404040" w:themeColor="text1" w:themeTint="BF"/>
    </w:rPr>
  </w:style>
  <w:style w:type="paragraph" w:styleId="IntenseQuote">
    <w:name w:val="Intense Quote"/>
    <w:basedOn w:val="Normal"/>
    <w:next w:val="Normal"/>
    <w:link w:val="IntenseQuoteChar"/>
    <w:uiPriority w:val="30"/>
    <w:qFormat/>
    <w:rsid w:val="00510B5B"/>
    <w:pPr>
      <w:spacing w:before="360" w:after="360"/>
      <w:ind w:left="864" w:right="864"/>
      <w:jc w:val="center"/>
    </w:pPr>
    <w:rPr>
      <w:i/>
      <w:color w:val="4F81BD" w:themeColor="accent1"/>
    </w:rPr>
  </w:style>
  <w:style w:type="character" w:customStyle="1" w:styleId="IntenseQuoteChar">
    <w:name w:val="Intense Quote Char"/>
    <w:basedOn w:val="DefaultParagraphFont"/>
    <w:link w:val="IntenseQuote"/>
    <w:uiPriority w:val="30"/>
    <w:rsid w:val="00510B5B"/>
    <w:rPr>
      <w:i/>
      <w:color w:val="4F81BD" w:themeColor="accent1"/>
    </w:rPr>
  </w:style>
  <w:style w:type="paragraph" w:styleId="EndnoteText">
    <w:name w:val="endnote text"/>
    <w:basedOn w:val="Normal"/>
    <w:link w:val="EndnoteTextChar"/>
    <w:uiPriority w:val="99"/>
    <w:semiHidden/>
    <w:unhideWhenUsed/>
    <w:rsid w:val="00510B5B"/>
    <w:pPr>
      <w:spacing w:after="0"/>
    </w:pPr>
    <w:rPr>
      <w:sz w:val="20"/>
    </w:rPr>
  </w:style>
  <w:style w:type="character" w:customStyle="1" w:styleId="EndnoteTextChar">
    <w:name w:val="Endnote Text Char"/>
    <w:basedOn w:val="DefaultParagraphFont"/>
    <w:link w:val="EndnoteText"/>
    <w:uiPriority w:val="99"/>
    <w:semiHidden/>
    <w:rsid w:val="00510B5B"/>
    <w:rPr>
      <w:sz w:val="20"/>
    </w:rPr>
  </w:style>
  <w:style w:type="character" w:customStyle="1" w:styleId="findhit">
    <w:name w:val="findhit"/>
    <w:basedOn w:val="DefaultParagraphFont"/>
    <w:rsid w:val="00510B5B"/>
  </w:style>
  <w:style w:type="character" w:customStyle="1" w:styleId="Mention3">
    <w:name w:val="Mention3"/>
    <w:basedOn w:val="DefaultParagraphFont"/>
    <w:uiPriority w:val="99"/>
    <w:unhideWhenUsed/>
    <w:rsid w:val="000776D0"/>
    <w:rPr>
      <w:color w:val="2B579A"/>
      <w:shd w:val="clear" w:color="auto" w:fill="E6E6E6"/>
    </w:rPr>
  </w:style>
  <w:style w:type="character" w:customStyle="1" w:styleId="UnresolvedMention3">
    <w:name w:val="Unresolved Mention3"/>
    <w:basedOn w:val="DefaultParagraphFont"/>
    <w:uiPriority w:val="99"/>
    <w:unhideWhenUsed/>
    <w:rsid w:val="000776D0"/>
    <w:rPr>
      <w:color w:val="605E5C"/>
      <w:shd w:val="clear" w:color="auto" w:fill="E1DFDD"/>
    </w:rPr>
  </w:style>
  <w:style w:type="character" w:customStyle="1" w:styleId="UnresolvedMention4">
    <w:name w:val="Unresolved Mention4"/>
    <w:basedOn w:val="DefaultParagraphFont"/>
    <w:uiPriority w:val="99"/>
    <w:unhideWhenUsed/>
    <w:rsid w:val="00234BD4"/>
    <w:rPr>
      <w:color w:val="605E5C"/>
      <w:shd w:val="clear" w:color="auto" w:fill="E1DFDD"/>
    </w:rPr>
  </w:style>
  <w:style w:type="character" w:customStyle="1" w:styleId="Mention4">
    <w:name w:val="Mention4"/>
    <w:basedOn w:val="DefaultParagraphFont"/>
    <w:uiPriority w:val="99"/>
    <w:unhideWhenUsed/>
    <w:rsid w:val="00234BD4"/>
    <w:rPr>
      <w:color w:val="2B579A"/>
      <w:shd w:val="clear" w:color="auto" w:fill="E1DFDD"/>
    </w:rPr>
  </w:style>
  <w:style w:type="paragraph" w:customStyle="1" w:styleId="commentcontentpara">
    <w:name w:val="commentcontentpara"/>
    <w:basedOn w:val="Normal"/>
    <w:rsid w:val="00AC7B48"/>
    <w:pPr>
      <w:spacing w:before="100" w:beforeAutospacing="1" w:after="100" w:afterAutospacing="1" w:line="240" w:lineRule="auto"/>
    </w:pPr>
    <w:rPr>
      <w:rFonts w:ascii="Times New Roman" w:eastAsia="Times New Roman" w:hAnsi="Times New Roman" w:cs="Times New Roman"/>
      <w:sz w:val="24"/>
    </w:rPr>
  </w:style>
  <w:style w:type="character" w:customStyle="1" w:styleId="Bodytext3">
    <w:name w:val="Body text|3_"/>
    <w:basedOn w:val="DefaultParagraphFont"/>
    <w:link w:val="Bodytext30"/>
    <w:rsid w:val="00D66508"/>
    <w:rPr>
      <w:rFonts w:ascii="@MS Mincho" w:eastAsia="@MS Mincho" w:hAnsi="@MS Mincho" w:cs="@MS Mincho"/>
      <w:sz w:val="20"/>
    </w:rPr>
  </w:style>
  <w:style w:type="paragraph" w:customStyle="1" w:styleId="Bodytext30">
    <w:name w:val="Body text|3"/>
    <w:basedOn w:val="Normal"/>
    <w:link w:val="Bodytext3"/>
    <w:rsid w:val="00D66508"/>
    <w:pPr>
      <w:widowControl w:val="0"/>
      <w:spacing w:after="140" w:line="293" w:lineRule="auto"/>
    </w:pPr>
    <w:rPr>
      <w:rFonts w:ascii="@MS Mincho" w:eastAsia="@MS Mincho" w:hAnsi="@MS Mincho" w:cs="@MS Mincho"/>
      <w:sz w:val="20"/>
    </w:rPr>
  </w:style>
  <w:style w:type="character" w:customStyle="1" w:styleId="Mention5">
    <w:name w:val="Mention5"/>
    <w:basedOn w:val="DefaultParagraphFont"/>
    <w:uiPriority w:val="99"/>
    <w:unhideWhenUsed/>
    <w:rsid w:val="002671B2"/>
    <w:rPr>
      <w:color w:val="2B579A"/>
      <w:shd w:val="clear" w:color="auto" w:fill="E1DFDD"/>
    </w:rPr>
  </w:style>
  <w:style w:type="character" w:customStyle="1" w:styleId="UnresolvedMention5">
    <w:name w:val="Unresolved Mention5"/>
    <w:basedOn w:val="DefaultParagraphFont"/>
    <w:uiPriority w:val="99"/>
    <w:unhideWhenUsed/>
    <w:rsid w:val="002671B2"/>
    <w:rPr>
      <w:color w:val="605E5C"/>
      <w:shd w:val="clear" w:color="auto" w:fill="E1DFDD"/>
    </w:rPr>
  </w:style>
  <w:style w:type="character" w:customStyle="1" w:styleId="Mention6">
    <w:name w:val="Mention6"/>
    <w:basedOn w:val="DefaultParagraphFont"/>
    <w:uiPriority w:val="99"/>
    <w:unhideWhenUsed/>
    <w:rsid w:val="002671B2"/>
    <w:rPr>
      <w:color w:val="2B579A"/>
      <w:shd w:val="clear" w:color="auto" w:fill="E1DFDD"/>
    </w:rPr>
  </w:style>
  <w:style w:type="character" w:customStyle="1" w:styleId="Mention7">
    <w:name w:val="Mention7"/>
    <w:basedOn w:val="DefaultParagraphFont"/>
    <w:uiPriority w:val="99"/>
    <w:unhideWhenUsed/>
    <w:rsid w:val="001349D8"/>
    <w:rPr>
      <w:color w:val="2B579A"/>
      <w:shd w:val="clear" w:color="auto" w:fill="E6E6E6"/>
    </w:rPr>
  </w:style>
  <w:style w:type="character" w:customStyle="1" w:styleId="Mention">
    <w:name w:val="Mention"/>
    <w:basedOn w:val="DefaultParagraphFont"/>
    <w:uiPriority w:val="99"/>
    <w:unhideWhenUsed/>
    <w:rsid w:val="00F94BC6"/>
    <w:rPr>
      <w:color w:val="2B579A"/>
      <w:shd w:val="clear" w:color="auto" w:fill="E1DFDD"/>
    </w:rPr>
  </w:style>
  <w:style w:type="paragraph" w:customStyle="1" w:styleId="NumPar5">
    <w:name w:val="NumPar 5"/>
    <w:basedOn w:val="Normal"/>
    <w:next w:val="Normal"/>
    <w:rsid w:val="00DC1162"/>
    <w:pPr>
      <w:tabs>
        <w:tab w:val="num" w:pos="1417"/>
      </w:tabs>
      <w:spacing w:before="120" w:after="120" w:line="240" w:lineRule="auto"/>
      <w:ind w:left="1417" w:hanging="1417"/>
      <w:jc w:val="both"/>
    </w:pPr>
    <w:rPr>
      <w:rFonts w:ascii="Times New Roman" w:hAnsi="Times New Roman" w:cs="Times New Roman"/>
      <w:sz w:val="24"/>
    </w:rPr>
  </w:style>
  <w:style w:type="paragraph" w:customStyle="1" w:styleId="NumPar6">
    <w:name w:val="NumPar 6"/>
    <w:basedOn w:val="Normal"/>
    <w:next w:val="Normal"/>
    <w:rsid w:val="00DC1162"/>
    <w:pPr>
      <w:tabs>
        <w:tab w:val="num" w:pos="1417"/>
      </w:tabs>
      <w:spacing w:before="120" w:after="120" w:line="240" w:lineRule="auto"/>
      <w:ind w:left="1417" w:hanging="1417"/>
      <w:jc w:val="both"/>
    </w:pPr>
    <w:rPr>
      <w:rFonts w:ascii="Times New Roman" w:hAnsi="Times New Roman" w:cs="Times New Roman"/>
      <w:sz w:val="24"/>
    </w:rPr>
  </w:style>
  <w:style w:type="paragraph" w:customStyle="1" w:styleId="NumPar7">
    <w:name w:val="NumPar 7"/>
    <w:basedOn w:val="Normal"/>
    <w:next w:val="Normal"/>
    <w:rsid w:val="00DC1162"/>
    <w:pPr>
      <w:tabs>
        <w:tab w:val="num" w:pos="1417"/>
      </w:tabs>
      <w:spacing w:before="120" w:after="120" w:line="240" w:lineRule="auto"/>
      <w:ind w:left="1417" w:hanging="1417"/>
      <w:jc w:val="both"/>
    </w:pPr>
    <w:rPr>
      <w:rFonts w:ascii="Times New Roman" w:hAnsi="Times New Roman" w:cs="Times New Roman"/>
      <w:sz w:val="24"/>
    </w:rPr>
  </w:style>
  <w:style w:type="character" w:customStyle="1" w:styleId="Mention8">
    <w:name w:val="Mention8"/>
    <w:basedOn w:val="DefaultParagraphFont"/>
    <w:uiPriority w:val="99"/>
    <w:unhideWhenUsed/>
    <w:rsid w:val="00DC1162"/>
    <w:rPr>
      <w:color w:val="2B579A"/>
      <w:shd w:val="clear" w:color="auto" w:fill="E1DFDD"/>
    </w:rPr>
  </w:style>
  <w:style w:type="paragraph" w:customStyle="1" w:styleId="P68B1DB1-Normal1">
    <w:name w:val="P68B1DB1-Normal1"/>
    <w:basedOn w:val="Normal"/>
    <w:rPr>
      <w:rFonts w:ascii="Times New Roman" w:hAnsi="Times New Roman"/>
      <w:b/>
      <w:sz w:val="24"/>
    </w:rPr>
  </w:style>
  <w:style w:type="paragraph" w:customStyle="1" w:styleId="P68B1DB1-Normal2">
    <w:name w:val="P68B1DB1-Normal2"/>
    <w:basedOn w:val="Normal"/>
    <w:rPr>
      <w:rFonts w:ascii="Times New Roman" w:hAnsi="Times New Roman"/>
      <w:b/>
      <w:smallCaps/>
      <w:sz w:val="24"/>
    </w:rPr>
  </w:style>
  <w:style w:type="paragraph" w:customStyle="1" w:styleId="P68B1DB1-Normal3">
    <w:name w:val="P68B1DB1-Normal3"/>
    <w:basedOn w:val="Normal"/>
    <w:rPr>
      <w:rFonts w:ascii="Times New Roman" w:hAnsi="Times New Roman"/>
      <w:b/>
      <w:sz w:val="24"/>
      <w:u w:val="single"/>
    </w:rPr>
  </w:style>
  <w:style w:type="paragraph" w:customStyle="1" w:styleId="P68B1DB1-Normal4">
    <w:name w:val="P68B1DB1-Normal4"/>
    <w:basedOn w:val="Normal"/>
    <w:rPr>
      <w:rFonts w:ascii="Times New Roman" w:hAnsi="Times New Roman"/>
      <w:sz w:val="24"/>
    </w:rPr>
  </w:style>
  <w:style w:type="paragraph" w:customStyle="1" w:styleId="P68B1DB1-Normal5">
    <w:name w:val="P68B1DB1-Normal5"/>
    <w:basedOn w:val="Normal"/>
    <w:rPr>
      <w:rFonts w:ascii="Times New Roman" w:hAnsi="Times New Roman"/>
      <w:sz w:val="24"/>
      <w:u w:val="single"/>
    </w:rPr>
  </w:style>
  <w:style w:type="paragraph" w:customStyle="1" w:styleId="P68B1DB1-Normal6">
    <w:name w:val="P68B1DB1-Normal6"/>
    <w:basedOn w:val="Normal"/>
    <w:rPr>
      <w:rFonts w:ascii="Times New Roman" w:hAnsi="Times New Roman"/>
      <w:b/>
      <w:sz w:val="18"/>
    </w:rPr>
  </w:style>
  <w:style w:type="paragraph" w:customStyle="1" w:styleId="P68B1DB1-Normal7">
    <w:name w:val="P68B1DB1-Normal7"/>
    <w:basedOn w:val="Normal"/>
    <w:rPr>
      <w:rFonts w:ascii="Calibri" w:hAnsi="Calibri"/>
      <w:b/>
      <w:sz w:val="16"/>
    </w:rPr>
  </w:style>
  <w:style w:type="paragraph" w:customStyle="1" w:styleId="P68B1DB1-Normal8">
    <w:name w:val="P68B1DB1-Normal8"/>
    <w:basedOn w:val="Normal"/>
    <w:rPr>
      <w:rFonts w:ascii="Calibri" w:hAnsi="Calibri"/>
      <w:sz w:val="16"/>
    </w:rPr>
  </w:style>
  <w:style w:type="paragraph" w:customStyle="1" w:styleId="P68B1DB1-Normal9">
    <w:name w:val="P68B1DB1-Normal9"/>
    <w:basedOn w:val="Normal"/>
    <w:rPr>
      <w:rFonts w:ascii="Calibri" w:hAnsi="Calibri"/>
    </w:rPr>
  </w:style>
  <w:style w:type="paragraph" w:customStyle="1" w:styleId="P68B1DB1-Normal10">
    <w:name w:val="P68B1DB1-Normal10"/>
    <w:basedOn w:val="Normal"/>
    <w:rPr>
      <w:rFonts w:ascii="Calibri" w:hAnsi="Calibri"/>
      <w:sz w:val="16"/>
      <w:shd w:val="clear" w:color="auto" w:fill="E6E6E6"/>
    </w:rPr>
  </w:style>
  <w:style w:type="paragraph" w:customStyle="1" w:styleId="P68B1DB1-Normal11">
    <w:name w:val="P68B1DB1-Normal11"/>
    <w:basedOn w:val="Normal"/>
    <w:rPr>
      <w:b/>
      <w:sz w:val="16"/>
    </w:rPr>
  </w:style>
  <w:style w:type="paragraph" w:customStyle="1" w:styleId="P68B1DB1-Normal12">
    <w:name w:val="P68B1DB1-Normal12"/>
    <w:basedOn w:val="Normal"/>
    <w:rPr>
      <w:sz w:val="16"/>
    </w:rPr>
  </w:style>
  <w:style w:type="paragraph" w:customStyle="1" w:styleId="P68B1DB1-Bodytext1013">
    <w:name w:val="P68B1DB1-Bodytext1013"/>
    <w:basedOn w:val="Bodytext10"/>
    <w:rPr>
      <w:rFonts w:asciiTheme="minorHAnsi" w:hAnsiTheme="minorHAnsi"/>
      <w:sz w:val="16"/>
    </w:rPr>
  </w:style>
  <w:style w:type="paragraph" w:customStyle="1" w:styleId="P68B1DB1-Heading214">
    <w:name w:val="P68B1DB1-Heading214"/>
    <w:basedOn w:val="Heading2"/>
    <w:rPr>
      <w:b w:val="0"/>
    </w:rPr>
  </w:style>
  <w:style w:type="paragraph" w:customStyle="1" w:styleId="P68B1DB1-Normal15">
    <w:name w:val="P68B1DB1-Normal15"/>
    <w:basedOn w:val="Normal"/>
    <w:rPr>
      <w:rFonts w:ascii="Calibri" w:hAnsi="Calibri"/>
      <w:sz w:val="2"/>
    </w:rPr>
  </w:style>
  <w:style w:type="paragraph" w:customStyle="1" w:styleId="P68B1DB1-Normal16">
    <w:name w:val="P68B1DB1-Normal16"/>
    <w:basedOn w:val="Normal"/>
    <w:rPr>
      <w:rFonts w:ascii="Times New Roman" w:hAnsi="Times New Roman"/>
      <w:sz w:val="18"/>
    </w:rPr>
  </w:style>
  <w:style w:type="paragraph" w:customStyle="1" w:styleId="P68B1DB1-Normal17">
    <w:name w:val="P68B1DB1-Normal17"/>
    <w:basedOn w:val="Normal"/>
    <w:rPr>
      <w:sz w:val="24"/>
    </w:rPr>
  </w:style>
  <w:style w:type="paragraph" w:customStyle="1" w:styleId="P68B1DB1-Bodytext1018">
    <w:name w:val="P68B1DB1-Bodytext1018"/>
    <w:basedOn w:val="Bodytext10"/>
    <w:rPr>
      <w:rFonts w:ascii="Calibri" w:hAnsi="Calibri"/>
      <w:sz w:val="16"/>
    </w:rPr>
  </w:style>
  <w:style w:type="paragraph" w:customStyle="1" w:styleId="P68B1DB1-Normal19">
    <w:name w:val="P68B1DB1-Normal19"/>
    <w:basedOn w:val="Normal"/>
    <w:rPr>
      <w:rFonts w:ascii="Times New Roman" w:hAnsi="Times New Roman"/>
    </w:rPr>
  </w:style>
  <w:style w:type="paragraph" w:customStyle="1" w:styleId="P68B1DB1-Bodytext2020">
    <w:name w:val="P68B1DB1-Bodytext2020"/>
    <w:basedOn w:val="Bodytext20"/>
    <w:rPr>
      <w:rFonts w:ascii="Times New Roman" w:hAnsi="Times New Roman"/>
      <w:sz w:val="24"/>
    </w:rPr>
  </w:style>
  <w:style w:type="paragraph" w:customStyle="1" w:styleId="P68B1DB1-CommentText21">
    <w:name w:val="P68B1DB1-CommentText21"/>
    <w:basedOn w:val="CommentText"/>
    <w:rPr>
      <w:rFonts w:asciiTheme="minorHAnsi" w:hAnsiTheme="minorHAnsi"/>
      <w:sz w:val="16"/>
    </w:rPr>
  </w:style>
  <w:style w:type="paragraph" w:customStyle="1" w:styleId="P68B1DB1-Normal22">
    <w:name w:val="P68B1DB1-Normal22"/>
    <w:basedOn w:val="Normal"/>
    <w:rPr>
      <w:rFonts w:ascii="Times New Roman" w:hAnsi="Times New Roman"/>
      <w:b/>
      <w:sz w:val="20"/>
    </w:rPr>
  </w:style>
  <w:style w:type="paragraph" w:customStyle="1" w:styleId="P68B1DB1-Normal23">
    <w:name w:val="P68B1DB1-Normal23"/>
    <w:basedOn w:val="Normal"/>
    <w:rPr>
      <w:rFonts w:ascii="Calibri" w:hAnsi="Calibri"/>
      <w:sz w:val="18"/>
    </w:rPr>
  </w:style>
  <w:style w:type="paragraph" w:customStyle="1" w:styleId="P68B1DB1-Normal24">
    <w:name w:val="P68B1DB1-Normal24"/>
    <w:basedOn w:val="Normal"/>
    <w:rPr>
      <w:rFonts w:ascii="Calibri" w:hAnsi="Calibri"/>
      <w:sz w:val="20"/>
    </w:rPr>
  </w:style>
  <w:style w:type="paragraph" w:customStyle="1" w:styleId="P68B1DB1-Normal25">
    <w:name w:val="P68B1DB1-Normal25"/>
    <w:basedOn w:val="Normal"/>
    <w:rPr>
      <w:rFonts w:ascii="Calibri" w:hAnsi="Calibr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6115">
      <w:bodyDiv w:val="1"/>
      <w:marLeft w:val="0"/>
      <w:marRight w:val="0"/>
      <w:marTop w:val="0"/>
      <w:marBottom w:val="0"/>
      <w:divBdr>
        <w:top w:val="none" w:sz="0" w:space="0" w:color="auto"/>
        <w:left w:val="none" w:sz="0" w:space="0" w:color="auto"/>
        <w:bottom w:val="none" w:sz="0" w:space="0" w:color="auto"/>
        <w:right w:val="none" w:sz="0" w:space="0" w:color="auto"/>
      </w:divBdr>
    </w:div>
    <w:div w:id="93717856">
      <w:bodyDiv w:val="1"/>
      <w:marLeft w:val="0"/>
      <w:marRight w:val="0"/>
      <w:marTop w:val="0"/>
      <w:marBottom w:val="0"/>
      <w:divBdr>
        <w:top w:val="none" w:sz="0" w:space="0" w:color="auto"/>
        <w:left w:val="none" w:sz="0" w:space="0" w:color="auto"/>
        <w:bottom w:val="none" w:sz="0" w:space="0" w:color="auto"/>
        <w:right w:val="none" w:sz="0" w:space="0" w:color="auto"/>
      </w:divBdr>
    </w:div>
    <w:div w:id="105124908">
      <w:bodyDiv w:val="1"/>
      <w:marLeft w:val="0"/>
      <w:marRight w:val="0"/>
      <w:marTop w:val="0"/>
      <w:marBottom w:val="0"/>
      <w:divBdr>
        <w:top w:val="none" w:sz="0" w:space="0" w:color="auto"/>
        <w:left w:val="none" w:sz="0" w:space="0" w:color="auto"/>
        <w:bottom w:val="none" w:sz="0" w:space="0" w:color="auto"/>
        <w:right w:val="none" w:sz="0" w:space="0" w:color="auto"/>
      </w:divBdr>
    </w:div>
    <w:div w:id="106392739">
      <w:bodyDiv w:val="1"/>
      <w:marLeft w:val="0"/>
      <w:marRight w:val="0"/>
      <w:marTop w:val="0"/>
      <w:marBottom w:val="0"/>
      <w:divBdr>
        <w:top w:val="none" w:sz="0" w:space="0" w:color="auto"/>
        <w:left w:val="none" w:sz="0" w:space="0" w:color="auto"/>
        <w:bottom w:val="none" w:sz="0" w:space="0" w:color="auto"/>
        <w:right w:val="none" w:sz="0" w:space="0" w:color="auto"/>
      </w:divBdr>
    </w:div>
    <w:div w:id="160197138">
      <w:bodyDiv w:val="1"/>
      <w:marLeft w:val="0"/>
      <w:marRight w:val="0"/>
      <w:marTop w:val="0"/>
      <w:marBottom w:val="0"/>
      <w:divBdr>
        <w:top w:val="none" w:sz="0" w:space="0" w:color="auto"/>
        <w:left w:val="none" w:sz="0" w:space="0" w:color="auto"/>
        <w:bottom w:val="none" w:sz="0" w:space="0" w:color="auto"/>
        <w:right w:val="none" w:sz="0" w:space="0" w:color="auto"/>
      </w:divBdr>
    </w:div>
    <w:div w:id="173224192">
      <w:bodyDiv w:val="1"/>
      <w:marLeft w:val="0"/>
      <w:marRight w:val="0"/>
      <w:marTop w:val="0"/>
      <w:marBottom w:val="0"/>
      <w:divBdr>
        <w:top w:val="none" w:sz="0" w:space="0" w:color="auto"/>
        <w:left w:val="none" w:sz="0" w:space="0" w:color="auto"/>
        <w:bottom w:val="none" w:sz="0" w:space="0" w:color="auto"/>
        <w:right w:val="none" w:sz="0" w:space="0" w:color="auto"/>
      </w:divBdr>
    </w:div>
    <w:div w:id="195849102">
      <w:bodyDiv w:val="1"/>
      <w:marLeft w:val="0"/>
      <w:marRight w:val="0"/>
      <w:marTop w:val="0"/>
      <w:marBottom w:val="0"/>
      <w:divBdr>
        <w:top w:val="none" w:sz="0" w:space="0" w:color="auto"/>
        <w:left w:val="none" w:sz="0" w:space="0" w:color="auto"/>
        <w:bottom w:val="none" w:sz="0" w:space="0" w:color="auto"/>
        <w:right w:val="none" w:sz="0" w:space="0" w:color="auto"/>
      </w:divBdr>
    </w:div>
    <w:div w:id="236524132">
      <w:bodyDiv w:val="1"/>
      <w:marLeft w:val="0"/>
      <w:marRight w:val="0"/>
      <w:marTop w:val="0"/>
      <w:marBottom w:val="0"/>
      <w:divBdr>
        <w:top w:val="none" w:sz="0" w:space="0" w:color="auto"/>
        <w:left w:val="none" w:sz="0" w:space="0" w:color="auto"/>
        <w:bottom w:val="none" w:sz="0" w:space="0" w:color="auto"/>
        <w:right w:val="none" w:sz="0" w:space="0" w:color="auto"/>
      </w:divBdr>
    </w:div>
    <w:div w:id="241181868">
      <w:bodyDiv w:val="1"/>
      <w:marLeft w:val="0"/>
      <w:marRight w:val="0"/>
      <w:marTop w:val="0"/>
      <w:marBottom w:val="0"/>
      <w:divBdr>
        <w:top w:val="none" w:sz="0" w:space="0" w:color="auto"/>
        <w:left w:val="none" w:sz="0" w:space="0" w:color="auto"/>
        <w:bottom w:val="none" w:sz="0" w:space="0" w:color="auto"/>
        <w:right w:val="none" w:sz="0" w:space="0" w:color="auto"/>
      </w:divBdr>
    </w:div>
    <w:div w:id="243271335">
      <w:bodyDiv w:val="1"/>
      <w:marLeft w:val="0"/>
      <w:marRight w:val="0"/>
      <w:marTop w:val="0"/>
      <w:marBottom w:val="0"/>
      <w:divBdr>
        <w:top w:val="none" w:sz="0" w:space="0" w:color="auto"/>
        <w:left w:val="none" w:sz="0" w:space="0" w:color="auto"/>
        <w:bottom w:val="none" w:sz="0" w:space="0" w:color="auto"/>
        <w:right w:val="none" w:sz="0" w:space="0" w:color="auto"/>
      </w:divBdr>
    </w:div>
    <w:div w:id="361133139">
      <w:bodyDiv w:val="1"/>
      <w:marLeft w:val="0"/>
      <w:marRight w:val="0"/>
      <w:marTop w:val="0"/>
      <w:marBottom w:val="0"/>
      <w:divBdr>
        <w:top w:val="none" w:sz="0" w:space="0" w:color="auto"/>
        <w:left w:val="none" w:sz="0" w:space="0" w:color="auto"/>
        <w:bottom w:val="none" w:sz="0" w:space="0" w:color="auto"/>
        <w:right w:val="none" w:sz="0" w:space="0" w:color="auto"/>
      </w:divBdr>
    </w:div>
    <w:div w:id="399523781">
      <w:bodyDiv w:val="1"/>
      <w:marLeft w:val="0"/>
      <w:marRight w:val="0"/>
      <w:marTop w:val="0"/>
      <w:marBottom w:val="0"/>
      <w:divBdr>
        <w:top w:val="none" w:sz="0" w:space="0" w:color="auto"/>
        <w:left w:val="none" w:sz="0" w:space="0" w:color="auto"/>
        <w:bottom w:val="none" w:sz="0" w:space="0" w:color="auto"/>
        <w:right w:val="none" w:sz="0" w:space="0" w:color="auto"/>
      </w:divBdr>
    </w:div>
    <w:div w:id="401219657">
      <w:bodyDiv w:val="1"/>
      <w:marLeft w:val="0"/>
      <w:marRight w:val="0"/>
      <w:marTop w:val="0"/>
      <w:marBottom w:val="0"/>
      <w:divBdr>
        <w:top w:val="none" w:sz="0" w:space="0" w:color="auto"/>
        <w:left w:val="none" w:sz="0" w:space="0" w:color="auto"/>
        <w:bottom w:val="none" w:sz="0" w:space="0" w:color="auto"/>
        <w:right w:val="none" w:sz="0" w:space="0" w:color="auto"/>
      </w:divBdr>
    </w:div>
    <w:div w:id="441844892">
      <w:bodyDiv w:val="1"/>
      <w:marLeft w:val="0"/>
      <w:marRight w:val="0"/>
      <w:marTop w:val="0"/>
      <w:marBottom w:val="0"/>
      <w:divBdr>
        <w:top w:val="none" w:sz="0" w:space="0" w:color="auto"/>
        <w:left w:val="none" w:sz="0" w:space="0" w:color="auto"/>
        <w:bottom w:val="none" w:sz="0" w:space="0" w:color="auto"/>
        <w:right w:val="none" w:sz="0" w:space="0" w:color="auto"/>
      </w:divBdr>
    </w:div>
    <w:div w:id="535584251">
      <w:bodyDiv w:val="1"/>
      <w:marLeft w:val="0"/>
      <w:marRight w:val="0"/>
      <w:marTop w:val="0"/>
      <w:marBottom w:val="0"/>
      <w:divBdr>
        <w:top w:val="none" w:sz="0" w:space="0" w:color="auto"/>
        <w:left w:val="none" w:sz="0" w:space="0" w:color="auto"/>
        <w:bottom w:val="none" w:sz="0" w:space="0" w:color="auto"/>
        <w:right w:val="none" w:sz="0" w:space="0" w:color="auto"/>
      </w:divBdr>
      <w:divsChild>
        <w:div w:id="1283269662">
          <w:marLeft w:val="0"/>
          <w:marRight w:val="0"/>
          <w:marTop w:val="0"/>
          <w:marBottom w:val="0"/>
          <w:divBdr>
            <w:top w:val="none" w:sz="0" w:space="0" w:color="auto"/>
            <w:left w:val="none" w:sz="0" w:space="0" w:color="auto"/>
            <w:bottom w:val="none" w:sz="0" w:space="0" w:color="auto"/>
            <w:right w:val="none" w:sz="0" w:space="0" w:color="auto"/>
          </w:divBdr>
        </w:div>
      </w:divsChild>
    </w:div>
    <w:div w:id="572739600">
      <w:bodyDiv w:val="1"/>
      <w:marLeft w:val="0"/>
      <w:marRight w:val="0"/>
      <w:marTop w:val="0"/>
      <w:marBottom w:val="0"/>
      <w:divBdr>
        <w:top w:val="none" w:sz="0" w:space="0" w:color="auto"/>
        <w:left w:val="none" w:sz="0" w:space="0" w:color="auto"/>
        <w:bottom w:val="none" w:sz="0" w:space="0" w:color="auto"/>
        <w:right w:val="none" w:sz="0" w:space="0" w:color="auto"/>
      </w:divBdr>
    </w:div>
    <w:div w:id="578053008">
      <w:bodyDiv w:val="1"/>
      <w:marLeft w:val="0"/>
      <w:marRight w:val="0"/>
      <w:marTop w:val="0"/>
      <w:marBottom w:val="0"/>
      <w:divBdr>
        <w:top w:val="none" w:sz="0" w:space="0" w:color="auto"/>
        <w:left w:val="none" w:sz="0" w:space="0" w:color="auto"/>
        <w:bottom w:val="none" w:sz="0" w:space="0" w:color="auto"/>
        <w:right w:val="none" w:sz="0" w:space="0" w:color="auto"/>
      </w:divBdr>
    </w:div>
    <w:div w:id="598756477">
      <w:bodyDiv w:val="1"/>
      <w:marLeft w:val="0"/>
      <w:marRight w:val="0"/>
      <w:marTop w:val="0"/>
      <w:marBottom w:val="0"/>
      <w:divBdr>
        <w:top w:val="none" w:sz="0" w:space="0" w:color="auto"/>
        <w:left w:val="none" w:sz="0" w:space="0" w:color="auto"/>
        <w:bottom w:val="none" w:sz="0" w:space="0" w:color="auto"/>
        <w:right w:val="none" w:sz="0" w:space="0" w:color="auto"/>
      </w:divBdr>
    </w:div>
    <w:div w:id="621809595">
      <w:bodyDiv w:val="1"/>
      <w:marLeft w:val="0"/>
      <w:marRight w:val="0"/>
      <w:marTop w:val="0"/>
      <w:marBottom w:val="0"/>
      <w:divBdr>
        <w:top w:val="none" w:sz="0" w:space="0" w:color="auto"/>
        <w:left w:val="none" w:sz="0" w:space="0" w:color="auto"/>
        <w:bottom w:val="none" w:sz="0" w:space="0" w:color="auto"/>
        <w:right w:val="none" w:sz="0" w:space="0" w:color="auto"/>
      </w:divBdr>
    </w:div>
    <w:div w:id="809637549">
      <w:bodyDiv w:val="1"/>
      <w:marLeft w:val="0"/>
      <w:marRight w:val="0"/>
      <w:marTop w:val="0"/>
      <w:marBottom w:val="0"/>
      <w:divBdr>
        <w:top w:val="none" w:sz="0" w:space="0" w:color="auto"/>
        <w:left w:val="none" w:sz="0" w:space="0" w:color="auto"/>
        <w:bottom w:val="none" w:sz="0" w:space="0" w:color="auto"/>
        <w:right w:val="none" w:sz="0" w:space="0" w:color="auto"/>
      </w:divBdr>
    </w:div>
    <w:div w:id="811288788">
      <w:bodyDiv w:val="1"/>
      <w:marLeft w:val="0"/>
      <w:marRight w:val="0"/>
      <w:marTop w:val="0"/>
      <w:marBottom w:val="0"/>
      <w:divBdr>
        <w:top w:val="none" w:sz="0" w:space="0" w:color="auto"/>
        <w:left w:val="none" w:sz="0" w:space="0" w:color="auto"/>
        <w:bottom w:val="none" w:sz="0" w:space="0" w:color="auto"/>
        <w:right w:val="none" w:sz="0" w:space="0" w:color="auto"/>
      </w:divBdr>
    </w:div>
    <w:div w:id="815344484">
      <w:bodyDiv w:val="1"/>
      <w:marLeft w:val="0"/>
      <w:marRight w:val="0"/>
      <w:marTop w:val="0"/>
      <w:marBottom w:val="0"/>
      <w:divBdr>
        <w:top w:val="none" w:sz="0" w:space="0" w:color="auto"/>
        <w:left w:val="none" w:sz="0" w:space="0" w:color="auto"/>
        <w:bottom w:val="none" w:sz="0" w:space="0" w:color="auto"/>
        <w:right w:val="none" w:sz="0" w:space="0" w:color="auto"/>
      </w:divBdr>
    </w:div>
    <w:div w:id="816723792">
      <w:bodyDiv w:val="1"/>
      <w:marLeft w:val="0"/>
      <w:marRight w:val="0"/>
      <w:marTop w:val="0"/>
      <w:marBottom w:val="0"/>
      <w:divBdr>
        <w:top w:val="none" w:sz="0" w:space="0" w:color="auto"/>
        <w:left w:val="none" w:sz="0" w:space="0" w:color="auto"/>
        <w:bottom w:val="none" w:sz="0" w:space="0" w:color="auto"/>
        <w:right w:val="none" w:sz="0" w:space="0" w:color="auto"/>
      </w:divBdr>
      <w:divsChild>
        <w:div w:id="1773434833">
          <w:marLeft w:val="0"/>
          <w:marRight w:val="0"/>
          <w:marTop w:val="0"/>
          <w:marBottom w:val="0"/>
          <w:divBdr>
            <w:top w:val="none" w:sz="0" w:space="0" w:color="auto"/>
            <w:left w:val="none" w:sz="0" w:space="0" w:color="auto"/>
            <w:bottom w:val="none" w:sz="0" w:space="0" w:color="auto"/>
            <w:right w:val="none" w:sz="0" w:space="0" w:color="auto"/>
          </w:divBdr>
        </w:div>
      </w:divsChild>
    </w:div>
    <w:div w:id="850224950">
      <w:bodyDiv w:val="1"/>
      <w:marLeft w:val="0"/>
      <w:marRight w:val="0"/>
      <w:marTop w:val="0"/>
      <w:marBottom w:val="0"/>
      <w:divBdr>
        <w:top w:val="none" w:sz="0" w:space="0" w:color="auto"/>
        <w:left w:val="none" w:sz="0" w:space="0" w:color="auto"/>
        <w:bottom w:val="none" w:sz="0" w:space="0" w:color="auto"/>
        <w:right w:val="none" w:sz="0" w:space="0" w:color="auto"/>
      </w:divBdr>
      <w:divsChild>
        <w:div w:id="1094280320">
          <w:marLeft w:val="0"/>
          <w:marRight w:val="0"/>
          <w:marTop w:val="0"/>
          <w:marBottom w:val="0"/>
          <w:divBdr>
            <w:top w:val="none" w:sz="0" w:space="0" w:color="auto"/>
            <w:left w:val="none" w:sz="0" w:space="0" w:color="auto"/>
            <w:bottom w:val="none" w:sz="0" w:space="0" w:color="auto"/>
            <w:right w:val="none" w:sz="0" w:space="0" w:color="auto"/>
          </w:divBdr>
        </w:div>
      </w:divsChild>
    </w:div>
    <w:div w:id="876115162">
      <w:bodyDiv w:val="1"/>
      <w:marLeft w:val="0"/>
      <w:marRight w:val="0"/>
      <w:marTop w:val="0"/>
      <w:marBottom w:val="0"/>
      <w:divBdr>
        <w:top w:val="none" w:sz="0" w:space="0" w:color="auto"/>
        <w:left w:val="none" w:sz="0" w:space="0" w:color="auto"/>
        <w:bottom w:val="none" w:sz="0" w:space="0" w:color="auto"/>
        <w:right w:val="none" w:sz="0" w:space="0" w:color="auto"/>
      </w:divBdr>
    </w:div>
    <w:div w:id="905722726">
      <w:bodyDiv w:val="1"/>
      <w:marLeft w:val="0"/>
      <w:marRight w:val="0"/>
      <w:marTop w:val="0"/>
      <w:marBottom w:val="0"/>
      <w:divBdr>
        <w:top w:val="none" w:sz="0" w:space="0" w:color="auto"/>
        <w:left w:val="none" w:sz="0" w:space="0" w:color="auto"/>
        <w:bottom w:val="none" w:sz="0" w:space="0" w:color="auto"/>
        <w:right w:val="none" w:sz="0" w:space="0" w:color="auto"/>
      </w:divBdr>
    </w:div>
    <w:div w:id="925115020">
      <w:bodyDiv w:val="1"/>
      <w:marLeft w:val="0"/>
      <w:marRight w:val="0"/>
      <w:marTop w:val="0"/>
      <w:marBottom w:val="0"/>
      <w:divBdr>
        <w:top w:val="none" w:sz="0" w:space="0" w:color="auto"/>
        <w:left w:val="none" w:sz="0" w:space="0" w:color="auto"/>
        <w:bottom w:val="none" w:sz="0" w:space="0" w:color="auto"/>
        <w:right w:val="none" w:sz="0" w:space="0" w:color="auto"/>
      </w:divBdr>
    </w:div>
    <w:div w:id="959067621">
      <w:bodyDiv w:val="1"/>
      <w:marLeft w:val="0"/>
      <w:marRight w:val="0"/>
      <w:marTop w:val="0"/>
      <w:marBottom w:val="0"/>
      <w:divBdr>
        <w:top w:val="none" w:sz="0" w:space="0" w:color="auto"/>
        <w:left w:val="none" w:sz="0" w:space="0" w:color="auto"/>
        <w:bottom w:val="none" w:sz="0" w:space="0" w:color="auto"/>
        <w:right w:val="none" w:sz="0" w:space="0" w:color="auto"/>
      </w:divBdr>
      <w:divsChild>
        <w:div w:id="867137636">
          <w:marLeft w:val="0"/>
          <w:marRight w:val="0"/>
          <w:marTop w:val="0"/>
          <w:marBottom w:val="0"/>
          <w:divBdr>
            <w:top w:val="none" w:sz="0" w:space="0" w:color="auto"/>
            <w:left w:val="none" w:sz="0" w:space="0" w:color="auto"/>
            <w:bottom w:val="none" w:sz="0" w:space="0" w:color="auto"/>
            <w:right w:val="none" w:sz="0" w:space="0" w:color="auto"/>
          </w:divBdr>
        </w:div>
        <w:div w:id="959721263">
          <w:marLeft w:val="0"/>
          <w:marRight w:val="0"/>
          <w:marTop w:val="0"/>
          <w:marBottom w:val="0"/>
          <w:divBdr>
            <w:top w:val="none" w:sz="0" w:space="0" w:color="auto"/>
            <w:left w:val="none" w:sz="0" w:space="0" w:color="auto"/>
            <w:bottom w:val="none" w:sz="0" w:space="0" w:color="auto"/>
            <w:right w:val="none" w:sz="0" w:space="0" w:color="auto"/>
          </w:divBdr>
        </w:div>
      </w:divsChild>
    </w:div>
    <w:div w:id="1037973770">
      <w:bodyDiv w:val="1"/>
      <w:marLeft w:val="0"/>
      <w:marRight w:val="0"/>
      <w:marTop w:val="0"/>
      <w:marBottom w:val="0"/>
      <w:divBdr>
        <w:top w:val="none" w:sz="0" w:space="0" w:color="auto"/>
        <w:left w:val="none" w:sz="0" w:space="0" w:color="auto"/>
        <w:bottom w:val="none" w:sz="0" w:space="0" w:color="auto"/>
        <w:right w:val="none" w:sz="0" w:space="0" w:color="auto"/>
      </w:divBdr>
    </w:div>
    <w:div w:id="1077020176">
      <w:bodyDiv w:val="1"/>
      <w:marLeft w:val="0"/>
      <w:marRight w:val="0"/>
      <w:marTop w:val="0"/>
      <w:marBottom w:val="0"/>
      <w:divBdr>
        <w:top w:val="none" w:sz="0" w:space="0" w:color="auto"/>
        <w:left w:val="none" w:sz="0" w:space="0" w:color="auto"/>
        <w:bottom w:val="none" w:sz="0" w:space="0" w:color="auto"/>
        <w:right w:val="none" w:sz="0" w:space="0" w:color="auto"/>
      </w:divBdr>
    </w:div>
    <w:div w:id="1119762649">
      <w:bodyDiv w:val="1"/>
      <w:marLeft w:val="0"/>
      <w:marRight w:val="0"/>
      <w:marTop w:val="0"/>
      <w:marBottom w:val="0"/>
      <w:divBdr>
        <w:top w:val="none" w:sz="0" w:space="0" w:color="auto"/>
        <w:left w:val="none" w:sz="0" w:space="0" w:color="auto"/>
        <w:bottom w:val="none" w:sz="0" w:space="0" w:color="auto"/>
        <w:right w:val="none" w:sz="0" w:space="0" w:color="auto"/>
      </w:divBdr>
    </w:div>
    <w:div w:id="1126973197">
      <w:bodyDiv w:val="1"/>
      <w:marLeft w:val="0"/>
      <w:marRight w:val="0"/>
      <w:marTop w:val="0"/>
      <w:marBottom w:val="0"/>
      <w:divBdr>
        <w:top w:val="none" w:sz="0" w:space="0" w:color="auto"/>
        <w:left w:val="none" w:sz="0" w:space="0" w:color="auto"/>
        <w:bottom w:val="none" w:sz="0" w:space="0" w:color="auto"/>
        <w:right w:val="none" w:sz="0" w:space="0" w:color="auto"/>
      </w:divBdr>
    </w:div>
    <w:div w:id="1154102352">
      <w:bodyDiv w:val="1"/>
      <w:marLeft w:val="0"/>
      <w:marRight w:val="0"/>
      <w:marTop w:val="0"/>
      <w:marBottom w:val="0"/>
      <w:divBdr>
        <w:top w:val="none" w:sz="0" w:space="0" w:color="auto"/>
        <w:left w:val="none" w:sz="0" w:space="0" w:color="auto"/>
        <w:bottom w:val="none" w:sz="0" w:space="0" w:color="auto"/>
        <w:right w:val="none" w:sz="0" w:space="0" w:color="auto"/>
      </w:divBdr>
    </w:div>
    <w:div w:id="1215317537">
      <w:bodyDiv w:val="1"/>
      <w:marLeft w:val="0"/>
      <w:marRight w:val="0"/>
      <w:marTop w:val="0"/>
      <w:marBottom w:val="0"/>
      <w:divBdr>
        <w:top w:val="none" w:sz="0" w:space="0" w:color="auto"/>
        <w:left w:val="none" w:sz="0" w:space="0" w:color="auto"/>
        <w:bottom w:val="none" w:sz="0" w:space="0" w:color="auto"/>
        <w:right w:val="none" w:sz="0" w:space="0" w:color="auto"/>
      </w:divBdr>
    </w:div>
    <w:div w:id="1233781754">
      <w:bodyDiv w:val="1"/>
      <w:marLeft w:val="0"/>
      <w:marRight w:val="0"/>
      <w:marTop w:val="0"/>
      <w:marBottom w:val="0"/>
      <w:divBdr>
        <w:top w:val="none" w:sz="0" w:space="0" w:color="auto"/>
        <w:left w:val="none" w:sz="0" w:space="0" w:color="auto"/>
        <w:bottom w:val="none" w:sz="0" w:space="0" w:color="auto"/>
        <w:right w:val="none" w:sz="0" w:space="0" w:color="auto"/>
      </w:divBdr>
    </w:div>
    <w:div w:id="1248003550">
      <w:bodyDiv w:val="1"/>
      <w:marLeft w:val="0"/>
      <w:marRight w:val="0"/>
      <w:marTop w:val="0"/>
      <w:marBottom w:val="0"/>
      <w:divBdr>
        <w:top w:val="none" w:sz="0" w:space="0" w:color="auto"/>
        <w:left w:val="none" w:sz="0" w:space="0" w:color="auto"/>
        <w:bottom w:val="none" w:sz="0" w:space="0" w:color="auto"/>
        <w:right w:val="none" w:sz="0" w:space="0" w:color="auto"/>
      </w:divBdr>
    </w:div>
    <w:div w:id="1261256812">
      <w:bodyDiv w:val="1"/>
      <w:marLeft w:val="0"/>
      <w:marRight w:val="0"/>
      <w:marTop w:val="0"/>
      <w:marBottom w:val="0"/>
      <w:divBdr>
        <w:top w:val="none" w:sz="0" w:space="0" w:color="auto"/>
        <w:left w:val="none" w:sz="0" w:space="0" w:color="auto"/>
        <w:bottom w:val="none" w:sz="0" w:space="0" w:color="auto"/>
        <w:right w:val="none" w:sz="0" w:space="0" w:color="auto"/>
      </w:divBdr>
    </w:div>
    <w:div w:id="1320188408">
      <w:bodyDiv w:val="1"/>
      <w:marLeft w:val="0"/>
      <w:marRight w:val="0"/>
      <w:marTop w:val="0"/>
      <w:marBottom w:val="0"/>
      <w:divBdr>
        <w:top w:val="none" w:sz="0" w:space="0" w:color="auto"/>
        <w:left w:val="none" w:sz="0" w:space="0" w:color="auto"/>
        <w:bottom w:val="none" w:sz="0" w:space="0" w:color="auto"/>
        <w:right w:val="none" w:sz="0" w:space="0" w:color="auto"/>
      </w:divBdr>
    </w:div>
    <w:div w:id="1351950884">
      <w:bodyDiv w:val="1"/>
      <w:marLeft w:val="0"/>
      <w:marRight w:val="0"/>
      <w:marTop w:val="0"/>
      <w:marBottom w:val="0"/>
      <w:divBdr>
        <w:top w:val="none" w:sz="0" w:space="0" w:color="auto"/>
        <w:left w:val="none" w:sz="0" w:space="0" w:color="auto"/>
        <w:bottom w:val="none" w:sz="0" w:space="0" w:color="auto"/>
        <w:right w:val="none" w:sz="0" w:space="0" w:color="auto"/>
      </w:divBdr>
    </w:div>
    <w:div w:id="1399551650">
      <w:bodyDiv w:val="1"/>
      <w:marLeft w:val="0"/>
      <w:marRight w:val="0"/>
      <w:marTop w:val="0"/>
      <w:marBottom w:val="0"/>
      <w:divBdr>
        <w:top w:val="none" w:sz="0" w:space="0" w:color="auto"/>
        <w:left w:val="none" w:sz="0" w:space="0" w:color="auto"/>
        <w:bottom w:val="none" w:sz="0" w:space="0" w:color="auto"/>
        <w:right w:val="none" w:sz="0" w:space="0" w:color="auto"/>
      </w:divBdr>
    </w:div>
    <w:div w:id="1543901368">
      <w:bodyDiv w:val="1"/>
      <w:marLeft w:val="0"/>
      <w:marRight w:val="0"/>
      <w:marTop w:val="0"/>
      <w:marBottom w:val="0"/>
      <w:divBdr>
        <w:top w:val="none" w:sz="0" w:space="0" w:color="auto"/>
        <w:left w:val="none" w:sz="0" w:space="0" w:color="auto"/>
        <w:bottom w:val="none" w:sz="0" w:space="0" w:color="auto"/>
        <w:right w:val="none" w:sz="0" w:space="0" w:color="auto"/>
      </w:divBdr>
    </w:div>
    <w:div w:id="1561750171">
      <w:bodyDiv w:val="1"/>
      <w:marLeft w:val="0"/>
      <w:marRight w:val="0"/>
      <w:marTop w:val="0"/>
      <w:marBottom w:val="0"/>
      <w:divBdr>
        <w:top w:val="none" w:sz="0" w:space="0" w:color="auto"/>
        <w:left w:val="none" w:sz="0" w:space="0" w:color="auto"/>
        <w:bottom w:val="none" w:sz="0" w:space="0" w:color="auto"/>
        <w:right w:val="none" w:sz="0" w:space="0" w:color="auto"/>
      </w:divBdr>
    </w:div>
    <w:div w:id="1571765828">
      <w:bodyDiv w:val="1"/>
      <w:marLeft w:val="0"/>
      <w:marRight w:val="0"/>
      <w:marTop w:val="0"/>
      <w:marBottom w:val="0"/>
      <w:divBdr>
        <w:top w:val="none" w:sz="0" w:space="0" w:color="auto"/>
        <w:left w:val="none" w:sz="0" w:space="0" w:color="auto"/>
        <w:bottom w:val="none" w:sz="0" w:space="0" w:color="auto"/>
        <w:right w:val="none" w:sz="0" w:space="0" w:color="auto"/>
      </w:divBdr>
    </w:div>
    <w:div w:id="1577670648">
      <w:bodyDiv w:val="1"/>
      <w:marLeft w:val="0"/>
      <w:marRight w:val="0"/>
      <w:marTop w:val="0"/>
      <w:marBottom w:val="0"/>
      <w:divBdr>
        <w:top w:val="none" w:sz="0" w:space="0" w:color="auto"/>
        <w:left w:val="none" w:sz="0" w:space="0" w:color="auto"/>
        <w:bottom w:val="none" w:sz="0" w:space="0" w:color="auto"/>
        <w:right w:val="none" w:sz="0" w:space="0" w:color="auto"/>
      </w:divBdr>
    </w:div>
    <w:div w:id="1586300771">
      <w:bodyDiv w:val="1"/>
      <w:marLeft w:val="0"/>
      <w:marRight w:val="0"/>
      <w:marTop w:val="0"/>
      <w:marBottom w:val="0"/>
      <w:divBdr>
        <w:top w:val="none" w:sz="0" w:space="0" w:color="auto"/>
        <w:left w:val="none" w:sz="0" w:space="0" w:color="auto"/>
        <w:bottom w:val="none" w:sz="0" w:space="0" w:color="auto"/>
        <w:right w:val="none" w:sz="0" w:space="0" w:color="auto"/>
      </w:divBdr>
    </w:div>
    <w:div w:id="1593275867">
      <w:bodyDiv w:val="1"/>
      <w:marLeft w:val="0"/>
      <w:marRight w:val="0"/>
      <w:marTop w:val="0"/>
      <w:marBottom w:val="0"/>
      <w:divBdr>
        <w:top w:val="none" w:sz="0" w:space="0" w:color="auto"/>
        <w:left w:val="none" w:sz="0" w:space="0" w:color="auto"/>
        <w:bottom w:val="none" w:sz="0" w:space="0" w:color="auto"/>
        <w:right w:val="none" w:sz="0" w:space="0" w:color="auto"/>
      </w:divBdr>
    </w:div>
    <w:div w:id="1617172271">
      <w:bodyDiv w:val="1"/>
      <w:marLeft w:val="0"/>
      <w:marRight w:val="0"/>
      <w:marTop w:val="0"/>
      <w:marBottom w:val="0"/>
      <w:divBdr>
        <w:top w:val="none" w:sz="0" w:space="0" w:color="auto"/>
        <w:left w:val="none" w:sz="0" w:space="0" w:color="auto"/>
        <w:bottom w:val="none" w:sz="0" w:space="0" w:color="auto"/>
        <w:right w:val="none" w:sz="0" w:space="0" w:color="auto"/>
      </w:divBdr>
    </w:div>
    <w:div w:id="1667391532">
      <w:bodyDiv w:val="1"/>
      <w:marLeft w:val="0"/>
      <w:marRight w:val="0"/>
      <w:marTop w:val="0"/>
      <w:marBottom w:val="0"/>
      <w:divBdr>
        <w:top w:val="none" w:sz="0" w:space="0" w:color="auto"/>
        <w:left w:val="none" w:sz="0" w:space="0" w:color="auto"/>
        <w:bottom w:val="none" w:sz="0" w:space="0" w:color="auto"/>
        <w:right w:val="none" w:sz="0" w:space="0" w:color="auto"/>
      </w:divBdr>
    </w:div>
    <w:div w:id="1703094983">
      <w:bodyDiv w:val="1"/>
      <w:marLeft w:val="0"/>
      <w:marRight w:val="0"/>
      <w:marTop w:val="0"/>
      <w:marBottom w:val="0"/>
      <w:divBdr>
        <w:top w:val="none" w:sz="0" w:space="0" w:color="auto"/>
        <w:left w:val="none" w:sz="0" w:space="0" w:color="auto"/>
        <w:bottom w:val="none" w:sz="0" w:space="0" w:color="auto"/>
        <w:right w:val="none" w:sz="0" w:space="0" w:color="auto"/>
      </w:divBdr>
    </w:div>
    <w:div w:id="1802770173">
      <w:bodyDiv w:val="1"/>
      <w:marLeft w:val="0"/>
      <w:marRight w:val="0"/>
      <w:marTop w:val="0"/>
      <w:marBottom w:val="0"/>
      <w:divBdr>
        <w:top w:val="none" w:sz="0" w:space="0" w:color="auto"/>
        <w:left w:val="none" w:sz="0" w:space="0" w:color="auto"/>
        <w:bottom w:val="none" w:sz="0" w:space="0" w:color="auto"/>
        <w:right w:val="none" w:sz="0" w:space="0" w:color="auto"/>
      </w:divBdr>
    </w:div>
    <w:div w:id="1804539587">
      <w:bodyDiv w:val="1"/>
      <w:marLeft w:val="0"/>
      <w:marRight w:val="0"/>
      <w:marTop w:val="0"/>
      <w:marBottom w:val="0"/>
      <w:divBdr>
        <w:top w:val="none" w:sz="0" w:space="0" w:color="auto"/>
        <w:left w:val="none" w:sz="0" w:space="0" w:color="auto"/>
        <w:bottom w:val="none" w:sz="0" w:space="0" w:color="auto"/>
        <w:right w:val="none" w:sz="0" w:space="0" w:color="auto"/>
      </w:divBdr>
    </w:div>
    <w:div w:id="1836023479">
      <w:bodyDiv w:val="1"/>
      <w:marLeft w:val="0"/>
      <w:marRight w:val="0"/>
      <w:marTop w:val="0"/>
      <w:marBottom w:val="0"/>
      <w:divBdr>
        <w:top w:val="none" w:sz="0" w:space="0" w:color="auto"/>
        <w:left w:val="none" w:sz="0" w:space="0" w:color="auto"/>
        <w:bottom w:val="none" w:sz="0" w:space="0" w:color="auto"/>
        <w:right w:val="none" w:sz="0" w:space="0" w:color="auto"/>
      </w:divBdr>
    </w:div>
    <w:div w:id="1851674397">
      <w:bodyDiv w:val="1"/>
      <w:marLeft w:val="0"/>
      <w:marRight w:val="0"/>
      <w:marTop w:val="0"/>
      <w:marBottom w:val="0"/>
      <w:divBdr>
        <w:top w:val="none" w:sz="0" w:space="0" w:color="auto"/>
        <w:left w:val="none" w:sz="0" w:space="0" w:color="auto"/>
        <w:bottom w:val="none" w:sz="0" w:space="0" w:color="auto"/>
        <w:right w:val="none" w:sz="0" w:space="0" w:color="auto"/>
      </w:divBdr>
    </w:div>
    <w:div w:id="1924340328">
      <w:bodyDiv w:val="1"/>
      <w:marLeft w:val="0"/>
      <w:marRight w:val="0"/>
      <w:marTop w:val="0"/>
      <w:marBottom w:val="0"/>
      <w:divBdr>
        <w:top w:val="none" w:sz="0" w:space="0" w:color="auto"/>
        <w:left w:val="none" w:sz="0" w:space="0" w:color="auto"/>
        <w:bottom w:val="none" w:sz="0" w:space="0" w:color="auto"/>
        <w:right w:val="none" w:sz="0" w:space="0" w:color="auto"/>
      </w:divBdr>
      <w:divsChild>
        <w:div w:id="1846702775">
          <w:marLeft w:val="0"/>
          <w:marRight w:val="0"/>
          <w:marTop w:val="0"/>
          <w:marBottom w:val="0"/>
          <w:divBdr>
            <w:top w:val="none" w:sz="0" w:space="0" w:color="auto"/>
            <w:left w:val="none" w:sz="0" w:space="0" w:color="auto"/>
            <w:bottom w:val="none" w:sz="0" w:space="0" w:color="auto"/>
            <w:right w:val="none" w:sz="0" w:space="0" w:color="auto"/>
          </w:divBdr>
        </w:div>
        <w:div w:id="1924676225">
          <w:marLeft w:val="0"/>
          <w:marRight w:val="0"/>
          <w:marTop w:val="0"/>
          <w:marBottom w:val="0"/>
          <w:divBdr>
            <w:top w:val="none" w:sz="0" w:space="0" w:color="auto"/>
            <w:left w:val="none" w:sz="0" w:space="0" w:color="auto"/>
            <w:bottom w:val="none" w:sz="0" w:space="0" w:color="auto"/>
            <w:right w:val="none" w:sz="0" w:space="0" w:color="auto"/>
          </w:divBdr>
        </w:div>
      </w:divsChild>
    </w:div>
    <w:div w:id="1927419320">
      <w:bodyDiv w:val="1"/>
      <w:marLeft w:val="0"/>
      <w:marRight w:val="0"/>
      <w:marTop w:val="0"/>
      <w:marBottom w:val="0"/>
      <w:divBdr>
        <w:top w:val="none" w:sz="0" w:space="0" w:color="auto"/>
        <w:left w:val="none" w:sz="0" w:space="0" w:color="auto"/>
        <w:bottom w:val="none" w:sz="0" w:space="0" w:color="auto"/>
        <w:right w:val="none" w:sz="0" w:space="0" w:color="auto"/>
      </w:divBdr>
    </w:div>
    <w:div w:id="2031836471">
      <w:bodyDiv w:val="1"/>
      <w:marLeft w:val="0"/>
      <w:marRight w:val="0"/>
      <w:marTop w:val="0"/>
      <w:marBottom w:val="0"/>
      <w:divBdr>
        <w:top w:val="none" w:sz="0" w:space="0" w:color="auto"/>
        <w:left w:val="none" w:sz="0" w:space="0" w:color="auto"/>
        <w:bottom w:val="none" w:sz="0" w:space="0" w:color="auto"/>
        <w:right w:val="none" w:sz="0" w:space="0" w:color="auto"/>
      </w:divBdr>
    </w:div>
    <w:div w:id="203538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53.xml"/><Relationship Id="rId299" Type="http://schemas.openxmlformats.org/officeDocument/2006/relationships/footer" Target="footer144.xml"/><Relationship Id="rId21" Type="http://schemas.openxmlformats.org/officeDocument/2006/relationships/footer" Target="footer5.xml"/><Relationship Id="rId63" Type="http://schemas.openxmlformats.org/officeDocument/2006/relationships/footer" Target="footer26.xml"/><Relationship Id="rId159" Type="http://schemas.openxmlformats.org/officeDocument/2006/relationships/footer" Target="footer74.xml"/><Relationship Id="rId324" Type="http://schemas.openxmlformats.org/officeDocument/2006/relationships/header" Target="header157.xml"/><Relationship Id="rId366" Type="http://schemas.openxmlformats.org/officeDocument/2006/relationships/header" Target="header177.xml"/><Relationship Id="rId170" Type="http://schemas.openxmlformats.org/officeDocument/2006/relationships/footer" Target="footer79.xml"/><Relationship Id="rId226" Type="http://schemas.openxmlformats.org/officeDocument/2006/relationships/header" Target="header108.xml"/><Relationship Id="rId107" Type="http://schemas.openxmlformats.org/officeDocument/2006/relationships/footer" Target="footer48.xml"/><Relationship Id="rId268" Type="http://schemas.openxmlformats.org/officeDocument/2006/relationships/header" Target="header129.xml"/><Relationship Id="rId289" Type="http://schemas.openxmlformats.org/officeDocument/2006/relationships/header" Target="header140.xml"/><Relationship Id="rId11" Type="http://schemas.openxmlformats.org/officeDocument/2006/relationships/image" Target="media/image1.emf"/><Relationship Id="rId32" Type="http://schemas.openxmlformats.org/officeDocument/2006/relationships/footer" Target="footer10.xml"/><Relationship Id="rId53" Type="http://schemas.openxmlformats.org/officeDocument/2006/relationships/footer" Target="footer21.xml"/><Relationship Id="rId74" Type="http://schemas.openxmlformats.org/officeDocument/2006/relationships/footer" Target="footer31.xml"/><Relationship Id="rId128" Type="http://schemas.openxmlformats.org/officeDocument/2006/relationships/footer" Target="footer58.xml"/><Relationship Id="rId149" Type="http://schemas.openxmlformats.org/officeDocument/2006/relationships/footer" Target="footer69.xml"/><Relationship Id="rId314" Type="http://schemas.openxmlformats.org/officeDocument/2006/relationships/footer" Target="footer151.xml"/><Relationship Id="rId335" Type="http://schemas.openxmlformats.org/officeDocument/2006/relationships/footer" Target="footer162.xml"/><Relationship Id="rId356" Type="http://schemas.openxmlformats.org/officeDocument/2006/relationships/header" Target="header172.xml"/><Relationship Id="rId377" Type="http://schemas.openxmlformats.org/officeDocument/2006/relationships/footer" Target="footer182.xml"/><Relationship Id="rId398" Type="http://schemas.openxmlformats.org/officeDocument/2006/relationships/fontTable" Target="fontTable.xml"/><Relationship Id="rId5" Type="http://schemas.openxmlformats.org/officeDocument/2006/relationships/numbering" Target="numbering.xml"/><Relationship Id="rId95" Type="http://schemas.openxmlformats.org/officeDocument/2006/relationships/footer" Target="footer42.xml"/><Relationship Id="rId160" Type="http://schemas.openxmlformats.org/officeDocument/2006/relationships/header" Target="header75.xml"/><Relationship Id="rId181" Type="http://schemas.openxmlformats.org/officeDocument/2006/relationships/header" Target="header86.xml"/><Relationship Id="rId216" Type="http://schemas.openxmlformats.org/officeDocument/2006/relationships/header" Target="header103.xml"/><Relationship Id="rId237" Type="http://schemas.openxmlformats.org/officeDocument/2006/relationships/footer" Target="footer113.xml"/><Relationship Id="rId258" Type="http://schemas.openxmlformats.org/officeDocument/2006/relationships/header" Target="header124.xml"/><Relationship Id="rId279" Type="http://schemas.openxmlformats.org/officeDocument/2006/relationships/footer" Target="footer134.xml"/><Relationship Id="rId22" Type="http://schemas.openxmlformats.org/officeDocument/2006/relationships/header" Target="header6.xml"/><Relationship Id="rId43" Type="http://schemas.openxmlformats.org/officeDocument/2006/relationships/header" Target="header17.xml"/><Relationship Id="rId64" Type="http://schemas.openxmlformats.org/officeDocument/2006/relationships/header" Target="header27.xml"/><Relationship Id="rId118" Type="http://schemas.openxmlformats.org/officeDocument/2006/relationships/header" Target="header54.xml"/><Relationship Id="rId139" Type="http://schemas.openxmlformats.org/officeDocument/2006/relationships/header" Target="header65.xml"/><Relationship Id="rId290" Type="http://schemas.openxmlformats.org/officeDocument/2006/relationships/footer" Target="footer139.xml"/><Relationship Id="rId304" Type="http://schemas.openxmlformats.org/officeDocument/2006/relationships/header" Target="header147.xml"/><Relationship Id="rId325" Type="http://schemas.openxmlformats.org/officeDocument/2006/relationships/header" Target="header158.xml"/><Relationship Id="rId346" Type="http://schemas.openxmlformats.org/officeDocument/2006/relationships/header" Target="header168.xml"/><Relationship Id="rId367" Type="http://schemas.openxmlformats.org/officeDocument/2006/relationships/footer" Target="footer177.xml"/><Relationship Id="rId388" Type="http://schemas.openxmlformats.org/officeDocument/2006/relationships/footer" Target="footer187.xml"/><Relationship Id="rId85" Type="http://schemas.openxmlformats.org/officeDocument/2006/relationships/header" Target="header38.xml"/><Relationship Id="rId150" Type="http://schemas.openxmlformats.org/officeDocument/2006/relationships/header" Target="header70.xml"/><Relationship Id="rId171" Type="http://schemas.openxmlformats.org/officeDocument/2006/relationships/footer" Target="footer80.xml"/><Relationship Id="rId192" Type="http://schemas.openxmlformats.org/officeDocument/2006/relationships/header" Target="header91.xml"/><Relationship Id="rId206" Type="http://schemas.openxmlformats.org/officeDocument/2006/relationships/footer" Target="footer97.xml"/><Relationship Id="rId227" Type="http://schemas.openxmlformats.org/officeDocument/2006/relationships/footer" Target="footer108.xml"/><Relationship Id="rId248" Type="http://schemas.openxmlformats.org/officeDocument/2006/relationships/footer" Target="footer118.xml"/><Relationship Id="rId269" Type="http://schemas.openxmlformats.org/officeDocument/2006/relationships/footer" Target="footer129.xml"/><Relationship Id="rId12" Type="http://schemas.openxmlformats.org/officeDocument/2006/relationships/header" Target="header1.xml"/><Relationship Id="rId33" Type="http://schemas.openxmlformats.org/officeDocument/2006/relationships/footer" Target="footer11.xml"/><Relationship Id="rId108" Type="http://schemas.openxmlformats.org/officeDocument/2006/relationships/header" Target="header49.xml"/><Relationship Id="rId129" Type="http://schemas.openxmlformats.org/officeDocument/2006/relationships/footer" Target="footer59.xml"/><Relationship Id="rId280" Type="http://schemas.openxmlformats.org/officeDocument/2006/relationships/header" Target="header135.xml"/><Relationship Id="rId315" Type="http://schemas.openxmlformats.org/officeDocument/2006/relationships/footer" Target="footer152.xml"/><Relationship Id="rId336" Type="http://schemas.openxmlformats.org/officeDocument/2006/relationships/header" Target="header163.xml"/><Relationship Id="rId357" Type="http://schemas.openxmlformats.org/officeDocument/2006/relationships/header" Target="header173.xml"/><Relationship Id="rId54" Type="http://schemas.openxmlformats.org/officeDocument/2006/relationships/header" Target="header22.xml"/><Relationship Id="rId75" Type="http://schemas.openxmlformats.org/officeDocument/2006/relationships/footer" Target="footer32.xml"/><Relationship Id="rId96" Type="http://schemas.openxmlformats.org/officeDocument/2006/relationships/header" Target="header43.xml"/><Relationship Id="rId140" Type="http://schemas.openxmlformats.org/officeDocument/2006/relationships/footer" Target="footer64.xml"/><Relationship Id="rId161" Type="http://schemas.openxmlformats.org/officeDocument/2006/relationships/footer" Target="footer75.xml"/><Relationship Id="rId182" Type="http://schemas.openxmlformats.org/officeDocument/2006/relationships/footer" Target="footer85.xml"/><Relationship Id="rId217" Type="http://schemas.openxmlformats.org/officeDocument/2006/relationships/header" Target="header104.xml"/><Relationship Id="rId378" Type="http://schemas.openxmlformats.org/officeDocument/2006/relationships/header" Target="header183.xml"/><Relationship Id="rId399" Type="http://schemas.openxmlformats.org/officeDocument/2006/relationships/theme" Target="theme/theme1.xml"/><Relationship Id="rId6" Type="http://schemas.openxmlformats.org/officeDocument/2006/relationships/styles" Target="styles.xml"/><Relationship Id="rId238" Type="http://schemas.openxmlformats.org/officeDocument/2006/relationships/header" Target="header114.xml"/><Relationship Id="rId259" Type="http://schemas.openxmlformats.org/officeDocument/2006/relationships/header" Target="header125.xml"/><Relationship Id="rId23" Type="http://schemas.openxmlformats.org/officeDocument/2006/relationships/footer" Target="footer6.xml"/><Relationship Id="rId119" Type="http://schemas.openxmlformats.org/officeDocument/2006/relationships/footer" Target="footer54.xml"/><Relationship Id="rId270" Type="http://schemas.openxmlformats.org/officeDocument/2006/relationships/header" Target="header130.xml"/><Relationship Id="rId291" Type="http://schemas.openxmlformats.org/officeDocument/2006/relationships/footer" Target="footer140.xml"/><Relationship Id="rId305" Type="http://schemas.openxmlformats.org/officeDocument/2006/relationships/footer" Target="footer147.xml"/><Relationship Id="rId326" Type="http://schemas.openxmlformats.org/officeDocument/2006/relationships/footer" Target="footer157.xml"/><Relationship Id="rId347" Type="http://schemas.openxmlformats.org/officeDocument/2006/relationships/footer" Target="footer168.xml"/><Relationship Id="rId44" Type="http://schemas.openxmlformats.org/officeDocument/2006/relationships/footer" Target="footer16.xml"/><Relationship Id="rId65" Type="http://schemas.openxmlformats.org/officeDocument/2006/relationships/footer" Target="footer27.xml"/><Relationship Id="rId86" Type="http://schemas.openxmlformats.org/officeDocument/2006/relationships/footer" Target="footer37.xml"/><Relationship Id="rId130" Type="http://schemas.openxmlformats.org/officeDocument/2006/relationships/header" Target="header60.xml"/><Relationship Id="rId151" Type="http://schemas.openxmlformats.org/officeDocument/2006/relationships/header" Target="header71.xml"/><Relationship Id="rId368" Type="http://schemas.openxmlformats.org/officeDocument/2006/relationships/header" Target="header178.xml"/><Relationship Id="rId389" Type="http://schemas.openxmlformats.org/officeDocument/2006/relationships/footer" Target="footer188.xml"/><Relationship Id="rId172" Type="http://schemas.openxmlformats.org/officeDocument/2006/relationships/header" Target="header81.xml"/><Relationship Id="rId193" Type="http://schemas.openxmlformats.org/officeDocument/2006/relationships/header" Target="header92.xml"/><Relationship Id="rId207" Type="http://schemas.openxmlformats.org/officeDocument/2006/relationships/footer" Target="footer98.xml"/><Relationship Id="rId228" Type="http://schemas.openxmlformats.org/officeDocument/2006/relationships/header" Target="header109.xml"/><Relationship Id="rId249" Type="http://schemas.openxmlformats.org/officeDocument/2006/relationships/footer" Target="footer119.xml"/><Relationship Id="rId13" Type="http://schemas.openxmlformats.org/officeDocument/2006/relationships/header" Target="header2.xml"/><Relationship Id="rId109" Type="http://schemas.openxmlformats.org/officeDocument/2006/relationships/header" Target="header50.xml"/><Relationship Id="rId260" Type="http://schemas.openxmlformats.org/officeDocument/2006/relationships/footer" Target="footer124.xml"/><Relationship Id="rId281" Type="http://schemas.openxmlformats.org/officeDocument/2006/relationships/footer" Target="footer135.xml"/><Relationship Id="rId316" Type="http://schemas.openxmlformats.org/officeDocument/2006/relationships/header" Target="header153.xml"/><Relationship Id="rId337" Type="http://schemas.openxmlformats.org/officeDocument/2006/relationships/header" Target="header164.xml"/><Relationship Id="rId34" Type="http://schemas.openxmlformats.org/officeDocument/2006/relationships/header" Target="header12.xml"/><Relationship Id="rId55" Type="http://schemas.openxmlformats.org/officeDocument/2006/relationships/header" Target="header23.xml"/><Relationship Id="rId76" Type="http://schemas.openxmlformats.org/officeDocument/2006/relationships/header" Target="header33.xml"/><Relationship Id="rId97" Type="http://schemas.openxmlformats.org/officeDocument/2006/relationships/header" Target="header44.xml"/><Relationship Id="rId120" Type="http://schemas.openxmlformats.org/officeDocument/2006/relationships/header" Target="header55.xml"/><Relationship Id="rId141" Type="http://schemas.openxmlformats.org/officeDocument/2006/relationships/footer" Target="footer65.xml"/><Relationship Id="rId358" Type="http://schemas.openxmlformats.org/officeDocument/2006/relationships/footer" Target="footer172.xml"/><Relationship Id="rId379" Type="http://schemas.openxmlformats.org/officeDocument/2006/relationships/footer" Target="footer183.xml"/><Relationship Id="rId7" Type="http://schemas.openxmlformats.org/officeDocument/2006/relationships/settings" Target="settings.xml"/><Relationship Id="rId162" Type="http://schemas.openxmlformats.org/officeDocument/2006/relationships/header" Target="header76.xml"/><Relationship Id="rId183" Type="http://schemas.openxmlformats.org/officeDocument/2006/relationships/footer" Target="footer86.xml"/><Relationship Id="rId218" Type="http://schemas.openxmlformats.org/officeDocument/2006/relationships/footer" Target="footer103.xml"/><Relationship Id="rId239" Type="http://schemas.openxmlformats.org/officeDocument/2006/relationships/footer" Target="footer114.xml"/><Relationship Id="rId390" Type="http://schemas.openxmlformats.org/officeDocument/2006/relationships/header" Target="header189.xml"/><Relationship Id="rId250" Type="http://schemas.openxmlformats.org/officeDocument/2006/relationships/header" Target="header120.xml"/><Relationship Id="rId271" Type="http://schemas.openxmlformats.org/officeDocument/2006/relationships/header" Target="header131.xml"/><Relationship Id="rId292" Type="http://schemas.openxmlformats.org/officeDocument/2006/relationships/header" Target="header141.xml"/><Relationship Id="rId306" Type="http://schemas.openxmlformats.org/officeDocument/2006/relationships/header" Target="header148.xml"/><Relationship Id="rId24" Type="http://schemas.openxmlformats.org/officeDocument/2006/relationships/header" Target="header7.xml"/><Relationship Id="rId45" Type="http://schemas.openxmlformats.org/officeDocument/2006/relationships/footer" Target="footer17.xml"/><Relationship Id="rId66" Type="http://schemas.openxmlformats.org/officeDocument/2006/relationships/header" Target="header28.xml"/><Relationship Id="rId87" Type="http://schemas.openxmlformats.org/officeDocument/2006/relationships/footer" Target="footer38.xml"/><Relationship Id="rId110" Type="http://schemas.openxmlformats.org/officeDocument/2006/relationships/footer" Target="footer49.xml"/><Relationship Id="rId131" Type="http://schemas.openxmlformats.org/officeDocument/2006/relationships/footer" Target="footer60.xml"/><Relationship Id="rId327" Type="http://schemas.openxmlformats.org/officeDocument/2006/relationships/footer" Target="footer158.xml"/><Relationship Id="rId348" Type="http://schemas.openxmlformats.org/officeDocument/2006/relationships/hyperlink" Target="http://www.dados.gov.pt/" TargetMode="External"/><Relationship Id="rId369" Type="http://schemas.openxmlformats.org/officeDocument/2006/relationships/header" Target="header179.xml"/><Relationship Id="rId152" Type="http://schemas.openxmlformats.org/officeDocument/2006/relationships/footer" Target="footer70.xml"/><Relationship Id="rId173" Type="http://schemas.openxmlformats.org/officeDocument/2006/relationships/footer" Target="footer81.xml"/><Relationship Id="rId194" Type="http://schemas.openxmlformats.org/officeDocument/2006/relationships/footer" Target="footer91.xml"/><Relationship Id="rId208" Type="http://schemas.openxmlformats.org/officeDocument/2006/relationships/header" Target="header99.xml"/><Relationship Id="rId229" Type="http://schemas.openxmlformats.org/officeDocument/2006/relationships/header" Target="header110.xml"/><Relationship Id="rId380" Type="http://schemas.openxmlformats.org/officeDocument/2006/relationships/header" Target="header184.xml"/><Relationship Id="rId240" Type="http://schemas.openxmlformats.org/officeDocument/2006/relationships/header" Target="header115.xml"/><Relationship Id="rId261" Type="http://schemas.openxmlformats.org/officeDocument/2006/relationships/footer" Target="footer125.xml"/><Relationship Id="rId14" Type="http://schemas.openxmlformats.org/officeDocument/2006/relationships/footer" Target="footer1.xml"/><Relationship Id="rId35" Type="http://schemas.openxmlformats.org/officeDocument/2006/relationships/footer" Target="footer12.xml"/><Relationship Id="rId56" Type="http://schemas.openxmlformats.org/officeDocument/2006/relationships/footer" Target="footer22.xml"/><Relationship Id="rId77" Type="http://schemas.openxmlformats.org/officeDocument/2006/relationships/footer" Target="footer33.xml"/><Relationship Id="rId100" Type="http://schemas.openxmlformats.org/officeDocument/2006/relationships/header" Target="header45.xml"/><Relationship Id="rId282" Type="http://schemas.openxmlformats.org/officeDocument/2006/relationships/header" Target="header136.xml"/><Relationship Id="rId317" Type="http://schemas.openxmlformats.org/officeDocument/2006/relationships/footer" Target="footer153.xml"/><Relationship Id="rId338" Type="http://schemas.openxmlformats.org/officeDocument/2006/relationships/footer" Target="footer163.xml"/><Relationship Id="rId359" Type="http://schemas.openxmlformats.org/officeDocument/2006/relationships/footer" Target="footer173.xml"/><Relationship Id="rId8" Type="http://schemas.openxmlformats.org/officeDocument/2006/relationships/webSettings" Target="webSettings.xml"/><Relationship Id="rId98" Type="http://schemas.openxmlformats.org/officeDocument/2006/relationships/footer" Target="footer43.xml"/><Relationship Id="rId121" Type="http://schemas.openxmlformats.org/officeDocument/2006/relationships/header" Target="header56.xml"/><Relationship Id="rId142" Type="http://schemas.openxmlformats.org/officeDocument/2006/relationships/header" Target="header66.xml"/><Relationship Id="rId163" Type="http://schemas.openxmlformats.org/officeDocument/2006/relationships/header" Target="header77.xml"/><Relationship Id="rId184" Type="http://schemas.openxmlformats.org/officeDocument/2006/relationships/header" Target="header87.xml"/><Relationship Id="rId219" Type="http://schemas.openxmlformats.org/officeDocument/2006/relationships/footer" Target="footer104.xml"/><Relationship Id="rId370" Type="http://schemas.openxmlformats.org/officeDocument/2006/relationships/footer" Target="footer178.xml"/><Relationship Id="rId391" Type="http://schemas.openxmlformats.org/officeDocument/2006/relationships/footer" Target="footer189.xml"/><Relationship Id="rId230" Type="http://schemas.openxmlformats.org/officeDocument/2006/relationships/footer" Target="footer109.xml"/><Relationship Id="rId251" Type="http://schemas.openxmlformats.org/officeDocument/2006/relationships/footer" Target="footer120.xml"/><Relationship Id="rId25" Type="http://schemas.openxmlformats.org/officeDocument/2006/relationships/header" Target="header8.xml"/><Relationship Id="rId46" Type="http://schemas.openxmlformats.org/officeDocument/2006/relationships/header" Target="header18.xml"/><Relationship Id="rId67" Type="http://schemas.openxmlformats.org/officeDocument/2006/relationships/header" Target="header29.xml"/><Relationship Id="rId272" Type="http://schemas.openxmlformats.org/officeDocument/2006/relationships/footer" Target="footer130.xml"/><Relationship Id="rId293" Type="http://schemas.openxmlformats.org/officeDocument/2006/relationships/footer" Target="footer141.xml"/><Relationship Id="rId307" Type="http://schemas.openxmlformats.org/officeDocument/2006/relationships/header" Target="header149.xml"/><Relationship Id="rId328" Type="http://schemas.openxmlformats.org/officeDocument/2006/relationships/header" Target="header159.xml"/><Relationship Id="rId349" Type="http://schemas.openxmlformats.org/officeDocument/2006/relationships/hyperlink" Target="http://www.dados.gov.pt/" TargetMode="External"/><Relationship Id="rId88" Type="http://schemas.openxmlformats.org/officeDocument/2006/relationships/header" Target="header39.xml"/><Relationship Id="rId111" Type="http://schemas.openxmlformats.org/officeDocument/2006/relationships/footer" Target="footer50.xml"/><Relationship Id="rId132" Type="http://schemas.openxmlformats.org/officeDocument/2006/relationships/header" Target="header61.xml"/><Relationship Id="rId153" Type="http://schemas.openxmlformats.org/officeDocument/2006/relationships/footer" Target="footer71.xml"/><Relationship Id="rId174" Type="http://schemas.openxmlformats.org/officeDocument/2006/relationships/header" Target="header82.xml"/><Relationship Id="rId195" Type="http://schemas.openxmlformats.org/officeDocument/2006/relationships/footer" Target="footer92.xml"/><Relationship Id="rId209" Type="http://schemas.openxmlformats.org/officeDocument/2006/relationships/footer" Target="footer99.xml"/><Relationship Id="rId360" Type="http://schemas.openxmlformats.org/officeDocument/2006/relationships/header" Target="header174.xml"/><Relationship Id="rId381" Type="http://schemas.openxmlformats.org/officeDocument/2006/relationships/header" Target="header185.xml"/><Relationship Id="rId220" Type="http://schemas.openxmlformats.org/officeDocument/2006/relationships/header" Target="header105.xml"/><Relationship Id="rId241" Type="http://schemas.openxmlformats.org/officeDocument/2006/relationships/header" Target="header116.xml"/><Relationship Id="rId15" Type="http://schemas.openxmlformats.org/officeDocument/2006/relationships/footer" Target="footer2.xml"/><Relationship Id="rId36" Type="http://schemas.openxmlformats.org/officeDocument/2006/relationships/header" Target="header13.xml"/><Relationship Id="rId57" Type="http://schemas.openxmlformats.org/officeDocument/2006/relationships/footer" Target="footer23.xml"/><Relationship Id="rId262" Type="http://schemas.openxmlformats.org/officeDocument/2006/relationships/header" Target="header126.xml"/><Relationship Id="rId283" Type="http://schemas.openxmlformats.org/officeDocument/2006/relationships/header" Target="header137.xml"/><Relationship Id="rId318" Type="http://schemas.openxmlformats.org/officeDocument/2006/relationships/header" Target="header154.xml"/><Relationship Id="rId339" Type="http://schemas.openxmlformats.org/officeDocument/2006/relationships/footer" Target="footer164.xml"/><Relationship Id="rId78" Type="http://schemas.openxmlformats.org/officeDocument/2006/relationships/header" Target="header34.xml"/><Relationship Id="rId99" Type="http://schemas.openxmlformats.org/officeDocument/2006/relationships/footer" Target="footer44.xml"/><Relationship Id="rId101" Type="http://schemas.openxmlformats.org/officeDocument/2006/relationships/footer" Target="footer45.xml"/><Relationship Id="rId122" Type="http://schemas.openxmlformats.org/officeDocument/2006/relationships/footer" Target="footer55.xml"/><Relationship Id="rId143" Type="http://schemas.openxmlformats.org/officeDocument/2006/relationships/footer" Target="footer66.xml"/><Relationship Id="rId164" Type="http://schemas.openxmlformats.org/officeDocument/2006/relationships/footer" Target="footer76.xml"/><Relationship Id="rId185" Type="http://schemas.openxmlformats.org/officeDocument/2006/relationships/footer" Target="footer87.xml"/><Relationship Id="rId350" Type="http://schemas.openxmlformats.org/officeDocument/2006/relationships/header" Target="header169.xml"/><Relationship Id="rId371" Type="http://schemas.openxmlformats.org/officeDocument/2006/relationships/footer" Target="footer179.xml"/><Relationship Id="rId9" Type="http://schemas.openxmlformats.org/officeDocument/2006/relationships/footnotes" Target="footnotes.xml"/><Relationship Id="rId210" Type="http://schemas.openxmlformats.org/officeDocument/2006/relationships/header" Target="header100.xml"/><Relationship Id="rId392" Type="http://schemas.openxmlformats.org/officeDocument/2006/relationships/header" Target="header190.xml"/><Relationship Id="rId26" Type="http://schemas.openxmlformats.org/officeDocument/2006/relationships/footer" Target="footer7.xml"/><Relationship Id="rId231" Type="http://schemas.openxmlformats.org/officeDocument/2006/relationships/footer" Target="footer110.xml"/><Relationship Id="rId252" Type="http://schemas.openxmlformats.org/officeDocument/2006/relationships/header" Target="header121.xml"/><Relationship Id="rId273" Type="http://schemas.openxmlformats.org/officeDocument/2006/relationships/footer" Target="footer131.xml"/><Relationship Id="rId294" Type="http://schemas.openxmlformats.org/officeDocument/2006/relationships/header" Target="header142.xml"/><Relationship Id="rId308" Type="http://schemas.openxmlformats.org/officeDocument/2006/relationships/footer" Target="footer148.xml"/><Relationship Id="rId329" Type="http://schemas.openxmlformats.org/officeDocument/2006/relationships/footer" Target="footer159.xml"/><Relationship Id="rId47" Type="http://schemas.openxmlformats.org/officeDocument/2006/relationships/footer" Target="footer18.xml"/><Relationship Id="rId68" Type="http://schemas.openxmlformats.org/officeDocument/2006/relationships/footer" Target="footer28.xml"/><Relationship Id="rId89" Type="http://schemas.openxmlformats.org/officeDocument/2006/relationships/footer" Target="footer39.xml"/><Relationship Id="rId112" Type="http://schemas.openxmlformats.org/officeDocument/2006/relationships/header" Target="header51.xml"/><Relationship Id="rId133" Type="http://schemas.openxmlformats.org/officeDocument/2006/relationships/header" Target="header62.xml"/><Relationship Id="rId154" Type="http://schemas.openxmlformats.org/officeDocument/2006/relationships/header" Target="header72.xml"/><Relationship Id="rId175" Type="http://schemas.openxmlformats.org/officeDocument/2006/relationships/header" Target="header83.xml"/><Relationship Id="rId340" Type="http://schemas.openxmlformats.org/officeDocument/2006/relationships/header" Target="header165.xml"/><Relationship Id="rId361" Type="http://schemas.openxmlformats.org/officeDocument/2006/relationships/footer" Target="footer174.xml"/><Relationship Id="rId196" Type="http://schemas.openxmlformats.org/officeDocument/2006/relationships/header" Target="header93.xml"/><Relationship Id="rId200" Type="http://schemas.openxmlformats.org/officeDocument/2006/relationships/footer" Target="footer94.xml"/><Relationship Id="rId382" Type="http://schemas.openxmlformats.org/officeDocument/2006/relationships/footer" Target="footer184.xml"/><Relationship Id="rId16" Type="http://schemas.openxmlformats.org/officeDocument/2006/relationships/header" Target="header3.xml"/><Relationship Id="rId221" Type="http://schemas.openxmlformats.org/officeDocument/2006/relationships/footer" Target="footer105.xml"/><Relationship Id="rId242" Type="http://schemas.openxmlformats.org/officeDocument/2006/relationships/footer" Target="footer115.xml"/><Relationship Id="rId263" Type="http://schemas.openxmlformats.org/officeDocument/2006/relationships/footer" Target="footer126.xml"/><Relationship Id="rId284" Type="http://schemas.openxmlformats.org/officeDocument/2006/relationships/footer" Target="footer136.xml"/><Relationship Id="rId319" Type="http://schemas.openxmlformats.org/officeDocument/2006/relationships/header" Target="header155.xml"/><Relationship Id="rId37" Type="http://schemas.openxmlformats.org/officeDocument/2006/relationships/header" Target="header14.xml"/><Relationship Id="rId58" Type="http://schemas.openxmlformats.org/officeDocument/2006/relationships/header" Target="header24.xml"/><Relationship Id="rId79" Type="http://schemas.openxmlformats.org/officeDocument/2006/relationships/header" Target="header35.xml"/><Relationship Id="rId102" Type="http://schemas.openxmlformats.org/officeDocument/2006/relationships/header" Target="header46.xml"/><Relationship Id="rId123" Type="http://schemas.openxmlformats.org/officeDocument/2006/relationships/footer" Target="footer56.xml"/><Relationship Id="rId144" Type="http://schemas.openxmlformats.org/officeDocument/2006/relationships/header" Target="header67.xml"/><Relationship Id="rId330" Type="http://schemas.openxmlformats.org/officeDocument/2006/relationships/header" Target="header160.xml"/><Relationship Id="rId90" Type="http://schemas.openxmlformats.org/officeDocument/2006/relationships/header" Target="header40.xml"/><Relationship Id="rId165" Type="http://schemas.openxmlformats.org/officeDocument/2006/relationships/footer" Target="footer77.xml"/><Relationship Id="rId186" Type="http://schemas.openxmlformats.org/officeDocument/2006/relationships/header" Target="header88.xml"/><Relationship Id="rId351" Type="http://schemas.openxmlformats.org/officeDocument/2006/relationships/header" Target="header170.xml"/><Relationship Id="rId372" Type="http://schemas.openxmlformats.org/officeDocument/2006/relationships/header" Target="header180.xml"/><Relationship Id="rId393" Type="http://schemas.openxmlformats.org/officeDocument/2006/relationships/header" Target="header191.xml"/><Relationship Id="rId211" Type="http://schemas.openxmlformats.org/officeDocument/2006/relationships/header" Target="header101.xml"/><Relationship Id="rId232" Type="http://schemas.openxmlformats.org/officeDocument/2006/relationships/header" Target="header111.xml"/><Relationship Id="rId253" Type="http://schemas.openxmlformats.org/officeDocument/2006/relationships/header" Target="header122.xml"/><Relationship Id="rId274" Type="http://schemas.openxmlformats.org/officeDocument/2006/relationships/header" Target="header132.xml"/><Relationship Id="rId295" Type="http://schemas.openxmlformats.org/officeDocument/2006/relationships/header" Target="header143.xml"/><Relationship Id="rId309" Type="http://schemas.openxmlformats.org/officeDocument/2006/relationships/footer" Target="footer149.xml"/><Relationship Id="rId27" Type="http://schemas.openxmlformats.org/officeDocument/2006/relationships/footer" Target="footer8.xml"/><Relationship Id="rId48" Type="http://schemas.openxmlformats.org/officeDocument/2006/relationships/header" Target="header19.xml"/><Relationship Id="rId69" Type="http://schemas.openxmlformats.org/officeDocument/2006/relationships/footer" Target="footer29.xml"/><Relationship Id="rId113" Type="http://schemas.openxmlformats.org/officeDocument/2006/relationships/footer" Target="footer51.xml"/><Relationship Id="rId134" Type="http://schemas.openxmlformats.org/officeDocument/2006/relationships/footer" Target="footer61.xml"/><Relationship Id="rId320" Type="http://schemas.openxmlformats.org/officeDocument/2006/relationships/footer" Target="footer154.xml"/><Relationship Id="rId80" Type="http://schemas.openxmlformats.org/officeDocument/2006/relationships/footer" Target="footer34.xml"/><Relationship Id="rId155" Type="http://schemas.openxmlformats.org/officeDocument/2006/relationships/footer" Target="footer72.xml"/><Relationship Id="rId176" Type="http://schemas.openxmlformats.org/officeDocument/2006/relationships/footer" Target="footer82.xml"/><Relationship Id="rId197" Type="http://schemas.openxmlformats.org/officeDocument/2006/relationships/footer" Target="footer93.xml"/><Relationship Id="rId341" Type="http://schemas.openxmlformats.org/officeDocument/2006/relationships/footer" Target="footer165.xml"/><Relationship Id="rId362" Type="http://schemas.openxmlformats.org/officeDocument/2006/relationships/header" Target="header175.xml"/><Relationship Id="rId383" Type="http://schemas.openxmlformats.org/officeDocument/2006/relationships/footer" Target="footer185.xml"/><Relationship Id="rId201" Type="http://schemas.openxmlformats.org/officeDocument/2006/relationships/footer" Target="footer95.xml"/><Relationship Id="rId222" Type="http://schemas.openxmlformats.org/officeDocument/2006/relationships/header" Target="header106.xml"/><Relationship Id="rId243" Type="http://schemas.openxmlformats.org/officeDocument/2006/relationships/footer" Target="footer116.xml"/><Relationship Id="rId264" Type="http://schemas.openxmlformats.org/officeDocument/2006/relationships/header" Target="header127.xml"/><Relationship Id="rId285" Type="http://schemas.openxmlformats.org/officeDocument/2006/relationships/footer" Target="footer137.xml"/><Relationship Id="rId17" Type="http://schemas.openxmlformats.org/officeDocument/2006/relationships/footer" Target="footer3.xml"/><Relationship Id="rId38" Type="http://schemas.openxmlformats.org/officeDocument/2006/relationships/footer" Target="footer13.xml"/><Relationship Id="rId59" Type="http://schemas.openxmlformats.org/officeDocument/2006/relationships/footer" Target="footer24.xml"/><Relationship Id="rId103" Type="http://schemas.openxmlformats.org/officeDocument/2006/relationships/header" Target="header47.xml"/><Relationship Id="rId124" Type="http://schemas.openxmlformats.org/officeDocument/2006/relationships/header" Target="header57.xml"/><Relationship Id="rId310" Type="http://schemas.openxmlformats.org/officeDocument/2006/relationships/header" Target="header150.xml"/><Relationship Id="rId70" Type="http://schemas.openxmlformats.org/officeDocument/2006/relationships/header" Target="header30.xml"/><Relationship Id="rId91" Type="http://schemas.openxmlformats.org/officeDocument/2006/relationships/header" Target="header41.xml"/><Relationship Id="rId145" Type="http://schemas.openxmlformats.org/officeDocument/2006/relationships/header" Target="header68.xml"/><Relationship Id="rId166" Type="http://schemas.openxmlformats.org/officeDocument/2006/relationships/header" Target="header78.xml"/><Relationship Id="rId187" Type="http://schemas.openxmlformats.org/officeDocument/2006/relationships/header" Target="header89.xml"/><Relationship Id="rId331" Type="http://schemas.openxmlformats.org/officeDocument/2006/relationships/header" Target="header161.xml"/><Relationship Id="rId352" Type="http://schemas.openxmlformats.org/officeDocument/2006/relationships/footer" Target="footer169.xml"/><Relationship Id="rId373" Type="http://schemas.openxmlformats.org/officeDocument/2006/relationships/footer" Target="footer180.xml"/><Relationship Id="rId394" Type="http://schemas.openxmlformats.org/officeDocument/2006/relationships/footer" Target="footer190.xml"/><Relationship Id="rId1" Type="http://schemas.openxmlformats.org/officeDocument/2006/relationships/customXml" Target="../customXml/item1.xml"/><Relationship Id="rId212" Type="http://schemas.openxmlformats.org/officeDocument/2006/relationships/footer" Target="footer100.xml"/><Relationship Id="rId233" Type="http://schemas.openxmlformats.org/officeDocument/2006/relationships/footer" Target="footer111.xml"/><Relationship Id="rId254" Type="http://schemas.openxmlformats.org/officeDocument/2006/relationships/footer" Target="footer121.xml"/><Relationship Id="rId28" Type="http://schemas.openxmlformats.org/officeDocument/2006/relationships/header" Target="header9.xml"/><Relationship Id="rId49" Type="http://schemas.openxmlformats.org/officeDocument/2006/relationships/header" Target="header20.xml"/><Relationship Id="rId114" Type="http://schemas.openxmlformats.org/officeDocument/2006/relationships/header" Target="header52.xml"/><Relationship Id="rId275" Type="http://schemas.openxmlformats.org/officeDocument/2006/relationships/footer" Target="footer132.xml"/><Relationship Id="rId296" Type="http://schemas.openxmlformats.org/officeDocument/2006/relationships/footer" Target="footer142.xml"/><Relationship Id="rId300" Type="http://schemas.openxmlformats.org/officeDocument/2006/relationships/header" Target="header145.xml"/><Relationship Id="rId60" Type="http://schemas.openxmlformats.org/officeDocument/2006/relationships/header" Target="header25.xml"/><Relationship Id="rId81" Type="http://schemas.openxmlformats.org/officeDocument/2006/relationships/footer" Target="footer35.xml"/><Relationship Id="rId135" Type="http://schemas.openxmlformats.org/officeDocument/2006/relationships/footer" Target="footer62.xml"/><Relationship Id="rId156" Type="http://schemas.openxmlformats.org/officeDocument/2006/relationships/header" Target="header73.xml"/><Relationship Id="rId177" Type="http://schemas.openxmlformats.org/officeDocument/2006/relationships/footer" Target="footer83.xml"/><Relationship Id="rId198" Type="http://schemas.openxmlformats.org/officeDocument/2006/relationships/header" Target="header94.xml"/><Relationship Id="rId321" Type="http://schemas.openxmlformats.org/officeDocument/2006/relationships/footer" Target="footer155.xml"/><Relationship Id="rId342" Type="http://schemas.openxmlformats.org/officeDocument/2006/relationships/header" Target="header166.xml"/><Relationship Id="rId363" Type="http://schemas.openxmlformats.org/officeDocument/2006/relationships/header" Target="header176.xml"/><Relationship Id="rId384" Type="http://schemas.openxmlformats.org/officeDocument/2006/relationships/header" Target="header186.xml"/><Relationship Id="rId202" Type="http://schemas.openxmlformats.org/officeDocument/2006/relationships/header" Target="header96.xml"/><Relationship Id="rId223" Type="http://schemas.openxmlformats.org/officeDocument/2006/relationships/header" Target="header107.xml"/><Relationship Id="rId244" Type="http://schemas.openxmlformats.org/officeDocument/2006/relationships/header" Target="header117.xml"/><Relationship Id="rId18" Type="http://schemas.openxmlformats.org/officeDocument/2006/relationships/header" Target="header4.xml"/><Relationship Id="rId39" Type="http://schemas.openxmlformats.org/officeDocument/2006/relationships/footer" Target="footer14.xml"/><Relationship Id="rId265" Type="http://schemas.openxmlformats.org/officeDocument/2006/relationships/header" Target="header128.xml"/><Relationship Id="rId286" Type="http://schemas.openxmlformats.org/officeDocument/2006/relationships/header" Target="header138.xml"/><Relationship Id="rId50" Type="http://schemas.openxmlformats.org/officeDocument/2006/relationships/footer" Target="footer19.xml"/><Relationship Id="rId104" Type="http://schemas.openxmlformats.org/officeDocument/2006/relationships/footer" Target="footer46.xml"/><Relationship Id="rId125" Type="http://schemas.openxmlformats.org/officeDocument/2006/relationships/footer" Target="footer57.xml"/><Relationship Id="rId146" Type="http://schemas.openxmlformats.org/officeDocument/2006/relationships/footer" Target="footer67.xml"/><Relationship Id="rId167" Type="http://schemas.openxmlformats.org/officeDocument/2006/relationships/footer" Target="footer78.xml"/><Relationship Id="rId188" Type="http://schemas.openxmlformats.org/officeDocument/2006/relationships/footer" Target="footer88.xml"/><Relationship Id="rId311" Type="http://schemas.openxmlformats.org/officeDocument/2006/relationships/footer" Target="footer150.xml"/><Relationship Id="rId332" Type="http://schemas.openxmlformats.org/officeDocument/2006/relationships/footer" Target="footer160.xml"/><Relationship Id="rId353" Type="http://schemas.openxmlformats.org/officeDocument/2006/relationships/footer" Target="footer170.xml"/><Relationship Id="rId374" Type="http://schemas.openxmlformats.org/officeDocument/2006/relationships/header" Target="header181.xml"/><Relationship Id="rId395" Type="http://schemas.openxmlformats.org/officeDocument/2006/relationships/footer" Target="footer191.xml"/><Relationship Id="rId71" Type="http://schemas.openxmlformats.org/officeDocument/2006/relationships/footer" Target="footer30.xml"/><Relationship Id="rId92" Type="http://schemas.openxmlformats.org/officeDocument/2006/relationships/footer" Target="footer40.xml"/><Relationship Id="rId213" Type="http://schemas.openxmlformats.org/officeDocument/2006/relationships/footer" Target="footer101.xml"/><Relationship Id="rId234" Type="http://schemas.openxmlformats.org/officeDocument/2006/relationships/header" Target="header112.xml"/><Relationship Id="rId2" Type="http://schemas.openxmlformats.org/officeDocument/2006/relationships/customXml" Target="../customXml/item2.xml"/><Relationship Id="rId29" Type="http://schemas.openxmlformats.org/officeDocument/2006/relationships/footer" Target="footer9.xml"/><Relationship Id="rId255" Type="http://schemas.openxmlformats.org/officeDocument/2006/relationships/footer" Target="footer122.xml"/><Relationship Id="rId276" Type="http://schemas.openxmlformats.org/officeDocument/2006/relationships/header" Target="header133.xml"/><Relationship Id="rId297" Type="http://schemas.openxmlformats.org/officeDocument/2006/relationships/footer" Target="footer143.xml"/><Relationship Id="rId40" Type="http://schemas.openxmlformats.org/officeDocument/2006/relationships/header" Target="header15.xml"/><Relationship Id="rId115" Type="http://schemas.openxmlformats.org/officeDocument/2006/relationships/header" Target="header53.xml"/><Relationship Id="rId136" Type="http://schemas.openxmlformats.org/officeDocument/2006/relationships/header" Target="header63.xml"/><Relationship Id="rId157" Type="http://schemas.openxmlformats.org/officeDocument/2006/relationships/header" Target="header74.xml"/><Relationship Id="rId178" Type="http://schemas.openxmlformats.org/officeDocument/2006/relationships/header" Target="header84.xml"/><Relationship Id="rId301" Type="http://schemas.openxmlformats.org/officeDocument/2006/relationships/header" Target="header146.xml"/><Relationship Id="rId322" Type="http://schemas.openxmlformats.org/officeDocument/2006/relationships/header" Target="header156.xml"/><Relationship Id="rId343" Type="http://schemas.openxmlformats.org/officeDocument/2006/relationships/header" Target="header167.xml"/><Relationship Id="rId364" Type="http://schemas.openxmlformats.org/officeDocument/2006/relationships/footer" Target="footer175.xml"/><Relationship Id="rId61" Type="http://schemas.openxmlformats.org/officeDocument/2006/relationships/header" Target="header26.xml"/><Relationship Id="rId82" Type="http://schemas.openxmlformats.org/officeDocument/2006/relationships/header" Target="header36.xml"/><Relationship Id="rId199" Type="http://schemas.openxmlformats.org/officeDocument/2006/relationships/header" Target="header95.xml"/><Relationship Id="rId203" Type="http://schemas.openxmlformats.org/officeDocument/2006/relationships/footer" Target="footer96.xml"/><Relationship Id="rId385" Type="http://schemas.openxmlformats.org/officeDocument/2006/relationships/footer" Target="footer186.xml"/><Relationship Id="rId19" Type="http://schemas.openxmlformats.org/officeDocument/2006/relationships/header" Target="header5.xml"/><Relationship Id="rId224" Type="http://schemas.openxmlformats.org/officeDocument/2006/relationships/footer" Target="footer106.xml"/><Relationship Id="rId245" Type="http://schemas.openxmlformats.org/officeDocument/2006/relationships/footer" Target="footer117.xml"/><Relationship Id="rId266" Type="http://schemas.openxmlformats.org/officeDocument/2006/relationships/footer" Target="footer127.xml"/><Relationship Id="rId287" Type="http://schemas.openxmlformats.org/officeDocument/2006/relationships/footer" Target="footer138.xml"/><Relationship Id="rId30" Type="http://schemas.openxmlformats.org/officeDocument/2006/relationships/header" Target="header10.xml"/><Relationship Id="rId105" Type="http://schemas.openxmlformats.org/officeDocument/2006/relationships/footer" Target="footer47.xml"/><Relationship Id="rId126" Type="http://schemas.openxmlformats.org/officeDocument/2006/relationships/header" Target="header58.xml"/><Relationship Id="rId147" Type="http://schemas.openxmlformats.org/officeDocument/2006/relationships/footer" Target="footer68.xml"/><Relationship Id="rId168" Type="http://schemas.openxmlformats.org/officeDocument/2006/relationships/header" Target="header79.xml"/><Relationship Id="rId312" Type="http://schemas.openxmlformats.org/officeDocument/2006/relationships/header" Target="header151.xml"/><Relationship Id="rId333" Type="http://schemas.openxmlformats.org/officeDocument/2006/relationships/footer" Target="footer161.xml"/><Relationship Id="rId354" Type="http://schemas.openxmlformats.org/officeDocument/2006/relationships/header" Target="header171.xml"/><Relationship Id="rId51" Type="http://schemas.openxmlformats.org/officeDocument/2006/relationships/footer" Target="footer20.xml"/><Relationship Id="rId72" Type="http://schemas.openxmlformats.org/officeDocument/2006/relationships/header" Target="header31.xml"/><Relationship Id="rId93" Type="http://schemas.openxmlformats.org/officeDocument/2006/relationships/footer" Target="footer41.xml"/><Relationship Id="rId189" Type="http://schemas.openxmlformats.org/officeDocument/2006/relationships/footer" Target="footer89.xml"/><Relationship Id="rId375" Type="http://schemas.openxmlformats.org/officeDocument/2006/relationships/header" Target="header182.xml"/><Relationship Id="rId396" Type="http://schemas.openxmlformats.org/officeDocument/2006/relationships/header" Target="header192.xml"/><Relationship Id="rId3" Type="http://schemas.openxmlformats.org/officeDocument/2006/relationships/customXml" Target="../customXml/item3.xml"/><Relationship Id="rId214" Type="http://schemas.openxmlformats.org/officeDocument/2006/relationships/header" Target="header102.xml"/><Relationship Id="rId235" Type="http://schemas.openxmlformats.org/officeDocument/2006/relationships/header" Target="header113.xml"/><Relationship Id="rId256" Type="http://schemas.openxmlformats.org/officeDocument/2006/relationships/header" Target="header123.xml"/><Relationship Id="rId277" Type="http://schemas.openxmlformats.org/officeDocument/2006/relationships/header" Target="header134.xml"/><Relationship Id="rId298" Type="http://schemas.openxmlformats.org/officeDocument/2006/relationships/header" Target="header144.xml"/><Relationship Id="rId116" Type="http://schemas.openxmlformats.org/officeDocument/2006/relationships/footer" Target="footer52.xml"/><Relationship Id="rId137" Type="http://schemas.openxmlformats.org/officeDocument/2006/relationships/footer" Target="footer63.xml"/><Relationship Id="rId158" Type="http://schemas.openxmlformats.org/officeDocument/2006/relationships/footer" Target="footer73.xml"/><Relationship Id="rId302" Type="http://schemas.openxmlformats.org/officeDocument/2006/relationships/footer" Target="footer145.xml"/><Relationship Id="rId323" Type="http://schemas.openxmlformats.org/officeDocument/2006/relationships/footer" Target="footer156.xml"/><Relationship Id="rId344" Type="http://schemas.openxmlformats.org/officeDocument/2006/relationships/footer" Target="footer166.xml"/><Relationship Id="rId20" Type="http://schemas.openxmlformats.org/officeDocument/2006/relationships/footer" Target="footer4.xml"/><Relationship Id="rId41" Type="http://schemas.openxmlformats.org/officeDocument/2006/relationships/footer" Target="footer15.xml"/><Relationship Id="rId62" Type="http://schemas.openxmlformats.org/officeDocument/2006/relationships/footer" Target="footer25.xml"/><Relationship Id="rId83" Type="http://schemas.openxmlformats.org/officeDocument/2006/relationships/footer" Target="footer36.xml"/><Relationship Id="rId179" Type="http://schemas.openxmlformats.org/officeDocument/2006/relationships/footer" Target="footer84.xml"/><Relationship Id="rId365" Type="http://schemas.openxmlformats.org/officeDocument/2006/relationships/footer" Target="footer176.xml"/><Relationship Id="rId386" Type="http://schemas.openxmlformats.org/officeDocument/2006/relationships/header" Target="header187.xml"/><Relationship Id="rId190" Type="http://schemas.openxmlformats.org/officeDocument/2006/relationships/header" Target="header90.xml"/><Relationship Id="rId204" Type="http://schemas.openxmlformats.org/officeDocument/2006/relationships/header" Target="header97.xml"/><Relationship Id="rId225" Type="http://schemas.openxmlformats.org/officeDocument/2006/relationships/footer" Target="footer107.xml"/><Relationship Id="rId246" Type="http://schemas.openxmlformats.org/officeDocument/2006/relationships/header" Target="header118.xml"/><Relationship Id="rId267" Type="http://schemas.openxmlformats.org/officeDocument/2006/relationships/footer" Target="footer128.xml"/><Relationship Id="rId288" Type="http://schemas.openxmlformats.org/officeDocument/2006/relationships/header" Target="header139.xml"/><Relationship Id="rId106" Type="http://schemas.openxmlformats.org/officeDocument/2006/relationships/header" Target="header48.xml"/><Relationship Id="rId127" Type="http://schemas.openxmlformats.org/officeDocument/2006/relationships/header" Target="header59.xml"/><Relationship Id="rId313" Type="http://schemas.openxmlformats.org/officeDocument/2006/relationships/header" Target="header152.xml"/><Relationship Id="rId10" Type="http://schemas.openxmlformats.org/officeDocument/2006/relationships/endnotes" Target="endnotes.xml"/><Relationship Id="rId31" Type="http://schemas.openxmlformats.org/officeDocument/2006/relationships/header" Target="header11.xml"/><Relationship Id="rId52" Type="http://schemas.openxmlformats.org/officeDocument/2006/relationships/header" Target="header21.xml"/><Relationship Id="rId73" Type="http://schemas.openxmlformats.org/officeDocument/2006/relationships/header" Target="header32.xml"/><Relationship Id="rId94" Type="http://schemas.openxmlformats.org/officeDocument/2006/relationships/header" Target="header42.xml"/><Relationship Id="rId148" Type="http://schemas.openxmlformats.org/officeDocument/2006/relationships/header" Target="header69.xml"/><Relationship Id="rId169" Type="http://schemas.openxmlformats.org/officeDocument/2006/relationships/header" Target="header80.xml"/><Relationship Id="rId334" Type="http://schemas.openxmlformats.org/officeDocument/2006/relationships/header" Target="header162.xml"/><Relationship Id="rId355" Type="http://schemas.openxmlformats.org/officeDocument/2006/relationships/footer" Target="footer171.xml"/><Relationship Id="rId376" Type="http://schemas.openxmlformats.org/officeDocument/2006/relationships/footer" Target="footer181.xml"/><Relationship Id="rId397" Type="http://schemas.openxmlformats.org/officeDocument/2006/relationships/footer" Target="footer192.xml"/><Relationship Id="rId4" Type="http://schemas.openxmlformats.org/officeDocument/2006/relationships/customXml" Target="../customXml/item4.xml"/><Relationship Id="rId180" Type="http://schemas.openxmlformats.org/officeDocument/2006/relationships/header" Target="header85.xml"/><Relationship Id="rId215" Type="http://schemas.openxmlformats.org/officeDocument/2006/relationships/footer" Target="footer102.xml"/><Relationship Id="rId236" Type="http://schemas.openxmlformats.org/officeDocument/2006/relationships/footer" Target="footer112.xml"/><Relationship Id="rId257" Type="http://schemas.openxmlformats.org/officeDocument/2006/relationships/footer" Target="footer123.xml"/><Relationship Id="rId278" Type="http://schemas.openxmlformats.org/officeDocument/2006/relationships/footer" Target="footer133.xml"/><Relationship Id="rId303" Type="http://schemas.openxmlformats.org/officeDocument/2006/relationships/footer" Target="footer146.xml"/><Relationship Id="rId42" Type="http://schemas.openxmlformats.org/officeDocument/2006/relationships/header" Target="header16.xml"/><Relationship Id="rId84" Type="http://schemas.openxmlformats.org/officeDocument/2006/relationships/header" Target="header37.xml"/><Relationship Id="rId138" Type="http://schemas.openxmlformats.org/officeDocument/2006/relationships/header" Target="header64.xml"/><Relationship Id="rId345" Type="http://schemas.openxmlformats.org/officeDocument/2006/relationships/footer" Target="footer167.xml"/><Relationship Id="rId387" Type="http://schemas.openxmlformats.org/officeDocument/2006/relationships/header" Target="header188.xml"/><Relationship Id="rId191" Type="http://schemas.openxmlformats.org/officeDocument/2006/relationships/footer" Target="footer90.xml"/><Relationship Id="rId205" Type="http://schemas.openxmlformats.org/officeDocument/2006/relationships/header" Target="header98.xml"/><Relationship Id="rId247" Type="http://schemas.openxmlformats.org/officeDocument/2006/relationships/header" Target="header119.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default/files/1_en_act_part1_v8_0.pdf" TargetMode="External"/><Relationship Id="rId2" Type="http://schemas.openxmlformats.org/officeDocument/2006/relationships/hyperlink" Target="https://ec.europa.eu/social/main.jsp?catId=738&amp;langId=en&amp;pubId=8376&amp;furtherPubs=yes" TargetMode="External"/><Relationship Id="rId1" Type="http://schemas.openxmlformats.org/officeDocument/2006/relationships/hyperlink" Target="https://www.un.org/development/desa/disabilities/convention-on-the-rights-of-persons-with-disabilities.html" TargetMode="External"/><Relationship Id="rId6" Type="http://schemas.openxmlformats.org/officeDocument/2006/relationships/hyperlink" Target="https://dre.pt/application/conteudo/114152782" TargetMode="External"/><Relationship Id="rId5" Type="http://schemas.openxmlformats.org/officeDocument/2006/relationships/hyperlink" Target="https://ec.europa.eu/social/main.jsp?catId=738&amp;langId=en&amp;pubId=8376&amp;furtherPubs=yes" TargetMode="External"/><Relationship Id="rId4" Type="http://schemas.openxmlformats.org/officeDocument/2006/relationships/hyperlink" Target="https://www.un.org/development/desa/disabilities/convention-on-the-rights-of-persons-with-disabil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c3bc29-9e11-4027-900b-c73633d7928a" xsi:nil="true"/>
    <lcf76f155ced4ddcb4097134ff3c332f xmlns="1700ab43-7395-48ff-866c-657c86ba7f4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094E9F29D6C04F85860C631ABC812A" ma:contentTypeVersion="14" ma:contentTypeDescription="Create a new document." ma:contentTypeScope="" ma:versionID="d5c93e900a119563f43978a987300fc7">
  <xsd:schema xmlns:xsd="http://www.w3.org/2001/XMLSchema" xmlns:xs="http://www.w3.org/2001/XMLSchema" xmlns:p="http://schemas.microsoft.com/office/2006/metadata/properties" xmlns:ns2="1700ab43-7395-48ff-866c-657c86ba7f4e" xmlns:ns3="e6c3bc29-9e11-4027-900b-c73633d7928a" targetNamespace="http://schemas.microsoft.com/office/2006/metadata/properties" ma:root="true" ma:fieldsID="85f4798ebd1fb622dfcd08e6552ffd30" ns2:_="" ns3:_="">
    <xsd:import namespace="1700ab43-7395-48ff-866c-657c86ba7f4e"/>
    <xsd:import namespace="e6c3bc29-9e11-4027-900b-c73633d79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0ab43-7395-48ff-866c-657c86ba7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c3bc29-9e11-4027-900b-c73633d792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90e2cb7-5117-486c-a80c-66d1b02d57f7}" ma:internalName="TaxCatchAll" ma:showField="CatchAllData" ma:web="e6c3bc29-9e11-4027-900b-c73633d79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22E18-3AF3-486E-B96C-EC2FE3E7B271}">
  <ds:schemaRefs>
    <ds:schemaRef ds:uri="http://schemas.microsoft.com/office/2006/metadata/properties"/>
    <ds:schemaRef ds:uri="http://schemas.microsoft.com/office/infopath/2007/PartnerControls"/>
    <ds:schemaRef ds:uri="e6c3bc29-9e11-4027-900b-c73633d7928a"/>
    <ds:schemaRef ds:uri="1700ab43-7395-48ff-866c-657c86ba7f4e"/>
  </ds:schemaRefs>
</ds:datastoreItem>
</file>

<file path=customXml/itemProps2.xml><?xml version="1.0" encoding="utf-8"?>
<ds:datastoreItem xmlns:ds="http://schemas.openxmlformats.org/officeDocument/2006/customXml" ds:itemID="{617F86BA-8C30-4316-ABCD-3480C5FB9AD1}">
  <ds:schemaRefs>
    <ds:schemaRef ds:uri="http://schemas.microsoft.com/sharepoint/v3/contenttype/forms"/>
  </ds:schemaRefs>
</ds:datastoreItem>
</file>

<file path=customXml/itemProps3.xml><?xml version="1.0" encoding="utf-8"?>
<ds:datastoreItem xmlns:ds="http://schemas.openxmlformats.org/officeDocument/2006/customXml" ds:itemID="{3704B2E4-4F53-4AE7-B83B-C398AE08B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0ab43-7395-48ff-866c-657c86ba7f4e"/>
    <ds:schemaRef ds:uri="e6c3bc29-9e11-4027-900b-c73633d79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1ED215-4E37-4B8C-9E2B-D43A079D3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104306</Words>
  <Characters>594550</Characters>
  <Application>Microsoft Office Word</Application>
  <DocSecurity>0</DocSecurity>
  <Lines>4954</Lines>
  <Paragraphs>1394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697462</CharactersWithSpaces>
  <SharedDoc>false</SharedDoc>
  <HLinks>
    <vt:vector size="48" baseType="variant">
      <vt:variant>
        <vt:i4>1441861</vt:i4>
      </vt:variant>
      <vt:variant>
        <vt:i4>3</vt:i4>
      </vt:variant>
      <vt:variant>
        <vt:i4>0</vt:i4>
      </vt:variant>
      <vt:variant>
        <vt:i4>5</vt:i4>
      </vt:variant>
      <vt:variant>
        <vt:lpwstr>http://www.dados.gov.pt/</vt:lpwstr>
      </vt:variant>
      <vt:variant>
        <vt:lpwstr/>
      </vt:variant>
      <vt:variant>
        <vt:i4>1441861</vt:i4>
      </vt:variant>
      <vt:variant>
        <vt:i4>0</vt:i4>
      </vt:variant>
      <vt:variant>
        <vt:i4>0</vt:i4>
      </vt:variant>
      <vt:variant>
        <vt:i4>5</vt:i4>
      </vt:variant>
      <vt:variant>
        <vt:lpwstr>http://www.dados.gov.pt/</vt:lpwstr>
      </vt:variant>
      <vt:variant>
        <vt:lpwstr/>
      </vt:variant>
      <vt:variant>
        <vt:i4>917587</vt:i4>
      </vt:variant>
      <vt:variant>
        <vt:i4>15</vt:i4>
      </vt:variant>
      <vt:variant>
        <vt:i4>0</vt:i4>
      </vt:variant>
      <vt:variant>
        <vt:i4>5</vt:i4>
      </vt:variant>
      <vt:variant>
        <vt:lpwstr>https://dre.pt/application/conteudo/114152782</vt:lpwstr>
      </vt:variant>
      <vt:variant>
        <vt:lpwstr/>
      </vt:variant>
      <vt:variant>
        <vt:i4>3145826</vt:i4>
      </vt:variant>
      <vt:variant>
        <vt:i4>12</vt:i4>
      </vt:variant>
      <vt:variant>
        <vt:i4>0</vt:i4>
      </vt:variant>
      <vt:variant>
        <vt:i4>5</vt:i4>
      </vt:variant>
      <vt:variant>
        <vt:lpwstr>https://ec.europa.eu/social/main.jsp?catId=738&amp;langId=en&amp;pubId=8376&amp;furtherPubs=yes</vt:lpwstr>
      </vt:variant>
      <vt:variant>
        <vt:lpwstr/>
      </vt:variant>
      <vt:variant>
        <vt:i4>3604583</vt:i4>
      </vt:variant>
      <vt:variant>
        <vt:i4>9</vt:i4>
      </vt:variant>
      <vt:variant>
        <vt:i4>0</vt:i4>
      </vt:variant>
      <vt:variant>
        <vt:i4>5</vt:i4>
      </vt:variant>
      <vt:variant>
        <vt:lpwstr>https://www.un.org/development/desa/disabilities/convention-on-the-rights-of-persons-with-disabilities.html</vt:lpwstr>
      </vt:variant>
      <vt:variant>
        <vt:lpwstr/>
      </vt:variant>
      <vt:variant>
        <vt:i4>6094896</vt:i4>
      </vt:variant>
      <vt:variant>
        <vt:i4>6</vt:i4>
      </vt:variant>
      <vt:variant>
        <vt:i4>0</vt:i4>
      </vt:variant>
      <vt:variant>
        <vt:i4>5</vt:i4>
      </vt:variant>
      <vt:variant>
        <vt:lpwstr>https://ec.europa.eu/info/sites/default/files/1_en_act_part1_v8_0.pdf</vt:lpwstr>
      </vt:variant>
      <vt:variant>
        <vt:lpwstr/>
      </vt:variant>
      <vt:variant>
        <vt:i4>3145826</vt:i4>
      </vt:variant>
      <vt:variant>
        <vt:i4>3</vt:i4>
      </vt:variant>
      <vt:variant>
        <vt:i4>0</vt:i4>
      </vt:variant>
      <vt:variant>
        <vt:i4>5</vt:i4>
      </vt:variant>
      <vt:variant>
        <vt:lpwstr>https://ec.europa.eu/social/main.jsp?catId=738&amp;langId=en&amp;pubId=8376&amp;furtherPubs=yes</vt:lpwstr>
      </vt:variant>
      <vt:variant>
        <vt:lpwstr/>
      </vt:variant>
      <vt:variant>
        <vt:i4>3604583</vt:i4>
      </vt:variant>
      <vt:variant>
        <vt:i4>0</vt:i4>
      </vt:variant>
      <vt:variant>
        <vt:i4>0</vt:i4>
      </vt:variant>
      <vt:variant>
        <vt:i4>5</vt:i4>
      </vt:variant>
      <vt:variant>
        <vt:lpwstr>https://www.un.org/development/desa/disabilities/convention-on-the-rights-of-persons-with-disabilities.html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2023-08-31T11:47:00Z</cp:lastPrinted>
  <dcterms:created xsi:type="dcterms:W3CDTF">2023-09-22T14:01:00Z</dcterms:created>
  <dcterms:modified xsi:type="dcterms:W3CDTF">2023-09-28T13:05:00Z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0x01010062094E9F29D6C04F85860C631ABC812A</vt:lpwstr>
  </property>
  <property fmtid="{D5CDD505-2E9C-101B-9397-08002B2CF9AE}" pid="4" name="MSIP_Label_6bd9ddd1-4d20-43f6-abfa-fc3c07406f94_Enabled">
    <vt:lpwstr>true</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ContentBits">
    <vt:lpwstr>0</vt:lpwstr>
  </property>
  <property fmtid="{D5CDD505-2E9C-101B-9397-08002B2CF9AE}" pid="9" name="MSIP_Label_6bd9ddd1-4d20-43f6-abfa-fc3c07406f94_SetDate">
    <vt:lpwstr>2023-08-31T13:23:57Z</vt:lpwstr>
  </property>
  <property fmtid="{D5CDD505-2E9C-101B-9397-08002B2CF9AE}" pid="10" name="MSIP_Label_6bd9ddd1-4d20-43f6-abfa-fc3c07406f94_ActionId">
    <vt:lpwstr>f5076d1a-b32f-4968-9989-8cc7bc3a3494</vt:lpwstr>
  </property>
  <property fmtid="{D5CDD505-2E9C-101B-9397-08002B2CF9AE}" pid="11" name="Level of sensitivity">
    <vt:lpwstr>Standard treatment</vt:lpwstr>
  </property>
  <property fmtid="{D5CDD505-2E9C-101B-9397-08002B2CF9AE}" pid="12" name="First annex">
    <vt:lpwstr>1</vt:lpwstr>
  </property>
  <property fmtid="{D5CDD505-2E9C-101B-9397-08002B2CF9AE}" pid="13" name="Last annex">
    <vt:lpwstr>1</vt:lpwstr>
  </property>
  <property fmtid="{D5CDD505-2E9C-101B-9397-08002B2CF9AE}" pid="14" name="Unique annex">
    <vt:lpwstr>1</vt:lpwstr>
  </property>
  <property fmtid="{D5CDD505-2E9C-101B-9397-08002B2CF9AE}" pid="15" name="Part">
    <vt:lpwstr>1</vt:lpwstr>
  </property>
  <property fmtid="{D5CDD505-2E9C-101B-9397-08002B2CF9AE}" pid="16" name="Total parts">
    <vt:lpwstr>1</vt:lpwstr>
  </property>
  <property fmtid="{D5CDD505-2E9C-101B-9397-08002B2CF9AE}" pid="17" name="DocStatus">
    <vt:lpwstr>Green</vt:lpwstr>
  </property>
  <property fmtid="{D5CDD505-2E9C-101B-9397-08002B2CF9AE}" pid="18" name="CPTemplateID">
    <vt:lpwstr>CP-036</vt:lpwstr>
  </property>
  <property fmtid="{D5CDD505-2E9C-101B-9397-08002B2CF9AE}" pid="19" name="Last edited using">
    <vt:lpwstr>LW 9.0, Build 20230317</vt:lpwstr>
  </property>
  <property fmtid="{D5CDD505-2E9C-101B-9397-08002B2CF9AE}" pid="20" name="Created using">
    <vt:lpwstr>LW 9.0, Build 20230317</vt:lpwstr>
  </property>
</Properties>
</file>